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E82BE2">
      <w:pPr>
        <w:spacing w:line="360" w:lineRule="auto"/>
        <w:rPr>
          <w:rFonts w:hint="default" w:ascii="Times New Roman" w:hAnsi="Times New Roman" w:eastAsia="仿宋" w:cs="Times New Roman"/>
          <w:color w:val="auto"/>
          <w:sz w:val="36"/>
          <w:szCs w:val="36"/>
        </w:rPr>
      </w:pPr>
    </w:p>
    <w:p w14:paraId="7E72FC60">
      <w:pPr>
        <w:spacing w:line="360" w:lineRule="auto"/>
        <w:rPr>
          <w:rFonts w:hint="default" w:ascii="Times New Roman" w:hAnsi="Times New Roman" w:eastAsia="仿宋" w:cs="Times New Roman"/>
          <w:color w:val="auto"/>
          <w:sz w:val="36"/>
          <w:szCs w:val="36"/>
        </w:rPr>
      </w:pPr>
    </w:p>
    <w:p w14:paraId="3EDCC15F">
      <w:pPr>
        <w:spacing w:line="360" w:lineRule="auto"/>
        <w:rPr>
          <w:rFonts w:hint="default" w:ascii="Times New Roman" w:hAnsi="Times New Roman" w:eastAsia="仿宋" w:cs="Times New Roman"/>
          <w:color w:val="auto"/>
          <w:sz w:val="36"/>
          <w:szCs w:val="36"/>
        </w:rPr>
      </w:pPr>
    </w:p>
    <w:p w14:paraId="06A2DC02">
      <w:pPr>
        <w:spacing w:line="360" w:lineRule="auto"/>
        <w:jc w:val="center"/>
        <w:rPr>
          <w:rFonts w:hint="default" w:ascii="Times New Roman" w:hAnsi="Times New Roman" w:eastAsia="方正小标宋_GBK" w:cs="Times New Roman"/>
          <w:color w:val="auto"/>
          <w:sz w:val="72"/>
          <w:szCs w:val="72"/>
        </w:rPr>
      </w:pPr>
      <w:r>
        <w:rPr>
          <w:rFonts w:hint="default" w:ascii="Times New Roman" w:hAnsi="Times New Roman" w:eastAsia="方正小标宋_GBK" w:cs="Times New Roman"/>
          <w:color w:val="auto"/>
          <w:sz w:val="72"/>
          <w:szCs w:val="72"/>
        </w:rPr>
        <w:t>建设项目环境影响报告表</w:t>
      </w:r>
    </w:p>
    <w:p w14:paraId="4C9FEFBF">
      <w:pPr>
        <w:jc w:val="center"/>
        <w:rPr>
          <w:rFonts w:hint="default" w:ascii="Times New Roman" w:hAnsi="Times New Roman" w:eastAsia="楷体" w:cs="Times New Roman"/>
          <w:color w:val="auto"/>
          <w:sz w:val="48"/>
          <w:szCs w:val="48"/>
        </w:rPr>
      </w:pPr>
      <w:r>
        <w:rPr>
          <w:rFonts w:hint="default" w:ascii="Times New Roman" w:hAnsi="Times New Roman" w:eastAsia="楷体" w:cs="Times New Roman"/>
          <w:color w:val="auto"/>
          <w:sz w:val="48"/>
          <w:szCs w:val="48"/>
        </w:rPr>
        <w:t>（污染影响类）</w:t>
      </w:r>
    </w:p>
    <w:p w14:paraId="1DB315B2">
      <w:pPr>
        <w:spacing w:line="360" w:lineRule="auto"/>
        <w:jc w:val="center"/>
        <w:rPr>
          <w:rFonts w:hint="default" w:ascii="Times New Roman" w:hAnsi="Times New Roman" w:eastAsia="仿宋" w:cs="Times New Roman"/>
          <w:b/>
          <w:color w:val="auto"/>
          <w:sz w:val="36"/>
          <w:szCs w:val="36"/>
        </w:rPr>
      </w:pPr>
      <w:r>
        <w:rPr>
          <w:rFonts w:hint="default" w:ascii="Times New Roman" w:hAnsi="Times New Roman" w:eastAsia="仿宋" w:cs="Times New Roman"/>
          <w:b/>
          <w:color w:val="auto"/>
          <w:sz w:val="36"/>
          <w:szCs w:val="36"/>
        </w:rPr>
        <w:t>（</w:t>
      </w:r>
      <w:r>
        <w:rPr>
          <w:rFonts w:hint="eastAsia" w:eastAsia="仿宋" w:cs="Times New Roman"/>
          <w:b/>
          <w:color w:val="auto"/>
          <w:sz w:val="36"/>
          <w:szCs w:val="36"/>
          <w:lang w:val="en-US" w:eastAsia="zh-CN"/>
        </w:rPr>
        <w:t>公示</w:t>
      </w:r>
      <w:r>
        <w:rPr>
          <w:rFonts w:hint="default" w:ascii="Times New Roman" w:hAnsi="Times New Roman" w:eastAsia="仿宋" w:cs="Times New Roman"/>
          <w:b/>
          <w:color w:val="auto"/>
          <w:sz w:val="36"/>
          <w:szCs w:val="36"/>
          <w:lang w:val="en-US" w:eastAsia="zh-CN"/>
        </w:rPr>
        <w:t>本</w:t>
      </w:r>
      <w:r>
        <w:rPr>
          <w:rFonts w:hint="default" w:ascii="Times New Roman" w:hAnsi="Times New Roman" w:eastAsia="仿宋" w:cs="Times New Roman"/>
          <w:b/>
          <w:color w:val="auto"/>
          <w:sz w:val="36"/>
          <w:szCs w:val="36"/>
        </w:rPr>
        <w:t>）</w:t>
      </w:r>
    </w:p>
    <w:p w14:paraId="01AF56A1">
      <w:pPr>
        <w:spacing w:line="360" w:lineRule="auto"/>
        <w:rPr>
          <w:rFonts w:hint="default" w:ascii="Times New Roman" w:hAnsi="Times New Roman" w:eastAsia="仿宋" w:cs="Times New Roman"/>
          <w:b/>
          <w:color w:val="auto"/>
          <w:sz w:val="36"/>
          <w:szCs w:val="36"/>
        </w:rPr>
      </w:pPr>
    </w:p>
    <w:p w14:paraId="3D265878">
      <w:pPr>
        <w:spacing w:line="360" w:lineRule="auto"/>
        <w:rPr>
          <w:rFonts w:hint="default" w:ascii="Times New Roman" w:hAnsi="Times New Roman" w:eastAsia="仿宋" w:cs="Times New Roman"/>
          <w:b/>
          <w:color w:val="auto"/>
          <w:sz w:val="36"/>
          <w:szCs w:val="36"/>
        </w:rPr>
      </w:pPr>
    </w:p>
    <w:p w14:paraId="19D20889">
      <w:pPr>
        <w:spacing w:line="360" w:lineRule="auto"/>
        <w:rPr>
          <w:rFonts w:hint="default" w:ascii="Times New Roman" w:hAnsi="Times New Roman" w:eastAsia="仿宋" w:cs="Times New Roman"/>
          <w:b/>
          <w:color w:val="auto"/>
          <w:sz w:val="36"/>
          <w:szCs w:val="36"/>
        </w:rPr>
      </w:pPr>
    </w:p>
    <w:p w14:paraId="42C38DA9">
      <w:pPr>
        <w:spacing w:line="360" w:lineRule="auto"/>
        <w:rPr>
          <w:rFonts w:hint="default" w:ascii="Times New Roman" w:hAnsi="Times New Roman" w:eastAsia="仿宋" w:cs="Times New Roman"/>
          <w:b/>
          <w:color w:val="auto"/>
          <w:sz w:val="36"/>
          <w:szCs w:val="36"/>
        </w:rPr>
      </w:pPr>
    </w:p>
    <w:p w14:paraId="59C8419C">
      <w:pPr>
        <w:spacing w:line="360" w:lineRule="auto"/>
        <w:rPr>
          <w:rFonts w:hint="default" w:ascii="Times New Roman" w:hAnsi="Times New Roman" w:eastAsia="仿宋" w:cs="Times New Roman"/>
          <w:b/>
          <w:color w:val="auto"/>
          <w:sz w:val="36"/>
          <w:szCs w:val="36"/>
        </w:rPr>
      </w:pPr>
    </w:p>
    <w:p w14:paraId="3653EE1E">
      <w:pPr>
        <w:spacing w:line="360" w:lineRule="auto"/>
        <w:ind w:left="2519" w:leftChars="171" w:hanging="2160" w:hangingChars="600"/>
        <w:rPr>
          <w:rFonts w:hint="default" w:ascii="Times New Roman" w:hAnsi="Times New Roman" w:eastAsia="仿宋" w:cs="Times New Roman"/>
          <w:color w:val="auto"/>
          <w:sz w:val="36"/>
          <w:szCs w:val="36"/>
          <w:u w:val="single"/>
          <w:lang w:val="en-US" w:eastAsia="zh-CN"/>
        </w:rPr>
      </w:pPr>
      <w:r>
        <w:rPr>
          <w:rFonts w:hint="default" w:ascii="Times New Roman" w:hAnsi="Times New Roman" w:eastAsia="仿宋" w:cs="Times New Roman"/>
          <w:color w:val="auto"/>
          <w:sz w:val="36"/>
          <w:szCs w:val="36"/>
        </w:rPr>
        <w:t>项目名称：</w:t>
      </w:r>
      <w:r>
        <w:rPr>
          <w:rFonts w:hint="default" w:ascii="Times New Roman" w:hAnsi="Times New Roman" w:eastAsia="仿宋" w:cs="Times New Roman"/>
          <w:color w:val="auto"/>
          <w:sz w:val="36"/>
          <w:szCs w:val="36"/>
          <w:u w:val="single"/>
          <w:lang w:val="en-US" w:eastAsia="zh-CN"/>
        </w:rPr>
        <w:t xml:space="preserve">   天生镇沥青混凝土搅拌站基础建设项目   </w:t>
      </w:r>
    </w:p>
    <w:p w14:paraId="5E7EDA82">
      <w:pPr>
        <w:spacing w:line="360" w:lineRule="auto"/>
        <w:ind w:firstLine="360" w:firstLineChars="100"/>
        <w:rPr>
          <w:rFonts w:hint="default" w:ascii="Times New Roman" w:hAnsi="Times New Roman" w:eastAsia="仿宋" w:cs="Times New Roman"/>
          <w:color w:val="auto"/>
          <w:sz w:val="36"/>
          <w:szCs w:val="36"/>
          <w:u w:val="single"/>
        </w:rPr>
      </w:pPr>
      <w:r>
        <w:rPr>
          <w:rFonts w:hint="default" w:ascii="Times New Roman" w:hAnsi="Times New Roman" w:eastAsia="仿宋" w:cs="Times New Roman"/>
          <w:color w:val="auto"/>
          <w:sz w:val="36"/>
          <w:szCs w:val="36"/>
        </w:rPr>
        <w:t>建设单位（盖章）：</w:t>
      </w:r>
      <w:r>
        <w:rPr>
          <w:rFonts w:hint="default" w:ascii="Times New Roman" w:hAnsi="Times New Roman" w:eastAsia="仿宋" w:cs="Times New Roman"/>
          <w:color w:val="auto"/>
          <w:sz w:val="36"/>
          <w:szCs w:val="36"/>
          <w:u w:val="single"/>
        </w:rPr>
        <w:t xml:space="preserve"> </w:t>
      </w:r>
      <w:r>
        <w:rPr>
          <w:rFonts w:hint="default" w:ascii="Times New Roman" w:hAnsi="Times New Roman" w:eastAsia="仿宋" w:cs="Times New Roman"/>
          <w:color w:val="auto"/>
          <w:sz w:val="36"/>
          <w:szCs w:val="36"/>
          <w:u w:val="single"/>
          <w:lang w:val="en-US" w:eastAsia="zh-CN"/>
        </w:rPr>
        <w:t xml:space="preserve"> </w:t>
      </w:r>
      <w:r>
        <w:rPr>
          <w:rFonts w:hint="default" w:ascii="Times New Roman" w:hAnsi="Times New Roman" w:eastAsia="仿宋" w:cs="Times New Roman"/>
          <w:color w:val="auto"/>
          <w:sz w:val="36"/>
          <w:szCs w:val="36"/>
          <w:u w:val="single"/>
          <w:lang w:eastAsia="zh-CN"/>
        </w:rPr>
        <w:t>达州市兴桥新材料科技有限公司</w:t>
      </w:r>
      <w:r>
        <w:rPr>
          <w:rFonts w:hint="default" w:ascii="Times New Roman" w:hAnsi="Times New Roman" w:eastAsia="仿宋" w:cs="Times New Roman"/>
          <w:color w:val="auto"/>
          <w:sz w:val="36"/>
          <w:szCs w:val="36"/>
          <w:u w:val="single"/>
          <w:lang w:val="en-US" w:eastAsia="zh-CN"/>
        </w:rPr>
        <w:t xml:space="preserve">    </w:t>
      </w:r>
      <w:r>
        <w:rPr>
          <w:rFonts w:hint="default" w:ascii="Times New Roman" w:hAnsi="Times New Roman" w:eastAsia="仿宋" w:cs="Times New Roman"/>
          <w:color w:val="auto"/>
          <w:sz w:val="36"/>
          <w:szCs w:val="36"/>
          <w:u w:val="single"/>
        </w:rPr>
        <w:t xml:space="preserve"> </w:t>
      </w:r>
    </w:p>
    <w:p w14:paraId="1DEAC31F">
      <w:pPr>
        <w:spacing w:line="360" w:lineRule="auto"/>
        <w:ind w:firstLine="360" w:firstLineChars="100"/>
        <w:rPr>
          <w:rFonts w:hint="default" w:ascii="Times New Roman" w:hAnsi="Times New Roman" w:eastAsia="仿宋" w:cs="Times New Roman"/>
          <w:color w:val="auto"/>
          <w:sz w:val="36"/>
          <w:szCs w:val="36"/>
        </w:rPr>
      </w:pPr>
      <w:r>
        <w:rPr>
          <w:rFonts w:hint="default" w:ascii="Times New Roman" w:hAnsi="Times New Roman" w:eastAsia="仿宋" w:cs="Times New Roman"/>
          <w:color w:val="auto"/>
          <w:sz w:val="36"/>
          <w:szCs w:val="36"/>
        </w:rPr>
        <w:t>编制日期：</w:t>
      </w:r>
      <w:r>
        <w:rPr>
          <w:rFonts w:hint="default" w:ascii="Times New Roman" w:hAnsi="Times New Roman" w:eastAsia="仿宋" w:cs="Times New Roman"/>
          <w:color w:val="auto"/>
          <w:sz w:val="36"/>
          <w:szCs w:val="36"/>
          <w:u w:val="single"/>
        </w:rPr>
        <w:t xml:space="preserve">                202</w:t>
      </w:r>
      <w:r>
        <w:rPr>
          <w:rFonts w:hint="default" w:ascii="Times New Roman" w:hAnsi="Times New Roman" w:eastAsia="仿宋" w:cs="Times New Roman"/>
          <w:color w:val="auto"/>
          <w:sz w:val="36"/>
          <w:szCs w:val="36"/>
          <w:u w:val="single"/>
          <w:lang w:val="en-US" w:eastAsia="zh-CN"/>
        </w:rPr>
        <w:t>5</w:t>
      </w:r>
      <w:r>
        <w:rPr>
          <w:rFonts w:hint="default" w:ascii="Times New Roman" w:hAnsi="Times New Roman" w:eastAsia="仿宋" w:cs="Times New Roman"/>
          <w:color w:val="auto"/>
          <w:sz w:val="36"/>
          <w:szCs w:val="36"/>
          <w:u w:val="single"/>
        </w:rPr>
        <w:t>年</w:t>
      </w:r>
      <w:r>
        <w:rPr>
          <w:rFonts w:hint="default" w:ascii="Times New Roman" w:hAnsi="Times New Roman" w:eastAsia="仿宋" w:cs="Times New Roman"/>
          <w:color w:val="auto"/>
          <w:sz w:val="36"/>
          <w:szCs w:val="36"/>
          <w:u w:val="single"/>
          <w:lang w:val="en-US" w:eastAsia="zh-CN"/>
        </w:rPr>
        <w:t>7</w:t>
      </w:r>
      <w:r>
        <w:rPr>
          <w:rFonts w:hint="default" w:ascii="Times New Roman" w:hAnsi="Times New Roman" w:eastAsia="仿宋" w:cs="Times New Roman"/>
          <w:color w:val="auto"/>
          <w:sz w:val="36"/>
          <w:szCs w:val="36"/>
          <w:u w:val="single"/>
        </w:rPr>
        <w:t xml:space="preserve">月           </w:t>
      </w:r>
    </w:p>
    <w:p w14:paraId="2FEAB8A8">
      <w:pPr>
        <w:spacing w:line="360" w:lineRule="auto"/>
        <w:rPr>
          <w:rFonts w:hint="default" w:ascii="Times New Roman" w:hAnsi="Times New Roman" w:eastAsia="仿宋" w:cs="Times New Roman"/>
          <w:color w:val="auto"/>
          <w:sz w:val="36"/>
          <w:szCs w:val="36"/>
        </w:rPr>
      </w:pPr>
    </w:p>
    <w:p w14:paraId="3C00041A">
      <w:pPr>
        <w:spacing w:line="360" w:lineRule="auto"/>
        <w:rPr>
          <w:rFonts w:hint="default" w:ascii="Times New Roman" w:hAnsi="Times New Roman" w:eastAsia="仿宋" w:cs="Times New Roman"/>
          <w:color w:val="auto"/>
          <w:sz w:val="36"/>
          <w:szCs w:val="36"/>
        </w:rPr>
      </w:pPr>
    </w:p>
    <w:p w14:paraId="3D680BBB">
      <w:pPr>
        <w:spacing w:line="360" w:lineRule="auto"/>
        <w:rPr>
          <w:rFonts w:hint="default" w:ascii="Times New Roman" w:hAnsi="Times New Roman" w:eastAsia="仿宋" w:cs="Times New Roman"/>
          <w:color w:val="auto"/>
          <w:sz w:val="36"/>
          <w:szCs w:val="36"/>
        </w:rPr>
      </w:pPr>
    </w:p>
    <w:p w14:paraId="712188F1">
      <w:pPr>
        <w:spacing w:line="360" w:lineRule="auto"/>
        <w:rPr>
          <w:rFonts w:hint="default" w:ascii="Times New Roman" w:hAnsi="Times New Roman" w:eastAsia="仿宋" w:cs="Times New Roman"/>
          <w:color w:val="auto"/>
          <w:sz w:val="36"/>
          <w:szCs w:val="36"/>
        </w:rPr>
      </w:pPr>
    </w:p>
    <w:p w14:paraId="375EE205">
      <w:pPr>
        <w:spacing w:line="360" w:lineRule="auto"/>
        <w:jc w:val="center"/>
        <w:rPr>
          <w:rFonts w:hint="default" w:ascii="Times New Roman" w:hAnsi="Times New Roman" w:eastAsia="楷体" w:cs="Times New Roman"/>
          <w:color w:val="auto"/>
          <w:sz w:val="36"/>
          <w:szCs w:val="36"/>
        </w:rPr>
      </w:pPr>
    </w:p>
    <w:p w14:paraId="4A9FFCA5">
      <w:pPr>
        <w:spacing w:line="360" w:lineRule="auto"/>
        <w:jc w:val="center"/>
        <w:rPr>
          <w:rFonts w:hint="default" w:ascii="Times New Roman" w:hAnsi="Times New Roman" w:eastAsia="楷体" w:cs="Times New Roman"/>
          <w:color w:val="auto"/>
          <w:sz w:val="36"/>
          <w:szCs w:val="36"/>
        </w:rPr>
      </w:pPr>
      <w:r>
        <w:rPr>
          <w:rFonts w:hint="default" w:ascii="Times New Roman" w:hAnsi="Times New Roman" w:eastAsia="楷体" w:cs="Times New Roman"/>
          <w:color w:val="auto"/>
          <w:sz w:val="36"/>
          <w:szCs w:val="36"/>
        </w:rPr>
        <w:t>中华人民共和国生态环境部制</w:t>
      </w:r>
    </w:p>
    <w:p w14:paraId="6F9C13A0">
      <w:pPr>
        <w:spacing w:line="360" w:lineRule="auto"/>
        <w:rPr>
          <w:rFonts w:hint="default" w:ascii="Times New Roman" w:hAnsi="Times New Roman" w:cs="Times New Roman"/>
          <w:color w:val="auto"/>
          <w:sz w:val="28"/>
          <w:szCs w:val="28"/>
        </w:rPr>
      </w:pPr>
    </w:p>
    <w:p w14:paraId="6DD68F9E">
      <w:pPr>
        <w:spacing w:line="360" w:lineRule="auto"/>
        <w:rPr>
          <w:rFonts w:hint="default" w:ascii="Times New Roman" w:hAnsi="Times New Roman" w:cs="Times New Roman"/>
          <w:b/>
          <w:color w:val="auto"/>
          <w:sz w:val="28"/>
          <w:szCs w:val="28"/>
        </w:rPr>
        <w:sectPr>
          <w:headerReference r:id="rId3" w:type="default"/>
          <w:pgSz w:w="11906" w:h="16838"/>
          <w:pgMar w:top="1134" w:right="1134"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83134A1">
      <w:pPr>
        <w:pStyle w:val="64"/>
        <w:jc w:val="center"/>
        <w:rPr>
          <w:rFonts w:hint="default" w:ascii="Times New Roman" w:hAnsi="Times New Roman" w:cs="Times New Roman"/>
          <w:color w:val="auto"/>
          <w:szCs w:val="24"/>
        </w:rPr>
      </w:pPr>
      <w:r>
        <w:rPr>
          <w:rFonts w:hint="default" w:ascii="Times New Roman" w:hAnsi="Times New Roman" w:eastAsia="黑体" w:cs="Times New Roman"/>
          <w:b w:val="0"/>
          <w:color w:val="auto"/>
          <w:sz w:val="30"/>
          <w:szCs w:val="30"/>
        </w:rPr>
        <w:t>一、建设项目基本情况</w:t>
      </w:r>
    </w:p>
    <w:tbl>
      <w:tblPr>
        <w:tblStyle w:val="29"/>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3003"/>
        <w:gridCol w:w="1574"/>
        <w:gridCol w:w="3800"/>
      </w:tblGrid>
      <w:tr w14:paraId="68FB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3" w:type="dxa"/>
            <w:vAlign w:val="center"/>
          </w:tcPr>
          <w:p w14:paraId="02B74CF6">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14:paraId="2DCCC8C3">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名称</w:t>
            </w:r>
          </w:p>
        </w:tc>
        <w:tc>
          <w:tcPr>
            <w:tcW w:w="8377" w:type="dxa"/>
            <w:gridSpan w:val="3"/>
            <w:vAlign w:val="center"/>
          </w:tcPr>
          <w:p w14:paraId="3EE7BA29">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天生镇沥青混凝土搅拌站基础建设项目</w:t>
            </w:r>
          </w:p>
        </w:tc>
      </w:tr>
      <w:tr w14:paraId="2FF9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3" w:type="dxa"/>
            <w:vAlign w:val="center"/>
          </w:tcPr>
          <w:p w14:paraId="53982C61">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8377" w:type="dxa"/>
            <w:gridSpan w:val="3"/>
            <w:vAlign w:val="center"/>
          </w:tcPr>
          <w:p w14:paraId="3A9FD85D">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2</w:t>
            </w:r>
            <w:r>
              <w:rPr>
                <w:rFonts w:hint="default" w:ascii="Times New Roman" w:hAnsi="Times New Roman" w:cs="Times New Roman"/>
                <w:color w:val="auto"/>
                <w:sz w:val="24"/>
                <w:szCs w:val="24"/>
                <w:highlight w:val="none"/>
                <w:lang w:val="en-US" w:eastAsia="zh-CN"/>
              </w:rPr>
              <w:t>2504-511722-04-01-456740</w:t>
            </w:r>
          </w:p>
        </w:tc>
      </w:tr>
      <w:tr w14:paraId="1E69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3" w:type="dxa"/>
            <w:vAlign w:val="center"/>
          </w:tcPr>
          <w:p w14:paraId="3CE12BAE">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3003" w:type="dxa"/>
            <w:shd w:val="clear" w:color="auto" w:fill="auto"/>
            <w:vAlign w:val="center"/>
          </w:tcPr>
          <w:p w14:paraId="261D118A">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熊</w:t>
            </w:r>
            <w:r>
              <w:rPr>
                <w:rFonts w:hint="eastAsia" w:cs="Times New Roman"/>
                <w:color w:val="auto"/>
                <w:sz w:val="24"/>
                <w:szCs w:val="24"/>
                <w:lang w:val="en-US" w:eastAsia="zh-CN"/>
              </w:rPr>
              <w:t>**</w:t>
            </w:r>
          </w:p>
        </w:tc>
        <w:tc>
          <w:tcPr>
            <w:tcW w:w="1574" w:type="dxa"/>
            <w:shd w:val="clear" w:color="auto" w:fill="auto"/>
            <w:vAlign w:val="center"/>
          </w:tcPr>
          <w:p w14:paraId="51CABDE0">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联系方式</w:t>
            </w:r>
          </w:p>
        </w:tc>
        <w:tc>
          <w:tcPr>
            <w:tcW w:w="3800" w:type="dxa"/>
            <w:shd w:val="clear" w:color="auto" w:fill="auto"/>
            <w:vAlign w:val="center"/>
          </w:tcPr>
          <w:p w14:paraId="6BC8311A">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182</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8658</w:t>
            </w:r>
          </w:p>
        </w:tc>
      </w:tr>
      <w:tr w14:paraId="4E2CB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3" w:type="dxa"/>
            <w:vAlign w:val="center"/>
          </w:tcPr>
          <w:p w14:paraId="3ED9D717">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8377" w:type="dxa"/>
            <w:gridSpan w:val="3"/>
            <w:shd w:val="clear" w:color="auto" w:fill="auto"/>
            <w:vAlign w:val="center"/>
          </w:tcPr>
          <w:p w14:paraId="29A4E403">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四川省达州市宣汉县天生镇峨城社区4组</w:t>
            </w:r>
          </w:p>
        </w:tc>
      </w:tr>
      <w:tr w14:paraId="2D52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3" w:type="dxa"/>
            <w:vAlign w:val="center"/>
          </w:tcPr>
          <w:p w14:paraId="52F6E44E">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8377" w:type="dxa"/>
            <w:gridSpan w:val="3"/>
            <w:shd w:val="clear" w:color="auto" w:fill="auto"/>
            <w:vAlign w:val="center"/>
          </w:tcPr>
          <w:p w14:paraId="5139240A">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经度107°4</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770</w:t>
            </w:r>
            <w:r>
              <w:rPr>
                <w:rFonts w:hint="default" w:ascii="Times New Roman" w:hAnsi="Times New Roman" w:cs="Times New Roman"/>
                <w:color w:val="auto"/>
                <w:sz w:val="24"/>
                <w:szCs w:val="24"/>
              </w:rPr>
              <w:t>″，纬度31°</w:t>
            </w:r>
            <w:r>
              <w:rPr>
                <w:rFonts w:hint="default"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35</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909</w:t>
            </w:r>
            <w:r>
              <w:rPr>
                <w:rFonts w:hint="default" w:ascii="Times New Roman" w:hAnsi="Times New Roman" w:cs="Times New Roman"/>
                <w:color w:val="auto"/>
                <w:sz w:val="24"/>
                <w:szCs w:val="24"/>
              </w:rPr>
              <w:t>″</w:t>
            </w:r>
          </w:p>
        </w:tc>
      </w:tr>
      <w:tr w14:paraId="06E86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3" w:type="dxa"/>
            <w:vAlign w:val="center"/>
          </w:tcPr>
          <w:p w14:paraId="30299A90">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国民经济</w:t>
            </w:r>
          </w:p>
          <w:p w14:paraId="0BDD885A">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3003" w:type="dxa"/>
            <w:shd w:val="clear" w:color="auto" w:fill="auto"/>
            <w:vAlign w:val="center"/>
          </w:tcPr>
          <w:p w14:paraId="585849BF">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highlight w:val="none"/>
                <w:lang w:eastAsia="zh-CN"/>
              </w:rPr>
              <w:t>C3099 其他非金属矿物制品制造</w:t>
            </w:r>
          </w:p>
        </w:tc>
        <w:tc>
          <w:tcPr>
            <w:tcW w:w="1574" w:type="dxa"/>
            <w:shd w:val="clear" w:color="auto" w:fill="auto"/>
            <w:vAlign w:val="center"/>
          </w:tcPr>
          <w:p w14:paraId="08575B75">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14:paraId="5821AA4A">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行业类别</w:t>
            </w:r>
          </w:p>
        </w:tc>
        <w:tc>
          <w:tcPr>
            <w:tcW w:w="3800" w:type="dxa"/>
            <w:shd w:val="clear" w:color="auto" w:fill="auto"/>
            <w:vAlign w:val="center"/>
          </w:tcPr>
          <w:p w14:paraId="538A1708">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rPr>
              <w:t>二十七、非金属矿物制品业；60 耐火材料制品制造 308；石墨及其他非金属矿物制品制造 309</w:t>
            </w:r>
          </w:p>
        </w:tc>
      </w:tr>
      <w:tr w14:paraId="032B3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3" w:type="dxa"/>
            <w:vAlign w:val="center"/>
          </w:tcPr>
          <w:p w14:paraId="0251BFDE">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3003" w:type="dxa"/>
            <w:vAlign w:val="center"/>
          </w:tcPr>
          <w:p w14:paraId="3ED8266D">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新建（迁建）</w:t>
            </w:r>
          </w:p>
          <w:p w14:paraId="4A0B6278">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sym w:font="Wingdings 2" w:char="00A3"/>
            </w:r>
            <w:r>
              <w:rPr>
                <w:rFonts w:hint="default" w:ascii="Times New Roman" w:hAnsi="Times New Roman" w:cs="Times New Roman" w:eastAsiaTheme="minorEastAsia"/>
                <w:color w:val="auto"/>
                <w:sz w:val="24"/>
                <w:szCs w:val="24"/>
              </w:rPr>
              <w:t>改建</w:t>
            </w:r>
          </w:p>
          <w:p w14:paraId="1C911E3E">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sym w:font="Wingdings 2" w:char="00A3"/>
            </w:r>
            <w:r>
              <w:rPr>
                <w:rFonts w:hint="default" w:ascii="Times New Roman" w:hAnsi="Times New Roman" w:cs="Times New Roman" w:eastAsiaTheme="minorEastAsia"/>
                <w:color w:val="auto"/>
                <w:sz w:val="24"/>
                <w:szCs w:val="24"/>
              </w:rPr>
              <w:t>扩建</w:t>
            </w:r>
          </w:p>
          <w:p w14:paraId="1A8A523E">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sz w:val="24"/>
                <w:szCs w:val="24"/>
              </w:rPr>
              <w:sym w:font="Wingdings 2" w:char="00A3"/>
            </w:r>
            <w:r>
              <w:rPr>
                <w:rFonts w:hint="default" w:ascii="Times New Roman" w:hAnsi="Times New Roman" w:cs="Times New Roman" w:eastAsiaTheme="minorEastAsia"/>
                <w:color w:val="auto"/>
                <w:sz w:val="24"/>
                <w:szCs w:val="24"/>
              </w:rPr>
              <w:t>技术改造</w:t>
            </w:r>
          </w:p>
        </w:tc>
        <w:tc>
          <w:tcPr>
            <w:tcW w:w="1574" w:type="dxa"/>
            <w:vAlign w:val="center"/>
          </w:tcPr>
          <w:p w14:paraId="60E549C7">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14:paraId="7902EA61">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3800" w:type="dxa"/>
            <w:vAlign w:val="center"/>
          </w:tcPr>
          <w:p w14:paraId="48CE6178">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color w:val="auto"/>
                <w:sz w:val="24"/>
                <w:szCs w:val="24"/>
              </w:rPr>
              <w:sym w:font="Wingdings 2" w:char="F052"/>
            </w:r>
            <w:r>
              <w:rPr>
                <w:rFonts w:hint="default" w:ascii="Times New Roman" w:hAnsi="Times New Roman" w:cs="Times New Roman" w:eastAsiaTheme="minorEastAsia"/>
                <w:color w:val="auto"/>
                <w:sz w:val="24"/>
                <w:szCs w:val="24"/>
              </w:rPr>
              <w:t>首次申报项目</w:t>
            </w:r>
          </w:p>
          <w:p w14:paraId="4091D142">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sym w:font="Wingdings 2" w:char="00A3"/>
            </w:r>
            <w:r>
              <w:rPr>
                <w:rFonts w:hint="default" w:ascii="Times New Roman" w:hAnsi="Times New Roman" w:cs="Times New Roman" w:eastAsiaTheme="minorEastAsia"/>
                <w:color w:val="auto"/>
                <w:sz w:val="24"/>
                <w:szCs w:val="24"/>
              </w:rPr>
              <w:t>不予批准后再次申报项目</w:t>
            </w:r>
          </w:p>
          <w:p w14:paraId="7A5984C7">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sym w:font="Wingdings 2" w:char="00A3"/>
            </w:r>
            <w:r>
              <w:rPr>
                <w:rFonts w:hint="default" w:ascii="Times New Roman" w:hAnsi="Times New Roman" w:cs="Times New Roman" w:eastAsiaTheme="minorEastAsia"/>
                <w:color w:val="auto"/>
                <w:sz w:val="24"/>
                <w:szCs w:val="24"/>
              </w:rPr>
              <w:t>超五年重新审核项目</w:t>
            </w:r>
          </w:p>
          <w:p w14:paraId="1E30E6F9">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sz w:val="24"/>
                <w:szCs w:val="24"/>
              </w:rPr>
              <w:sym w:font="Wingdings 2" w:char="00A3"/>
            </w:r>
            <w:r>
              <w:rPr>
                <w:rFonts w:hint="default" w:ascii="Times New Roman" w:hAnsi="Times New Roman" w:cs="Times New Roman" w:eastAsiaTheme="minorEastAsia"/>
                <w:color w:val="auto"/>
                <w:sz w:val="24"/>
                <w:szCs w:val="24"/>
              </w:rPr>
              <w:t>重大变动重新报批项目</w:t>
            </w:r>
          </w:p>
        </w:tc>
      </w:tr>
      <w:tr w14:paraId="15ED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3" w:type="dxa"/>
            <w:vAlign w:val="center"/>
          </w:tcPr>
          <w:p w14:paraId="0E5BA2D1">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w:t>
            </w:r>
          </w:p>
          <w:p w14:paraId="03A6C620">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备案部门</w:t>
            </w:r>
          </w:p>
        </w:tc>
        <w:tc>
          <w:tcPr>
            <w:tcW w:w="3003" w:type="dxa"/>
            <w:shd w:val="clear" w:color="auto" w:fill="auto"/>
            <w:vAlign w:val="center"/>
          </w:tcPr>
          <w:p w14:paraId="1E1855FB">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宣汉县发改局</w:t>
            </w:r>
          </w:p>
        </w:tc>
        <w:tc>
          <w:tcPr>
            <w:tcW w:w="1574" w:type="dxa"/>
            <w:shd w:val="clear" w:color="auto" w:fill="auto"/>
            <w:vAlign w:val="center"/>
          </w:tcPr>
          <w:p w14:paraId="779FB2E1">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w:t>
            </w:r>
          </w:p>
          <w:p w14:paraId="4CEF11F6">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备案文号</w:t>
            </w:r>
          </w:p>
        </w:tc>
        <w:tc>
          <w:tcPr>
            <w:tcW w:w="3800" w:type="dxa"/>
            <w:shd w:val="clear" w:color="auto" w:fill="auto"/>
            <w:vAlign w:val="center"/>
          </w:tcPr>
          <w:p w14:paraId="75CC9C35">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川投资备【2</w:t>
            </w:r>
            <w:r>
              <w:rPr>
                <w:rFonts w:hint="default" w:ascii="Times New Roman" w:hAnsi="Times New Roman" w:cs="Times New Roman"/>
                <w:color w:val="auto"/>
                <w:sz w:val="24"/>
                <w:szCs w:val="24"/>
                <w:lang w:val="en-US" w:eastAsia="zh-CN"/>
              </w:rPr>
              <w:t>2504-511722-04-01-456740</w:t>
            </w:r>
            <w:r>
              <w:rPr>
                <w:rFonts w:hint="default" w:ascii="Times New Roman" w:hAnsi="Times New Roman" w:cs="Times New Roman"/>
                <w:color w:val="auto"/>
                <w:sz w:val="24"/>
                <w:szCs w:val="24"/>
              </w:rPr>
              <w:t>】FGQB-</w:t>
            </w:r>
            <w:r>
              <w:rPr>
                <w:rFonts w:hint="default" w:ascii="Times New Roman" w:hAnsi="Times New Roman" w:cs="Times New Roman"/>
                <w:color w:val="auto"/>
                <w:sz w:val="24"/>
                <w:szCs w:val="24"/>
                <w:lang w:val="en-US" w:eastAsia="zh-CN"/>
              </w:rPr>
              <w:t>0209</w:t>
            </w:r>
            <w:r>
              <w:rPr>
                <w:rFonts w:hint="default" w:ascii="Times New Roman" w:hAnsi="Times New Roman" w:cs="Times New Roman"/>
                <w:color w:val="auto"/>
                <w:sz w:val="24"/>
                <w:szCs w:val="24"/>
              </w:rPr>
              <w:t>号</w:t>
            </w:r>
          </w:p>
        </w:tc>
      </w:tr>
      <w:tr w14:paraId="2FA7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3" w:type="dxa"/>
            <w:vAlign w:val="center"/>
          </w:tcPr>
          <w:p w14:paraId="6A46F944">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总投资（万元）</w:t>
            </w:r>
          </w:p>
        </w:tc>
        <w:tc>
          <w:tcPr>
            <w:tcW w:w="3003" w:type="dxa"/>
            <w:shd w:val="clear" w:color="auto" w:fill="auto"/>
            <w:vAlign w:val="center"/>
          </w:tcPr>
          <w:p w14:paraId="3D97CB60">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1000</w:t>
            </w:r>
          </w:p>
        </w:tc>
        <w:tc>
          <w:tcPr>
            <w:tcW w:w="1574" w:type="dxa"/>
            <w:shd w:val="clear" w:color="auto" w:fill="auto"/>
            <w:vAlign w:val="center"/>
          </w:tcPr>
          <w:p w14:paraId="29B974A8">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环保投资（万元）</w:t>
            </w:r>
          </w:p>
        </w:tc>
        <w:tc>
          <w:tcPr>
            <w:tcW w:w="3800" w:type="dxa"/>
            <w:shd w:val="clear" w:color="auto" w:fill="auto"/>
            <w:vAlign w:val="center"/>
          </w:tcPr>
          <w:p w14:paraId="67CFC4AB">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highlight w:val="none"/>
                <w:lang w:val="en-US" w:eastAsia="zh-CN"/>
              </w:rPr>
              <w:t>87.4</w:t>
            </w:r>
          </w:p>
        </w:tc>
      </w:tr>
      <w:tr w14:paraId="79458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3" w:type="dxa"/>
            <w:vAlign w:val="center"/>
          </w:tcPr>
          <w:p w14:paraId="585BD379">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3003" w:type="dxa"/>
            <w:vAlign w:val="center"/>
          </w:tcPr>
          <w:p w14:paraId="45752D12">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8.74</w:t>
            </w:r>
          </w:p>
        </w:tc>
        <w:tc>
          <w:tcPr>
            <w:tcW w:w="1574" w:type="dxa"/>
            <w:vAlign w:val="center"/>
          </w:tcPr>
          <w:p w14:paraId="2415D9BD">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3800" w:type="dxa"/>
            <w:vAlign w:val="center"/>
          </w:tcPr>
          <w:p w14:paraId="40D3D872">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个月</w:t>
            </w:r>
          </w:p>
        </w:tc>
      </w:tr>
      <w:tr w14:paraId="394A5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3" w:type="dxa"/>
            <w:vAlign w:val="center"/>
          </w:tcPr>
          <w:p w14:paraId="54B94A19">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3003" w:type="dxa"/>
            <w:vAlign w:val="center"/>
          </w:tcPr>
          <w:p w14:paraId="47C6B048">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52"/>
            </w:r>
            <w:r>
              <w:rPr>
                <w:rFonts w:hint="default" w:ascii="Times New Roman" w:hAnsi="Times New Roman" w:cs="Times New Roman"/>
                <w:color w:val="auto"/>
                <w:sz w:val="24"/>
                <w:szCs w:val="24"/>
                <w:highlight w:val="none"/>
              </w:rPr>
              <w:t>否</w:t>
            </w:r>
          </w:p>
          <w:p w14:paraId="3FC33ED9">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4"/>
                <w:szCs w:val="24"/>
              </w:rPr>
            </w:pPr>
            <w:r>
              <w:rPr>
                <w:rFonts w:hint="default" w:ascii="Times New Roman" w:hAnsi="Times New Roman" w:cs="Times New Roman" w:eastAsiaTheme="minorEastAsia"/>
                <w:color w:val="auto"/>
                <w:sz w:val="24"/>
                <w:szCs w:val="24"/>
                <w:highlight w:val="none"/>
              </w:rPr>
              <w:sym w:font="Wingdings 2" w:char="00A3"/>
            </w:r>
            <w:r>
              <w:rPr>
                <w:rFonts w:hint="default" w:ascii="Times New Roman" w:hAnsi="Times New Roman" w:cs="Times New Roman"/>
                <w:color w:val="auto"/>
                <w:sz w:val="24"/>
                <w:szCs w:val="24"/>
                <w:highlight w:val="none"/>
              </w:rPr>
              <w:t>是：</w:t>
            </w:r>
            <w:r>
              <w:rPr>
                <w:rFonts w:hint="default" w:ascii="Times New Roman" w:hAnsi="Times New Roman" w:cs="Times New Roman"/>
                <w:color w:val="auto"/>
                <w:sz w:val="24"/>
                <w:szCs w:val="24"/>
                <w:highlight w:val="none"/>
                <w:u w:val="single"/>
              </w:rPr>
              <w:t xml:space="preserve">          </w:t>
            </w:r>
          </w:p>
        </w:tc>
        <w:tc>
          <w:tcPr>
            <w:tcW w:w="1574" w:type="dxa"/>
            <w:vAlign w:val="center"/>
          </w:tcPr>
          <w:p w14:paraId="6412C9D4">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用地面积（m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p>
        </w:tc>
        <w:tc>
          <w:tcPr>
            <w:tcW w:w="3800" w:type="dxa"/>
            <w:vAlign w:val="center"/>
          </w:tcPr>
          <w:p w14:paraId="3106DB1B">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4811.23</w:t>
            </w:r>
          </w:p>
        </w:tc>
      </w:tr>
      <w:tr w14:paraId="69AD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93" w:type="dxa"/>
            <w:vAlign w:val="center"/>
          </w:tcPr>
          <w:p w14:paraId="16818532">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专项评价设置情况</w:t>
            </w:r>
          </w:p>
        </w:tc>
        <w:tc>
          <w:tcPr>
            <w:tcW w:w="8377" w:type="dxa"/>
            <w:gridSpan w:val="3"/>
            <w:vAlign w:val="center"/>
          </w:tcPr>
          <w:p w14:paraId="6C70CD54">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根据《建设项目环境影响报告表编制技术指南（污染影响类）（试行）》，本项目不需设置专项评价，对照情况见下表。</w:t>
            </w:r>
          </w:p>
          <w:p w14:paraId="3D975E48">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表1-1 本项目专项评价设置情况汇总表</w:t>
            </w:r>
          </w:p>
          <w:tbl>
            <w:tblPr>
              <w:tblStyle w:val="30"/>
              <w:tblW w:w="82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66"/>
              <w:gridCol w:w="4220"/>
              <w:gridCol w:w="2236"/>
              <w:gridCol w:w="861"/>
            </w:tblGrid>
            <w:tr w14:paraId="11733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66" w:type="dxa"/>
                  <w:tcBorders>
                    <w:tl2br w:val="nil"/>
                    <w:tr2bl w:val="nil"/>
                  </w:tcBorders>
                  <w:vAlign w:val="center"/>
                </w:tcPr>
                <w:p w14:paraId="05C17A9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专项评价的类别</w:t>
                  </w:r>
                </w:p>
              </w:tc>
              <w:tc>
                <w:tcPr>
                  <w:tcW w:w="4220" w:type="dxa"/>
                  <w:tcBorders>
                    <w:tl2br w:val="nil"/>
                    <w:tr2bl w:val="nil"/>
                  </w:tcBorders>
                  <w:vAlign w:val="center"/>
                </w:tcPr>
                <w:p w14:paraId="176A64E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设置原则</w:t>
                  </w:r>
                </w:p>
              </w:tc>
              <w:tc>
                <w:tcPr>
                  <w:tcW w:w="2236" w:type="dxa"/>
                  <w:tcBorders>
                    <w:tl2br w:val="nil"/>
                    <w:tr2bl w:val="nil"/>
                  </w:tcBorders>
                  <w:vAlign w:val="center"/>
                </w:tcPr>
                <w:p w14:paraId="179E7B3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861" w:type="dxa"/>
                  <w:tcBorders>
                    <w:tl2br w:val="nil"/>
                    <w:tr2bl w:val="nil"/>
                  </w:tcBorders>
                  <w:vAlign w:val="center"/>
                </w:tcPr>
                <w:p w14:paraId="5BEAA75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是否设置专题</w:t>
                  </w:r>
                </w:p>
              </w:tc>
            </w:tr>
            <w:tr w14:paraId="01CF12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66" w:type="dxa"/>
                  <w:tcBorders>
                    <w:tl2br w:val="nil"/>
                    <w:tr2bl w:val="nil"/>
                  </w:tcBorders>
                  <w:vAlign w:val="center"/>
                </w:tcPr>
                <w:p w14:paraId="4ACFEA9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大气</w:t>
                  </w:r>
                </w:p>
              </w:tc>
              <w:tc>
                <w:tcPr>
                  <w:tcW w:w="4220" w:type="dxa"/>
                  <w:tcBorders>
                    <w:tl2br w:val="nil"/>
                    <w:tr2bl w:val="nil"/>
                  </w:tcBorders>
                  <w:vAlign w:val="center"/>
                </w:tcPr>
                <w:p w14:paraId="11BC66B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排放废气含有毒有害污染物</w:t>
                  </w:r>
                  <w:r>
                    <w:rPr>
                      <w:rFonts w:hint="default" w:ascii="Times New Roman" w:hAnsi="Times New Roman" w:cs="Times New Roman"/>
                      <w:color w:val="auto"/>
                      <w:szCs w:val="21"/>
                      <w:vertAlign w:val="superscript"/>
                    </w:rPr>
                    <w:t>①</w:t>
                  </w:r>
                  <w:r>
                    <w:rPr>
                      <w:rFonts w:hint="default" w:ascii="Times New Roman" w:hAnsi="Times New Roman" w:cs="Times New Roman"/>
                      <w:color w:val="auto"/>
                      <w:szCs w:val="21"/>
                    </w:rPr>
                    <w:t>、二噁英、苯并</w:t>
                  </w:r>
                  <w:r>
                    <w:rPr>
                      <w:rFonts w:hint="default" w:ascii="Times New Roman" w:hAnsi="Times New Roman" w:cs="Times New Roman"/>
                      <w:color w:val="auto"/>
                      <w:szCs w:val="21"/>
                      <w:vertAlign w:val="superscript"/>
                    </w:rPr>
                    <w:t>[a]</w:t>
                  </w:r>
                  <w:r>
                    <w:rPr>
                      <w:rFonts w:hint="default" w:ascii="Times New Roman" w:hAnsi="Times New Roman" w:cs="Times New Roman"/>
                      <w:color w:val="auto"/>
                      <w:szCs w:val="21"/>
                    </w:rPr>
                    <w:t>芘、氰化物、氯气且厂界外500米范围内有环境空气保护目标</w:t>
                  </w:r>
                  <w:r>
                    <w:rPr>
                      <w:rFonts w:hint="default" w:ascii="Times New Roman" w:hAnsi="Times New Roman" w:cs="Times New Roman"/>
                      <w:color w:val="auto"/>
                      <w:szCs w:val="21"/>
                      <w:vertAlign w:val="superscript"/>
                    </w:rPr>
                    <w:t>②</w:t>
                  </w:r>
                  <w:r>
                    <w:rPr>
                      <w:rFonts w:hint="default" w:ascii="Times New Roman" w:hAnsi="Times New Roman" w:cs="Times New Roman"/>
                      <w:color w:val="auto"/>
                      <w:szCs w:val="21"/>
                    </w:rPr>
                    <w:t>的建设项目</w:t>
                  </w:r>
                </w:p>
              </w:tc>
              <w:tc>
                <w:tcPr>
                  <w:tcW w:w="2236" w:type="dxa"/>
                  <w:tcBorders>
                    <w:tl2br w:val="nil"/>
                    <w:tr2bl w:val="nil"/>
                  </w:tcBorders>
                  <w:vAlign w:val="center"/>
                </w:tcPr>
                <w:p w14:paraId="5075C1A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本项目排放的废气中涉及苯并[a]芘，根据外环境调查，本项目厂界外500范围内有</w:t>
                  </w:r>
                  <w:r>
                    <w:rPr>
                      <w:rFonts w:hint="default" w:ascii="Times New Roman" w:hAnsi="Times New Roman" w:cs="Times New Roman"/>
                      <w:color w:val="auto"/>
                      <w:szCs w:val="21"/>
                      <w:lang w:val="en-US" w:eastAsia="zh-CN"/>
                    </w:rPr>
                    <w:t>环境空气保护目标</w:t>
                  </w:r>
                  <w:r>
                    <w:rPr>
                      <w:rFonts w:hint="default" w:ascii="Times New Roman" w:hAnsi="Times New Roman" w:cs="Times New Roman"/>
                      <w:color w:val="auto"/>
                      <w:szCs w:val="21"/>
                    </w:rPr>
                    <w:t>。</w:t>
                  </w:r>
                </w:p>
              </w:tc>
              <w:tc>
                <w:tcPr>
                  <w:tcW w:w="861" w:type="dxa"/>
                  <w:tcBorders>
                    <w:tl2br w:val="nil"/>
                    <w:tr2bl w:val="nil"/>
                  </w:tcBorders>
                  <w:vAlign w:val="center"/>
                </w:tcPr>
                <w:p w14:paraId="6EC26EC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是</w:t>
                  </w:r>
                </w:p>
              </w:tc>
            </w:tr>
            <w:tr w14:paraId="11BAC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66" w:type="dxa"/>
                  <w:tcBorders>
                    <w:tl2br w:val="nil"/>
                    <w:tr2bl w:val="nil"/>
                  </w:tcBorders>
                  <w:vAlign w:val="center"/>
                </w:tcPr>
                <w:p w14:paraId="51F65C7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地表水</w:t>
                  </w:r>
                </w:p>
              </w:tc>
              <w:tc>
                <w:tcPr>
                  <w:tcW w:w="4220" w:type="dxa"/>
                  <w:tcBorders>
                    <w:tl2br w:val="nil"/>
                    <w:tr2bl w:val="nil"/>
                  </w:tcBorders>
                  <w:vAlign w:val="center"/>
                </w:tcPr>
                <w:p w14:paraId="5FAE99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新增工业废水直排建设项目（槽罐车外送污水处理厂的除外）；新增废水直排的污水集中处理厂</w:t>
                  </w:r>
                </w:p>
              </w:tc>
              <w:tc>
                <w:tcPr>
                  <w:tcW w:w="2236" w:type="dxa"/>
                  <w:tcBorders>
                    <w:tl2br w:val="nil"/>
                    <w:tr2bl w:val="nil"/>
                  </w:tcBorders>
                  <w:vAlign w:val="center"/>
                </w:tcPr>
                <w:p w14:paraId="1E1B009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本项目无工业废水排放，冲洗废水收集后循环使用；生活污水</w:t>
                  </w:r>
                  <w:r>
                    <w:rPr>
                      <w:rFonts w:hint="default" w:ascii="Times New Roman" w:hAnsi="Times New Roman" w:eastAsia="宋体" w:cs="Times New Roman"/>
                      <w:color w:val="auto"/>
                      <w:spacing w:val="-1"/>
                      <w:szCs w:val="21"/>
                      <w:lang w:val="en-US" w:eastAsia="zh-CN"/>
                    </w:rPr>
                    <w:t>经化粪池处理后用于农肥</w:t>
                  </w:r>
                  <w:r>
                    <w:rPr>
                      <w:rFonts w:hint="default" w:ascii="Times New Roman" w:hAnsi="Times New Roman" w:cs="Times New Roman"/>
                      <w:color w:val="auto"/>
                      <w:szCs w:val="21"/>
                      <w:lang w:val="en-US" w:eastAsia="zh-CN"/>
                    </w:rPr>
                    <w:t>。</w:t>
                  </w:r>
                </w:p>
              </w:tc>
              <w:tc>
                <w:tcPr>
                  <w:tcW w:w="861" w:type="dxa"/>
                  <w:tcBorders>
                    <w:tl2br w:val="nil"/>
                    <w:tr2bl w:val="nil"/>
                  </w:tcBorders>
                  <w:vAlign w:val="center"/>
                </w:tcPr>
                <w:p w14:paraId="508006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否</w:t>
                  </w:r>
                </w:p>
              </w:tc>
            </w:tr>
            <w:tr w14:paraId="347B3C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66" w:type="dxa"/>
                  <w:tcBorders>
                    <w:tl2br w:val="nil"/>
                    <w:tr2bl w:val="nil"/>
                  </w:tcBorders>
                  <w:vAlign w:val="center"/>
                </w:tcPr>
                <w:p w14:paraId="25B6C96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环境风险</w:t>
                  </w:r>
                </w:p>
              </w:tc>
              <w:tc>
                <w:tcPr>
                  <w:tcW w:w="4220" w:type="dxa"/>
                  <w:tcBorders>
                    <w:tl2br w:val="nil"/>
                    <w:tr2bl w:val="nil"/>
                  </w:tcBorders>
                  <w:vAlign w:val="center"/>
                </w:tcPr>
                <w:p w14:paraId="77B556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有毒有害和易燃易爆危险物质存储量超过临界量</w:t>
                  </w:r>
                  <w:r>
                    <w:rPr>
                      <w:rFonts w:hint="default" w:ascii="Times New Roman" w:hAnsi="Times New Roman" w:cs="Times New Roman"/>
                      <w:color w:val="auto"/>
                      <w:szCs w:val="21"/>
                      <w:vertAlign w:val="superscript"/>
                    </w:rPr>
                    <w:t>③</w:t>
                  </w:r>
                  <w:r>
                    <w:rPr>
                      <w:rFonts w:hint="default" w:ascii="Times New Roman" w:hAnsi="Times New Roman" w:cs="Times New Roman"/>
                      <w:color w:val="auto"/>
                      <w:szCs w:val="21"/>
                    </w:rPr>
                    <w:t>的建设项目</w:t>
                  </w:r>
                </w:p>
              </w:tc>
              <w:tc>
                <w:tcPr>
                  <w:tcW w:w="2236" w:type="dxa"/>
                  <w:tcBorders>
                    <w:tl2br w:val="nil"/>
                    <w:tr2bl w:val="nil"/>
                  </w:tcBorders>
                  <w:vAlign w:val="center"/>
                </w:tcPr>
                <w:p w14:paraId="412DA1C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本项目涉及的危险物质主要为导热油、</w:t>
                  </w:r>
                  <w:r>
                    <w:rPr>
                      <w:rFonts w:hint="default" w:ascii="Times New Roman" w:hAnsi="Times New Roman" w:cs="Times New Roman"/>
                      <w:color w:val="auto"/>
                      <w:kern w:val="0"/>
                      <w:szCs w:val="21"/>
                      <w:lang w:val="en-US" w:eastAsia="zh-CN" w:bidi="ar"/>
                    </w:rPr>
                    <w:t>轻质燃油及</w:t>
                  </w:r>
                  <w:r>
                    <w:rPr>
                      <w:rFonts w:hint="default" w:ascii="Times New Roman" w:hAnsi="Times New Roman" w:cs="Times New Roman"/>
                      <w:color w:val="auto"/>
                      <w:szCs w:val="21"/>
                      <w:lang w:val="en-US" w:eastAsia="zh-CN"/>
                    </w:rPr>
                    <w:t>废机油，但存储量未超过临界值。</w:t>
                  </w:r>
                </w:p>
              </w:tc>
              <w:tc>
                <w:tcPr>
                  <w:tcW w:w="861" w:type="dxa"/>
                  <w:tcBorders>
                    <w:tl2br w:val="nil"/>
                    <w:tr2bl w:val="nil"/>
                  </w:tcBorders>
                  <w:vAlign w:val="center"/>
                </w:tcPr>
                <w:p w14:paraId="473583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否</w:t>
                  </w:r>
                </w:p>
              </w:tc>
            </w:tr>
            <w:tr w14:paraId="3C8E7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66" w:type="dxa"/>
                  <w:tcBorders>
                    <w:tl2br w:val="nil"/>
                    <w:tr2bl w:val="nil"/>
                  </w:tcBorders>
                  <w:vAlign w:val="center"/>
                </w:tcPr>
                <w:p w14:paraId="7282E1F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生态</w:t>
                  </w:r>
                </w:p>
              </w:tc>
              <w:tc>
                <w:tcPr>
                  <w:tcW w:w="4220" w:type="dxa"/>
                  <w:tcBorders>
                    <w:tl2br w:val="nil"/>
                    <w:tr2bl w:val="nil"/>
                  </w:tcBorders>
                  <w:vAlign w:val="center"/>
                </w:tcPr>
                <w:p w14:paraId="195CE65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取水口下游500米范围内有重要水生生物的自然产卵场、索饵场、越冬场和洄游通道的新增河道取水的污染类建设项目</w:t>
                  </w:r>
                </w:p>
              </w:tc>
              <w:tc>
                <w:tcPr>
                  <w:tcW w:w="2236" w:type="dxa"/>
                  <w:tcBorders>
                    <w:tl2br w:val="nil"/>
                    <w:tr2bl w:val="nil"/>
                  </w:tcBorders>
                  <w:vAlign w:val="center"/>
                </w:tcPr>
                <w:p w14:paraId="123691D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本项目不涉及取水口。</w:t>
                  </w:r>
                </w:p>
              </w:tc>
              <w:tc>
                <w:tcPr>
                  <w:tcW w:w="861" w:type="dxa"/>
                  <w:tcBorders>
                    <w:tl2br w:val="nil"/>
                    <w:tr2bl w:val="nil"/>
                  </w:tcBorders>
                  <w:vAlign w:val="center"/>
                </w:tcPr>
                <w:p w14:paraId="3AB6F8E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否</w:t>
                  </w:r>
                </w:p>
              </w:tc>
            </w:tr>
            <w:tr w14:paraId="7930D2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66" w:type="dxa"/>
                  <w:tcBorders>
                    <w:tl2br w:val="nil"/>
                    <w:tr2bl w:val="nil"/>
                  </w:tcBorders>
                  <w:vAlign w:val="center"/>
                </w:tcPr>
                <w:p w14:paraId="17F1A2E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海洋</w:t>
                  </w:r>
                </w:p>
              </w:tc>
              <w:tc>
                <w:tcPr>
                  <w:tcW w:w="4220" w:type="dxa"/>
                  <w:tcBorders>
                    <w:tl2br w:val="nil"/>
                    <w:tr2bl w:val="nil"/>
                  </w:tcBorders>
                  <w:vAlign w:val="center"/>
                </w:tcPr>
                <w:p w14:paraId="52F1167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直接向海排放污染物的海洋工程建设项目</w:t>
                  </w:r>
                </w:p>
              </w:tc>
              <w:tc>
                <w:tcPr>
                  <w:tcW w:w="2236" w:type="dxa"/>
                  <w:tcBorders>
                    <w:tl2br w:val="nil"/>
                    <w:tr2bl w:val="nil"/>
                  </w:tcBorders>
                  <w:vAlign w:val="center"/>
                </w:tcPr>
                <w:p w14:paraId="6736DAA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本项目不属于海洋</w:t>
                  </w:r>
                  <w:r>
                    <w:rPr>
                      <w:rFonts w:hint="default" w:ascii="Times New Roman" w:hAnsi="Times New Roman" w:cs="Times New Roman"/>
                      <w:color w:val="auto"/>
                      <w:szCs w:val="21"/>
                      <w:lang w:val="en-US" w:eastAsia="zh-CN"/>
                    </w:rPr>
                    <w:t>工程建设项目。</w:t>
                  </w:r>
                </w:p>
              </w:tc>
              <w:tc>
                <w:tcPr>
                  <w:tcW w:w="861" w:type="dxa"/>
                  <w:tcBorders>
                    <w:tl2br w:val="nil"/>
                    <w:tr2bl w:val="nil"/>
                  </w:tcBorders>
                  <w:vAlign w:val="center"/>
                </w:tcPr>
                <w:p w14:paraId="0B34732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否</w:t>
                  </w:r>
                </w:p>
              </w:tc>
            </w:tr>
            <w:tr w14:paraId="2780E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66" w:type="dxa"/>
                  <w:tcBorders>
                    <w:tl2br w:val="nil"/>
                    <w:tr2bl w:val="nil"/>
                  </w:tcBorders>
                  <w:vAlign w:val="center"/>
                </w:tcPr>
                <w:p w14:paraId="381E6D2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地下水</w:t>
                  </w:r>
                </w:p>
              </w:tc>
              <w:tc>
                <w:tcPr>
                  <w:tcW w:w="4220" w:type="dxa"/>
                  <w:tcBorders>
                    <w:tl2br w:val="nil"/>
                    <w:tr2bl w:val="nil"/>
                  </w:tcBorders>
                  <w:vAlign w:val="center"/>
                </w:tcPr>
                <w:p w14:paraId="3E45E2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涉及集中式饮用水水源和热水、矿泉水、温泉等特殊地下水资源保护区</w:t>
                  </w:r>
                </w:p>
              </w:tc>
              <w:tc>
                <w:tcPr>
                  <w:tcW w:w="2236" w:type="dxa"/>
                  <w:tcBorders>
                    <w:tl2br w:val="nil"/>
                    <w:tr2bl w:val="nil"/>
                  </w:tcBorders>
                  <w:vAlign w:val="center"/>
                </w:tcPr>
                <w:p w14:paraId="0D7C999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本项目不涉及集中式饮用水水源和热水、矿泉水、温泉等特殊地下水资源保护区。</w:t>
                  </w:r>
                </w:p>
              </w:tc>
              <w:tc>
                <w:tcPr>
                  <w:tcW w:w="861" w:type="dxa"/>
                  <w:tcBorders>
                    <w:tl2br w:val="nil"/>
                    <w:tr2bl w:val="nil"/>
                  </w:tcBorders>
                  <w:vAlign w:val="center"/>
                </w:tcPr>
                <w:p w14:paraId="638B840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否</w:t>
                  </w:r>
                </w:p>
              </w:tc>
            </w:tr>
            <w:tr w14:paraId="43EE9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283" w:type="dxa"/>
                  <w:gridSpan w:val="4"/>
                  <w:tcBorders>
                    <w:tl2br w:val="nil"/>
                    <w:tr2bl w:val="nil"/>
                  </w:tcBorders>
                  <w:vAlign w:val="center"/>
                </w:tcPr>
                <w:p w14:paraId="507034E9">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cs="Times New Roman"/>
                      <w:color w:val="auto"/>
                      <w:szCs w:val="21"/>
                    </w:rPr>
                  </w:pPr>
                  <w:r>
                    <w:rPr>
                      <w:rFonts w:hint="default" w:ascii="Times New Roman" w:hAnsi="Times New Roman" w:cs="Times New Roman"/>
                      <w:color w:val="auto"/>
                      <w:sz w:val="18"/>
                      <w:szCs w:val="18"/>
                    </w:rPr>
                    <w:t>注：①废气中有毒有害污染物指纳入《有毒有害大气污染物名录》的污染物（不包括无排放标准的污染物）。②环境空气保护目标指自然保护区、风景名胜区、居住区、文化区和农村地区中人群较集中的区域。</w:t>
                  </w:r>
                  <w:r>
                    <w:rPr>
                      <w:rFonts w:hint="default" w:ascii="Times New Roman" w:hAnsi="Times New Roman" w:cs="Times New Roman"/>
                      <w:color w:val="auto"/>
                      <w:szCs w:val="21"/>
                    </w:rPr>
                    <w:t>③</w:t>
                  </w:r>
                  <w:r>
                    <w:rPr>
                      <w:rFonts w:hint="default" w:ascii="Times New Roman" w:hAnsi="Times New Roman" w:cs="Times New Roman"/>
                      <w:color w:val="auto"/>
                      <w:sz w:val="18"/>
                      <w:szCs w:val="18"/>
                    </w:rPr>
                    <w:t>临界量及其计算方法可参考《建设项目环境风险评价技术导则》（HJ169）附录B、附录</w:t>
                  </w:r>
                  <w:r>
                    <w:rPr>
                      <w:rFonts w:hint="default" w:ascii="Times New Roman" w:hAnsi="Times New Roman" w:cs="Times New Roman"/>
                      <w:color w:val="auto"/>
                      <w:szCs w:val="21"/>
                    </w:rPr>
                    <w:t>C。</w:t>
                  </w:r>
                </w:p>
              </w:tc>
            </w:tr>
          </w:tbl>
          <w:p w14:paraId="01CD82F8">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故由上表可知，本项目</w:t>
            </w:r>
            <w:r>
              <w:rPr>
                <w:rFonts w:hint="default" w:ascii="Times New Roman" w:hAnsi="Times New Roman" w:cs="Times New Roman"/>
                <w:color w:val="auto"/>
                <w:sz w:val="24"/>
                <w:szCs w:val="24"/>
                <w:lang w:val="en-US" w:eastAsia="zh-CN"/>
              </w:rPr>
              <w:t>需开展大气专</w:t>
            </w:r>
            <w:r>
              <w:rPr>
                <w:rFonts w:hint="default" w:ascii="Times New Roman" w:hAnsi="Times New Roman" w:cs="Times New Roman"/>
                <w:color w:val="auto"/>
                <w:sz w:val="24"/>
                <w:szCs w:val="24"/>
              </w:rPr>
              <w:t>项评价</w:t>
            </w:r>
            <w:r>
              <w:rPr>
                <w:rFonts w:hint="default" w:ascii="Times New Roman" w:hAnsi="Times New Roman" w:cs="Times New Roman"/>
                <w:color w:val="auto"/>
                <w:sz w:val="24"/>
                <w:szCs w:val="24"/>
                <w:lang w:val="en-US" w:eastAsia="zh-CN"/>
              </w:rPr>
              <w:t>工作</w:t>
            </w:r>
            <w:r>
              <w:rPr>
                <w:rFonts w:hint="default" w:ascii="Times New Roman" w:hAnsi="Times New Roman" w:cs="Times New Roman"/>
                <w:color w:val="auto"/>
                <w:sz w:val="24"/>
                <w:szCs w:val="24"/>
              </w:rPr>
              <w:t>。</w:t>
            </w:r>
          </w:p>
        </w:tc>
      </w:tr>
      <w:tr w14:paraId="39B5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93" w:type="dxa"/>
            <w:vAlign w:val="center"/>
          </w:tcPr>
          <w:p w14:paraId="0B627477">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规划情况</w:t>
            </w:r>
          </w:p>
        </w:tc>
        <w:tc>
          <w:tcPr>
            <w:tcW w:w="8377" w:type="dxa"/>
            <w:gridSpan w:val="3"/>
            <w:vAlign w:val="center"/>
          </w:tcPr>
          <w:p w14:paraId="52A8B67C">
            <w:pPr>
              <w:spacing w:line="360" w:lineRule="auto"/>
              <w:ind w:firstLine="480" w:firstLineChars="20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lang w:eastAsia="zh-CN"/>
              </w:rPr>
              <w:t>无</w:t>
            </w:r>
          </w:p>
        </w:tc>
      </w:tr>
      <w:tr w14:paraId="3F51C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3" w:type="dxa"/>
            <w:shd w:val="clear" w:color="auto" w:fill="auto"/>
            <w:vAlign w:val="center"/>
          </w:tcPr>
          <w:p w14:paraId="076B7F8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规划环境影响评价情况</w:t>
            </w:r>
          </w:p>
        </w:tc>
        <w:tc>
          <w:tcPr>
            <w:tcW w:w="8377" w:type="dxa"/>
            <w:gridSpan w:val="3"/>
            <w:shd w:val="clear" w:color="auto" w:fill="auto"/>
            <w:vAlign w:val="center"/>
          </w:tcPr>
          <w:p w14:paraId="76E181D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无</w:t>
            </w:r>
          </w:p>
        </w:tc>
      </w:tr>
      <w:tr w14:paraId="6BDF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193" w:type="dxa"/>
            <w:shd w:val="clear" w:color="auto" w:fill="auto"/>
            <w:vAlign w:val="center"/>
          </w:tcPr>
          <w:p w14:paraId="4F46592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规划及规划环境影响评价符合性分析</w:t>
            </w:r>
          </w:p>
        </w:tc>
        <w:tc>
          <w:tcPr>
            <w:tcW w:w="8377" w:type="dxa"/>
            <w:gridSpan w:val="3"/>
            <w:shd w:val="clear" w:color="auto" w:fill="auto"/>
            <w:vAlign w:val="center"/>
          </w:tcPr>
          <w:p w14:paraId="384FDD8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无</w:t>
            </w:r>
          </w:p>
        </w:tc>
      </w:tr>
      <w:tr w14:paraId="6A7E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3" w:type="dxa"/>
            <w:shd w:val="clear" w:color="auto" w:fill="auto"/>
            <w:vAlign w:val="center"/>
          </w:tcPr>
          <w:p w14:paraId="29BA3DE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其他符合性分析</w:t>
            </w:r>
          </w:p>
        </w:tc>
        <w:tc>
          <w:tcPr>
            <w:tcW w:w="8377" w:type="dxa"/>
            <w:gridSpan w:val="3"/>
            <w:shd w:val="clear" w:color="auto" w:fill="auto"/>
            <w:vAlign w:val="center"/>
          </w:tcPr>
          <w:p w14:paraId="15FC5251">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1、产业政策的符合性分析</w:t>
            </w:r>
          </w:p>
          <w:p w14:paraId="01FA18F1">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val="en-US" w:eastAsia="zh-CN"/>
              </w:rPr>
              <w:t>为沥青搅拌站项目，不属于</w:t>
            </w:r>
            <w:r>
              <w:rPr>
                <w:rFonts w:hint="default" w:ascii="Times New Roman" w:hAnsi="Times New Roman" w:cs="Times New Roman"/>
                <w:color w:val="auto"/>
                <w:sz w:val="24"/>
                <w:szCs w:val="24"/>
              </w:rPr>
              <w:t>《产业结构调整指导目录（2024年本）》</w:t>
            </w:r>
            <w:r>
              <w:rPr>
                <w:rFonts w:hint="default" w:ascii="Times New Roman" w:hAnsi="Times New Roman" w:cs="Times New Roman"/>
                <w:color w:val="auto"/>
                <w:sz w:val="24"/>
                <w:szCs w:val="24"/>
                <w:lang w:val="en-US" w:eastAsia="zh-CN"/>
              </w:rPr>
              <w:t>中的</w:t>
            </w:r>
            <w:r>
              <w:rPr>
                <w:rFonts w:hint="default" w:ascii="Times New Roman" w:hAnsi="Times New Roman" w:cs="Times New Roman"/>
                <w:color w:val="auto"/>
                <w:sz w:val="24"/>
                <w:szCs w:val="24"/>
              </w:rPr>
              <w:t>鼓励类、限制类以及淘汰类项目，根据《促进产业结构调整暂行规定》（国发〔2005〕40号），</w:t>
            </w:r>
            <w:r>
              <w:rPr>
                <w:rFonts w:hint="default" w:ascii="Times New Roman" w:hAnsi="Times New Roman" w:cs="Times New Roman"/>
                <w:color w:val="auto"/>
                <w:sz w:val="24"/>
                <w:szCs w:val="24"/>
                <w:lang w:val="en-US" w:eastAsia="zh-CN"/>
              </w:rPr>
              <w:t>该项目属于允许类建设项目。同时，项目在生产过程中也不使用国家明令禁止的淘汰类和限制类设备及工艺。建设单位已取得本项目的《四川省固定资产投资项目备案表》（备案号：</w:t>
            </w:r>
            <w:r>
              <w:rPr>
                <w:rFonts w:hint="default" w:ascii="Times New Roman" w:hAnsi="Times New Roman" w:cs="Times New Roman"/>
                <w:color w:val="auto"/>
                <w:sz w:val="24"/>
                <w:szCs w:val="24"/>
              </w:rPr>
              <w:t>川投资备【2</w:t>
            </w:r>
            <w:r>
              <w:rPr>
                <w:rFonts w:hint="default" w:ascii="Times New Roman" w:hAnsi="Times New Roman" w:cs="Times New Roman"/>
                <w:color w:val="auto"/>
                <w:sz w:val="24"/>
                <w:szCs w:val="24"/>
                <w:lang w:val="en-US" w:eastAsia="zh-CN"/>
              </w:rPr>
              <w:t>2504-511722-04-01-456740</w:t>
            </w:r>
            <w:r>
              <w:rPr>
                <w:rFonts w:hint="default" w:ascii="Times New Roman" w:hAnsi="Times New Roman" w:cs="Times New Roman"/>
                <w:color w:val="auto"/>
                <w:sz w:val="24"/>
                <w:szCs w:val="24"/>
              </w:rPr>
              <w:t>】FGQB-</w:t>
            </w:r>
            <w:r>
              <w:rPr>
                <w:rFonts w:hint="default" w:ascii="Times New Roman" w:hAnsi="Times New Roman" w:cs="Times New Roman"/>
                <w:color w:val="auto"/>
                <w:sz w:val="24"/>
                <w:szCs w:val="24"/>
                <w:lang w:val="en-US" w:eastAsia="zh-CN"/>
              </w:rPr>
              <w:t>0209</w:t>
            </w:r>
            <w:r>
              <w:rPr>
                <w:rFonts w:hint="default" w:ascii="Times New Roman" w:hAnsi="Times New Roman" w:cs="Times New Roman"/>
                <w:color w:val="auto"/>
                <w:sz w:val="24"/>
                <w:szCs w:val="24"/>
              </w:rPr>
              <w:t>号</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同意本项目的建设。</w:t>
            </w:r>
          </w:p>
          <w:p w14:paraId="74FF0A21">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因此，本项目</w:t>
            </w:r>
            <w:r>
              <w:rPr>
                <w:rFonts w:hint="default" w:ascii="Times New Roman" w:hAnsi="Times New Roman" w:cs="Times New Roman"/>
                <w:color w:val="auto"/>
                <w:sz w:val="24"/>
                <w:szCs w:val="24"/>
              </w:rPr>
              <w:t>符合国家现行产业政策。</w:t>
            </w:r>
          </w:p>
          <w:p w14:paraId="3E20921D">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w:t>
            </w:r>
            <w:r>
              <w:rPr>
                <w:rFonts w:hint="default" w:ascii="Times New Roman" w:hAnsi="Times New Roman" w:cs="Times New Roman"/>
                <w:b/>
                <w:bCs/>
                <w:color w:val="auto"/>
                <w:sz w:val="24"/>
                <w:szCs w:val="24"/>
                <w:lang w:val="en-US" w:eastAsia="zh-CN"/>
              </w:rPr>
              <w:t>土地利用</w:t>
            </w:r>
            <w:r>
              <w:rPr>
                <w:rFonts w:hint="default" w:ascii="Times New Roman" w:hAnsi="Times New Roman" w:cs="Times New Roman"/>
                <w:b/>
                <w:bCs/>
                <w:color w:val="auto"/>
                <w:sz w:val="24"/>
                <w:szCs w:val="24"/>
              </w:rPr>
              <w:t>符合性分析</w:t>
            </w:r>
          </w:p>
          <w:p w14:paraId="1304A510">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本项目位于</w:t>
            </w:r>
            <w:r>
              <w:rPr>
                <w:rFonts w:hint="default" w:ascii="Times New Roman" w:hAnsi="Times New Roman" w:cs="Times New Roman"/>
                <w:color w:val="auto"/>
                <w:sz w:val="24"/>
                <w:szCs w:val="24"/>
                <w:lang w:val="en-US" w:eastAsia="zh-CN"/>
              </w:rPr>
              <w:t>达州市宣汉县天生镇峨城社区4组，该区域原为大路监狱3大队生活广场，2006年监狱撤走后一直闲置至今。根据宣汉县自然资源局2022年3月3日颁发给宣汉发展投资集团有限公司</w:t>
            </w:r>
            <w:r>
              <w:rPr>
                <w:rFonts w:hint="default" w:ascii="Times New Roman" w:hAnsi="Times New Roman" w:eastAsia="宋体" w:cs="Times New Roman"/>
                <w:color w:val="auto"/>
                <w:sz w:val="24"/>
                <w:szCs w:val="24"/>
                <w:lang w:val="en-US" w:eastAsia="zh-CN"/>
              </w:rPr>
              <w:t>的《不动产权证书》（川〔2022〕宣汉县不动产权第0002234号）可知，该区域土地类型为国有建设用地</w:t>
            </w:r>
            <w:r>
              <w:rPr>
                <w:rFonts w:hint="default" w:ascii="Times New Roman" w:hAnsi="Times New Roman" w:cs="Times New Roman"/>
                <w:color w:val="auto"/>
                <w:sz w:val="24"/>
                <w:szCs w:val="24"/>
                <w:lang w:val="en-US" w:eastAsia="zh-CN"/>
              </w:rPr>
              <w:t>，用途为工业用地</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kern w:val="0"/>
                <w:sz w:val="24"/>
                <w:szCs w:val="24"/>
                <w:lang w:val="en-US" w:eastAsia="zh-CN" w:bidi="ar"/>
              </w:rPr>
              <w:t>本着</w:t>
            </w:r>
            <w:r>
              <w:rPr>
                <w:rFonts w:hint="default" w:ascii="Times New Roman" w:hAnsi="Times New Roman" w:eastAsia="宋体" w:cs="Times New Roman"/>
                <w:color w:val="auto"/>
                <w:sz w:val="24"/>
                <w:szCs w:val="24"/>
                <w:lang w:val="en-US" w:eastAsia="zh-CN"/>
              </w:rPr>
              <w:t>盘活闲置国有建设用地资源，促进土地节约集约利用</w:t>
            </w:r>
            <w:r>
              <w:rPr>
                <w:rFonts w:hint="default" w:ascii="Times New Roman" w:hAnsi="Times New Roman" w:cs="Times New Roman"/>
                <w:color w:val="auto"/>
                <w:sz w:val="24"/>
                <w:szCs w:val="24"/>
                <w:lang w:val="en-US" w:eastAsia="zh-CN"/>
              </w:rPr>
              <w:t>原则</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highlight w:val="none"/>
                <w:lang w:val="en-US" w:eastAsia="zh-CN"/>
              </w:rPr>
              <w:t>建设单位与</w:t>
            </w:r>
            <w:r>
              <w:rPr>
                <w:rFonts w:hint="default" w:ascii="Times New Roman" w:hAnsi="Times New Roman" w:cs="Times New Roman"/>
                <w:color w:val="auto"/>
                <w:sz w:val="24"/>
                <w:szCs w:val="24"/>
                <w:highlight w:val="none"/>
                <w:lang w:val="en-US" w:eastAsia="zh-CN"/>
              </w:rPr>
              <w:t>宣汉发展投资集团有限公司签订《租赁合同》，用于</w:t>
            </w:r>
            <w:r>
              <w:rPr>
                <w:rFonts w:hint="default" w:ascii="Times New Roman" w:hAnsi="Times New Roman" w:cs="Times New Roman"/>
                <w:color w:val="auto"/>
                <w:sz w:val="24"/>
                <w:szCs w:val="24"/>
                <w:lang w:val="en-US" w:eastAsia="zh-CN"/>
              </w:rPr>
              <w:t>建设沥青混凝土搅拌站，</w:t>
            </w:r>
            <w:r>
              <w:rPr>
                <w:rFonts w:hint="default" w:ascii="Times New Roman" w:hAnsi="Times New Roman" w:cs="Times New Roman"/>
                <w:color w:val="auto"/>
                <w:sz w:val="24"/>
                <w:szCs w:val="24"/>
                <w:highlight w:val="none"/>
                <w:lang w:val="en-US" w:eastAsia="zh-CN"/>
              </w:rPr>
              <w:t>并约定若租期满后不续租需拆除设备并恢复场地。该项目</w:t>
            </w:r>
            <w:r>
              <w:rPr>
                <w:rFonts w:hint="default" w:ascii="Times New Roman" w:hAnsi="Times New Roman" w:cs="Times New Roman"/>
                <w:color w:val="auto"/>
                <w:sz w:val="24"/>
                <w:szCs w:val="24"/>
                <w:lang w:val="en-US" w:eastAsia="zh-CN"/>
              </w:rPr>
              <w:t>属于工业项目，与已批准的土地用途相符。根据宣汉县自然资源局及天生镇人民政府出具的《情况说明》，项目为工业用地，不涉及永久基本农田，不涉及生态保护红线，符合空间规划及产业布局要求，同意项目落地建设。</w:t>
            </w:r>
          </w:p>
        </w:tc>
      </w:tr>
    </w:tbl>
    <w:p w14:paraId="3A39626A">
      <w:pPr>
        <w:spacing w:line="360" w:lineRule="auto"/>
        <w:jc w:val="center"/>
        <w:rPr>
          <w:rFonts w:hint="default" w:ascii="Times New Roman" w:hAnsi="Times New Roman" w:cs="Times New Roman"/>
          <w:color w:val="auto"/>
          <w:sz w:val="24"/>
          <w:szCs w:val="24"/>
        </w:rPr>
        <w:sectPr>
          <w:footerReference r:id="rId4" w:type="default"/>
          <w:pgSz w:w="11906" w:h="16838"/>
          <w:pgMar w:top="1134" w:right="1134" w:bottom="1134"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tbl>
      <w:tblPr>
        <w:tblStyle w:val="29"/>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8791"/>
      </w:tblGrid>
      <w:tr w14:paraId="264C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5" w:hRule="atLeast"/>
          <w:jc w:val="center"/>
        </w:trPr>
        <w:tc>
          <w:tcPr>
            <w:tcW w:w="779" w:type="dxa"/>
            <w:vAlign w:val="center"/>
          </w:tcPr>
          <w:p w14:paraId="744EFE54">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其他符合性分析</w:t>
            </w:r>
          </w:p>
        </w:tc>
        <w:tc>
          <w:tcPr>
            <w:tcW w:w="8791" w:type="dxa"/>
            <w:vAlign w:val="center"/>
          </w:tcPr>
          <w:p w14:paraId="7AE06D1F">
            <w:pPr>
              <w:spacing w:line="360" w:lineRule="auto"/>
              <w:ind w:firstLine="480" w:firstLineChars="200"/>
              <w:rPr>
                <w:rFonts w:hint="default" w:ascii="Times New Roman" w:hAnsi="Times New Roman" w:cs="Times New Roman"/>
                <w:b/>
                <w:color w:val="auto"/>
                <w:sz w:val="24"/>
                <w:szCs w:val="24"/>
                <w:lang w:val="en-US" w:eastAsia="zh-CN"/>
              </w:rPr>
            </w:pPr>
            <w:r>
              <w:rPr>
                <w:rFonts w:hint="default" w:ascii="Times New Roman" w:hAnsi="Times New Roman" w:cs="Times New Roman"/>
                <w:color w:val="auto"/>
                <w:sz w:val="24"/>
                <w:szCs w:val="24"/>
                <w:lang w:val="en-US" w:eastAsia="zh-CN"/>
              </w:rPr>
              <w:t>因此，</w:t>
            </w:r>
            <w:r>
              <w:rPr>
                <w:rFonts w:hint="default" w:ascii="Times New Roman" w:hAnsi="Times New Roman" w:cs="Times New Roman"/>
                <w:color w:val="auto"/>
                <w:sz w:val="24"/>
                <w:szCs w:val="24"/>
              </w:rPr>
              <w:t>项目建设符合用地</w:t>
            </w:r>
            <w:r>
              <w:rPr>
                <w:rFonts w:hint="default" w:ascii="Times New Roman" w:hAnsi="Times New Roman" w:cs="Times New Roman"/>
                <w:color w:val="auto"/>
                <w:sz w:val="24"/>
                <w:szCs w:val="24"/>
                <w:lang w:val="en-US" w:eastAsia="zh-CN"/>
              </w:rPr>
              <w:t>性质</w:t>
            </w:r>
            <w:r>
              <w:rPr>
                <w:rFonts w:hint="default" w:ascii="Times New Roman" w:hAnsi="Times New Roman" w:cs="Times New Roman"/>
                <w:color w:val="auto"/>
                <w:sz w:val="24"/>
                <w:szCs w:val="24"/>
              </w:rPr>
              <w:t>，符合国家相关要求。</w:t>
            </w:r>
          </w:p>
          <w:p w14:paraId="4AFF0329">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3</w:t>
            </w:r>
            <w:r>
              <w:rPr>
                <w:rFonts w:hint="default" w:ascii="Times New Roman" w:hAnsi="Times New Roman" w:cs="Times New Roman"/>
                <w:b/>
                <w:color w:val="auto"/>
                <w:sz w:val="24"/>
                <w:szCs w:val="24"/>
              </w:rPr>
              <w:t>、与“</w:t>
            </w:r>
            <w:r>
              <w:rPr>
                <w:rFonts w:hint="default" w:ascii="Times New Roman" w:hAnsi="Times New Roman" w:cs="Times New Roman"/>
                <w:b/>
                <w:bCs/>
                <w:color w:val="auto"/>
                <w:sz w:val="24"/>
                <w:szCs w:val="24"/>
              </w:rPr>
              <w:t>生态环境分区管控</w:t>
            </w:r>
            <w:r>
              <w:rPr>
                <w:rFonts w:hint="default" w:ascii="Times New Roman" w:hAnsi="Times New Roman" w:cs="Times New Roman"/>
                <w:b/>
                <w:color w:val="auto"/>
                <w:sz w:val="24"/>
                <w:szCs w:val="24"/>
              </w:rPr>
              <w:t>”符合性</w:t>
            </w:r>
          </w:p>
          <w:p w14:paraId="1D39F2F3">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）与《达州市人民政府办公室关于加强生态环境分区管控的通知》（达市府办函〔2024〕31号）符合性分析</w:t>
            </w:r>
          </w:p>
          <w:p w14:paraId="30B8A62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根据《达州市人民政府办公室关于加强生态环境分区管控的通知》（达市府办函〔2024〕31号），全市行政区域从生态环境保护角度划分为优先保护、重点管控和一般管控三类环境管控单元。</w:t>
            </w:r>
          </w:p>
          <w:p w14:paraId="30F74AE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1.优先保护单元。以生态环境保护为主的区域，全市划分优先保护单元18个，主要包括生态保护红线、自然保护地、饮用水水源保护区等。</w:t>
            </w:r>
          </w:p>
          <w:p w14:paraId="47B70A84">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2.重点管控单元。涉及水、大气、土壤、自然资源等资源环境要素重点管控的区域，全市划分重点管控单元22个，主要包括人口密集的城镇规划区和产业集聚的工业园区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工业集聚区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等。</w:t>
            </w:r>
          </w:p>
          <w:p w14:paraId="4F9572F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3.一般管控单元。除优先保护单元和重点管控单元之外的其他区域，全市共划分一般管控单元7个。</w:t>
            </w:r>
          </w:p>
          <w:p w14:paraId="5F937CBA">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对照《达州市环境管控单元分布图》，本项目位于达州市</w:t>
            </w:r>
            <w:r>
              <w:rPr>
                <w:rFonts w:hint="default" w:ascii="Times New Roman" w:hAnsi="Times New Roman" w:cs="Times New Roman"/>
                <w:color w:val="auto"/>
                <w:sz w:val="24"/>
                <w:szCs w:val="24"/>
                <w:lang w:val="en-US" w:eastAsia="zh-CN"/>
              </w:rPr>
              <w:t>宣汉县一般管控</w:t>
            </w:r>
            <w:r>
              <w:rPr>
                <w:rFonts w:hint="default" w:ascii="Times New Roman" w:hAnsi="Times New Roman" w:cs="Times New Roman"/>
                <w:color w:val="auto"/>
                <w:sz w:val="24"/>
                <w:szCs w:val="24"/>
              </w:rPr>
              <w:t>单元。</w:t>
            </w:r>
          </w:p>
          <w:p w14:paraId="0FC5A24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详见下图</w:t>
            </w:r>
          </w:p>
          <w:p w14:paraId="39ECFE71">
            <w:pPr>
              <w:spacing w:line="360" w:lineRule="auto"/>
              <w:jc w:val="center"/>
              <w:rPr>
                <w:rFonts w:hint="default" w:ascii="Times New Roman" w:hAnsi="Times New Roman" w:cs="Times New Roman"/>
                <w:bCs/>
                <w:color w:val="auto"/>
                <w:sz w:val="24"/>
                <w:szCs w:val="24"/>
              </w:rPr>
            </w:pPr>
            <w:r>
              <w:rPr>
                <w:rFonts w:hint="default" w:ascii="Times New Roman" w:hAnsi="Times New Roman" w:cs="Times New Roman"/>
                <w:color w:val="auto"/>
                <w:sz w:val="24"/>
                <w:szCs w:val="24"/>
              </w:rPr>
              <mc:AlternateContent>
                <mc:Choice Requires="wps">
                  <w:drawing>
                    <wp:anchor distT="0" distB="0" distL="114300" distR="114300" simplePos="0" relativeHeight="251667456" behindDoc="0" locked="0" layoutInCell="1" allowOverlap="1">
                      <wp:simplePos x="0" y="0"/>
                      <wp:positionH relativeFrom="column">
                        <wp:posOffset>1421130</wp:posOffset>
                      </wp:positionH>
                      <wp:positionV relativeFrom="paragraph">
                        <wp:posOffset>987425</wp:posOffset>
                      </wp:positionV>
                      <wp:extent cx="981075" cy="317500"/>
                      <wp:effectExtent l="4445" t="4445" r="111760" b="988695"/>
                      <wp:wrapNone/>
                      <wp:docPr id="21" name="矩形标注 21"/>
                      <wp:cNvGraphicFramePr/>
                      <a:graphic xmlns:a="http://schemas.openxmlformats.org/drawingml/2006/main">
                        <a:graphicData uri="http://schemas.microsoft.com/office/word/2010/wordprocessingShape">
                          <wps:wsp>
                            <wps:cNvSpPr>
                              <a:spLocks noChangeArrowheads="1"/>
                            </wps:cNvSpPr>
                            <wps:spPr bwMode="auto">
                              <a:xfrm>
                                <a:off x="0" y="0"/>
                                <a:ext cx="981075" cy="317500"/>
                              </a:xfrm>
                              <a:prstGeom prst="wedgeRectCallout">
                                <a:avLst>
                                  <a:gd name="adj1" fmla="val 58867"/>
                                  <a:gd name="adj2" fmla="val 350000"/>
                                </a:avLst>
                              </a:prstGeom>
                              <a:solidFill>
                                <a:srgbClr val="FFFFFF"/>
                              </a:solidFill>
                              <a:ln w="9525">
                                <a:solidFill>
                                  <a:srgbClr val="FF0000"/>
                                </a:solidFill>
                                <a:miter lim="800000"/>
                              </a:ln>
                              <a:effectLst/>
                            </wps:spPr>
                            <wps:txbx>
                              <w:txbxContent>
                                <w:p w14:paraId="637C1A49">
                                  <w:pPr>
                                    <w:jc w:val="center"/>
                                    <w:rPr>
                                      <w:color w:val="FF0000"/>
                                    </w:rPr>
                                  </w:pPr>
                                  <w:r>
                                    <w:rPr>
                                      <w:rFonts w:hint="eastAsia"/>
                                      <w:color w:val="FF0000"/>
                                    </w:rPr>
                                    <w:t>项目所在地</w:t>
                                  </w:r>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margin-left:111.9pt;margin-top:77.75pt;height:25pt;width:77.25pt;z-index:251667456;mso-width-relative:page;mso-height-relative:page;" fillcolor="#FFFFFF" filled="t" stroked="t" coordsize="21600,21600" o:gfxdata="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4bPyA1wAAAAsBAAAPAAAAAAAAAAEAIAAAACIAAABkcnMvZG93&#10;bnJldi54bWxQSwECFAAUAAAACACHTuJAe9jf/XMCAADtBAAADgAAAAAAAAABACAAAAAmAQAAZHJz&#10;L2Uyb0RvYy54bWxQSwUGAAAAAAYABgBZAQAACwYAAAAA&#10;" adj="23515,86400">
                      <v:fill on="t" focussize="0,0"/>
                      <v:stroke color="#FF0000" miterlimit="8" joinstyle="miter"/>
                      <v:imagedata o:title=""/>
                      <o:lock v:ext="edit" aspectratio="f"/>
                      <v:textbox>
                        <w:txbxContent>
                          <w:p w14:paraId="637C1A49">
                            <w:pPr>
                              <w:jc w:val="center"/>
                              <w:rPr>
                                <w:color w:val="FF0000"/>
                              </w:rPr>
                            </w:pPr>
                            <w:r>
                              <w:rPr>
                                <w:rFonts w:hint="eastAsia"/>
                                <w:color w:val="FF0000"/>
                              </w:rPr>
                              <w:t>项目所在地</w:t>
                            </w:r>
                          </w:p>
                        </w:txbxContent>
                      </v:textbox>
                    </v:shape>
                  </w:pict>
                </mc:Fallback>
              </mc:AlternateContent>
            </w:r>
            <w:r>
              <w:rPr>
                <w:rFonts w:hint="default" w:ascii="Times New Roman" w:hAnsi="Times New Roman" w:cs="Times New Roman"/>
                <w:color w:val="auto"/>
              </w:rPr>
              <w:drawing>
                <wp:inline distT="0" distB="0" distL="114300" distR="114300">
                  <wp:extent cx="5436235" cy="3836035"/>
                  <wp:effectExtent l="0" t="0" r="4445" b="444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0"/>
                          <a:stretch>
                            <a:fillRect/>
                          </a:stretch>
                        </pic:blipFill>
                        <pic:spPr>
                          <a:xfrm>
                            <a:off x="0" y="0"/>
                            <a:ext cx="5436235" cy="3836035"/>
                          </a:xfrm>
                          <a:prstGeom prst="rect">
                            <a:avLst/>
                          </a:prstGeom>
                          <a:noFill/>
                          <a:ln>
                            <a:noFill/>
                          </a:ln>
                        </pic:spPr>
                      </pic:pic>
                    </a:graphicData>
                  </a:graphic>
                </wp:inline>
              </w:drawing>
            </w:r>
          </w:p>
          <w:p w14:paraId="250E7437">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图1-1  达州市综合环境管控单元分布图</w:t>
            </w:r>
          </w:p>
          <w:p w14:paraId="65068710">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表1-1 与达市府办函〔2024〕31号的符合性</w:t>
            </w:r>
          </w:p>
          <w:tbl>
            <w:tblPr>
              <w:tblStyle w:val="29"/>
              <w:tblW w:w="87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8"/>
              <w:gridCol w:w="4270"/>
              <w:gridCol w:w="2914"/>
              <w:gridCol w:w="586"/>
            </w:tblGrid>
            <w:tr w14:paraId="23584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43" w:type="pct"/>
                  <w:vAlign w:val="center"/>
                </w:tcPr>
                <w:p w14:paraId="099F746A">
                  <w:pPr>
                    <w:pStyle w:val="55"/>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名称</w:t>
                  </w:r>
                </w:p>
              </w:tc>
              <w:tc>
                <w:tcPr>
                  <w:tcW w:w="2448" w:type="pct"/>
                  <w:vAlign w:val="center"/>
                </w:tcPr>
                <w:p w14:paraId="5E47A144">
                  <w:pPr>
                    <w:pStyle w:val="55"/>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文件要求</w:t>
                  </w:r>
                </w:p>
              </w:tc>
              <w:tc>
                <w:tcPr>
                  <w:tcW w:w="1671" w:type="pct"/>
                  <w:vAlign w:val="center"/>
                </w:tcPr>
                <w:p w14:paraId="573E97AE">
                  <w:pPr>
                    <w:pStyle w:val="55"/>
                    <w:keepNext w:val="0"/>
                    <w:keepLines w:val="0"/>
                    <w:pageBreakBefore w:val="0"/>
                    <w:widowControl w:val="0"/>
                    <w:kinsoku/>
                    <w:wordWrap/>
                    <w:overflowPunct/>
                    <w:topLinePunct w:val="0"/>
                    <w:autoSpaceDE/>
                    <w:autoSpaceDN/>
                    <w:bidi w:val="0"/>
                    <w:adjustRightInd/>
                    <w:snapToGrid/>
                    <w:spacing w:line="300" w:lineRule="exact"/>
                    <w:ind w:left="-199" w:leftChars="-95" w:right="-42" w:rightChars="-20" w:firstLine="0" w:firstLineChars="0"/>
                    <w:textAlignment w:val="auto"/>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项目情况</w:t>
                  </w:r>
                </w:p>
              </w:tc>
              <w:tc>
                <w:tcPr>
                  <w:tcW w:w="336" w:type="pct"/>
                  <w:vAlign w:val="center"/>
                </w:tcPr>
                <w:p w14:paraId="3406D358">
                  <w:pPr>
                    <w:pStyle w:val="55"/>
                    <w:keepNext w:val="0"/>
                    <w:keepLines w:val="0"/>
                    <w:pageBreakBefore w:val="0"/>
                    <w:widowControl w:val="0"/>
                    <w:kinsoku/>
                    <w:wordWrap/>
                    <w:overflowPunct/>
                    <w:topLinePunct w:val="0"/>
                    <w:autoSpaceDE/>
                    <w:autoSpaceDN/>
                    <w:bidi w:val="0"/>
                    <w:adjustRightInd/>
                    <w:snapToGrid/>
                    <w:spacing w:line="300" w:lineRule="exact"/>
                    <w:ind w:left="-199" w:leftChars="-95" w:right="-42" w:rightChars="-20" w:firstLine="0" w:firstLineChars="0"/>
                    <w:textAlignment w:val="auto"/>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符合性</w:t>
                  </w:r>
                </w:p>
              </w:tc>
            </w:tr>
            <w:tr w14:paraId="403F6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3" w:type="pct"/>
                  <w:vAlign w:val="center"/>
                </w:tcPr>
                <w:p w14:paraId="5FE6E012">
                  <w:pPr>
                    <w:pStyle w:val="55"/>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一般管控单元</w:t>
                  </w:r>
                </w:p>
              </w:tc>
              <w:tc>
                <w:tcPr>
                  <w:tcW w:w="2448" w:type="pct"/>
                  <w:vAlign w:val="center"/>
                </w:tcPr>
                <w:p w14:paraId="7DFB7F9B">
                  <w:pPr>
                    <w:pStyle w:val="55"/>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 xml:space="preserve">一般管控单元中，执行区域生态环境保护的基本要求，重点加强农业、生活等领域污染治理。 </w:t>
                  </w:r>
                </w:p>
              </w:tc>
              <w:tc>
                <w:tcPr>
                  <w:tcW w:w="1671" w:type="pct"/>
                  <w:vAlign w:val="center"/>
                </w:tcPr>
                <w:p w14:paraId="07D0FDAB">
                  <w:pPr>
                    <w:pStyle w:val="55"/>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项目位于达标区域的一般管控单元，项目废气、噪声能做到达标排放，废水不外排，固体废物妥善处置后，对区域生态环境影响较小。</w:t>
                  </w:r>
                </w:p>
              </w:tc>
              <w:tc>
                <w:tcPr>
                  <w:tcW w:w="336" w:type="pct"/>
                  <w:vAlign w:val="center"/>
                </w:tcPr>
                <w:p w14:paraId="04B92AA9">
                  <w:pPr>
                    <w:pStyle w:val="55"/>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符合</w:t>
                  </w:r>
                </w:p>
              </w:tc>
            </w:tr>
            <w:tr w14:paraId="750B23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3" w:type="pct"/>
                  <w:shd w:val="clear" w:color="auto" w:fill="auto"/>
                  <w:vAlign w:val="center"/>
                </w:tcPr>
                <w:p w14:paraId="6690BF87">
                  <w:pPr>
                    <w:pStyle w:val="55"/>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达州市管控要求</w:t>
                  </w:r>
                </w:p>
              </w:tc>
              <w:tc>
                <w:tcPr>
                  <w:tcW w:w="2448" w:type="pct"/>
                  <w:shd w:val="clear" w:color="auto" w:fill="auto"/>
                  <w:vAlign w:val="center"/>
                </w:tcPr>
                <w:p w14:paraId="5A6B3F98">
                  <w:pPr>
                    <w:pStyle w:val="55"/>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1、长江干支流岸线1km范围内，不得新建、扩建化工园区和化工项目；</w:t>
                  </w:r>
                </w:p>
                <w:p w14:paraId="6CD54A4F">
                  <w:pPr>
                    <w:pStyle w:val="55"/>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2、严控产业转移环境准入</w:t>
                  </w:r>
                </w:p>
                <w:p w14:paraId="0E613E21">
                  <w:pPr>
                    <w:pStyle w:val="55"/>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3、引进项目应符合园区规划环评和区域产业准入清单要求；</w:t>
                  </w:r>
                </w:p>
                <w:p w14:paraId="228E0D6A">
                  <w:pPr>
                    <w:pStyle w:val="55"/>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4、造纸等产业污染治理和环境管理应达到国内先进水平。优化制浆造纸产业布局，提升行业清洁生产水平，推动制浆造纸工业向节能、环保、绿色方向发展。</w:t>
                  </w:r>
                </w:p>
                <w:p w14:paraId="407CC0F1">
                  <w:pPr>
                    <w:pStyle w:val="55"/>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5、深化成都平原、川南、川东地区大气污染联防联控工作机制，加强川渝地区联防联控。强化重污染天气区域应急联动机制，深化区域重污染天气联合应对。</w:t>
                  </w:r>
                </w:p>
                <w:p w14:paraId="3F5919BA">
                  <w:pPr>
                    <w:pStyle w:val="55"/>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6、钢铁行业项目新建应参考达州市“三线一单”生态环境分区管控中钢铁行业资源环境绩效准入门槛；达钢等高污染企业限期退城入园；普光气田开发污染防治和环境管理等方面要达到国内先进水平。</w:t>
                  </w:r>
                </w:p>
              </w:tc>
              <w:tc>
                <w:tcPr>
                  <w:tcW w:w="1671" w:type="pct"/>
                  <w:shd w:val="clear" w:color="auto" w:fill="auto"/>
                  <w:vAlign w:val="center"/>
                </w:tcPr>
                <w:p w14:paraId="5AEB1EB0">
                  <w:pPr>
                    <w:pStyle w:val="55"/>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项目为新建沥青搅拌站，</w:t>
                  </w:r>
                  <w:r>
                    <w:rPr>
                      <w:rFonts w:hint="default" w:ascii="Times New Roman" w:hAnsi="Times New Roman" w:eastAsia="宋体" w:cs="Times New Roman"/>
                      <w:bCs/>
                      <w:color w:val="auto"/>
                      <w:kern w:val="2"/>
                      <w:sz w:val="21"/>
                      <w:szCs w:val="21"/>
                      <w:lang w:val="en-US" w:eastAsia="zh-CN" w:bidi="ar-SA"/>
                    </w:rPr>
                    <w:t>距离西侧天生河约1.5km，不在长江干支流岸红1km范围内，</w:t>
                  </w:r>
                  <w:r>
                    <w:rPr>
                      <w:rFonts w:hint="default" w:ascii="Times New Roman" w:hAnsi="Times New Roman" w:cs="Times New Roman"/>
                      <w:bCs/>
                      <w:color w:val="auto"/>
                      <w:kern w:val="2"/>
                      <w:sz w:val="21"/>
                      <w:szCs w:val="21"/>
                      <w:lang w:val="en-US" w:eastAsia="zh-CN" w:bidi="ar-SA"/>
                    </w:rPr>
                    <w:t>不属于化工</w:t>
                  </w:r>
                  <w:r>
                    <w:rPr>
                      <w:rFonts w:hint="default" w:ascii="Times New Roman" w:hAnsi="Times New Roman" w:eastAsia="宋体" w:cs="Times New Roman"/>
                      <w:bCs/>
                      <w:color w:val="auto"/>
                      <w:kern w:val="2"/>
                      <w:sz w:val="21"/>
                      <w:szCs w:val="21"/>
                      <w:lang w:val="en-US" w:eastAsia="zh-CN" w:bidi="ar-SA"/>
                    </w:rPr>
                    <w:t>以及产业转移</w:t>
                  </w:r>
                  <w:r>
                    <w:rPr>
                      <w:rFonts w:hint="default" w:ascii="Times New Roman" w:hAnsi="Times New Roman" w:cs="Times New Roman"/>
                      <w:bCs/>
                      <w:color w:val="auto"/>
                      <w:kern w:val="2"/>
                      <w:sz w:val="21"/>
                      <w:szCs w:val="21"/>
                      <w:lang w:val="en-US" w:eastAsia="zh-CN" w:bidi="ar-SA"/>
                    </w:rPr>
                    <w:t>项目。项目虽未位于园区，但符合区域产业发展</w:t>
                  </w:r>
                  <w:r>
                    <w:rPr>
                      <w:rFonts w:hint="default" w:ascii="Times New Roman" w:hAnsi="Times New Roman" w:cs="Times New Roman"/>
                      <w:bCs/>
                      <w:color w:val="auto"/>
                      <w:kern w:val="2"/>
                      <w:sz w:val="21"/>
                      <w:szCs w:val="21"/>
                      <w:highlight w:val="none"/>
                      <w:lang w:val="en-US" w:eastAsia="zh-CN" w:bidi="ar-SA"/>
                    </w:rPr>
                    <w:t>方向，</w:t>
                  </w:r>
                  <w:r>
                    <w:rPr>
                      <w:rFonts w:hint="default" w:ascii="Times New Roman" w:hAnsi="Times New Roman" w:eastAsia="宋体" w:cs="Times New Roman"/>
                      <w:bCs/>
                      <w:color w:val="auto"/>
                      <w:kern w:val="2"/>
                      <w:sz w:val="21"/>
                      <w:szCs w:val="21"/>
                      <w:highlight w:val="none"/>
                      <w:lang w:val="en-US" w:eastAsia="zh-CN" w:bidi="ar-SA"/>
                    </w:rPr>
                    <w:t>当地政府已出具本项目的选址。</w:t>
                  </w:r>
                  <w:r>
                    <w:rPr>
                      <w:rFonts w:hint="default" w:ascii="Times New Roman" w:hAnsi="Times New Roman" w:eastAsia="宋体" w:cs="Times New Roman"/>
                      <w:bCs/>
                      <w:color w:val="auto"/>
                      <w:kern w:val="2"/>
                      <w:sz w:val="21"/>
                      <w:highlight w:val="none"/>
                    </w:rPr>
                    <w:t>本项目</w:t>
                  </w:r>
                  <w:r>
                    <w:rPr>
                      <w:rFonts w:hint="default" w:ascii="Times New Roman" w:hAnsi="Times New Roman" w:eastAsia="宋体" w:cs="Times New Roman"/>
                      <w:bCs/>
                      <w:color w:val="auto"/>
                      <w:kern w:val="2"/>
                      <w:sz w:val="21"/>
                      <w:szCs w:val="21"/>
                      <w:highlight w:val="none"/>
                      <w:lang w:val="en-US" w:eastAsia="zh-CN" w:bidi="ar-SA"/>
                    </w:rPr>
                    <w:t>不属于制浆造纸及钢铁行</w:t>
                  </w:r>
                  <w:r>
                    <w:rPr>
                      <w:rFonts w:hint="default" w:ascii="Times New Roman" w:hAnsi="Times New Roman" w:eastAsia="宋体" w:cs="Times New Roman"/>
                      <w:bCs/>
                      <w:color w:val="auto"/>
                      <w:kern w:val="2"/>
                      <w:sz w:val="21"/>
                      <w:szCs w:val="21"/>
                      <w:lang w:val="en-US" w:eastAsia="zh-CN" w:bidi="ar-SA"/>
                    </w:rPr>
                    <w:t>业</w:t>
                  </w:r>
                  <w:r>
                    <w:rPr>
                      <w:rFonts w:hint="default" w:ascii="Times New Roman" w:hAnsi="Times New Roman" w:eastAsia="宋体" w:cs="Times New Roman"/>
                      <w:bCs/>
                      <w:color w:val="auto"/>
                      <w:kern w:val="2"/>
                      <w:sz w:val="21"/>
                      <w:lang w:eastAsia="zh-CN"/>
                    </w:rPr>
                    <w:t>。</w:t>
                  </w:r>
                  <w:r>
                    <w:rPr>
                      <w:rFonts w:hint="default" w:ascii="Times New Roman" w:hAnsi="Times New Roman" w:eastAsia="宋体" w:cs="Times New Roman"/>
                      <w:bCs/>
                      <w:color w:val="auto"/>
                      <w:kern w:val="2"/>
                      <w:sz w:val="21"/>
                      <w:szCs w:val="21"/>
                      <w:lang w:val="en-US" w:eastAsia="zh-CN" w:bidi="ar-SA"/>
                    </w:rPr>
                    <w:t>运营期严格按照地方要求执行大气污染联防联控相关工作。</w:t>
                  </w:r>
                </w:p>
              </w:tc>
              <w:tc>
                <w:tcPr>
                  <w:tcW w:w="336" w:type="pct"/>
                  <w:shd w:val="clear" w:color="auto" w:fill="auto"/>
                  <w:vAlign w:val="center"/>
                </w:tcPr>
                <w:p w14:paraId="0EDAEE4C">
                  <w:pPr>
                    <w:pStyle w:val="55"/>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符合</w:t>
                  </w:r>
                </w:p>
              </w:tc>
            </w:tr>
            <w:tr w14:paraId="4F9A6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3" w:type="pct"/>
                  <w:vAlign w:val="center"/>
                </w:tcPr>
                <w:p w14:paraId="5B60CFF7">
                  <w:pPr>
                    <w:pStyle w:val="55"/>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宣汉县管控要求</w:t>
                  </w:r>
                </w:p>
              </w:tc>
              <w:tc>
                <w:tcPr>
                  <w:tcW w:w="2448" w:type="pct"/>
                  <w:vAlign w:val="center"/>
                </w:tcPr>
                <w:p w14:paraId="2AC02036">
                  <w:pPr>
                    <w:pStyle w:val="55"/>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 优化天然气化工、硫化工、锂钾综合开发、冶金建材、新材料等产业布局，切实做好危险化学品生产、使用、贮运、废弃全过程的安全防范措施，妥善处理好锂钾综合开发产业副产物及“三废”的综合利用途径或处置去向。</w:t>
                  </w:r>
                </w:p>
                <w:p w14:paraId="1DB180CE">
                  <w:pPr>
                    <w:pStyle w:val="55"/>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2. 打好升级版污染防治攻坚战。持续优化调整产业布局，以细颗粒物（PM3-</w:t>
                  </w:r>
                  <w:r>
                    <w:rPr>
                      <w:rFonts w:hint="default" w:ascii="Times New Roman" w:hAnsi="Times New Roman" w:eastAsia="宋体" w:cs="Times New Roman"/>
                      <w:bCs/>
                      <w:color w:val="auto"/>
                      <w:kern w:val="2"/>
                      <w:sz w:val="21"/>
                      <w:szCs w:val="21"/>
                      <w:vertAlign w:val="subscript"/>
                      <w:lang w:val="en-US" w:eastAsia="zh-CN" w:bidi="ar-SA"/>
                    </w:rPr>
                    <w:t>2.5</w:t>
                  </w:r>
                  <w:r>
                    <w:rPr>
                      <w:rFonts w:hint="default" w:ascii="Times New Roman" w:hAnsi="Times New Roman" w:eastAsia="宋体" w:cs="Times New Roman"/>
                      <w:bCs/>
                      <w:color w:val="auto"/>
                      <w:kern w:val="2"/>
                      <w:sz w:val="21"/>
                      <w:szCs w:val="21"/>
                      <w:lang w:val="en-US" w:eastAsia="zh-CN" w:bidi="ar-SA"/>
                    </w:rPr>
                    <w:t>）和臭氧（O</w:t>
                  </w:r>
                  <w:r>
                    <w:rPr>
                      <w:rFonts w:hint="default" w:ascii="Times New Roman" w:hAnsi="Times New Roman" w:eastAsia="宋体" w:cs="Times New Roman"/>
                      <w:bCs/>
                      <w:color w:val="auto"/>
                      <w:kern w:val="2"/>
                      <w:sz w:val="21"/>
                      <w:szCs w:val="21"/>
                      <w:vertAlign w:val="subscript"/>
                      <w:lang w:val="en-US" w:eastAsia="zh-CN" w:bidi="ar-SA"/>
                    </w:rPr>
                    <w:t>3</w:t>
                  </w:r>
                  <w:r>
                    <w:rPr>
                      <w:rFonts w:hint="default" w:ascii="Times New Roman" w:hAnsi="Times New Roman" w:eastAsia="宋体" w:cs="Times New Roman"/>
                      <w:bCs/>
                      <w:color w:val="auto"/>
                      <w:kern w:val="2"/>
                      <w:sz w:val="21"/>
                      <w:szCs w:val="21"/>
                      <w:lang w:val="en-US" w:eastAsia="zh-CN" w:bidi="ar-SA"/>
                    </w:rPr>
                    <w:t>）污染协同控制为重点，全面开展挥发性有机物（VOCs）治理，实施移动源整治，持续推进空气质量精细化管理。引进项目应符合园区规划环评和区域产业准入清单要求。</w:t>
                  </w:r>
                </w:p>
                <w:p w14:paraId="59A6A896">
                  <w:pPr>
                    <w:pStyle w:val="55"/>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3. 加强小流域水环境保护，推动农村环保基础设施建设，全面推进农村环境综合整治、生活污水处理项目。</w:t>
                  </w:r>
                </w:p>
                <w:p w14:paraId="26E6F72E">
                  <w:pPr>
                    <w:pStyle w:val="55"/>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4. 大力开展沿河畜禽养殖污染整治，大力推广生态种植，减少农药化肥使用量；普光气田开发污染防治和环境管理等方面要达国内先进水平。</w:t>
                  </w:r>
                </w:p>
              </w:tc>
              <w:tc>
                <w:tcPr>
                  <w:tcW w:w="1671" w:type="pct"/>
                  <w:vAlign w:val="center"/>
                </w:tcPr>
                <w:p w14:paraId="6294493B">
                  <w:pPr>
                    <w:pStyle w:val="55"/>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本项目为沥青搅拌站项目，不属于天然气化工、硫化工、锂钾综合开发等高风险化工产业，不涉及危险化学品生产。沥青储罐采取防渗措施及液位监测仪，导热油及轻质燃油储罐采用双层防渗设计，落实了安全防范措施。</w:t>
                  </w:r>
                  <w:r>
                    <w:rPr>
                      <w:rFonts w:hint="default" w:ascii="Times New Roman" w:hAnsi="Times New Roman" w:eastAsia="宋体" w:cs="Times New Roman"/>
                      <w:bCs/>
                      <w:color w:val="auto"/>
                      <w:szCs w:val="21"/>
                      <w:lang w:val="en-US" w:eastAsia="zh-CN"/>
                    </w:rPr>
                    <w:t>项目沥青废气</w:t>
                  </w:r>
                  <w:r>
                    <w:rPr>
                      <w:rFonts w:hint="default" w:ascii="Times New Roman" w:hAnsi="Times New Roman" w:eastAsia="宋体" w:cs="Times New Roman"/>
                      <w:b w:val="0"/>
                      <w:bCs/>
                      <w:color w:val="auto"/>
                      <w:kern w:val="0"/>
                      <w:szCs w:val="21"/>
                      <w:lang w:val="en-US" w:eastAsia="zh-CN"/>
                    </w:rPr>
                    <w:t>（沥青烟、苯并[a]芘、VOCs）</w:t>
                  </w:r>
                  <w:r>
                    <w:rPr>
                      <w:rFonts w:hint="default" w:ascii="Times New Roman" w:hAnsi="Times New Roman" w:cs="Times New Roman"/>
                      <w:bCs/>
                      <w:color w:val="auto"/>
                      <w:szCs w:val="21"/>
                      <w:lang w:val="en-US" w:eastAsia="zh-CN"/>
                    </w:rPr>
                    <w:t>通过设置密闭管道收集至燃烧器高温燃烧处理后，再经过两级除尘系统</w:t>
                  </w:r>
                  <w:r>
                    <w:rPr>
                      <w:rFonts w:hint="default" w:ascii="Times New Roman" w:hAnsi="Times New Roman" w:eastAsia="宋体" w:cs="Times New Roman"/>
                      <w:bCs/>
                      <w:color w:val="auto"/>
                      <w:kern w:val="2"/>
                      <w:sz w:val="21"/>
                      <w:szCs w:val="21"/>
                      <w:lang w:val="en-US" w:eastAsia="zh-CN" w:bidi="ar-SA"/>
                    </w:rPr>
                    <w:t>能做到达标排放。运营期通过设置封闭厂房，强化重污染天气应对。项目无工业废水排放，冲洗废水收集后循环使用；生活污水经化粪池处理后用于农肥，有效保护了周边农村水环境。项目不属于畜禽养殖类项目及普光气田开发类项目。</w:t>
                  </w:r>
                </w:p>
              </w:tc>
              <w:tc>
                <w:tcPr>
                  <w:tcW w:w="336" w:type="pct"/>
                  <w:vAlign w:val="center"/>
                </w:tcPr>
                <w:p w14:paraId="2ADCC046">
                  <w:pPr>
                    <w:pStyle w:val="55"/>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符合</w:t>
                  </w:r>
                </w:p>
              </w:tc>
            </w:tr>
          </w:tbl>
          <w:p w14:paraId="2190877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综上分析，项目符合</w:t>
            </w:r>
            <w:r>
              <w:rPr>
                <w:rFonts w:hint="default" w:ascii="Times New Roman" w:hAnsi="Times New Roman" w:cs="Times New Roman"/>
                <w:color w:val="auto"/>
                <w:sz w:val="24"/>
                <w:szCs w:val="24"/>
              </w:rPr>
              <w:t>《达州市人民政府办公室关于加强生态环境分区管控的通知》（达市府办函〔2024〕31号）</w:t>
            </w:r>
            <w:r>
              <w:rPr>
                <w:rFonts w:hint="default" w:ascii="Times New Roman" w:hAnsi="Times New Roman" w:eastAsia="宋体" w:cs="Times New Roman"/>
                <w:color w:val="auto"/>
                <w:sz w:val="24"/>
                <w:szCs w:val="24"/>
                <w:lang w:val="en-US" w:eastAsia="zh-CN"/>
              </w:rPr>
              <w:t>的要求</w:t>
            </w:r>
            <w:r>
              <w:rPr>
                <w:rFonts w:hint="default" w:ascii="Times New Roman" w:hAnsi="Times New Roman" w:eastAsia="宋体" w:cs="Times New Roman"/>
                <w:color w:val="auto"/>
                <w:sz w:val="24"/>
                <w:szCs w:val="24"/>
              </w:rPr>
              <w:t>。</w:t>
            </w:r>
          </w:p>
          <w:p w14:paraId="0B041D62">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四川省</w:t>
            </w:r>
            <w:r>
              <w:rPr>
                <w:rFonts w:hint="default" w:ascii="Times New Roman" w:hAnsi="Times New Roman" w:cs="Times New Roman"/>
                <w:b/>
                <w:bCs/>
                <w:color w:val="auto"/>
                <w:sz w:val="24"/>
                <w:szCs w:val="24"/>
                <w:lang w:eastAsia="zh-CN"/>
              </w:rPr>
              <w:t>“生态环境分区管控”</w:t>
            </w:r>
            <w:r>
              <w:rPr>
                <w:rFonts w:hint="default" w:ascii="Times New Roman" w:hAnsi="Times New Roman" w:eastAsia="宋体" w:cs="Times New Roman"/>
                <w:b/>
                <w:bCs/>
                <w:color w:val="auto"/>
                <w:sz w:val="24"/>
                <w:szCs w:val="24"/>
              </w:rPr>
              <w:t>数据分析</w:t>
            </w:r>
          </w:p>
          <w:p w14:paraId="7CE6CA7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根据四川省“生态环境分区管控”数据分析系统：</w:t>
            </w:r>
            <w:r>
              <w:rPr>
                <w:rFonts w:hint="default" w:ascii="Times New Roman" w:hAnsi="Times New Roman" w:cs="Times New Roman"/>
                <w:color w:val="auto"/>
                <w:sz w:val="24"/>
                <w:szCs w:val="24"/>
                <w:lang w:val="en-US" w:eastAsia="zh-CN"/>
              </w:rPr>
              <w:t>天生镇沥青混凝土搅拌站基础建设项目</w:t>
            </w:r>
            <w:r>
              <w:rPr>
                <w:rFonts w:hint="default" w:ascii="Times New Roman" w:hAnsi="Times New Roman" w:eastAsia="宋体" w:cs="Times New Roman"/>
                <w:color w:val="auto"/>
                <w:sz w:val="24"/>
                <w:szCs w:val="24"/>
                <w:lang w:val="en-US" w:eastAsia="zh-CN"/>
              </w:rPr>
              <w:t>位于达州市宣汉县环境综合管控单元一般管控单元（管控单元名称：宣汉县一般管控单元，管控单元编号：ZH51172230001）</w:t>
            </w:r>
          </w:p>
          <w:p w14:paraId="262694D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项目与管控单元相对位置如下图所示：（图中▼表示项目位置）</w:t>
            </w:r>
          </w:p>
          <w:p w14:paraId="7DD5BD35">
            <w:pPr>
              <w:spacing w:beforeLines="0" w:afterLines="0"/>
              <w:jc w:val="center"/>
              <w:rPr>
                <w:rFonts w:hint="default" w:ascii="Times New Roman" w:hAnsi="Times New Roman" w:eastAsia="Helvetica" w:cs="Times New Roman"/>
                <w:color w:val="auto"/>
                <w:sz w:val="28"/>
                <w:szCs w:val="24"/>
              </w:rPr>
            </w:pPr>
            <w:r>
              <w:rPr>
                <w:rFonts w:hint="default" w:ascii="Times New Roman" w:hAnsi="Times New Roman" w:cs="Times New Roman"/>
                <w:color w:val="auto"/>
                <w:sz w:val="28"/>
              </w:rPr>
              <mc:AlternateContent>
                <mc:Choice Requires="wps">
                  <w:drawing>
                    <wp:anchor distT="0" distB="0" distL="114300" distR="114300" simplePos="0" relativeHeight="251668480" behindDoc="0" locked="0" layoutInCell="1" allowOverlap="1">
                      <wp:simplePos x="0" y="0"/>
                      <wp:positionH relativeFrom="column">
                        <wp:posOffset>6985</wp:posOffset>
                      </wp:positionH>
                      <wp:positionV relativeFrom="paragraph">
                        <wp:posOffset>52070</wp:posOffset>
                      </wp:positionV>
                      <wp:extent cx="2548890" cy="1976755"/>
                      <wp:effectExtent l="4445" t="4445" r="6985" b="914400"/>
                      <wp:wrapNone/>
                      <wp:docPr id="26" name="矩形标注 26"/>
                      <wp:cNvGraphicFramePr/>
                      <a:graphic xmlns:a="http://schemas.openxmlformats.org/drawingml/2006/main">
                        <a:graphicData uri="http://schemas.microsoft.com/office/word/2010/wordprocessingShape">
                          <wps:wsp>
                            <wps:cNvSpPr/>
                            <wps:spPr>
                              <a:xfrm>
                                <a:off x="0" y="0"/>
                                <a:ext cx="2548890" cy="1976755"/>
                              </a:xfrm>
                              <a:prstGeom prst="wedgeRectCallout">
                                <a:avLst>
                                  <a:gd name="adj1" fmla="val 24838"/>
                                  <a:gd name="adj2" fmla="val 94972"/>
                                </a:avLst>
                              </a:prstGeom>
                              <a:noFill/>
                              <a:ln w="9525" cap="flat" cmpd="sng">
                                <a:solidFill>
                                  <a:srgbClr val="000000"/>
                                </a:solidFill>
                                <a:prstDash val="solid"/>
                                <a:miter/>
                                <a:headEnd type="none" w="med" len="med"/>
                                <a:tailEnd type="none" w="med" len="med"/>
                              </a:ln>
                            </wps:spPr>
                            <wps:txbx>
                              <w:txbxContent>
                                <w:p w14:paraId="7016D9EE">
                                  <w:r>
                                    <w:drawing>
                                      <wp:inline distT="0" distB="0" distL="114300" distR="114300">
                                        <wp:extent cx="2545715" cy="1925955"/>
                                        <wp:effectExtent l="0" t="0" r="14605" b="952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1"/>
                                                <a:srcRect l="13075" r="1003"/>
                                                <a:stretch>
                                                  <a:fillRect/>
                                                </a:stretch>
                                              </pic:blipFill>
                                              <pic:spPr>
                                                <a:xfrm>
                                                  <a:off x="0" y="0"/>
                                                  <a:ext cx="2545715" cy="1925955"/>
                                                </a:xfrm>
                                                <a:prstGeom prst="rect">
                                                  <a:avLst/>
                                                </a:prstGeom>
                                                <a:noFill/>
                                                <a:ln>
                                                  <a:noFill/>
                                                </a:ln>
                                              </pic:spPr>
                                            </pic:pic>
                                          </a:graphicData>
                                        </a:graphic>
                                      </wp:inline>
                                    </w:drawing>
                                  </w:r>
                                </w:p>
                              </w:txbxContent>
                            </wps:txbx>
                            <wps:bodyPr lIns="0" tIns="0" rIns="0" bIns="0" upright="1"/>
                          </wps:wsp>
                        </a:graphicData>
                      </a:graphic>
                    </wp:anchor>
                  </w:drawing>
                </mc:Choice>
                <mc:Fallback>
                  <w:pict>
                    <v:shape id="_x0000_s1026" o:spid="_x0000_s1026" o:spt="61" type="#_x0000_t61" style="position:absolute;left:0pt;margin-left:0.55pt;margin-top:4.1pt;height:155.65pt;width:200.7pt;z-index:251668480;mso-width-relative:page;mso-height-relative:page;" filled="f" stroked="t" coordsize="21600,21600" o:gfxdata="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OhvGtYAAAAHAQAADwAAAAAAAAABACAAAAAiAAAA&#10;ZHJzL2Rvd25yZXYueG1sUEsBAhQAFAAAAAgAh07iQL7PeKdCAgAAigQAAA4AAAAAAAAAAQAgAAAA&#10;JQEAAGRycy9lMm9Eb2MueG1sUEsFBgAAAAAGAAYAWQEAANkFAAAAAA==&#10;" adj="16165,31314">
                      <v:fill on="f" focussize="0,0"/>
                      <v:stroke color="#000000" joinstyle="miter"/>
                      <v:imagedata o:title=""/>
                      <o:lock v:ext="edit" aspectratio="f"/>
                      <v:textbox inset="0mm,0mm,0mm,0mm">
                        <w:txbxContent>
                          <w:p w14:paraId="7016D9EE">
                            <w:r>
                              <w:drawing>
                                <wp:inline distT="0" distB="0" distL="114300" distR="114300">
                                  <wp:extent cx="2545715" cy="1925955"/>
                                  <wp:effectExtent l="0" t="0" r="14605" b="952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1"/>
                                          <a:srcRect l="13075" r="1003"/>
                                          <a:stretch>
                                            <a:fillRect/>
                                          </a:stretch>
                                        </pic:blipFill>
                                        <pic:spPr>
                                          <a:xfrm>
                                            <a:off x="0" y="0"/>
                                            <a:ext cx="2545715" cy="1925955"/>
                                          </a:xfrm>
                                          <a:prstGeom prst="rect">
                                            <a:avLst/>
                                          </a:prstGeom>
                                          <a:noFill/>
                                          <a:ln>
                                            <a:noFill/>
                                          </a:ln>
                                        </pic:spPr>
                                      </pic:pic>
                                    </a:graphicData>
                                  </a:graphic>
                                </wp:inline>
                              </w:drawing>
                            </w:r>
                          </w:p>
                        </w:txbxContent>
                      </v:textbox>
                    </v:shape>
                  </w:pict>
                </mc:Fallback>
              </mc:AlternateContent>
            </w:r>
            <w:r>
              <w:rPr>
                <w:rFonts w:hint="default" w:ascii="Times New Roman" w:hAnsi="Times New Roman" w:eastAsia="Helvetica" w:cs="Times New Roman"/>
                <w:color w:val="auto"/>
                <w:sz w:val="28"/>
                <w:szCs w:val="24"/>
              </w:rPr>
              <w:drawing>
                <wp:inline distT="0" distB="0" distL="114300" distR="114300">
                  <wp:extent cx="5471795" cy="3868420"/>
                  <wp:effectExtent l="0" t="0" r="14605" b="254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2"/>
                          <a:stretch>
                            <a:fillRect/>
                          </a:stretch>
                        </pic:blipFill>
                        <pic:spPr>
                          <a:xfrm>
                            <a:off x="0" y="0"/>
                            <a:ext cx="5471795" cy="3868420"/>
                          </a:xfrm>
                          <a:prstGeom prst="rect">
                            <a:avLst/>
                          </a:prstGeom>
                          <a:noFill/>
                          <a:ln>
                            <a:noFill/>
                          </a:ln>
                        </pic:spPr>
                      </pic:pic>
                    </a:graphicData>
                  </a:graphic>
                </wp:inline>
              </w:drawing>
            </w:r>
          </w:p>
          <w:p w14:paraId="567C0C74">
            <w:pPr>
              <w:spacing w:line="360" w:lineRule="auto"/>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图1-2 四川省“生态环境分区管控”符合性分析报告图</w:t>
            </w:r>
          </w:p>
          <w:p w14:paraId="75D58F87">
            <w:pPr>
              <w:spacing w:line="360" w:lineRule="auto"/>
              <w:jc w:val="center"/>
              <w:rPr>
                <w:rFonts w:hint="default" w:ascii="Times New Roman" w:hAnsi="Times New Roman" w:eastAsia="黑体" w:cs="Times New Roman"/>
                <w:b/>
                <w:bCs/>
                <w:color w:val="auto"/>
                <w:kern w:val="0"/>
                <w:sz w:val="20"/>
                <w:szCs w:val="20"/>
                <w:lang w:val="en-US" w:eastAsia="zh-CN" w:bidi="ar-SA"/>
              </w:rPr>
            </w:pPr>
          </w:p>
          <w:p w14:paraId="150AE1A5">
            <w:pPr>
              <w:spacing w:line="360" w:lineRule="auto"/>
              <w:jc w:val="center"/>
              <w:rPr>
                <w:rFonts w:hint="default" w:ascii="Times New Roman" w:hAnsi="Times New Roman" w:cs="Times New Roman"/>
                <w:color w:val="auto"/>
              </w:rPr>
            </w:pPr>
          </w:p>
          <w:p w14:paraId="4E681EF4">
            <w:pPr>
              <w:spacing w:line="360" w:lineRule="auto"/>
              <w:jc w:val="center"/>
              <w:rPr>
                <w:rFonts w:hint="default" w:ascii="Times New Roman" w:hAnsi="Times New Roman" w:cs="Times New Roman"/>
                <w:color w:val="auto"/>
              </w:rPr>
            </w:pPr>
          </w:p>
          <w:p w14:paraId="2035DF2A">
            <w:pPr>
              <w:spacing w:line="360" w:lineRule="auto"/>
              <w:jc w:val="center"/>
              <w:rPr>
                <w:rFonts w:hint="default" w:ascii="Times New Roman" w:hAnsi="Times New Roman" w:cs="Times New Roman"/>
                <w:color w:val="auto"/>
              </w:rPr>
            </w:pPr>
          </w:p>
          <w:p w14:paraId="0C2A8CFC">
            <w:pPr>
              <w:spacing w:line="360" w:lineRule="auto"/>
              <w:jc w:val="center"/>
              <w:rPr>
                <w:rFonts w:hint="default" w:ascii="Times New Roman" w:hAnsi="Times New Roman" w:cs="Times New Roman"/>
                <w:color w:val="auto"/>
              </w:rPr>
            </w:pPr>
          </w:p>
          <w:p w14:paraId="42FAF0F8">
            <w:pPr>
              <w:spacing w:line="360" w:lineRule="auto"/>
              <w:jc w:val="center"/>
              <w:rPr>
                <w:rFonts w:hint="default" w:ascii="Times New Roman" w:hAnsi="Times New Roman" w:cs="Times New Roman"/>
                <w:color w:val="auto"/>
              </w:rPr>
            </w:pPr>
          </w:p>
          <w:p w14:paraId="2BFA447C">
            <w:pPr>
              <w:spacing w:line="360" w:lineRule="auto"/>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cs="Times New Roman"/>
                <w:color w:val="auto"/>
              </w:rPr>
              <w:drawing>
                <wp:inline distT="0" distB="0" distL="114300" distR="114300">
                  <wp:extent cx="5437505" cy="4122420"/>
                  <wp:effectExtent l="0" t="0" r="10795" b="1143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437505" cy="4122420"/>
                          </a:xfrm>
                          <a:prstGeom prst="rect">
                            <a:avLst/>
                          </a:prstGeom>
                          <a:noFill/>
                          <a:ln>
                            <a:noFill/>
                          </a:ln>
                        </pic:spPr>
                      </pic:pic>
                    </a:graphicData>
                  </a:graphic>
                </wp:inline>
              </w:drawing>
            </w:r>
          </w:p>
          <w:p w14:paraId="5FB6334B">
            <w:pPr>
              <w:spacing w:line="360" w:lineRule="auto"/>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图1-3 四川省“生态环境分区管控”数据分析系统查询结果截图</w:t>
            </w:r>
          </w:p>
          <w:p w14:paraId="3C3D5D50">
            <w:pPr>
              <w:spacing w:line="360" w:lineRule="auto"/>
              <w:ind w:firstLine="480" w:firstLineChars="200"/>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rPr>
              <w:t>共涉及</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个管控单元。</w:t>
            </w:r>
            <w:r>
              <w:rPr>
                <w:rFonts w:hint="default" w:ascii="Times New Roman" w:hAnsi="Times New Roman" w:cs="Times New Roman"/>
                <w:color w:val="auto"/>
                <w:sz w:val="24"/>
                <w:szCs w:val="24"/>
                <w:lang w:eastAsia="zh-CN"/>
              </w:rPr>
              <w:t>涉及的</w:t>
            </w:r>
            <w:r>
              <w:rPr>
                <w:rFonts w:hint="default" w:ascii="Times New Roman" w:hAnsi="Times New Roman" w:cs="Times New Roman"/>
                <w:color w:val="auto"/>
                <w:sz w:val="24"/>
                <w:szCs w:val="24"/>
              </w:rPr>
              <w:t>管控单元见表1-</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p>
          <w:p w14:paraId="3F5E0A5C">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表1-2 本项目涉及的环境管控单元一览表</w:t>
            </w:r>
          </w:p>
          <w:tbl>
            <w:tblPr>
              <w:tblStyle w:val="2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27"/>
              <w:gridCol w:w="1839"/>
              <w:gridCol w:w="1941"/>
              <w:gridCol w:w="780"/>
              <w:gridCol w:w="906"/>
              <w:gridCol w:w="973"/>
              <w:gridCol w:w="1708"/>
            </w:tblGrid>
            <w:tr w14:paraId="4C430F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27" w:type="dxa"/>
                  <w:tcBorders>
                    <w:tl2br w:val="nil"/>
                    <w:tr2bl w:val="nil"/>
                  </w:tcBorders>
                  <w:shd w:val="clear" w:color="000000" w:themeColor="text1" w:fill="auto"/>
                  <w:vAlign w:val="center"/>
                </w:tcPr>
                <w:p w14:paraId="13175A35">
                  <w:pPr>
                    <w:widowControl/>
                    <w:jc w:val="center"/>
                    <w:rPr>
                      <w:rFonts w:hint="default" w:ascii="Times New Roman" w:hAnsi="Times New Roman" w:eastAsia="宋体" w:cs="Times New Roman"/>
                      <w:b/>
                      <w:bCs/>
                      <w:color w:val="auto"/>
                      <w:kern w:val="0"/>
                      <w:szCs w:val="21"/>
                      <w:lang w:val="en-US" w:eastAsia="zh-CN" w:bidi="ar"/>
                    </w:rPr>
                  </w:pPr>
                  <w:r>
                    <w:rPr>
                      <w:rFonts w:hint="default" w:ascii="Times New Roman" w:hAnsi="Times New Roman" w:cs="Times New Roman"/>
                      <w:b/>
                      <w:bCs/>
                      <w:color w:val="auto"/>
                      <w:kern w:val="0"/>
                      <w:szCs w:val="21"/>
                      <w:lang w:val="en-US" w:eastAsia="zh-CN" w:bidi="ar"/>
                    </w:rPr>
                    <w:t>序号</w:t>
                  </w:r>
                </w:p>
              </w:tc>
              <w:tc>
                <w:tcPr>
                  <w:tcW w:w="1839" w:type="dxa"/>
                  <w:tcBorders>
                    <w:tl2br w:val="nil"/>
                    <w:tr2bl w:val="nil"/>
                  </w:tcBorders>
                  <w:shd w:val="clear" w:color="000000" w:themeColor="text1" w:fill="auto"/>
                  <w:vAlign w:val="center"/>
                </w:tcPr>
                <w:p w14:paraId="77855EEB">
                  <w:pPr>
                    <w:widowControl/>
                    <w:jc w:val="center"/>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环境管控单元编码</w:t>
                  </w:r>
                </w:p>
              </w:tc>
              <w:tc>
                <w:tcPr>
                  <w:tcW w:w="1941" w:type="dxa"/>
                  <w:tcBorders>
                    <w:tl2br w:val="nil"/>
                    <w:tr2bl w:val="nil"/>
                  </w:tcBorders>
                  <w:shd w:val="clear" w:color="000000" w:themeColor="text1" w:fill="auto"/>
                  <w:vAlign w:val="center"/>
                </w:tcPr>
                <w:p w14:paraId="428F5131">
                  <w:pPr>
                    <w:widowControl/>
                    <w:jc w:val="center"/>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环境管控单元名称</w:t>
                  </w:r>
                </w:p>
              </w:tc>
              <w:tc>
                <w:tcPr>
                  <w:tcW w:w="780" w:type="dxa"/>
                  <w:tcBorders>
                    <w:tl2br w:val="nil"/>
                    <w:tr2bl w:val="nil"/>
                  </w:tcBorders>
                  <w:shd w:val="clear" w:color="000000" w:themeColor="text1" w:fill="auto"/>
                  <w:vAlign w:val="center"/>
                </w:tcPr>
                <w:p w14:paraId="0A942429">
                  <w:pPr>
                    <w:widowControl/>
                    <w:jc w:val="center"/>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所属</w:t>
                  </w:r>
                </w:p>
                <w:p w14:paraId="5971C377">
                  <w:pPr>
                    <w:widowControl/>
                    <w:jc w:val="center"/>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城市</w:t>
                  </w:r>
                </w:p>
              </w:tc>
              <w:tc>
                <w:tcPr>
                  <w:tcW w:w="906" w:type="dxa"/>
                  <w:tcBorders>
                    <w:tl2br w:val="nil"/>
                    <w:tr2bl w:val="nil"/>
                  </w:tcBorders>
                  <w:shd w:val="clear" w:color="000000" w:themeColor="text1" w:fill="auto"/>
                  <w:vAlign w:val="center"/>
                </w:tcPr>
                <w:p w14:paraId="58E5D3E2">
                  <w:pPr>
                    <w:widowControl/>
                    <w:jc w:val="center"/>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所属区（县）</w:t>
                  </w:r>
                </w:p>
              </w:tc>
              <w:tc>
                <w:tcPr>
                  <w:tcW w:w="973" w:type="dxa"/>
                  <w:tcBorders>
                    <w:tl2br w:val="nil"/>
                    <w:tr2bl w:val="nil"/>
                  </w:tcBorders>
                  <w:shd w:val="clear" w:color="000000" w:themeColor="text1" w:fill="auto"/>
                  <w:vAlign w:val="center"/>
                </w:tcPr>
                <w:p w14:paraId="4C48A58B">
                  <w:pPr>
                    <w:widowControl/>
                    <w:jc w:val="center"/>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准入清单类型</w:t>
                  </w:r>
                </w:p>
              </w:tc>
              <w:tc>
                <w:tcPr>
                  <w:tcW w:w="1708" w:type="dxa"/>
                  <w:tcBorders>
                    <w:tl2br w:val="nil"/>
                    <w:tr2bl w:val="nil"/>
                  </w:tcBorders>
                  <w:shd w:val="clear" w:color="000000" w:themeColor="text1" w:fill="auto"/>
                  <w:vAlign w:val="center"/>
                </w:tcPr>
                <w:p w14:paraId="6C0D4BCD">
                  <w:pPr>
                    <w:widowControl/>
                    <w:jc w:val="center"/>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管控类型</w:t>
                  </w:r>
                </w:p>
              </w:tc>
            </w:tr>
            <w:tr w14:paraId="55BC5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27" w:type="dxa"/>
                  <w:tcBorders>
                    <w:tl2br w:val="nil"/>
                    <w:tr2bl w:val="nil"/>
                  </w:tcBorders>
                  <w:vAlign w:val="center"/>
                </w:tcPr>
                <w:p w14:paraId="7AFBD168">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1839" w:type="dxa"/>
                  <w:tcBorders>
                    <w:tl2br w:val="nil"/>
                    <w:tr2bl w:val="nil"/>
                  </w:tcBorders>
                  <w:vAlign w:val="center"/>
                </w:tcPr>
                <w:p w14:paraId="203F27D6">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YS5117222320001</w:t>
                  </w:r>
                </w:p>
              </w:tc>
              <w:tc>
                <w:tcPr>
                  <w:tcW w:w="1941" w:type="dxa"/>
                  <w:tcBorders>
                    <w:tl2br w:val="nil"/>
                    <w:tr2bl w:val="nil"/>
                  </w:tcBorders>
                  <w:vAlign w:val="center"/>
                </w:tcPr>
                <w:p w14:paraId="7F739CD2">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宣汉县大气环境布局敏感重点管控区</w:t>
                  </w:r>
                </w:p>
              </w:tc>
              <w:tc>
                <w:tcPr>
                  <w:tcW w:w="780" w:type="dxa"/>
                  <w:tcBorders>
                    <w:tl2br w:val="nil"/>
                    <w:tr2bl w:val="nil"/>
                  </w:tcBorders>
                  <w:vAlign w:val="center"/>
                </w:tcPr>
                <w:p w14:paraId="7C6B66D1">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达州市</w:t>
                  </w:r>
                </w:p>
              </w:tc>
              <w:tc>
                <w:tcPr>
                  <w:tcW w:w="906" w:type="dxa"/>
                  <w:tcBorders>
                    <w:tl2br w:val="nil"/>
                    <w:tr2bl w:val="nil"/>
                  </w:tcBorders>
                  <w:vAlign w:val="center"/>
                </w:tcPr>
                <w:p w14:paraId="4B270537">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宣汉县</w:t>
                  </w:r>
                </w:p>
              </w:tc>
              <w:tc>
                <w:tcPr>
                  <w:tcW w:w="973" w:type="dxa"/>
                  <w:tcBorders>
                    <w:tl2br w:val="nil"/>
                    <w:tr2bl w:val="nil"/>
                  </w:tcBorders>
                  <w:vAlign w:val="center"/>
                </w:tcPr>
                <w:p w14:paraId="00DC6121">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大气环境管控分区</w:t>
                  </w:r>
                </w:p>
              </w:tc>
              <w:tc>
                <w:tcPr>
                  <w:tcW w:w="1708" w:type="dxa"/>
                  <w:tcBorders>
                    <w:tl2br w:val="nil"/>
                    <w:tr2bl w:val="nil"/>
                  </w:tcBorders>
                  <w:vAlign w:val="center"/>
                </w:tcPr>
                <w:p w14:paraId="33643521">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大气环境布局敏感重点管控区</w:t>
                  </w:r>
                </w:p>
              </w:tc>
            </w:tr>
            <w:tr w14:paraId="20332D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27" w:type="dxa"/>
                  <w:tcBorders>
                    <w:tl2br w:val="nil"/>
                    <w:tr2bl w:val="nil"/>
                  </w:tcBorders>
                  <w:vAlign w:val="center"/>
                </w:tcPr>
                <w:p w14:paraId="104FEE50">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1839" w:type="dxa"/>
                  <w:tcBorders>
                    <w:tl2br w:val="nil"/>
                    <w:tr2bl w:val="nil"/>
                  </w:tcBorders>
                  <w:vAlign w:val="center"/>
                </w:tcPr>
                <w:p w14:paraId="175DFEF0">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YS5117223210003</w:t>
                  </w:r>
                </w:p>
              </w:tc>
              <w:tc>
                <w:tcPr>
                  <w:tcW w:w="1941" w:type="dxa"/>
                  <w:tcBorders>
                    <w:tl2br w:val="nil"/>
                    <w:tr2bl w:val="nil"/>
                  </w:tcBorders>
                  <w:vAlign w:val="center"/>
                </w:tcPr>
                <w:p w14:paraId="41C3CE87">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明月江-宣汉县-李家渡-控制单元</w:t>
                  </w:r>
                </w:p>
              </w:tc>
              <w:tc>
                <w:tcPr>
                  <w:tcW w:w="780" w:type="dxa"/>
                  <w:tcBorders>
                    <w:tl2br w:val="nil"/>
                    <w:tr2bl w:val="nil"/>
                  </w:tcBorders>
                  <w:vAlign w:val="center"/>
                </w:tcPr>
                <w:p w14:paraId="3EA44780">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达州市</w:t>
                  </w:r>
                </w:p>
              </w:tc>
              <w:tc>
                <w:tcPr>
                  <w:tcW w:w="906" w:type="dxa"/>
                  <w:tcBorders>
                    <w:tl2br w:val="nil"/>
                    <w:tr2bl w:val="nil"/>
                  </w:tcBorders>
                  <w:vAlign w:val="center"/>
                </w:tcPr>
                <w:p w14:paraId="292FEB50">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宣汉县</w:t>
                  </w:r>
                </w:p>
              </w:tc>
              <w:tc>
                <w:tcPr>
                  <w:tcW w:w="973" w:type="dxa"/>
                  <w:tcBorders>
                    <w:tl2br w:val="nil"/>
                    <w:tr2bl w:val="nil"/>
                  </w:tcBorders>
                  <w:vAlign w:val="center"/>
                </w:tcPr>
                <w:p w14:paraId="3D74CDA5">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水环境管控分区</w:t>
                  </w:r>
                </w:p>
              </w:tc>
              <w:tc>
                <w:tcPr>
                  <w:tcW w:w="1708" w:type="dxa"/>
                  <w:tcBorders>
                    <w:tl2br w:val="nil"/>
                    <w:tr2bl w:val="nil"/>
                  </w:tcBorders>
                  <w:vAlign w:val="center"/>
                </w:tcPr>
                <w:p w14:paraId="163502A3">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水环境一般管控区</w:t>
                  </w:r>
                </w:p>
              </w:tc>
            </w:tr>
            <w:tr w14:paraId="45F07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27" w:type="dxa"/>
                  <w:tcBorders>
                    <w:tl2br w:val="nil"/>
                    <w:tr2bl w:val="nil"/>
                  </w:tcBorders>
                  <w:vAlign w:val="center"/>
                </w:tcPr>
                <w:p w14:paraId="29B32AA1">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p>
              </w:tc>
              <w:tc>
                <w:tcPr>
                  <w:tcW w:w="1839" w:type="dxa"/>
                  <w:tcBorders>
                    <w:tl2br w:val="nil"/>
                    <w:tr2bl w:val="nil"/>
                  </w:tcBorders>
                  <w:vAlign w:val="center"/>
                </w:tcPr>
                <w:p w14:paraId="0A623083">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ZH51172230001</w:t>
                  </w:r>
                </w:p>
              </w:tc>
              <w:tc>
                <w:tcPr>
                  <w:tcW w:w="1941" w:type="dxa"/>
                  <w:tcBorders>
                    <w:tl2br w:val="nil"/>
                    <w:tr2bl w:val="nil"/>
                  </w:tcBorders>
                  <w:vAlign w:val="center"/>
                </w:tcPr>
                <w:p w14:paraId="7C20B884">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宣汉县一般管控单元</w:t>
                  </w:r>
                </w:p>
              </w:tc>
              <w:tc>
                <w:tcPr>
                  <w:tcW w:w="780" w:type="dxa"/>
                  <w:tcBorders>
                    <w:tl2br w:val="nil"/>
                    <w:tr2bl w:val="nil"/>
                  </w:tcBorders>
                  <w:vAlign w:val="center"/>
                </w:tcPr>
                <w:p w14:paraId="4BE41B22">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达州市</w:t>
                  </w:r>
                </w:p>
              </w:tc>
              <w:tc>
                <w:tcPr>
                  <w:tcW w:w="906" w:type="dxa"/>
                  <w:tcBorders>
                    <w:tl2br w:val="nil"/>
                    <w:tr2bl w:val="nil"/>
                  </w:tcBorders>
                  <w:vAlign w:val="center"/>
                </w:tcPr>
                <w:p w14:paraId="390C0612">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宣汉县</w:t>
                  </w:r>
                </w:p>
              </w:tc>
              <w:tc>
                <w:tcPr>
                  <w:tcW w:w="973" w:type="dxa"/>
                  <w:tcBorders>
                    <w:tl2br w:val="nil"/>
                    <w:tr2bl w:val="nil"/>
                  </w:tcBorders>
                  <w:vAlign w:val="center"/>
                </w:tcPr>
                <w:p w14:paraId="299F3A4C">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环境综合管控单元</w:t>
                  </w:r>
                </w:p>
              </w:tc>
              <w:tc>
                <w:tcPr>
                  <w:tcW w:w="1708" w:type="dxa"/>
                  <w:tcBorders>
                    <w:tl2br w:val="nil"/>
                    <w:tr2bl w:val="nil"/>
                  </w:tcBorders>
                  <w:vAlign w:val="center"/>
                </w:tcPr>
                <w:p w14:paraId="43B0B259">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环境综合管控单元一般管控单元</w:t>
                  </w:r>
                </w:p>
              </w:tc>
            </w:tr>
          </w:tbl>
          <w:p w14:paraId="126992AF">
            <w:pPr>
              <w:spacing w:line="360" w:lineRule="auto"/>
              <w:ind w:firstLine="480" w:firstLineChars="200"/>
              <w:rPr>
                <w:rFonts w:hint="default" w:ascii="Times New Roman" w:hAnsi="Times New Roman" w:cs="Times New Roman"/>
                <w:color w:val="auto"/>
                <w:sz w:val="24"/>
                <w:szCs w:val="24"/>
              </w:rPr>
            </w:pPr>
          </w:p>
        </w:tc>
      </w:tr>
    </w:tbl>
    <w:p w14:paraId="1889C7F8">
      <w:pPr>
        <w:rPr>
          <w:rFonts w:hint="default" w:ascii="Times New Roman" w:hAnsi="Times New Roman" w:cs="Times New Roman"/>
          <w:b/>
          <w:color w:val="auto"/>
          <w:sz w:val="24"/>
          <w:szCs w:val="24"/>
        </w:rPr>
        <w:sectPr>
          <w:footerReference r:id="rId5" w:type="default"/>
          <w:pgSz w:w="11906" w:h="16838"/>
          <w:pgMar w:top="1134" w:right="1134" w:bottom="1134" w:left="1418" w:header="851" w:footer="992" w:gutter="0"/>
          <w:pgBorders>
            <w:top w:val="none" w:sz="0" w:space="0"/>
            <w:left w:val="none" w:sz="0" w:space="0"/>
            <w:bottom w:val="none" w:sz="0" w:space="0"/>
            <w:right w:val="none" w:sz="0" w:space="0"/>
          </w:pgBorders>
          <w:pgNumType w:fmt="decimal" w:start="3"/>
          <w:cols w:space="720" w:num="1"/>
          <w:docGrid w:type="lines"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6"/>
      </w:tblGrid>
      <w:tr w14:paraId="6412C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86" w:type="dxa"/>
          </w:tcPr>
          <w:p w14:paraId="0AE20EA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本项目与上述环境管控单元符合性分析见下表。</w:t>
            </w:r>
          </w:p>
          <w:p w14:paraId="4C0DA341">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表1-3 本项目与所涉及环境管控单元符合性分析一览表</w:t>
            </w:r>
          </w:p>
          <w:tbl>
            <w:tblPr>
              <w:tblStyle w:val="90"/>
              <w:tblW w:w="1472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0"/>
              <w:gridCol w:w="772"/>
              <w:gridCol w:w="6761"/>
              <w:gridCol w:w="652"/>
              <w:gridCol w:w="3585"/>
              <w:gridCol w:w="1829"/>
              <w:gridCol w:w="466"/>
            </w:tblGrid>
            <w:tr w14:paraId="47D8C8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tcBorders>
                    <w:tl2br w:val="nil"/>
                    <w:tr2bl w:val="nil"/>
                  </w:tcBorders>
                  <w:noWrap w:val="0"/>
                  <w:vAlign w:val="center"/>
                </w:tcPr>
                <w:p w14:paraId="743E1D06">
                  <w:pPr>
                    <w:keepNext w:val="0"/>
                    <w:keepLines w:val="0"/>
                    <w:pageBreakBefore w:val="0"/>
                    <w:widowControl/>
                    <w:kinsoku/>
                    <w:wordWrap/>
                    <w:overflowPunct/>
                    <w:topLinePunct w:val="0"/>
                    <w:autoSpaceDE/>
                    <w:autoSpaceDN/>
                    <w:bidi w:val="0"/>
                    <w:adjustRightInd/>
                    <w:snapToGrid/>
                    <w:spacing w:line="300" w:lineRule="exact"/>
                    <w:jc w:val="center"/>
                    <w:textAlignment w:val="auto"/>
                    <w:rPr>
                      <w:rStyle w:val="31"/>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bCs/>
                      <w:color w:val="auto"/>
                      <w:kern w:val="0"/>
                      <w:sz w:val="21"/>
                      <w:szCs w:val="21"/>
                    </w:rPr>
                    <w:t>环境管控单元编码</w:t>
                  </w:r>
                </w:p>
              </w:tc>
              <w:tc>
                <w:tcPr>
                  <w:tcW w:w="772" w:type="dxa"/>
                  <w:tcBorders>
                    <w:tl2br w:val="nil"/>
                    <w:tr2bl w:val="nil"/>
                  </w:tcBorders>
                  <w:noWrap w:val="0"/>
                  <w:vAlign w:val="center"/>
                </w:tcPr>
                <w:p w14:paraId="06AAAB69">
                  <w:pPr>
                    <w:keepNext w:val="0"/>
                    <w:keepLines w:val="0"/>
                    <w:pageBreakBefore w:val="0"/>
                    <w:widowControl/>
                    <w:kinsoku/>
                    <w:wordWrap/>
                    <w:overflowPunct/>
                    <w:topLinePunct w:val="0"/>
                    <w:autoSpaceDE/>
                    <w:autoSpaceDN/>
                    <w:bidi w:val="0"/>
                    <w:adjustRightInd/>
                    <w:snapToGrid/>
                    <w:spacing w:line="300" w:lineRule="exact"/>
                    <w:jc w:val="center"/>
                    <w:textAlignment w:val="auto"/>
                    <w:rPr>
                      <w:rStyle w:val="31"/>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bCs/>
                      <w:color w:val="auto"/>
                      <w:kern w:val="0"/>
                      <w:sz w:val="21"/>
                      <w:szCs w:val="21"/>
                    </w:rPr>
                    <w:t>环境管控单元名称</w:t>
                  </w:r>
                </w:p>
              </w:tc>
              <w:tc>
                <w:tcPr>
                  <w:tcW w:w="6761" w:type="dxa"/>
                  <w:tcBorders>
                    <w:tl2br w:val="nil"/>
                    <w:tr2bl w:val="nil"/>
                  </w:tcBorders>
                  <w:noWrap w:val="0"/>
                  <w:vAlign w:val="center"/>
                </w:tcPr>
                <w:p w14:paraId="7508B0A8">
                  <w:pPr>
                    <w:keepNext w:val="0"/>
                    <w:keepLines w:val="0"/>
                    <w:pageBreakBefore w:val="0"/>
                    <w:kinsoku/>
                    <w:wordWrap/>
                    <w:overflowPunct/>
                    <w:topLinePunct w:val="0"/>
                    <w:autoSpaceDE/>
                    <w:autoSpaceDN/>
                    <w:bidi w:val="0"/>
                    <w:adjustRightInd/>
                    <w:snapToGrid/>
                    <w:spacing w:line="300" w:lineRule="exact"/>
                    <w:jc w:val="center"/>
                    <w:textAlignment w:val="auto"/>
                    <w:rPr>
                      <w:rStyle w:val="31"/>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b/>
                      <w:bCs/>
                      <w:color w:val="auto"/>
                      <w:kern w:val="0"/>
                      <w:sz w:val="21"/>
                      <w:szCs w:val="21"/>
                    </w:rPr>
                    <w:t>达州市普适性清单</w:t>
                  </w:r>
                </w:p>
              </w:tc>
              <w:tc>
                <w:tcPr>
                  <w:tcW w:w="652" w:type="dxa"/>
                  <w:tcBorders>
                    <w:tl2br w:val="nil"/>
                    <w:tr2bl w:val="nil"/>
                  </w:tcBorders>
                  <w:noWrap w:val="0"/>
                  <w:vAlign w:val="center"/>
                </w:tcPr>
                <w:p w14:paraId="0898353A">
                  <w:pPr>
                    <w:keepNext w:val="0"/>
                    <w:keepLines w:val="0"/>
                    <w:pageBreakBefore w:val="0"/>
                    <w:widowControl/>
                    <w:kinsoku/>
                    <w:wordWrap/>
                    <w:overflowPunct/>
                    <w:topLinePunct w:val="0"/>
                    <w:autoSpaceDE/>
                    <w:autoSpaceDN/>
                    <w:bidi w:val="0"/>
                    <w:adjustRightInd/>
                    <w:snapToGrid/>
                    <w:spacing w:line="300" w:lineRule="exact"/>
                    <w:jc w:val="center"/>
                    <w:textAlignment w:val="auto"/>
                    <w:rPr>
                      <w:rStyle w:val="31"/>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kern w:val="0"/>
                      <w:sz w:val="21"/>
                      <w:szCs w:val="21"/>
                    </w:rPr>
                    <w:t>管控类别</w:t>
                  </w:r>
                </w:p>
              </w:tc>
              <w:tc>
                <w:tcPr>
                  <w:tcW w:w="3585" w:type="dxa"/>
                  <w:tcBorders>
                    <w:tl2br w:val="nil"/>
                    <w:tr2bl w:val="nil"/>
                  </w:tcBorders>
                  <w:noWrap w:val="0"/>
                  <w:vAlign w:val="center"/>
                </w:tcPr>
                <w:p w14:paraId="495F9B2C">
                  <w:pPr>
                    <w:keepNext w:val="0"/>
                    <w:keepLines w:val="0"/>
                    <w:pageBreakBefore w:val="0"/>
                    <w:widowControl/>
                    <w:kinsoku/>
                    <w:wordWrap/>
                    <w:overflowPunct/>
                    <w:topLinePunct w:val="0"/>
                    <w:autoSpaceDE/>
                    <w:autoSpaceDN/>
                    <w:bidi w:val="0"/>
                    <w:adjustRightInd/>
                    <w:snapToGrid/>
                    <w:spacing w:line="300" w:lineRule="exact"/>
                    <w:jc w:val="center"/>
                    <w:textAlignment w:val="auto"/>
                    <w:rPr>
                      <w:rStyle w:val="31"/>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bCs/>
                      <w:color w:val="auto"/>
                      <w:kern w:val="0"/>
                      <w:sz w:val="21"/>
                      <w:szCs w:val="21"/>
                    </w:rPr>
                    <w:t>单元特性管控要求</w:t>
                  </w:r>
                </w:p>
              </w:tc>
              <w:tc>
                <w:tcPr>
                  <w:tcW w:w="1829" w:type="dxa"/>
                  <w:tcBorders>
                    <w:tl2br w:val="nil"/>
                    <w:tr2bl w:val="nil"/>
                  </w:tcBorders>
                  <w:noWrap w:val="0"/>
                  <w:vAlign w:val="center"/>
                </w:tcPr>
                <w:p w14:paraId="4D6E1B0F">
                  <w:pPr>
                    <w:keepNext w:val="0"/>
                    <w:keepLines w:val="0"/>
                    <w:pageBreakBefore w:val="0"/>
                    <w:widowControl/>
                    <w:kinsoku/>
                    <w:wordWrap/>
                    <w:overflowPunct/>
                    <w:topLinePunct w:val="0"/>
                    <w:autoSpaceDE/>
                    <w:autoSpaceDN/>
                    <w:bidi w:val="0"/>
                    <w:adjustRightInd/>
                    <w:snapToGrid/>
                    <w:spacing w:line="300" w:lineRule="exact"/>
                    <w:jc w:val="center"/>
                    <w:textAlignment w:val="auto"/>
                    <w:rPr>
                      <w:rStyle w:val="31"/>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bCs/>
                      <w:color w:val="auto"/>
                      <w:kern w:val="0"/>
                      <w:sz w:val="21"/>
                      <w:szCs w:val="21"/>
                    </w:rPr>
                    <w:t>项目对应情况介绍</w:t>
                  </w:r>
                </w:p>
              </w:tc>
              <w:tc>
                <w:tcPr>
                  <w:tcW w:w="466" w:type="dxa"/>
                  <w:tcBorders>
                    <w:tl2br w:val="nil"/>
                    <w:tr2bl w:val="nil"/>
                  </w:tcBorders>
                  <w:noWrap w:val="0"/>
                  <w:vAlign w:val="center"/>
                </w:tcPr>
                <w:p w14:paraId="6BE16D53">
                  <w:pPr>
                    <w:keepNext w:val="0"/>
                    <w:keepLines w:val="0"/>
                    <w:pageBreakBefore w:val="0"/>
                    <w:widowControl/>
                    <w:kinsoku/>
                    <w:wordWrap/>
                    <w:overflowPunct/>
                    <w:topLinePunct w:val="0"/>
                    <w:autoSpaceDE/>
                    <w:autoSpaceDN/>
                    <w:bidi w:val="0"/>
                    <w:adjustRightInd/>
                    <w:snapToGrid/>
                    <w:spacing w:line="300" w:lineRule="exact"/>
                    <w:jc w:val="center"/>
                    <w:textAlignment w:val="auto"/>
                    <w:rPr>
                      <w:rStyle w:val="31"/>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bCs/>
                      <w:color w:val="auto"/>
                      <w:kern w:val="0"/>
                      <w:sz w:val="21"/>
                      <w:szCs w:val="21"/>
                    </w:rPr>
                    <w:t>符合性分析</w:t>
                  </w:r>
                </w:p>
              </w:tc>
            </w:tr>
            <w:tr w14:paraId="0488C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vMerge w:val="restart"/>
                  <w:tcBorders>
                    <w:tl2br w:val="nil"/>
                    <w:tr2bl w:val="nil"/>
                  </w:tcBorders>
                  <w:noWrap w:val="0"/>
                  <w:vAlign w:val="center"/>
                </w:tcPr>
                <w:p w14:paraId="62CEB9E4">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ZH51172230001</w:t>
                  </w:r>
                </w:p>
              </w:tc>
              <w:tc>
                <w:tcPr>
                  <w:tcW w:w="772" w:type="dxa"/>
                  <w:vMerge w:val="restart"/>
                  <w:tcBorders>
                    <w:tl2br w:val="nil"/>
                    <w:tr2bl w:val="nil"/>
                  </w:tcBorders>
                  <w:noWrap w:val="0"/>
                  <w:vAlign w:val="center"/>
                </w:tcPr>
                <w:p w14:paraId="1C1DC181">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宣汉县一般管控单元</w:t>
                  </w:r>
                </w:p>
              </w:tc>
              <w:tc>
                <w:tcPr>
                  <w:tcW w:w="6761" w:type="dxa"/>
                  <w:vMerge w:val="restart"/>
                  <w:tcBorders>
                    <w:tl2br w:val="nil"/>
                    <w:tr2bl w:val="nil"/>
                  </w:tcBorders>
                  <w:shd w:val="clear" w:color="auto" w:fill="auto"/>
                  <w:noWrap w:val="0"/>
                  <w:vAlign w:val="top"/>
                </w:tcPr>
                <w:p w14:paraId="18E7E955">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b/>
                      <w:bCs/>
                      <w:color w:val="auto"/>
                      <w:kern w:val="0"/>
                      <w:sz w:val="21"/>
                      <w:szCs w:val="21"/>
                      <w:lang w:val="en-US" w:eastAsia="zh-CN" w:bidi="ar-SA"/>
                    </w:rPr>
                    <w:t>（一）空间布局约束：</w:t>
                  </w:r>
                </w:p>
                <w:p w14:paraId="64E5A926">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b/>
                      <w:bCs/>
                      <w:color w:val="auto"/>
                      <w:kern w:val="0"/>
                      <w:sz w:val="21"/>
                      <w:szCs w:val="21"/>
                      <w:lang w:val="en-US" w:eastAsia="zh-CN" w:bidi="ar-SA"/>
                    </w:rPr>
                  </w:pPr>
                  <w:r>
                    <w:rPr>
                      <w:rStyle w:val="31"/>
                      <w:rFonts w:hint="default" w:ascii="Times New Roman" w:hAnsi="Times New Roman" w:eastAsia="宋体" w:cs="Times New Roman"/>
                      <w:b/>
                      <w:bCs/>
                      <w:color w:val="auto"/>
                      <w:kern w:val="0"/>
                      <w:sz w:val="21"/>
                      <w:szCs w:val="21"/>
                      <w:lang w:val="en-US" w:eastAsia="zh-CN" w:bidi="ar-SA"/>
                    </w:rPr>
                    <w:t>（1）禁止开发建设活动的要求</w:t>
                  </w:r>
                </w:p>
                <w:p w14:paraId="155A87B1">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-禁止在长江干支流1公里范围内新建、扩建化工园区和化工项目。</w:t>
                  </w:r>
                </w:p>
                <w:p w14:paraId="662BC8BC">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-禁止在法律法规规定的禁采区内新建矿山；禁止土法采、选、冶严重污染环境的矿产资源。</w:t>
                  </w:r>
                </w:p>
                <w:p w14:paraId="519649E2">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-涉及永久基本农田的区域，除法律规定的重点建设项目选址确实无法避让外，其他任何建设不得占用。</w:t>
                  </w:r>
                </w:p>
                <w:p w14:paraId="53B0DFEC">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-禁止在长江流域河湖管理范围内倾倒、填埋、堆放、弃置、处理固体废物。</w:t>
                  </w:r>
                </w:p>
                <w:p w14:paraId="176D6883">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-禁止在永久基本农田集中区域和其他需要特别保护的区域选址建设尾矿库、冶炼渣库、磷石膏库。</w:t>
                  </w:r>
                </w:p>
                <w:p w14:paraId="79AA2A5A">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-禁止在长江干流岸线三公里范围内和重要支流岸线一公里范围内新建、改建、扩建尾矿库、冶炼渣库、磷石膏库，以提升安全、生态环境保护水平为目的的改建除外。</w:t>
                  </w:r>
                </w:p>
                <w:p w14:paraId="0F92F302">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b/>
                      <w:bCs/>
                      <w:color w:val="auto"/>
                      <w:kern w:val="0"/>
                      <w:sz w:val="21"/>
                      <w:szCs w:val="21"/>
                      <w:lang w:val="en-US" w:eastAsia="zh-CN" w:bidi="ar-SA"/>
                    </w:rPr>
                    <w:t>（2）限制开发建设活动的要求</w:t>
                  </w:r>
                </w:p>
                <w:p w14:paraId="2A0B4232">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-按照相关要求严控水泥新增产能。</w:t>
                  </w:r>
                </w:p>
                <w:p w14:paraId="02638D72">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-涉及法定保护地，严格按照国家及地方法律法规、管理办法等相关要求进行控制。配套旅游、基础设施等建设项目，在符合规划和相关保护要求的前提下，应实施生态避让、减缓影响及生态恢复措施。</w:t>
                  </w:r>
                </w:p>
                <w:p w14:paraId="567C73CF">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按照相关要求严控水泥新增产能。</w:t>
                  </w:r>
                </w:p>
                <w:p w14:paraId="3C0C2FD7">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b/>
                      <w:bCs/>
                      <w:color w:val="auto"/>
                      <w:kern w:val="0"/>
                      <w:sz w:val="21"/>
                      <w:szCs w:val="21"/>
                      <w:lang w:val="en-US" w:eastAsia="zh-CN" w:bidi="ar-SA"/>
                    </w:rPr>
                    <w:t>-大气环境布局敏感重点管控区：</w:t>
                  </w:r>
                  <w:r>
                    <w:rPr>
                      <w:rStyle w:val="31"/>
                      <w:rFonts w:hint="default" w:ascii="Times New Roman" w:hAnsi="Times New Roman" w:eastAsia="宋体" w:cs="Times New Roman"/>
                      <w:color w:val="auto"/>
                      <w:kern w:val="0"/>
                      <w:sz w:val="21"/>
                      <w:szCs w:val="21"/>
                      <w:lang w:val="en-US" w:eastAsia="zh-CN" w:bidi="ar-SA"/>
                    </w:rPr>
                    <w:t>（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14:paraId="6F88C0ED">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b/>
                      <w:bCs/>
                      <w:color w:val="auto"/>
                      <w:kern w:val="0"/>
                      <w:sz w:val="21"/>
                      <w:szCs w:val="21"/>
                      <w:lang w:val="en-US" w:eastAsia="zh-CN" w:bidi="ar-SA"/>
                    </w:rPr>
                    <w:t>-大气弱扩散重点管控区：</w:t>
                  </w:r>
                  <w:r>
                    <w:rPr>
                      <w:rStyle w:val="31"/>
                      <w:rFonts w:hint="default" w:ascii="Times New Roman" w:hAnsi="Times New Roman" w:eastAsia="宋体" w:cs="Times New Roman"/>
                      <w:color w:val="auto"/>
                      <w:kern w:val="0"/>
                      <w:sz w:val="21"/>
                      <w:szCs w:val="21"/>
                      <w:lang w:val="en-US" w:eastAsia="zh-CN" w:bidi="ar-SA"/>
                    </w:rPr>
                    <w:t>强化落后产能退出机制，对能耗、环保、安全、技术达不到标准，生产不合格或淘汰类产品的企业和产能，依法予以关闭淘汰，推动重污染企业搬迁入园或依法关闭。对长江及重要支流沿线存在重大环境安全隐患的生产企业，加快推进就地改造异地迁建、关闭退出。开展差别化环境管理，对能耗、物耗、污染物排放等指标提出最严格管控要求，倒逼竞争乏力的产能退出。支持现有钢铁、水泥、焦化等废气排放量大的产业向有刚性需求、具有资源优势、环境容量允许的地区转移布局。</w:t>
                  </w:r>
                </w:p>
                <w:p w14:paraId="3771867F">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b/>
                      <w:bCs/>
                      <w:color w:val="auto"/>
                      <w:kern w:val="0"/>
                      <w:sz w:val="21"/>
                      <w:szCs w:val="21"/>
                      <w:lang w:val="en-US" w:eastAsia="zh-CN" w:bidi="ar-SA"/>
                    </w:rPr>
                    <w:t>-水环境农业污染重点管控区：</w:t>
                  </w:r>
                  <w:r>
                    <w:rPr>
                      <w:rStyle w:val="31"/>
                      <w:rFonts w:hint="default" w:ascii="Times New Roman" w:hAnsi="Times New Roman" w:eastAsia="宋体" w:cs="Times New Roman"/>
                      <w:color w:val="auto"/>
                      <w:kern w:val="0"/>
                      <w:sz w:val="21"/>
                      <w:szCs w:val="21"/>
                      <w:lang w:val="en-US" w:eastAsia="zh-CN" w:bidi="ar-SA"/>
                    </w:rPr>
                    <w:t>（1）稳步推进建制镇污水处理设施建设，适当预留发展空间，宜集中则集中，宜分散则分散。农村生活污水处理设施排水执行《农村生活污水处理设施水污染物排放标准》（DB 51 2626-2019）要求。（2）深入推进化肥减量增效。鼓励以循环利用与生态净化相结合的方式控制种植业污染，农企合作推进测土配方施肥。</w:t>
                  </w:r>
                </w:p>
                <w:p w14:paraId="505C6C68">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b/>
                      <w:bCs/>
                      <w:color w:val="auto"/>
                      <w:kern w:val="0"/>
                      <w:sz w:val="21"/>
                      <w:szCs w:val="21"/>
                      <w:lang w:val="en-US" w:eastAsia="zh-CN" w:bidi="ar-SA"/>
                    </w:rPr>
                  </w:pPr>
                  <w:r>
                    <w:rPr>
                      <w:rStyle w:val="31"/>
                      <w:rFonts w:hint="default" w:ascii="Times New Roman" w:hAnsi="Times New Roman" w:eastAsia="宋体" w:cs="Times New Roman"/>
                      <w:b/>
                      <w:bCs/>
                      <w:color w:val="auto"/>
                      <w:kern w:val="0"/>
                      <w:sz w:val="21"/>
                      <w:szCs w:val="21"/>
                      <w:lang w:val="en-US" w:eastAsia="zh-CN" w:bidi="ar-SA"/>
                    </w:rPr>
                    <w:t>（3）不符合空间布局要求活动的退出要求</w:t>
                  </w:r>
                </w:p>
                <w:p w14:paraId="670448DB">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针对现有水泥企业，强化污染治理和污染物减排，依法依规整治或搬迁。</w:t>
                  </w:r>
                </w:p>
                <w:p w14:paraId="5579F587">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全面取缔禁养区内规模化畜禽养殖场。</w:t>
                  </w:r>
                </w:p>
                <w:p w14:paraId="6770169E">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2025年基本完成全域内“散乱污”企业整治工作。</w:t>
                  </w:r>
                </w:p>
                <w:p w14:paraId="460AF2C4">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在全市范围深入开展集中整治“散乱污”工业企业，对不符合产业政策和规划布局的，一律责令停产、限期搬迁或关停；</w:t>
                  </w:r>
                </w:p>
                <w:p w14:paraId="0C1DDC1C">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b/>
                      <w:bCs/>
                      <w:color w:val="auto"/>
                      <w:kern w:val="0"/>
                      <w:sz w:val="21"/>
                      <w:szCs w:val="21"/>
                      <w:lang w:val="en-US" w:eastAsia="zh-CN" w:bidi="ar-SA"/>
                    </w:rPr>
                    <w:t>（4）其他空间布局约束要求</w:t>
                  </w:r>
                </w:p>
                <w:p w14:paraId="7E37D3E9">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新建矿山全部达到绿色矿山建设要求，生产矿山加快改造升级，逐步达到要求。</w:t>
                  </w:r>
                </w:p>
                <w:p w14:paraId="045043DF">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b/>
                      <w:bCs/>
                      <w:color w:val="auto"/>
                      <w:kern w:val="0"/>
                      <w:sz w:val="21"/>
                      <w:szCs w:val="21"/>
                      <w:lang w:val="en-US" w:eastAsia="zh-CN" w:bidi="ar-SA"/>
                    </w:rPr>
                  </w:pPr>
                </w:p>
                <w:p w14:paraId="0C2C0CC0">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b/>
                      <w:bCs/>
                      <w:color w:val="auto"/>
                      <w:kern w:val="0"/>
                      <w:sz w:val="21"/>
                      <w:szCs w:val="21"/>
                      <w:lang w:val="en-US" w:eastAsia="zh-CN" w:bidi="ar-SA"/>
                    </w:rPr>
                  </w:pPr>
                </w:p>
                <w:p w14:paraId="7BA5C8F5">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b/>
                      <w:bCs/>
                      <w:color w:val="auto"/>
                      <w:kern w:val="0"/>
                      <w:sz w:val="21"/>
                      <w:szCs w:val="21"/>
                      <w:lang w:val="en-US" w:eastAsia="zh-CN" w:bidi="ar-SA"/>
                    </w:rPr>
                    <w:t>（二）污染物排放管控：</w:t>
                  </w:r>
                </w:p>
                <w:p w14:paraId="20F29FE7">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b/>
                      <w:bCs/>
                      <w:color w:val="auto"/>
                      <w:kern w:val="0"/>
                      <w:sz w:val="21"/>
                      <w:szCs w:val="21"/>
                      <w:lang w:val="en-US" w:eastAsia="zh-CN" w:bidi="ar-SA"/>
                    </w:rPr>
                  </w:pPr>
                  <w:r>
                    <w:rPr>
                      <w:rStyle w:val="31"/>
                      <w:rFonts w:hint="default" w:ascii="Times New Roman" w:hAnsi="Times New Roman" w:eastAsia="宋体" w:cs="Times New Roman"/>
                      <w:b/>
                      <w:bCs/>
                      <w:color w:val="auto"/>
                      <w:kern w:val="0"/>
                      <w:sz w:val="21"/>
                      <w:szCs w:val="21"/>
                      <w:lang w:val="en-US" w:eastAsia="zh-CN" w:bidi="ar-SA"/>
                    </w:rPr>
                    <w:t>（1）允许排放量要求</w:t>
                  </w:r>
                </w:p>
                <w:p w14:paraId="1CB3CEB3">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w:t>
                  </w:r>
                </w:p>
                <w:p w14:paraId="7C845FB3">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b/>
                      <w:bCs/>
                      <w:color w:val="auto"/>
                      <w:kern w:val="0"/>
                      <w:sz w:val="21"/>
                      <w:szCs w:val="21"/>
                      <w:lang w:val="en-US" w:eastAsia="zh-CN" w:bidi="ar-SA"/>
                    </w:rPr>
                  </w:pPr>
                  <w:r>
                    <w:rPr>
                      <w:rStyle w:val="31"/>
                      <w:rFonts w:hint="default" w:ascii="Times New Roman" w:hAnsi="Times New Roman" w:eastAsia="宋体" w:cs="Times New Roman"/>
                      <w:b/>
                      <w:bCs/>
                      <w:color w:val="auto"/>
                      <w:kern w:val="0"/>
                      <w:sz w:val="21"/>
                      <w:szCs w:val="21"/>
                      <w:lang w:val="en-US" w:eastAsia="zh-CN" w:bidi="ar-SA"/>
                    </w:rPr>
                    <w:t>（2）现有源提标升级改造</w:t>
                  </w:r>
                </w:p>
                <w:p w14:paraId="55338B4E">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加快现有乡镇污水处理设施升级改造，按要求达《城镇污水处理厂污染物排放标准》一级A标后排放。</w:t>
                  </w:r>
                </w:p>
                <w:p w14:paraId="78B9665D">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在矿产资源开发活动集中区域，废水执行重金属污染物排放特别限值。</w:t>
                  </w:r>
                </w:p>
                <w:p w14:paraId="263504D3">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火电、水泥等行业按相关要求推进大气污染物超低排放和深度治理。</w:t>
                  </w:r>
                </w:p>
                <w:p w14:paraId="3F5F56AC">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砖瓦行业实施脱硫、除尘升级改造，污染物排放达到《砖瓦工业大气污染物排放标准》相关要求。</w:t>
                  </w:r>
                </w:p>
                <w:p w14:paraId="0AE3AA42">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b/>
                      <w:bCs/>
                      <w:color w:val="auto"/>
                      <w:kern w:val="0"/>
                      <w:sz w:val="21"/>
                      <w:szCs w:val="21"/>
                      <w:lang w:val="en-US" w:eastAsia="zh-CN" w:bidi="ar-SA"/>
                    </w:rPr>
                  </w:pPr>
                  <w:r>
                    <w:rPr>
                      <w:rStyle w:val="31"/>
                      <w:rFonts w:hint="default" w:ascii="Times New Roman" w:hAnsi="Times New Roman" w:eastAsia="宋体" w:cs="Times New Roman"/>
                      <w:b/>
                      <w:bCs/>
                      <w:color w:val="auto"/>
                      <w:kern w:val="0"/>
                      <w:sz w:val="21"/>
                      <w:szCs w:val="21"/>
                      <w:lang w:val="en-US" w:eastAsia="zh-CN" w:bidi="ar-SA"/>
                    </w:rPr>
                    <w:t>（3）其他污染物排放管控要求</w:t>
                  </w:r>
                </w:p>
                <w:p w14:paraId="036B768D">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w:t>
                  </w:r>
                </w:p>
                <w:p w14:paraId="3511D533">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b/>
                      <w:bCs/>
                      <w:color w:val="auto"/>
                      <w:kern w:val="0"/>
                      <w:sz w:val="21"/>
                      <w:szCs w:val="21"/>
                      <w:lang w:val="en-US" w:eastAsia="zh-CN" w:bidi="ar-SA"/>
                    </w:rPr>
                  </w:pPr>
                  <w:r>
                    <w:rPr>
                      <w:rStyle w:val="31"/>
                      <w:rFonts w:hint="default" w:ascii="Times New Roman" w:hAnsi="Times New Roman" w:eastAsia="宋体" w:cs="Times New Roman"/>
                      <w:b/>
                      <w:bCs/>
                      <w:color w:val="auto"/>
                      <w:kern w:val="0"/>
                      <w:sz w:val="21"/>
                      <w:szCs w:val="21"/>
                      <w:lang w:val="en-US" w:eastAsia="zh-CN" w:bidi="ar-SA"/>
                    </w:rPr>
                    <w:t>（4）污染物排放绩效水平准入要求</w:t>
                  </w:r>
                </w:p>
                <w:p w14:paraId="15D29346">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屠宰项目必须配套污水处理设施或进入城市污水管网。</w:t>
                  </w:r>
                </w:p>
                <w:p w14:paraId="784E7480">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14:paraId="72BCB3D3">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-到2023年底，力争全市生活垃圾焚烧处理能力占比达60%以上，各县（市）生活垃圾无害化处理率保持95%以上，乡镇及行政村生活垃圾收转运处置体系基本实现全覆盖。</w:t>
                  </w:r>
                </w:p>
                <w:p w14:paraId="16116C3F">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-到2025年，农药包装废弃物回收率达80%；粮油绿色高质高效示范区、茶叶主产区和现代农业园区农药包装废弃物回收率100%。</w:t>
                  </w:r>
                </w:p>
                <w:p w14:paraId="201C56E1">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-到2025年，全国主要农作物化肥、农药利用率达43%，测土配方施肥技术推广覆盖率保持在90%以上，控制农村面源污染，采取灌排分离等措施控制农田氮磷流失。</w:t>
                  </w:r>
                </w:p>
                <w:p w14:paraId="58215D91">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14:paraId="1C6D1C17">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-到2025年，废旧农膜回收利用率达到85%以上。</w:t>
                  </w:r>
                </w:p>
                <w:p w14:paraId="5CDD92D3">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-非金属矿行业绿色矿山建设要求：固体废物妥善处置率应达到100%；选矿废水重复利用率一般达到85%以上。</w:t>
                  </w:r>
                </w:p>
                <w:p w14:paraId="17D970B9">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p>
                <w:p w14:paraId="3B52C967">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p>
                <w:p w14:paraId="6B220E70">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p>
                <w:p w14:paraId="6AA7B585">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p>
                <w:p w14:paraId="66836847">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b/>
                      <w:bCs/>
                      <w:color w:val="auto"/>
                      <w:kern w:val="0"/>
                      <w:sz w:val="21"/>
                      <w:szCs w:val="21"/>
                      <w:lang w:val="en-US" w:eastAsia="zh-CN" w:bidi="ar-SA"/>
                    </w:rPr>
                  </w:pPr>
                  <w:r>
                    <w:rPr>
                      <w:rStyle w:val="31"/>
                      <w:rFonts w:hint="default" w:ascii="Times New Roman" w:hAnsi="Times New Roman" w:eastAsia="宋体" w:cs="Times New Roman"/>
                      <w:b/>
                      <w:bCs/>
                      <w:color w:val="auto"/>
                      <w:kern w:val="0"/>
                      <w:sz w:val="21"/>
                      <w:szCs w:val="21"/>
                      <w:lang w:val="en-US" w:eastAsia="zh-CN" w:bidi="ar-SA"/>
                    </w:rPr>
                    <w:t>（三）环境风险防控</w:t>
                  </w:r>
                </w:p>
                <w:p w14:paraId="1C9E721A">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b/>
                      <w:bCs/>
                      <w:color w:val="auto"/>
                      <w:kern w:val="0"/>
                      <w:sz w:val="21"/>
                      <w:szCs w:val="21"/>
                      <w:lang w:val="en-US" w:eastAsia="zh-CN" w:bidi="ar-SA"/>
                    </w:rPr>
                    <w:t>（1）联防联控要求</w:t>
                  </w:r>
                </w:p>
                <w:p w14:paraId="7F112F8A">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14:paraId="69960895">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b/>
                      <w:bCs/>
                      <w:color w:val="auto"/>
                      <w:kern w:val="0"/>
                      <w:sz w:val="21"/>
                      <w:szCs w:val="21"/>
                      <w:lang w:val="en-US" w:eastAsia="zh-CN" w:bidi="ar-SA"/>
                    </w:rPr>
                    <w:t>（2）其他环境风险防控要求</w:t>
                  </w:r>
                </w:p>
                <w:p w14:paraId="1BEE694B">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企业环境风险防控要求:工业企业退出用地，须经评估、修复满足相应用地功能后，方可改变用途。</w:t>
                  </w:r>
                </w:p>
                <w:p w14:paraId="77CB8B3F">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14:paraId="65DCF9D1">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定期对单元内尾矿库进行风险巡查，建立监测系统和环境风险应急预案；完善各尾矿库渗滤液收集、处理、回用系统，杜绝事故排放；尾矿库闭矿后因地制宜进行植被恢复和综合利用。</w:t>
                  </w:r>
                </w:p>
                <w:p w14:paraId="4A26E756">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规范排土场、渣场等整治。禁止处理不达标的污泥进入耕地。</w:t>
                  </w:r>
                </w:p>
                <w:p w14:paraId="0E96BEA9">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严格控制林地、草地、园地的农药使用量，禁止使用高毒、高残留农药。</w:t>
                  </w:r>
                </w:p>
                <w:p w14:paraId="366E2818">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到2030年，全市受污染耕地安全利用率达到95%以上，污染地块安全利用率达到95%以上。</w:t>
                  </w:r>
                </w:p>
                <w:p w14:paraId="177A8272">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p>
                <w:p w14:paraId="1B0E7914">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b/>
                      <w:bCs/>
                      <w:color w:val="auto"/>
                      <w:kern w:val="0"/>
                      <w:sz w:val="21"/>
                      <w:szCs w:val="21"/>
                      <w:lang w:val="en-US" w:eastAsia="zh-CN" w:bidi="ar-SA"/>
                    </w:rPr>
                  </w:pPr>
                  <w:r>
                    <w:rPr>
                      <w:rStyle w:val="31"/>
                      <w:rFonts w:hint="default" w:ascii="Times New Roman" w:hAnsi="Times New Roman" w:eastAsia="宋体" w:cs="Times New Roman"/>
                      <w:b/>
                      <w:bCs/>
                      <w:color w:val="auto"/>
                      <w:kern w:val="0"/>
                      <w:sz w:val="21"/>
                      <w:szCs w:val="21"/>
                      <w:lang w:val="en-US" w:eastAsia="zh-CN" w:bidi="ar-SA"/>
                    </w:rPr>
                    <w:t>（四）资源开发利用效率要求</w:t>
                  </w:r>
                </w:p>
                <w:p w14:paraId="7B09D1C9">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b/>
                      <w:bCs/>
                      <w:color w:val="auto"/>
                      <w:kern w:val="0"/>
                      <w:sz w:val="21"/>
                      <w:szCs w:val="21"/>
                      <w:lang w:val="en-US" w:eastAsia="zh-CN" w:bidi="ar-SA"/>
                    </w:rPr>
                    <w:t>（1）水资源利用总量要求</w:t>
                  </w:r>
                </w:p>
                <w:p w14:paraId="4C6BB835">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-到2025年，农田灌溉水有效利用系数达到0.57以上。</w:t>
                  </w:r>
                </w:p>
                <w:p w14:paraId="26D65514">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b/>
                      <w:bCs/>
                      <w:color w:val="auto"/>
                      <w:kern w:val="0"/>
                      <w:sz w:val="21"/>
                      <w:szCs w:val="21"/>
                      <w:lang w:val="en-US" w:eastAsia="zh-CN" w:bidi="ar-SA"/>
                    </w:rPr>
                    <w:t>（2）地下水开采要求：</w:t>
                  </w:r>
                  <w:r>
                    <w:rPr>
                      <w:rStyle w:val="31"/>
                      <w:rFonts w:hint="default" w:ascii="Times New Roman" w:hAnsi="Times New Roman" w:eastAsia="宋体" w:cs="Times New Roman"/>
                      <w:color w:val="auto"/>
                      <w:kern w:val="0"/>
                      <w:sz w:val="21"/>
                      <w:szCs w:val="21"/>
                      <w:lang w:val="en-US" w:eastAsia="zh-CN" w:bidi="ar-SA"/>
                    </w:rPr>
                    <w:t>以省市下发指标为准</w:t>
                  </w:r>
                </w:p>
                <w:p w14:paraId="5B9BD038">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b/>
                      <w:bCs/>
                      <w:color w:val="auto"/>
                      <w:kern w:val="0"/>
                      <w:sz w:val="21"/>
                      <w:szCs w:val="21"/>
                      <w:lang w:val="en-US" w:eastAsia="zh-CN" w:bidi="ar-SA"/>
                    </w:rPr>
                    <w:t>（3）能源利用总量及效率要求：</w:t>
                  </w:r>
                  <w:r>
                    <w:rPr>
                      <w:rStyle w:val="31"/>
                      <w:rFonts w:hint="default" w:ascii="Times New Roman" w:hAnsi="Times New Roman" w:eastAsia="宋体" w:cs="Times New Roman"/>
                      <w:color w:val="auto"/>
                      <w:kern w:val="0"/>
                      <w:sz w:val="21"/>
                      <w:szCs w:val="21"/>
                      <w:lang w:val="en-US" w:eastAsia="zh-CN" w:bidi="ar-SA"/>
                    </w:rPr>
                    <w:t>推进清洁能源的推广使用，全面推进散煤清洁化整治；禁止新建每小时10蒸吨以下的燃煤锅炉及其他燃煤设施。</w:t>
                  </w:r>
                </w:p>
                <w:p w14:paraId="2C14F003">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-禁止焚烧秸秆和垃圾，到2025年底，秸秆综合利用率达到86%以上。</w:t>
                  </w:r>
                </w:p>
                <w:p w14:paraId="580BCD55">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b/>
                      <w:bCs/>
                      <w:color w:val="auto"/>
                      <w:kern w:val="0"/>
                      <w:sz w:val="21"/>
                      <w:szCs w:val="21"/>
                      <w:lang w:val="en-US" w:eastAsia="zh-CN" w:bidi="ar-SA"/>
                    </w:rPr>
                    <w:t>（4）禁燃区要求</w:t>
                  </w:r>
                </w:p>
                <w:p w14:paraId="2D563037">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高污染燃料禁燃区内禁止燃用的燃料为《高污染燃料目录》（2017）中Ⅲ类（严格）燃料组合，包括：（一）煤炭及其制品；（二）石油焦、油页岩、原油、重油、渣油、煤焦油；（三）非专用锅炉或未配置高效除尘设施的专用锅炉燃用的生物质成型燃料。</w:t>
                  </w:r>
                </w:p>
                <w:p w14:paraId="110ABF04">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-禁燃区内禁止销售、燃用高污染燃料；禁止新建、改建、扩建燃用高污染燃料的设施和设备。</w:t>
                  </w:r>
                </w:p>
                <w:p w14:paraId="6698C20B">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-禁燃区内已建成的高污染燃料燃用设施由辖区人民政府制定限期改造计划，改用天然气、页岩气、液化石油气、电或其他清洁能源。</w:t>
                  </w:r>
                </w:p>
                <w:p w14:paraId="08DA9F8D">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Style w:val="31"/>
                      <w:rFonts w:hint="default" w:ascii="Times New Roman" w:hAnsi="Times New Roman" w:eastAsia="宋体" w:cs="Times New Roman"/>
                      <w:b/>
                      <w:bCs/>
                      <w:color w:val="auto"/>
                      <w:kern w:val="0"/>
                      <w:sz w:val="21"/>
                      <w:szCs w:val="21"/>
                      <w:lang w:val="en-US" w:eastAsia="zh-CN" w:bidi="ar-SA"/>
                    </w:rPr>
                  </w:pPr>
                  <w:r>
                    <w:rPr>
                      <w:rStyle w:val="31"/>
                      <w:rFonts w:hint="default" w:ascii="Times New Roman" w:hAnsi="Times New Roman" w:eastAsia="宋体" w:cs="Times New Roman"/>
                      <w:b/>
                      <w:bCs/>
                      <w:color w:val="auto"/>
                      <w:kern w:val="0"/>
                      <w:sz w:val="21"/>
                      <w:szCs w:val="21"/>
                      <w:lang w:val="en-US" w:eastAsia="zh-CN" w:bidi="ar-SA"/>
                    </w:rPr>
                    <w:t>（5）其他资源利用效率要求</w:t>
                  </w:r>
                </w:p>
                <w:p w14:paraId="2FAC48E8">
                  <w:pPr>
                    <w:pStyle w:val="89"/>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暂无。</w:t>
                  </w:r>
                </w:p>
              </w:tc>
              <w:tc>
                <w:tcPr>
                  <w:tcW w:w="652" w:type="dxa"/>
                  <w:tcBorders>
                    <w:tl2br w:val="nil"/>
                    <w:tr2bl w:val="nil"/>
                  </w:tcBorders>
                  <w:noWrap w:val="0"/>
                  <w:vAlign w:val="center"/>
                </w:tcPr>
                <w:p w14:paraId="7A57F9F8">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空间布局约束</w:t>
                  </w:r>
                </w:p>
              </w:tc>
              <w:tc>
                <w:tcPr>
                  <w:tcW w:w="3585" w:type="dxa"/>
                  <w:tcBorders>
                    <w:tl2br w:val="nil"/>
                    <w:tr2bl w:val="nil"/>
                  </w:tcBorders>
                  <w:shd w:val="clear" w:color="auto" w:fill="auto"/>
                  <w:noWrap w:val="0"/>
                  <w:vAlign w:val="center"/>
                </w:tcPr>
                <w:p w14:paraId="0733E4BB">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b/>
                      <w:bCs/>
                      <w:color w:val="auto"/>
                      <w:kern w:val="2"/>
                      <w:sz w:val="21"/>
                      <w:szCs w:val="21"/>
                      <w:highlight w:val="none"/>
                      <w:lang w:val="en-US" w:eastAsia="zh-CN" w:bidi="ar-SA"/>
                    </w:rPr>
                    <w:t>（1）禁止开发建设活动的要求</w:t>
                  </w:r>
                </w:p>
                <w:p w14:paraId="54C4051C">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同达州市一般管控单元总体准入要求</w:t>
                  </w:r>
                </w:p>
                <w:p w14:paraId="151372B7">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b/>
                      <w:bCs/>
                      <w:color w:val="auto"/>
                      <w:kern w:val="2"/>
                      <w:sz w:val="21"/>
                      <w:szCs w:val="21"/>
                      <w:highlight w:val="none"/>
                      <w:lang w:val="en-US" w:eastAsia="zh-CN" w:bidi="ar-SA"/>
                    </w:rPr>
                    <w:t>（2）限制开发建设活动的要求</w:t>
                  </w:r>
                </w:p>
                <w:p w14:paraId="4B53CFC1">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对四川省主体功能区划中的农产品主产区，应限制进行大规模高强度工业化城镇化开发，严格控制有色金属冶炼、石油加工、化工、焦化、电镀、制革等产能，原则上不增加产能</w:t>
                  </w:r>
                </w:p>
                <w:p w14:paraId="1BA43621">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其他同达州市一般管控单元总体准入要求</w:t>
                  </w:r>
                </w:p>
                <w:p w14:paraId="4E19EFC7">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b/>
                      <w:bCs/>
                      <w:color w:val="auto"/>
                      <w:kern w:val="2"/>
                      <w:sz w:val="21"/>
                      <w:szCs w:val="21"/>
                      <w:highlight w:val="none"/>
                      <w:lang w:val="en-US" w:eastAsia="zh-CN" w:bidi="ar-SA"/>
                    </w:rPr>
                    <w:t xml:space="preserve">（3）允许开发建设活动的要求 </w:t>
                  </w:r>
                </w:p>
                <w:p w14:paraId="37D1C9CB">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b/>
                      <w:bCs/>
                      <w:color w:val="auto"/>
                      <w:kern w:val="2"/>
                      <w:sz w:val="21"/>
                      <w:szCs w:val="21"/>
                      <w:highlight w:val="none"/>
                      <w:lang w:val="en-US" w:eastAsia="zh-CN" w:bidi="ar-SA"/>
                    </w:rPr>
                    <w:t>（4）不符合空间布局要求活动的退出要求</w:t>
                  </w:r>
                </w:p>
                <w:p w14:paraId="314B3C7A">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区外企业：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14:paraId="578864F8">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-其他同达州市一般管控单元总体准入要求</w:t>
                  </w:r>
                </w:p>
                <w:p w14:paraId="3AFAB42F">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b/>
                      <w:bCs/>
                      <w:color w:val="auto"/>
                      <w:kern w:val="2"/>
                      <w:sz w:val="21"/>
                      <w:szCs w:val="21"/>
                      <w:highlight w:val="none"/>
                      <w:lang w:val="en-US" w:eastAsia="zh-CN" w:bidi="ar-SA"/>
                    </w:rPr>
                    <w:t xml:space="preserve">（5）其他空间布局约束要求  </w:t>
                  </w:r>
                </w:p>
              </w:tc>
              <w:tc>
                <w:tcPr>
                  <w:tcW w:w="1829" w:type="dxa"/>
                  <w:tcBorders>
                    <w:tl2br w:val="nil"/>
                    <w:tr2bl w:val="nil"/>
                  </w:tcBorders>
                  <w:noWrap w:val="0"/>
                  <w:vAlign w:val="center"/>
                </w:tcPr>
                <w:p w14:paraId="5C63CCFE">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项目属于新建沥青混凝土搅拌站项目，不涉及矿山开采，不属于化工等禁止开发建设活动；不属于水泥行业，不属于高耗能、高排放、低水平项目，不涉及法定保护地等限制开发建设活动。同时也不属于不符合空间布局要求的情形。</w:t>
                  </w:r>
                </w:p>
                <w:p w14:paraId="788FF6FD">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根据宣汉县自然资源局出具的《情况说明》，项目选址位于已批准的工业用地范围内，不涉及永久基本农田、不涉及生态保护红线，符合空间布局及产业要求。项目虽属于工业园区外工业企业，但项目不属于禁止新建的企业，且企业已具备合法用地手续，无明显环境制约因素。项目生产过程中严格落实环评提出的各项污染防治措施和风险防范措施后，可确保污染物达标排放，且项目环境风险可控。加强日常环保监管，确保生产活动符合生态环境分区管控要求。</w:t>
                  </w:r>
                </w:p>
              </w:tc>
              <w:tc>
                <w:tcPr>
                  <w:tcW w:w="466" w:type="dxa"/>
                  <w:tcBorders>
                    <w:tl2br w:val="nil"/>
                    <w:tr2bl w:val="nil"/>
                  </w:tcBorders>
                  <w:noWrap w:val="0"/>
                  <w:vAlign w:val="center"/>
                </w:tcPr>
                <w:p w14:paraId="704C8368">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符合</w:t>
                  </w:r>
                </w:p>
              </w:tc>
            </w:tr>
            <w:tr w14:paraId="33528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vMerge w:val="continue"/>
                  <w:tcBorders>
                    <w:tl2br w:val="nil"/>
                    <w:tr2bl w:val="nil"/>
                  </w:tcBorders>
                  <w:noWrap w:val="0"/>
                  <w:vAlign w:val="center"/>
                </w:tcPr>
                <w:p w14:paraId="595C16C4">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YS5117032210004</w:t>
                  </w:r>
                </w:p>
              </w:tc>
              <w:tc>
                <w:tcPr>
                  <w:tcW w:w="772" w:type="dxa"/>
                  <w:vMerge w:val="continue"/>
                  <w:tcBorders>
                    <w:tl2br w:val="nil"/>
                    <w:tr2bl w:val="nil"/>
                  </w:tcBorders>
                  <w:noWrap w:val="0"/>
                  <w:vAlign w:val="center"/>
                </w:tcPr>
                <w:p w14:paraId="7405A1B0">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明月江-达川区-李家渡-控制单元</w:t>
                  </w:r>
                </w:p>
              </w:tc>
              <w:tc>
                <w:tcPr>
                  <w:tcW w:w="6761" w:type="dxa"/>
                  <w:vMerge w:val="continue"/>
                  <w:tcBorders>
                    <w:tl2br w:val="nil"/>
                    <w:tr2bl w:val="nil"/>
                  </w:tcBorders>
                  <w:noWrap w:val="0"/>
                  <w:vAlign w:val="top"/>
                </w:tcPr>
                <w:p w14:paraId="22EC4AD1">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空间布局约束：</w:t>
                  </w:r>
                </w:p>
                <w:p w14:paraId="451A7527">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禁止开发建设活动的要求</w:t>
                  </w:r>
                </w:p>
                <w:p w14:paraId="3B4D25BE">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74DB9F70">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限制开发建设活动的要求</w:t>
                  </w:r>
                </w:p>
                <w:p w14:paraId="12ED47D7">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11D2030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不符合空间布局要求活动的退出要求</w:t>
                  </w:r>
                </w:p>
                <w:p w14:paraId="4F28525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64F67170">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其他空间布局约束要求</w:t>
                  </w:r>
                </w:p>
                <w:p w14:paraId="7B5AADC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4F581F0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污染物排放管控：</w:t>
                  </w:r>
                </w:p>
                <w:p w14:paraId="51A8255F">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允许排放量要求</w:t>
                  </w:r>
                </w:p>
                <w:p w14:paraId="237BB92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31AA9DC6">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现有源提标升级改造</w:t>
                  </w:r>
                </w:p>
                <w:p w14:paraId="752BCEE0">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656D4CB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其他污染物排放管控要求</w:t>
                  </w:r>
                </w:p>
                <w:p w14:paraId="7DDFFB95">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58C31836">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环境风险防控：</w:t>
                  </w:r>
                </w:p>
                <w:p w14:paraId="089F98FB">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联防联控要求</w:t>
                  </w:r>
                </w:p>
                <w:p w14:paraId="30451DB5">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2A35AAB6">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其他环境风险防控要求</w:t>
                  </w:r>
                </w:p>
                <w:p w14:paraId="5BE3C7E9">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55820AFD">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资源开发利用效率要求：</w:t>
                  </w:r>
                </w:p>
                <w:p w14:paraId="764E1247">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水资源利用总量要求</w:t>
                  </w:r>
                </w:p>
                <w:p w14:paraId="64C66309">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15B7C8C9">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地下水开采要求</w:t>
                  </w:r>
                </w:p>
                <w:p w14:paraId="48EECC6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4C3B845B">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能源利用总量及效率要求</w:t>
                  </w:r>
                </w:p>
                <w:p w14:paraId="3E5DC205">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691A5A8B">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禁燃区要求</w:t>
                  </w:r>
                </w:p>
                <w:p w14:paraId="7678F935">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1DFA5FD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其他资源利用效率要求</w:t>
                  </w:r>
                </w:p>
                <w:p w14:paraId="67727B59">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tc>
              <w:tc>
                <w:tcPr>
                  <w:tcW w:w="652" w:type="dxa"/>
                  <w:tcBorders>
                    <w:tl2br w:val="nil"/>
                    <w:tr2bl w:val="nil"/>
                  </w:tcBorders>
                  <w:shd w:val="clear" w:color="auto" w:fill="auto"/>
                  <w:noWrap w:val="0"/>
                  <w:vAlign w:val="center"/>
                </w:tcPr>
                <w:p w14:paraId="6C394F0C">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污染物排放管控</w:t>
                  </w:r>
                </w:p>
              </w:tc>
              <w:tc>
                <w:tcPr>
                  <w:tcW w:w="3585" w:type="dxa"/>
                  <w:tcBorders>
                    <w:tl2br w:val="nil"/>
                    <w:tr2bl w:val="nil"/>
                  </w:tcBorders>
                  <w:shd w:val="clear" w:color="auto" w:fill="auto"/>
                  <w:noWrap w:val="0"/>
                  <w:vAlign w:val="center"/>
                </w:tcPr>
                <w:p w14:paraId="70B6CA82">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（1）现有源提标升级改造</w:t>
                  </w:r>
                </w:p>
                <w:p w14:paraId="3639D195">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同达州市一般管控单元总体准入要求</w:t>
                  </w:r>
                </w:p>
                <w:p w14:paraId="2DB05F35">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（2）新增源等量或倍量替代</w:t>
                  </w:r>
                </w:p>
                <w:p w14:paraId="15B51A23">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同达州市一般管控单元总体准入要求</w:t>
                  </w:r>
                </w:p>
                <w:p w14:paraId="038BBEB5">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（3）新增源排放标准限值</w:t>
                  </w:r>
                </w:p>
                <w:p w14:paraId="2E21966E">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同达州市一般管控单元总体准入要求</w:t>
                  </w:r>
                </w:p>
                <w:p w14:paraId="19FAE658">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（4）污染物排放绩效水平准入要求</w:t>
                  </w:r>
                </w:p>
                <w:p w14:paraId="7956410E">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-大气环境布局敏感和弱扩散重点管控区内，现有大气污染重点企业，限期进行深度治理或关停并转。</w:t>
                  </w:r>
                </w:p>
                <w:p w14:paraId="6A07DEFE">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-其它同达州市一般管控单元总体准入要求</w:t>
                  </w:r>
                </w:p>
                <w:p w14:paraId="13F0ACDB">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 xml:space="preserve">（5）其他污染物排放管控要求 </w:t>
                  </w:r>
                </w:p>
              </w:tc>
              <w:tc>
                <w:tcPr>
                  <w:tcW w:w="1829" w:type="dxa"/>
                  <w:tcBorders>
                    <w:tl2br w:val="nil"/>
                    <w:tr2bl w:val="nil"/>
                  </w:tcBorders>
                  <w:noWrap w:val="0"/>
                  <w:vAlign w:val="center"/>
                </w:tcPr>
                <w:p w14:paraId="367882C2">
                  <w:pPr>
                    <w:pStyle w:val="11"/>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2024年度宣汉县为水环境质量完成目标的、空气质量年平均浓度达标的城市。项目位于大气环境重点管控区，新增大气污染物实施总量削减替代，并按要求申请总量。</w:t>
                  </w:r>
                </w:p>
                <w:p w14:paraId="5643A5D3">
                  <w:pPr>
                    <w:pStyle w:val="11"/>
                    <w:keepNext w:val="0"/>
                    <w:keepLines w:val="0"/>
                    <w:pageBreakBefore w:val="0"/>
                    <w:kinsoku/>
                    <w:wordWrap/>
                    <w:overflowPunct/>
                    <w:topLinePunct w:val="0"/>
                    <w:autoSpaceDE/>
                    <w:autoSpaceDN/>
                    <w:bidi w:val="0"/>
                    <w:adjustRightInd/>
                    <w:snapToGrid/>
                    <w:spacing w:line="300" w:lineRule="exact"/>
                    <w:textAlignment w:val="auto"/>
                    <w:rPr>
                      <w:rStyle w:val="31"/>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项目废水收集率能达到100%，收集处理后全部回用不外排，满足污染物排放要求。废气经处理后能做到达标排放；生活垃圾收集后外运当地场镇交环卫处理。符合污染排放管控要求。</w:t>
                  </w:r>
                </w:p>
              </w:tc>
              <w:tc>
                <w:tcPr>
                  <w:tcW w:w="466" w:type="dxa"/>
                  <w:tcBorders>
                    <w:tl2br w:val="nil"/>
                    <w:tr2bl w:val="nil"/>
                  </w:tcBorders>
                  <w:noWrap w:val="0"/>
                  <w:vAlign w:val="center"/>
                </w:tcPr>
                <w:p w14:paraId="3CBA27EC">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符合</w:t>
                  </w:r>
                </w:p>
              </w:tc>
            </w:tr>
            <w:tr w14:paraId="31E0F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vMerge w:val="continue"/>
                  <w:tcBorders>
                    <w:tl2br w:val="nil"/>
                    <w:tr2bl w:val="nil"/>
                  </w:tcBorders>
                  <w:noWrap w:val="0"/>
                  <w:vAlign w:val="center"/>
                </w:tcPr>
                <w:p w14:paraId="4709FFD7">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YS5117032210004</w:t>
                  </w:r>
                </w:p>
              </w:tc>
              <w:tc>
                <w:tcPr>
                  <w:tcW w:w="772" w:type="dxa"/>
                  <w:vMerge w:val="continue"/>
                  <w:tcBorders>
                    <w:tl2br w:val="nil"/>
                    <w:tr2bl w:val="nil"/>
                  </w:tcBorders>
                  <w:noWrap w:val="0"/>
                  <w:vAlign w:val="center"/>
                </w:tcPr>
                <w:p w14:paraId="31476B27">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明月江-达川区-李家渡-控制单元</w:t>
                  </w:r>
                </w:p>
              </w:tc>
              <w:tc>
                <w:tcPr>
                  <w:tcW w:w="6761" w:type="dxa"/>
                  <w:vMerge w:val="continue"/>
                  <w:tcBorders>
                    <w:tl2br w:val="nil"/>
                    <w:tr2bl w:val="nil"/>
                  </w:tcBorders>
                  <w:noWrap w:val="0"/>
                  <w:vAlign w:val="top"/>
                </w:tcPr>
                <w:p w14:paraId="61FD06DE">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空间布局约束：</w:t>
                  </w:r>
                </w:p>
                <w:p w14:paraId="65C9CD47">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禁止开发建设活动的要求</w:t>
                  </w:r>
                </w:p>
                <w:p w14:paraId="022EDA6D">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76532A94">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限制开发建设活动的要求</w:t>
                  </w:r>
                </w:p>
                <w:p w14:paraId="7AD5C854">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0045DEC6">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不符合空间布局要求活动的退出要求</w:t>
                  </w:r>
                </w:p>
                <w:p w14:paraId="2B54FBCD">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0A5C2F54">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其他空间布局约束要求</w:t>
                  </w:r>
                </w:p>
                <w:p w14:paraId="56F8C6E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33F94E9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污染物排放管控：</w:t>
                  </w:r>
                </w:p>
                <w:p w14:paraId="00B3C11E">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允许排放量要求</w:t>
                  </w:r>
                </w:p>
                <w:p w14:paraId="4CFD8C95">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304050F6">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现有源提标升级改造</w:t>
                  </w:r>
                </w:p>
                <w:p w14:paraId="07BD064B">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18EBA9C0">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其他污染物排放管控要求</w:t>
                  </w:r>
                </w:p>
                <w:p w14:paraId="523B950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09468EB7">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环境风险防控：</w:t>
                  </w:r>
                </w:p>
                <w:p w14:paraId="74C0E7E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联防联控要求</w:t>
                  </w:r>
                </w:p>
                <w:p w14:paraId="63C130E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69401F6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其他环境风险防控要求</w:t>
                  </w:r>
                </w:p>
                <w:p w14:paraId="51649A0E">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6680DB1F">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资源开发利用效率要求：</w:t>
                  </w:r>
                </w:p>
                <w:p w14:paraId="584D857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水资源利用总量要求</w:t>
                  </w:r>
                </w:p>
                <w:p w14:paraId="1E250E2E">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6CF2ADD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地下水开采要求</w:t>
                  </w:r>
                </w:p>
                <w:p w14:paraId="0B952A56">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1987DE4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能源利用总量及效率要求</w:t>
                  </w:r>
                </w:p>
                <w:p w14:paraId="29CE2DE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3198CFE6">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禁燃区要求</w:t>
                  </w:r>
                </w:p>
                <w:p w14:paraId="784B5704">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67A3BC8F">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其他资源利用效率要求</w:t>
                  </w:r>
                </w:p>
                <w:p w14:paraId="31193734">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tc>
              <w:tc>
                <w:tcPr>
                  <w:tcW w:w="652" w:type="dxa"/>
                  <w:tcBorders>
                    <w:tl2br w:val="nil"/>
                    <w:tr2bl w:val="nil"/>
                  </w:tcBorders>
                  <w:shd w:val="clear" w:color="auto" w:fill="auto"/>
                  <w:noWrap w:val="0"/>
                  <w:vAlign w:val="center"/>
                </w:tcPr>
                <w:p w14:paraId="7341C99A">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环境风险防控</w:t>
                  </w:r>
                </w:p>
              </w:tc>
              <w:tc>
                <w:tcPr>
                  <w:tcW w:w="3585" w:type="dxa"/>
                  <w:tcBorders>
                    <w:tl2br w:val="nil"/>
                    <w:tr2bl w:val="nil"/>
                  </w:tcBorders>
                  <w:shd w:val="clear" w:color="auto" w:fill="auto"/>
                  <w:noWrap w:val="0"/>
                  <w:vAlign w:val="center"/>
                </w:tcPr>
                <w:p w14:paraId="75A09DB0">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（1）严格管控类农用地管控要求</w:t>
                  </w:r>
                </w:p>
                <w:p w14:paraId="4FF78F65">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同达州市一般管控单元总体准入要求</w:t>
                  </w:r>
                </w:p>
                <w:p w14:paraId="22FC2B98">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（2）安全利用类农用地管控要求</w:t>
                  </w:r>
                </w:p>
                <w:p w14:paraId="0A7FB6D7">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同达州市一般管控单元总体准入要求</w:t>
                  </w:r>
                </w:p>
                <w:p w14:paraId="04F20610">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（3）污染地块管控要求</w:t>
                  </w:r>
                </w:p>
                <w:p w14:paraId="5985F69E">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同达州市一般管控单元总体准入要求</w:t>
                  </w:r>
                </w:p>
                <w:p w14:paraId="7A28A9BA">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（4）园区环境风险防控要求</w:t>
                  </w:r>
                  <w:r>
                    <w:rPr>
                      <w:rStyle w:val="31"/>
                      <w:rFonts w:hint="default" w:ascii="Times New Roman" w:hAnsi="Times New Roman" w:eastAsia="宋体" w:cs="Times New Roman"/>
                      <w:color w:val="auto"/>
                      <w:kern w:val="2"/>
                      <w:sz w:val="21"/>
                      <w:szCs w:val="21"/>
                      <w:lang w:val="en-US" w:eastAsia="zh-CN" w:bidi="ar-SA"/>
                    </w:rPr>
                    <w:t xml:space="preserve"> </w:t>
                  </w:r>
                </w:p>
                <w:p w14:paraId="10DAE76D">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（5）企业环境风险防控要求</w:t>
                  </w:r>
                </w:p>
                <w:p w14:paraId="20B87DBB">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同达州市一般管控单元总体准入要求</w:t>
                  </w:r>
                </w:p>
                <w:p w14:paraId="5C969C9A">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 xml:space="preserve">（6）其他环境风险防控要求 </w:t>
                  </w:r>
                </w:p>
              </w:tc>
              <w:tc>
                <w:tcPr>
                  <w:tcW w:w="1829" w:type="dxa"/>
                  <w:tcBorders>
                    <w:tl2br w:val="nil"/>
                    <w:tr2bl w:val="nil"/>
                  </w:tcBorders>
                  <w:noWrap w:val="0"/>
                  <w:vAlign w:val="center"/>
                </w:tcPr>
                <w:p w14:paraId="06D9682C">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项目用地为工业用地，继续建设工业项目，不属于工业企业退出用地和改变用途。原土地不涉及有色金属矿采选、有色金属冶炼、石油加工、化工、焦化、电镀、制革、天然（页岩）气开采、铅蓄电池、汽车制造、农药、危废处置、电子拆解等行业用地。建成后，将完善环境风险防范措施和管理体系，并按要求编制《突发环境事件应急预案》，增强环境风险意识，守住环境安全底线。</w:t>
                  </w:r>
                </w:p>
              </w:tc>
              <w:tc>
                <w:tcPr>
                  <w:tcW w:w="466" w:type="dxa"/>
                  <w:tcBorders>
                    <w:tl2br w:val="nil"/>
                    <w:tr2bl w:val="nil"/>
                  </w:tcBorders>
                  <w:noWrap w:val="0"/>
                  <w:vAlign w:val="center"/>
                </w:tcPr>
                <w:p w14:paraId="14758B16">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符合</w:t>
                  </w:r>
                </w:p>
              </w:tc>
            </w:tr>
            <w:tr w14:paraId="3BBB4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vMerge w:val="continue"/>
                  <w:tcBorders>
                    <w:tl2br w:val="nil"/>
                    <w:tr2bl w:val="nil"/>
                  </w:tcBorders>
                  <w:noWrap w:val="0"/>
                  <w:vAlign w:val="center"/>
                </w:tcPr>
                <w:p w14:paraId="2739DD42">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YS5117032210004</w:t>
                  </w:r>
                </w:p>
              </w:tc>
              <w:tc>
                <w:tcPr>
                  <w:tcW w:w="772" w:type="dxa"/>
                  <w:vMerge w:val="continue"/>
                  <w:tcBorders>
                    <w:tl2br w:val="nil"/>
                    <w:tr2bl w:val="nil"/>
                  </w:tcBorders>
                  <w:noWrap w:val="0"/>
                  <w:vAlign w:val="center"/>
                </w:tcPr>
                <w:p w14:paraId="1176D8CB">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明月江-达川区-李家渡-控制单元</w:t>
                  </w:r>
                </w:p>
              </w:tc>
              <w:tc>
                <w:tcPr>
                  <w:tcW w:w="6761" w:type="dxa"/>
                  <w:vMerge w:val="continue"/>
                  <w:tcBorders>
                    <w:tl2br w:val="nil"/>
                    <w:tr2bl w:val="nil"/>
                  </w:tcBorders>
                  <w:noWrap w:val="0"/>
                  <w:vAlign w:val="top"/>
                </w:tcPr>
                <w:p w14:paraId="5A655406">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空间布局约束：</w:t>
                  </w:r>
                </w:p>
                <w:p w14:paraId="584513E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禁止开发建设活动的要求</w:t>
                  </w:r>
                </w:p>
                <w:p w14:paraId="1E3C7244">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73A3ACA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限制开发建设活动的要求</w:t>
                  </w:r>
                </w:p>
                <w:p w14:paraId="198FC0EE">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0E6409F1">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不符合空间布局要求活动的退出要求</w:t>
                  </w:r>
                </w:p>
                <w:p w14:paraId="4B93702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400ABEB4">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其他空间布局约束要求</w:t>
                  </w:r>
                </w:p>
                <w:p w14:paraId="530B630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46BC8694">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污染物排放管控：</w:t>
                  </w:r>
                </w:p>
                <w:p w14:paraId="3124258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允许排放量要求</w:t>
                  </w:r>
                </w:p>
                <w:p w14:paraId="4A2D5E5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5BE22020">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现有源提标升级改造</w:t>
                  </w:r>
                </w:p>
                <w:p w14:paraId="144FED0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04C937D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其他污染物排放管控要求</w:t>
                  </w:r>
                </w:p>
                <w:p w14:paraId="6B6460CD">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79F62134">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环境风险防控：</w:t>
                  </w:r>
                </w:p>
                <w:p w14:paraId="2FDD8265">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联防联控要求</w:t>
                  </w:r>
                </w:p>
                <w:p w14:paraId="21587B11">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18790F6E">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其他环境风险防控要求</w:t>
                  </w:r>
                </w:p>
                <w:p w14:paraId="610DB3DF">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43E18211">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资源开发利用效率要求：</w:t>
                  </w:r>
                </w:p>
                <w:p w14:paraId="295C9D0B">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水资源利用总量要求</w:t>
                  </w:r>
                </w:p>
                <w:p w14:paraId="184CD575">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1366D00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地下水开采要求</w:t>
                  </w:r>
                </w:p>
                <w:p w14:paraId="13D0E101">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54E234BD">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能源利用总量及效率要求</w:t>
                  </w:r>
                </w:p>
                <w:p w14:paraId="14546446">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4AE4FE05">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禁燃区要求</w:t>
                  </w:r>
                </w:p>
                <w:p w14:paraId="2BFDFB2E">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077CDC2D">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其他资源利用效率要求</w:t>
                  </w:r>
                </w:p>
                <w:p w14:paraId="5C574DE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tc>
              <w:tc>
                <w:tcPr>
                  <w:tcW w:w="652" w:type="dxa"/>
                  <w:tcBorders>
                    <w:tl2br w:val="nil"/>
                    <w:tr2bl w:val="nil"/>
                  </w:tcBorders>
                  <w:shd w:val="clear" w:color="auto" w:fill="auto"/>
                  <w:noWrap w:val="0"/>
                  <w:vAlign w:val="center"/>
                </w:tcPr>
                <w:p w14:paraId="076226EA">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资源开发效率要求</w:t>
                  </w:r>
                </w:p>
              </w:tc>
              <w:tc>
                <w:tcPr>
                  <w:tcW w:w="3585" w:type="dxa"/>
                  <w:tcBorders>
                    <w:tl2br w:val="nil"/>
                    <w:tr2bl w:val="nil"/>
                  </w:tcBorders>
                  <w:shd w:val="clear" w:color="auto" w:fill="auto"/>
                  <w:noWrap w:val="0"/>
                  <w:vAlign w:val="center"/>
                </w:tcPr>
                <w:p w14:paraId="75838482">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（1）水资源利用效率要求</w:t>
                  </w:r>
                </w:p>
                <w:p w14:paraId="1EA17711">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同达州市一般管控单元总体准入要求</w:t>
                  </w:r>
                </w:p>
                <w:p w14:paraId="28D2BCB9">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（2）地下水开采要求</w:t>
                  </w:r>
                </w:p>
                <w:p w14:paraId="5BF2101C">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同达州市一般管控单元总体准入要求</w:t>
                  </w:r>
                </w:p>
                <w:p w14:paraId="1BD59576">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（3）能源利用效率要求</w:t>
                  </w:r>
                </w:p>
                <w:p w14:paraId="3489A0CF">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同达州市一般管控单元总体准入要求</w:t>
                  </w:r>
                </w:p>
                <w:p w14:paraId="450A01A7">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 xml:space="preserve">（4）其他资源利用效率要求 </w:t>
                  </w:r>
                </w:p>
              </w:tc>
              <w:tc>
                <w:tcPr>
                  <w:tcW w:w="1829" w:type="dxa"/>
                  <w:tcBorders>
                    <w:tl2br w:val="nil"/>
                    <w:tr2bl w:val="nil"/>
                  </w:tcBorders>
                  <w:noWrap w:val="0"/>
                  <w:vAlign w:val="center"/>
                </w:tcPr>
                <w:p w14:paraId="2AE56B64">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本项目不属于高耗水类项目，生产用水来源大路煤矿矿井涌水，不涉及地下水开采；能源主要为电能、轻质油，不属于高污染燃料。</w:t>
                  </w:r>
                </w:p>
              </w:tc>
              <w:tc>
                <w:tcPr>
                  <w:tcW w:w="466" w:type="dxa"/>
                  <w:tcBorders>
                    <w:tl2br w:val="nil"/>
                    <w:tr2bl w:val="nil"/>
                  </w:tcBorders>
                  <w:noWrap w:val="0"/>
                  <w:vAlign w:val="center"/>
                </w:tcPr>
                <w:p w14:paraId="468B99A2">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符合</w:t>
                  </w:r>
                </w:p>
              </w:tc>
            </w:tr>
            <w:tr w14:paraId="082D8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vMerge w:val="restart"/>
                  <w:tcBorders>
                    <w:tl2br w:val="nil"/>
                    <w:tr2bl w:val="nil"/>
                  </w:tcBorders>
                  <w:shd w:val="clear" w:color="auto" w:fill="auto"/>
                  <w:noWrap w:val="0"/>
                  <w:vAlign w:val="center"/>
                </w:tcPr>
                <w:p w14:paraId="6425B415">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YS5117222320001</w:t>
                  </w:r>
                </w:p>
              </w:tc>
              <w:tc>
                <w:tcPr>
                  <w:tcW w:w="772" w:type="dxa"/>
                  <w:vMerge w:val="restart"/>
                  <w:tcBorders>
                    <w:tl2br w:val="nil"/>
                    <w:tr2bl w:val="nil"/>
                  </w:tcBorders>
                  <w:shd w:val="clear" w:color="auto" w:fill="auto"/>
                  <w:noWrap w:val="0"/>
                  <w:vAlign w:val="center"/>
                </w:tcPr>
                <w:p w14:paraId="780A0F0D">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宣汉县大气环境布局敏感重点管控区</w:t>
                  </w:r>
                </w:p>
              </w:tc>
              <w:tc>
                <w:tcPr>
                  <w:tcW w:w="6761" w:type="dxa"/>
                  <w:vMerge w:val="continue"/>
                  <w:tcBorders>
                    <w:tl2br w:val="nil"/>
                    <w:tr2bl w:val="nil"/>
                  </w:tcBorders>
                  <w:noWrap w:val="0"/>
                  <w:vAlign w:val="top"/>
                </w:tcPr>
                <w:p w14:paraId="6DF528BD">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空间布局约束：</w:t>
                  </w:r>
                </w:p>
                <w:p w14:paraId="111608A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禁止开发建设活动的要求</w:t>
                  </w:r>
                </w:p>
                <w:p w14:paraId="7A087C25">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0396E4BD">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限制开发建设活动的要求</w:t>
                  </w:r>
                </w:p>
                <w:p w14:paraId="16A02CB7">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2057D0B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不符合空间布局要求活动的退出要求</w:t>
                  </w:r>
                </w:p>
                <w:p w14:paraId="58DF47D6">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25423595">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其他空间布局约束要求</w:t>
                  </w:r>
                </w:p>
                <w:p w14:paraId="4BA80F1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24F172C9">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污染物排放管控：</w:t>
                  </w:r>
                </w:p>
                <w:p w14:paraId="7007BE0E">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允许排放量要求</w:t>
                  </w:r>
                </w:p>
                <w:p w14:paraId="626B371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1DFA4055">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现有源提标升级改造</w:t>
                  </w:r>
                </w:p>
                <w:p w14:paraId="6B1044E9">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4E2E986E">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其他污染物排放管控要求</w:t>
                  </w:r>
                </w:p>
                <w:p w14:paraId="5234B3B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5E577785">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环境风险防控：</w:t>
                  </w:r>
                </w:p>
                <w:p w14:paraId="226D43C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联防联控要求</w:t>
                  </w:r>
                </w:p>
                <w:p w14:paraId="3ADB5910">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77F9273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其他环境风险防控要求</w:t>
                  </w:r>
                </w:p>
                <w:p w14:paraId="0636FE3F">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48AE505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资源开发利用效率要求：</w:t>
                  </w:r>
                </w:p>
                <w:p w14:paraId="0ECAB39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水资源利用总量要求</w:t>
                  </w:r>
                </w:p>
                <w:p w14:paraId="469A699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2DAA8D9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地下水开采要求</w:t>
                  </w:r>
                </w:p>
                <w:p w14:paraId="6CE07F09">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67AE2C0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能源利用总量及效率要求</w:t>
                  </w:r>
                </w:p>
                <w:p w14:paraId="5178F17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6E4BF8AF">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禁燃区要求</w:t>
                  </w:r>
                </w:p>
                <w:p w14:paraId="1B0B6726">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3EEA3681">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其他资源利用效率要求</w:t>
                  </w:r>
                </w:p>
                <w:p w14:paraId="0D014B4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tc>
              <w:tc>
                <w:tcPr>
                  <w:tcW w:w="652" w:type="dxa"/>
                  <w:tcBorders>
                    <w:tl2br w:val="nil"/>
                    <w:tr2bl w:val="nil"/>
                  </w:tcBorders>
                  <w:shd w:val="clear" w:color="auto" w:fill="auto"/>
                  <w:noWrap w:val="0"/>
                  <w:vAlign w:val="center"/>
                </w:tcPr>
                <w:p w14:paraId="17DA6C1D">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空间布局约束</w:t>
                  </w:r>
                </w:p>
              </w:tc>
              <w:tc>
                <w:tcPr>
                  <w:tcW w:w="3585" w:type="dxa"/>
                  <w:tcBorders>
                    <w:tl2br w:val="nil"/>
                    <w:tr2bl w:val="nil"/>
                  </w:tcBorders>
                  <w:shd w:val="clear" w:color="auto" w:fill="auto"/>
                  <w:noWrap w:val="0"/>
                  <w:vAlign w:val="center"/>
                </w:tcPr>
                <w:p w14:paraId="63A3BD8F">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（1）禁止开发建设活动的要求</w:t>
                  </w:r>
                </w:p>
                <w:p w14:paraId="594C6317">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1、坚决遏制高耗能、高排放、低水平项目盲目发展，严格落实国家和四川省产业规划、产业政策、规划环评，以及产能置换、煤炭消费减量替代、区域污染物削减等要求，坚决叫停不符合要求的高耗能、高排放、低水平项目2、严禁新增钢铁、焦化、炼油、电解铝、水泥、平板玻璃（不含光伏玻璃）等产能</w:t>
                  </w:r>
                </w:p>
                <w:p w14:paraId="05BA3EC6">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 xml:space="preserve">（2）限制开发建设活动的要求 </w:t>
                  </w:r>
                </w:p>
                <w:p w14:paraId="351D1DED">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 xml:space="preserve">（3）允许开发建设活动的要求 </w:t>
                  </w:r>
                </w:p>
                <w:p w14:paraId="098E1307">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 xml:space="preserve">（4）不符合空间布局要求活动的退出要求 </w:t>
                  </w:r>
                </w:p>
                <w:p w14:paraId="76627634">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 xml:space="preserve">（5）其他空间布局约束要求 </w:t>
                  </w:r>
                </w:p>
              </w:tc>
              <w:tc>
                <w:tcPr>
                  <w:tcW w:w="1829" w:type="dxa"/>
                  <w:tcBorders>
                    <w:tl2br w:val="nil"/>
                    <w:tr2bl w:val="nil"/>
                  </w:tcBorders>
                  <w:noWrap w:val="0"/>
                  <w:vAlign w:val="center"/>
                </w:tcPr>
                <w:p w14:paraId="7CE42ACF">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center"/>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项目为沥青混凝土搅拌，不属于禁止开发建设活动的项目，符合空间布局要求。</w:t>
                  </w:r>
                </w:p>
              </w:tc>
              <w:tc>
                <w:tcPr>
                  <w:tcW w:w="466" w:type="dxa"/>
                  <w:tcBorders>
                    <w:tl2br w:val="nil"/>
                    <w:tr2bl w:val="nil"/>
                  </w:tcBorders>
                  <w:noWrap w:val="0"/>
                  <w:vAlign w:val="center"/>
                </w:tcPr>
                <w:p w14:paraId="78FEAA84">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符合</w:t>
                  </w:r>
                </w:p>
              </w:tc>
            </w:tr>
            <w:tr w14:paraId="4FB6C1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vMerge w:val="continue"/>
                  <w:tcBorders>
                    <w:tl2br w:val="nil"/>
                    <w:tr2bl w:val="nil"/>
                  </w:tcBorders>
                  <w:noWrap w:val="0"/>
                  <w:vAlign w:val="center"/>
                </w:tcPr>
                <w:p w14:paraId="32235196">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YS5117032310004</w:t>
                  </w:r>
                </w:p>
              </w:tc>
              <w:tc>
                <w:tcPr>
                  <w:tcW w:w="772" w:type="dxa"/>
                  <w:vMerge w:val="continue"/>
                  <w:tcBorders>
                    <w:tl2br w:val="nil"/>
                    <w:tr2bl w:val="nil"/>
                  </w:tcBorders>
                  <w:noWrap w:val="0"/>
                  <w:vAlign w:val="center"/>
                </w:tcPr>
                <w:p w14:paraId="78EE8DAA">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四川达州东部经济开发区麻柳智造城园区</w:t>
                  </w:r>
                </w:p>
              </w:tc>
              <w:tc>
                <w:tcPr>
                  <w:tcW w:w="6761" w:type="dxa"/>
                  <w:vMerge w:val="continue"/>
                  <w:tcBorders>
                    <w:tl2br w:val="nil"/>
                    <w:tr2bl w:val="nil"/>
                  </w:tcBorders>
                  <w:noWrap w:val="0"/>
                  <w:vAlign w:val="top"/>
                </w:tcPr>
                <w:p w14:paraId="5D38518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空间布局约束：</w:t>
                  </w:r>
                </w:p>
                <w:p w14:paraId="0E4ACA2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禁止开发建设活动的要求</w:t>
                  </w:r>
                </w:p>
                <w:p w14:paraId="43A97466">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05F2927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限制开发建设活动的要求</w:t>
                  </w:r>
                </w:p>
                <w:p w14:paraId="6E3BB3CF">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1EA7581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不符合空间布局要求活动的退出要求</w:t>
                  </w:r>
                </w:p>
                <w:p w14:paraId="155CED31">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7E5C236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其他空间布局约束要求</w:t>
                  </w:r>
                </w:p>
                <w:p w14:paraId="0D8AFEB6">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5428D99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污染物排放管控：</w:t>
                  </w:r>
                </w:p>
                <w:p w14:paraId="37D33947">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允许排放量要求</w:t>
                  </w:r>
                </w:p>
                <w:p w14:paraId="62D4EEFF">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36C61D21">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现有源提标升级改造</w:t>
                  </w:r>
                </w:p>
                <w:p w14:paraId="1F5D3415">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7C67B891">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其他污染物排放管控要求</w:t>
                  </w:r>
                </w:p>
                <w:p w14:paraId="2A329006">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2C05340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环境风险防控：</w:t>
                  </w:r>
                </w:p>
                <w:p w14:paraId="55D34556">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联防联控要求</w:t>
                  </w:r>
                </w:p>
                <w:p w14:paraId="0F279266">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31E7D3B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其他环境风险防控要求</w:t>
                  </w:r>
                </w:p>
                <w:p w14:paraId="5CFFCEEB">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2A5DEC70">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资源开发利用效率要求：</w:t>
                  </w:r>
                </w:p>
                <w:p w14:paraId="691B46D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水资源利用总量要求</w:t>
                  </w:r>
                </w:p>
                <w:p w14:paraId="2370EA4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0CF87BDB">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地下水开采要求</w:t>
                  </w:r>
                </w:p>
                <w:p w14:paraId="3A8D8C0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1610332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能源利用总量及效率要求</w:t>
                  </w:r>
                </w:p>
                <w:p w14:paraId="28CF123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52D9565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禁燃区要求</w:t>
                  </w:r>
                </w:p>
                <w:p w14:paraId="1D2E68D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6F90B65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其他资源利用效率要求</w:t>
                  </w:r>
                </w:p>
                <w:p w14:paraId="4AA36D7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tc>
              <w:tc>
                <w:tcPr>
                  <w:tcW w:w="652" w:type="dxa"/>
                  <w:tcBorders>
                    <w:tl2br w:val="nil"/>
                    <w:tr2bl w:val="nil"/>
                  </w:tcBorders>
                  <w:shd w:val="clear" w:color="auto" w:fill="auto"/>
                  <w:noWrap w:val="0"/>
                  <w:vAlign w:val="center"/>
                </w:tcPr>
                <w:p w14:paraId="4A6328E8">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污染物排放管控</w:t>
                  </w:r>
                </w:p>
              </w:tc>
              <w:tc>
                <w:tcPr>
                  <w:tcW w:w="3585" w:type="dxa"/>
                  <w:tcBorders>
                    <w:tl2br w:val="nil"/>
                    <w:tr2bl w:val="nil"/>
                  </w:tcBorders>
                  <w:shd w:val="clear" w:color="auto" w:fill="auto"/>
                  <w:noWrap w:val="0"/>
                  <w:vAlign w:val="center"/>
                </w:tcPr>
                <w:p w14:paraId="73A92279">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（1）大气环境质量执行标准</w:t>
                  </w:r>
                </w:p>
                <w:p w14:paraId="71EDDD3A">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val="0"/>
                      <w:bCs w:val="0"/>
                      <w:color w:val="auto"/>
                      <w:kern w:val="2"/>
                      <w:sz w:val="21"/>
                      <w:szCs w:val="21"/>
                      <w:lang w:val="en-US" w:eastAsia="zh-CN" w:bidi="ar-SA"/>
                    </w:rPr>
                  </w:pPr>
                  <w:r>
                    <w:rPr>
                      <w:rStyle w:val="31"/>
                      <w:rFonts w:hint="default" w:ascii="Times New Roman" w:hAnsi="Times New Roman" w:eastAsia="宋体" w:cs="Times New Roman"/>
                      <w:b w:val="0"/>
                      <w:bCs w:val="0"/>
                      <w:color w:val="auto"/>
                      <w:kern w:val="2"/>
                      <w:sz w:val="21"/>
                      <w:szCs w:val="21"/>
                      <w:lang w:val="en-US" w:eastAsia="zh-CN" w:bidi="ar-SA"/>
                    </w:rPr>
                    <w:t>《环境空气质量标准》（GB3095-2012）：二级</w:t>
                  </w:r>
                </w:p>
                <w:p w14:paraId="5368817E">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（2）区域大气污染物削减/替代要求</w:t>
                  </w:r>
                </w:p>
                <w:p w14:paraId="416EAE8C">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（3）燃煤和其他能源大气污染控制要求</w:t>
                  </w:r>
                </w:p>
                <w:p w14:paraId="7A89EF96">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（4）工业废气污染控制要求</w:t>
                  </w:r>
                </w:p>
                <w:p w14:paraId="69E7D495">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（5）机动车船大气污染控制要求</w:t>
                  </w:r>
                </w:p>
                <w:p w14:paraId="51C85007">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（6）扬尘污染控制要求</w:t>
                  </w:r>
                </w:p>
                <w:p w14:paraId="097F600E">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（7）农业生产经营活动大气污染控制要求</w:t>
                  </w:r>
                </w:p>
                <w:p w14:paraId="19CB6748">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（8）重点行业企业专项治理要求</w:t>
                  </w:r>
                </w:p>
                <w:p w14:paraId="2ADD4C3D">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（9）其他大气污染物排放管控要求</w:t>
                  </w:r>
                </w:p>
              </w:tc>
              <w:tc>
                <w:tcPr>
                  <w:tcW w:w="1829" w:type="dxa"/>
                  <w:tcBorders>
                    <w:tl2br w:val="nil"/>
                    <w:tr2bl w:val="nil"/>
                  </w:tcBorders>
                  <w:noWrap w:val="0"/>
                  <w:vAlign w:val="center"/>
                </w:tcPr>
                <w:p w14:paraId="6F4B8E35">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项目区域环境空气质量执行《环境空气质量标准》 （GB3095-2012）二级标准。</w:t>
                  </w:r>
                </w:p>
                <w:p w14:paraId="508275AA">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本项目使用轻质油为燃料，项目产生的VOCs采用密闭管道收集至燃烧器高温燃烧处理后，再经过两级除尘系统能做到达标排放。</w:t>
                  </w:r>
                </w:p>
                <w:p w14:paraId="6EB7F2E8">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p>
              </w:tc>
              <w:tc>
                <w:tcPr>
                  <w:tcW w:w="466" w:type="dxa"/>
                  <w:tcBorders>
                    <w:tl2br w:val="nil"/>
                    <w:tr2bl w:val="nil"/>
                  </w:tcBorders>
                  <w:noWrap w:val="0"/>
                  <w:vAlign w:val="center"/>
                </w:tcPr>
                <w:p w14:paraId="3C0BDD15">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符合</w:t>
                  </w:r>
                </w:p>
              </w:tc>
            </w:tr>
            <w:tr w14:paraId="42CBA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vMerge w:val="continue"/>
                  <w:tcBorders>
                    <w:tl2br w:val="nil"/>
                    <w:tr2bl w:val="nil"/>
                  </w:tcBorders>
                  <w:noWrap w:val="0"/>
                  <w:vAlign w:val="center"/>
                </w:tcPr>
                <w:p w14:paraId="7CDAAF5F">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YS5117032310004</w:t>
                  </w:r>
                </w:p>
              </w:tc>
              <w:tc>
                <w:tcPr>
                  <w:tcW w:w="772" w:type="dxa"/>
                  <w:vMerge w:val="continue"/>
                  <w:tcBorders>
                    <w:tl2br w:val="nil"/>
                    <w:tr2bl w:val="nil"/>
                  </w:tcBorders>
                  <w:noWrap w:val="0"/>
                  <w:vAlign w:val="center"/>
                </w:tcPr>
                <w:p w14:paraId="6FC9287A">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四川达州东部经济开发区麻柳智造城园区</w:t>
                  </w:r>
                </w:p>
              </w:tc>
              <w:tc>
                <w:tcPr>
                  <w:tcW w:w="6761" w:type="dxa"/>
                  <w:vMerge w:val="continue"/>
                  <w:tcBorders>
                    <w:tl2br w:val="nil"/>
                    <w:tr2bl w:val="nil"/>
                  </w:tcBorders>
                  <w:noWrap w:val="0"/>
                  <w:vAlign w:val="top"/>
                </w:tcPr>
                <w:p w14:paraId="34C058B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空间布局约束：</w:t>
                  </w:r>
                </w:p>
                <w:p w14:paraId="4F498B85">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禁止开发建设活动的要求</w:t>
                  </w:r>
                </w:p>
                <w:p w14:paraId="5DBEF31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4C1A413D">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限制开发建设活动的要求</w:t>
                  </w:r>
                </w:p>
                <w:p w14:paraId="4E4C82AE">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73F3684E">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不符合空间布局要求活动的退出要求</w:t>
                  </w:r>
                </w:p>
                <w:p w14:paraId="2CAB511B">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62D8EC2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其他空间布局约束要求</w:t>
                  </w:r>
                </w:p>
                <w:p w14:paraId="0CC8DD9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5ED80DE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污染物排放管控：</w:t>
                  </w:r>
                </w:p>
                <w:p w14:paraId="4306951D">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允许排放量要求</w:t>
                  </w:r>
                </w:p>
                <w:p w14:paraId="0E853B40">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5FD6386B">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现有源提标升级改造</w:t>
                  </w:r>
                </w:p>
                <w:p w14:paraId="02F4D92D">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24A0476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其他污染物排放管控要求</w:t>
                  </w:r>
                </w:p>
                <w:p w14:paraId="2F3DB65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3EFE929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环境风险防控：</w:t>
                  </w:r>
                </w:p>
                <w:p w14:paraId="1C6F9DA0">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联防联控要求</w:t>
                  </w:r>
                </w:p>
                <w:p w14:paraId="0B710336">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30047055">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其他环境风险防控要求</w:t>
                  </w:r>
                </w:p>
                <w:p w14:paraId="150A4B9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5BEC0C79">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资源开发利用效率要求：</w:t>
                  </w:r>
                </w:p>
                <w:p w14:paraId="6B59F3D0">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水资源利用总量要求</w:t>
                  </w:r>
                </w:p>
                <w:p w14:paraId="5EE9D75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0AB6919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地下水开采要求</w:t>
                  </w:r>
                </w:p>
                <w:p w14:paraId="2652AE9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2C1A4E19">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能源利用总量及效率要求</w:t>
                  </w:r>
                </w:p>
                <w:p w14:paraId="16C8B7AB">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408BD9EE">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禁燃区要求</w:t>
                  </w:r>
                </w:p>
                <w:p w14:paraId="3E7A689D">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6946FEED">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其他资源利用效率要求</w:t>
                  </w:r>
                </w:p>
                <w:p w14:paraId="462D39B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tc>
              <w:tc>
                <w:tcPr>
                  <w:tcW w:w="652" w:type="dxa"/>
                  <w:tcBorders>
                    <w:tl2br w:val="nil"/>
                    <w:tr2bl w:val="nil"/>
                  </w:tcBorders>
                  <w:noWrap w:val="0"/>
                  <w:vAlign w:val="center"/>
                </w:tcPr>
                <w:p w14:paraId="27DC1680">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环境风险防控</w:t>
                  </w:r>
                </w:p>
              </w:tc>
              <w:tc>
                <w:tcPr>
                  <w:tcW w:w="3585" w:type="dxa"/>
                  <w:vMerge w:val="restart"/>
                  <w:tcBorders>
                    <w:tl2br w:val="nil"/>
                    <w:tr2bl w:val="nil"/>
                  </w:tcBorders>
                  <w:noWrap w:val="0"/>
                  <w:vAlign w:val="center"/>
                </w:tcPr>
                <w:p w14:paraId="0CD56ECF">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w:t>
                  </w:r>
                </w:p>
              </w:tc>
              <w:tc>
                <w:tcPr>
                  <w:tcW w:w="1829" w:type="dxa"/>
                  <w:tcBorders>
                    <w:tl2br w:val="nil"/>
                    <w:tr2bl w:val="nil"/>
                  </w:tcBorders>
                  <w:noWrap w:val="0"/>
                  <w:vAlign w:val="center"/>
                </w:tcPr>
                <w:p w14:paraId="1F1E46DB">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center"/>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w:t>
                  </w:r>
                </w:p>
              </w:tc>
              <w:tc>
                <w:tcPr>
                  <w:tcW w:w="466" w:type="dxa"/>
                  <w:tcBorders>
                    <w:tl2br w:val="nil"/>
                    <w:tr2bl w:val="nil"/>
                  </w:tcBorders>
                  <w:noWrap w:val="0"/>
                  <w:vAlign w:val="center"/>
                </w:tcPr>
                <w:p w14:paraId="478FA6E7">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center"/>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w:t>
                  </w:r>
                </w:p>
              </w:tc>
            </w:tr>
            <w:tr w14:paraId="3E72D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vMerge w:val="continue"/>
                  <w:tcBorders>
                    <w:tl2br w:val="nil"/>
                    <w:tr2bl w:val="nil"/>
                  </w:tcBorders>
                  <w:noWrap w:val="0"/>
                  <w:vAlign w:val="center"/>
                </w:tcPr>
                <w:p w14:paraId="287E448A">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YS5117032310004</w:t>
                  </w:r>
                </w:p>
              </w:tc>
              <w:tc>
                <w:tcPr>
                  <w:tcW w:w="772" w:type="dxa"/>
                  <w:vMerge w:val="continue"/>
                  <w:tcBorders>
                    <w:tl2br w:val="nil"/>
                    <w:tr2bl w:val="nil"/>
                  </w:tcBorders>
                  <w:noWrap w:val="0"/>
                  <w:vAlign w:val="center"/>
                </w:tcPr>
                <w:p w14:paraId="50D399EE">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四川达州东部经济开发区麻柳智造城园区</w:t>
                  </w:r>
                </w:p>
              </w:tc>
              <w:tc>
                <w:tcPr>
                  <w:tcW w:w="6761" w:type="dxa"/>
                  <w:vMerge w:val="continue"/>
                  <w:tcBorders>
                    <w:tl2br w:val="nil"/>
                    <w:tr2bl w:val="nil"/>
                  </w:tcBorders>
                  <w:noWrap w:val="0"/>
                  <w:vAlign w:val="top"/>
                </w:tcPr>
                <w:p w14:paraId="282854B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空间布局约束：</w:t>
                  </w:r>
                </w:p>
                <w:p w14:paraId="1F7B6D7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禁止开发建设活动的要求</w:t>
                  </w:r>
                </w:p>
                <w:p w14:paraId="744F953D">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4491F00E">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限制开发建设活动的要求</w:t>
                  </w:r>
                </w:p>
                <w:p w14:paraId="2A09C60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74FE2020">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不符合空间布局要求活动的退出要求</w:t>
                  </w:r>
                </w:p>
                <w:p w14:paraId="0049A426">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256A0F41">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其他空间布局约束要求</w:t>
                  </w:r>
                </w:p>
                <w:p w14:paraId="36F7CB6E">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292531CE">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污染物排放管控：</w:t>
                  </w:r>
                </w:p>
                <w:p w14:paraId="72860B0B">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允许排放量要求</w:t>
                  </w:r>
                </w:p>
                <w:p w14:paraId="5B977A5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462E9C40">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现有源提标升级改造</w:t>
                  </w:r>
                </w:p>
                <w:p w14:paraId="489504DD">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17F607B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其他污染物排放管控要求</w:t>
                  </w:r>
                </w:p>
                <w:p w14:paraId="4C275AC7">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1C1E2BA9">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环境风险防控：</w:t>
                  </w:r>
                </w:p>
                <w:p w14:paraId="0F1754B7">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联防联控要求</w:t>
                  </w:r>
                </w:p>
                <w:p w14:paraId="125690C6">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05846ED0">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其他环境风险防控要求</w:t>
                  </w:r>
                </w:p>
                <w:p w14:paraId="4473D804">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1A4F944F">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资源开发利用效率要求：</w:t>
                  </w:r>
                </w:p>
                <w:p w14:paraId="6697817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水资源利用总量要求</w:t>
                  </w:r>
                </w:p>
                <w:p w14:paraId="5E971C0E">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58AF6F1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地下水开采要求</w:t>
                  </w:r>
                </w:p>
                <w:p w14:paraId="3DAD3DF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171AC501">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能源利用总量及效率要求</w:t>
                  </w:r>
                </w:p>
                <w:p w14:paraId="1FFF1685">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7A006B0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禁燃区要求</w:t>
                  </w:r>
                </w:p>
                <w:p w14:paraId="5793E32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3A0430CF">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其他资源利用效率要求</w:t>
                  </w:r>
                </w:p>
                <w:p w14:paraId="0F669D2F">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tc>
              <w:tc>
                <w:tcPr>
                  <w:tcW w:w="652" w:type="dxa"/>
                  <w:tcBorders>
                    <w:tl2br w:val="nil"/>
                    <w:tr2bl w:val="nil"/>
                  </w:tcBorders>
                  <w:noWrap w:val="0"/>
                  <w:vAlign w:val="center"/>
                </w:tcPr>
                <w:p w14:paraId="66D2C7D3">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资源开发效率要求</w:t>
                  </w:r>
                </w:p>
              </w:tc>
              <w:tc>
                <w:tcPr>
                  <w:tcW w:w="3585" w:type="dxa"/>
                  <w:vMerge w:val="continue"/>
                  <w:tcBorders>
                    <w:tl2br w:val="nil"/>
                    <w:tr2bl w:val="nil"/>
                  </w:tcBorders>
                  <w:noWrap w:val="0"/>
                  <w:vAlign w:val="center"/>
                </w:tcPr>
                <w:p w14:paraId="4455D244">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w:t>
                  </w:r>
                </w:p>
              </w:tc>
              <w:tc>
                <w:tcPr>
                  <w:tcW w:w="1829" w:type="dxa"/>
                  <w:tcBorders>
                    <w:tl2br w:val="nil"/>
                    <w:tr2bl w:val="nil"/>
                  </w:tcBorders>
                  <w:noWrap w:val="0"/>
                  <w:vAlign w:val="center"/>
                </w:tcPr>
                <w:p w14:paraId="343F47F5">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center"/>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w:t>
                  </w:r>
                </w:p>
              </w:tc>
              <w:tc>
                <w:tcPr>
                  <w:tcW w:w="466" w:type="dxa"/>
                  <w:tcBorders>
                    <w:tl2br w:val="nil"/>
                    <w:tr2bl w:val="nil"/>
                  </w:tcBorders>
                  <w:noWrap w:val="0"/>
                  <w:vAlign w:val="center"/>
                </w:tcPr>
                <w:p w14:paraId="69E62D8A">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center"/>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w:t>
                  </w:r>
                </w:p>
              </w:tc>
            </w:tr>
            <w:tr w14:paraId="0FA15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vMerge w:val="restart"/>
                  <w:tcBorders>
                    <w:tl2br w:val="nil"/>
                    <w:tr2bl w:val="nil"/>
                  </w:tcBorders>
                  <w:shd w:val="clear" w:color="auto" w:fill="auto"/>
                  <w:noWrap w:val="0"/>
                  <w:vAlign w:val="center"/>
                </w:tcPr>
                <w:p w14:paraId="4649B6F3">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YS5117223210003</w:t>
                  </w:r>
                </w:p>
              </w:tc>
              <w:tc>
                <w:tcPr>
                  <w:tcW w:w="772" w:type="dxa"/>
                  <w:vMerge w:val="restart"/>
                  <w:tcBorders>
                    <w:tl2br w:val="nil"/>
                    <w:tr2bl w:val="nil"/>
                  </w:tcBorders>
                  <w:shd w:val="clear" w:color="auto" w:fill="auto"/>
                  <w:noWrap w:val="0"/>
                  <w:vAlign w:val="center"/>
                </w:tcPr>
                <w:p w14:paraId="7AAFAD63">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明月江-宣汉县-李家渡-控制单元</w:t>
                  </w:r>
                </w:p>
              </w:tc>
              <w:tc>
                <w:tcPr>
                  <w:tcW w:w="6761" w:type="dxa"/>
                  <w:vMerge w:val="continue"/>
                  <w:tcBorders>
                    <w:tl2br w:val="nil"/>
                    <w:tr2bl w:val="nil"/>
                  </w:tcBorders>
                  <w:noWrap w:val="0"/>
                  <w:vAlign w:val="top"/>
                </w:tcPr>
                <w:p w14:paraId="07EBB2E7">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空间布局约束：</w:t>
                  </w:r>
                </w:p>
                <w:p w14:paraId="71DEEE09">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禁止开发建设活动的要求</w:t>
                  </w:r>
                </w:p>
                <w:p w14:paraId="43BF2F84">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3447F5A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限制开发建设活动的要求</w:t>
                  </w:r>
                </w:p>
                <w:p w14:paraId="21BD348F">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338FBD15">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不符合空间布局要求活动的退出要求</w:t>
                  </w:r>
                </w:p>
                <w:p w14:paraId="233AF340">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58E8E067">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其他空间布局约束要求</w:t>
                  </w:r>
                </w:p>
                <w:p w14:paraId="616CA62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1CB94731">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污染物排放管控：</w:t>
                  </w:r>
                </w:p>
                <w:p w14:paraId="450328D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允许排放量要求</w:t>
                  </w:r>
                </w:p>
                <w:p w14:paraId="0D34A1C7">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4A68D95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现有源提标升级改造</w:t>
                  </w:r>
                </w:p>
                <w:p w14:paraId="774D667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668396BE">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其他污染物排放管控要求</w:t>
                  </w:r>
                </w:p>
                <w:p w14:paraId="4740A51B">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7C853F84">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环境风险防控：</w:t>
                  </w:r>
                </w:p>
                <w:p w14:paraId="2821A6B5">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联防联控要求</w:t>
                  </w:r>
                </w:p>
                <w:p w14:paraId="5EEEB8D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60F63C3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其他环境风险防控要求</w:t>
                  </w:r>
                </w:p>
                <w:p w14:paraId="0691582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60B4124B">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资源开发利用效率要求：</w:t>
                  </w:r>
                </w:p>
                <w:p w14:paraId="42A9B1D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水资源利用总量要求</w:t>
                  </w:r>
                </w:p>
                <w:p w14:paraId="3E4C2B87">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1F352DBB">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地下水开采要求</w:t>
                  </w:r>
                </w:p>
                <w:p w14:paraId="6AEE2B8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379EB107">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能源利用总量及效率要求</w:t>
                  </w:r>
                </w:p>
                <w:p w14:paraId="0A16E2D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7E12B04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禁燃区要求</w:t>
                  </w:r>
                </w:p>
                <w:p w14:paraId="6AEAEDC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7DED474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其他资源利用效率要求</w:t>
                  </w:r>
                </w:p>
                <w:p w14:paraId="153CD52B">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tc>
              <w:tc>
                <w:tcPr>
                  <w:tcW w:w="652" w:type="dxa"/>
                  <w:tcBorders>
                    <w:tl2br w:val="nil"/>
                    <w:tr2bl w:val="nil"/>
                  </w:tcBorders>
                  <w:shd w:val="clear" w:color="auto" w:fill="auto"/>
                  <w:noWrap w:val="0"/>
                  <w:vAlign w:val="center"/>
                </w:tcPr>
                <w:p w14:paraId="58FCB839">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空间布局约束</w:t>
                  </w:r>
                </w:p>
              </w:tc>
              <w:tc>
                <w:tcPr>
                  <w:tcW w:w="3585" w:type="dxa"/>
                  <w:tcBorders>
                    <w:tl2br w:val="nil"/>
                    <w:tr2bl w:val="nil"/>
                  </w:tcBorders>
                  <w:shd w:val="clear" w:color="auto" w:fill="auto"/>
                  <w:noWrap w:val="0"/>
                  <w:vAlign w:val="center"/>
                </w:tcPr>
                <w:p w14:paraId="0826F5D7">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（1）禁止开发建设活动的要求</w:t>
                  </w:r>
                </w:p>
                <w:p w14:paraId="2706C780">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不再新建、改扩建开采规模在50万吨/年以下的磷矿，不再新建露天磷矿</w:t>
                  </w:r>
                </w:p>
                <w:p w14:paraId="1CA323FC">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（2）限制开发建设活动的要求</w:t>
                  </w:r>
                </w:p>
                <w:p w14:paraId="7E7A95ED">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（3）允许开发建设活动的要求</w:t>
                  </w:r>
                </w:p>
                <w:p w14:paraId="1714A02E">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（4）不符合空间布局要求活动的退出要求</w:t>
                  </w:r>
                </w:p>
                <w:p w14:paraId="0E551F82">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（5）其他空间布局约束要求</w:t>
                  </w:r>
                </w:p>
              </w:tc>
              <w:tc>
                <w:tcPr>
                  <w:tcW w:w="1829" w:type="dxa"/>
                  <w:tcBorders>
                    <w:tl2br w:val="nil"/>
                    <w:tr2bl w:val="nil"/>
                  </w:tcBorders>
                  <w:noWrap w:val="0"/>
                  <w:vAlign w:val="center"/>
                </w:tcPr>
                <w:p w14:paraId="70A898FD">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本项目不属于禁止开发的新建、改扩建磷矿企业。</w:t>
                  </w:r>
                </w:p>
              </w:tc>
              <w:tc>
                <w:tcPr>
                  <w:tcW w:w="466" w:type="dxa"/>
                  <w:tcBorders>
                    <w:tl2br w:val="nil"/>
                    <w:tr2bl w:val="nil"/>
                  </w:tcBorders>
                  <w:noWrap w:val="0"/>
                  <w:vAlign w:val="center"/>
                </w:tcPr>
                <w:p w14:paraId="5743D287">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符合</w:t>
                  </w:r>
                </w:p>
              </w:tc>
            </w:tr>
            <w:tr w14:paraId="0690D7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60" w:type="dxa"/>
                  <w:vMerge w:val="continue"/>
                  <w:tcBorders>
                    <w:tl2br w:val="nil"/>
                    <w:tr2bl w:val="nil"/>
                  </w:tcBorders>
                  <w:noWrap w:val="0"/>
                  <w:vAlign w:val="center"/>
                </w:tcPr>
                <w:p w14:paraId="03B19107">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YS5117032530001</w:t>
                  </w:r>
                </w:p>
              </w:tc>
              <w:tc>
                <w:tcPr>
                  <w:tcW w:w="772" w:type="dxa"/>
                  <w:vMerge w:val="continue"/>
                  <w:tcBorders>
                    <w:tl2br w:val="nil"/>
                    <w:tr2bl w:val="nil"/>
                  </w:tcBorders>
                  <w:noWrap w:val="0"/>
                  <w:vAlign w:val="center"/>
                </w:tcPr>
                <w:p w14:paraId="47DAEADB">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达川区城镇开发边界</w:t>
                  </w:r>
                </w:p>
              </w:tc>
              <w:tc>
                <w:tcPr>
                  <w:tcW w:w="6761" w:type="dxa"/>
                  <w:vMerge w:val="continue"/>
                  <w:tcBorders>
                    <w:tl2br w:val="nil"/>
                    <w:tr2bl w:val="nil"/>
                  </w:tcBorders>
                  <w:noWrap w:val="0"/>
                  <w:vAlign w:val="top"/>
                </w:tcPr>
                <w:p w14:paraId="31EFE920">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空间布局约束：</w:t>
                  </w:r>
                </w:p>
                <w:p w14:paraId="2B56B077">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禁止开发建设活动的要求</w:t>
                  </w:r>
                </w:p>
                <w:p w14:paraId="0ECF40A5">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6CAF9B4D">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限制开发建设活动的要求</w:t>
                  </w:r>
                </w:p>
                <w:p w14:paraId="10E079FD">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7EAAFDD0">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不符合空间布局要求活动的退出要求</w:t>
                  </w:r>
                </w:p>
                <w:p w14:paraId="00E92F84">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032C3301">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其他空间布局约束要求</w:t>
                  </w:r>
                </w:p>
                <w:p w14:paraId="0BB8613D">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29B15120">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污染物排放管控：</w:t>
                  </w:r>
                </w:p>
                <w:p w14:paraId="6499B274">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允许排放量要求</w:t>
                  </w:r>
                </w:p>
                <w:p w14:paraId="06810225">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044CA2D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现有源提标升级改造</w:t>
                  </w:r>
                </w:p>
                <w:p w14:paraId="0021FDB7">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1D6FBE1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其他污染物排放管控要求</w:t>
                  </w:r>
                </w:p>
                <w:p w14:paraId="4D52C63D">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52D782B0">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环境风险防控：</w:t>
                  </w:r>
                </w:p>
                <w:p w14:paraId="7718C567">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联防联控要求</w:t>
                  </w:r>
                </w:p>
                <w:p w14:paraId="37A011A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56A2D280">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其他环境风险防控要求</w:t>
                  </w:r>
                </w:p>
                <w:p w14:paraId="3EC07F70">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185C21AB">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资源开发利用效率要求：</w:t>
                  </w:r>
                </w:p>
                <w:p w14:paraId="173AFBD9">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水资源利用总量要求</w:t>
                  </w:r>
                </w:p>
                <w:p w14:paraId="7FB4775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5774AECF">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地下水开采要求</w:t>
                  </w:r>
                </w:p>
                <w:p w14:paraId="1737F9B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0A4AB42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能源利用总量及效率要求</w:t>
                  </w:r>
                </w:p>
                <w:p w14:paraId="4A9EC44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1CE8576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禁燃区要求</w:t>
                  </w:r>
                </w:p>
                <w:p w14:paraId="464517F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2AB066C0">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其他资源利用效率要求</w:t>
                  </w:r>
                </w:p>
                <w:p w14:paraId="62141C54">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tc>
              <w:tc>
                <w:tcPr>
                  <w:tcW w:w="652" w:type="dxa"/>
                  <w:tcBorders>
                    <w:tl2br w:val="nil"/>
                    <w:tr2bl w:val="nil"/>
                  </w:tcBorders>
                  <w:shd w:val="clear" w:color="auto" w:fill="auto"/>
                  <w:noWrap w:val="0"/>
                  <w:vAlign w:val="center"/>
                </w:tcPr>
                <w:p w14:paraId="613EEDC6">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污染物排放管控</w:t>
                  </w:r>
                </w:p>
              </w:tc>
              <w:tc>
                <w:tcPr>
                  <w:tcW w:w="3585" w:type="dxa"/>
                  <w:tcBorders>
                    <w:tl2br w:val="nil"/>
                    <w:tr2bl w:val="nil"/>
                  </w:tcBorders>
                  <w:shd w:val="clear" w:color="auto" w:fill="auto"/>
                  <w:noWrap w:val="0"/>
                  <w:vAlign w:val="center"/>
                </w:tcPr>
                <w:p w14:paraId="0F9914E7">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（1）城镇污水污染控制措施要求</w:t>
                  </w:r>
                </w:p>
                <w:p w14:paraId="7E329CD0">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1、持续推进环保基础设施补短板，完善污水收集处理系统。2、保障乡镇污水收集处理设施顺畅运行。3、推进污水直排口排查与整治，落实“一口一策”整改措施。</w:t>
                  </w:r>
                </w:p>
                <w:p w14:paraId="72A09BC4">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（2）工业废水污染控制措施要求</w:t>
                  </w:r>
                </w:p>
                <w:p w14:paraId="734D5D1B">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1、落实主要污染物排放总量指标控制要求，加强入河排污口登记、审批和监督管理。2、强化流域内工业点源、规模化畜禽养殖场运行监管，避免偷排、漏排。</w:t>
                  </w:r>
                </w:p>
                <w:p w14:paraId="6B12EE67">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（3）农业面源水污染控制措施要求</w:t>
                  </w:r>
                </w:p>
                <w:p w14:paraId="5B507314">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1、推进农村污染治理，稳步农村污水处理设施建设，适当预留发展空间，宜集中则集中，宜分散则分散。大力推进农村生活垃圾就地分类减量 和资源化利用，因地制宜选择农村生活垃圾治理模式。严格做好“农家乐”、种植采摘园等范围内的生活及农产品产生污水及垃圾治理。2、以环境承载能力为约束，合理规划水产养殖空间及规模；推进水产生态健康养殖，加强渔业生产过程中抗菌药物使用管控。推进水产养殖治理，水产养殖废水应处理达到《四川省水产养殖业水污染物排放标准》后排放；实施池塘标准化改造，完善循环水和进排水处理设施；推进养殖尾水节水减排。3、以环境承载能力为约束，合理规划畜禽养殖空间及规模；推进畜禽粪污分类处置，根据排放去向或利用方式的不同执行相应的标准规范。不断提高畜禽养殖粪污资源化利用率及利用水平；设有污水排放口的规模化畜禽养殖场应当依法申领排污许可证。4、推进化肥、农药使用量“零增长”，逐步推进农田径流拦截及治理。</w:t>
                  </w:r>
                </w:p>
                <w:p w14:paraId="26876C01">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（4）船舶港口水污染控制措施要求</w:t>
                  </w:r>
                </w:p>
                <w:p w14:paraId="60402A54">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（5）饮用水水源和其它特殊水体保护要求</w:t>
                  </w:r>
                </w:p>
              </w:tc>
              <w:tc>
                <w:tcPr>
                  <w:tcW w:w="1829" w:type="dxa"/>
                  <w:tcBorders>
                    <w:tl2br w:val="nil"/>
                    <w:tr2bl w:val="nil"/>
                  </w:tcBorders>
                  <w:noWrap w:val="0"/>
                  <w:vAlign w:val="center"/>
                </w:tcPr>
                <w:p w14:paraId="27488420">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项目生产废水处理后全部回用，不外排。生活污水经处理后用作农肥。满足污染物排放管控要求。</w:t>
                  </w:r>
                </w:p>
              </w:tc>
              <w:tc>
                <w:tcPr>
                  <w:tcW w:w="466" w:type="dxa"/>
                  <w:tcBorders>
                    <w:tl2br w:val="nil"/>
                    <w:tr2bl w:val="nil"/>
                  </w:tcBorders>
                  <w:noWrap w:val="0"/>
                  <w:vAlign w:val="center"/>
                </w:tcPr>
                <w:p w14:paraId="3F016073">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符合</w:t>
                  </w:r>
                </w:p>
              </w:tc>
            </w:tr>
            <w:tr w14:paraId="0BF810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660" w:type="dxa"/>
                  <w:vMerge w:val="continue"/>
                  <w:tcBorders>
                    <w:tl2br w:val="nil"/>
                    <w:tr2bl w:val="nil"/>
                  </w:tcBorders>
                  <w:noWrap w:val="0"/>
                  <w:vAlign w:val="center"/>
                </w:tcPr>
                <w:p w14:paraId="591DAE43">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YS5117032530001</w:t>
                  </w:r>
                </w:p>
              </w:tc>
              <w:tc>
                <w:tcPr>
                  <w:tcW w:w="772" w:type="dxa"/>
                  <w:vMerge w:val="continue"/>
                  <w:tcBorders>
                    <w:tl2br w:val="nil"/>
                    <w:tr2bl w:val="nil"/>
                  </w:tcBorders>
                  <w:noWrap w:val="0"/>
                  <w:vAlign w:val="center"/>
                </w:tcPr>
                <w:p w14:paraId="7094DC21">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达川区城镇开发边界</w:t>
                  </w:r>
                </w:p>
              </w:tc>
              <w:tc>
                <w:tcPr>
                  <w:tcW w:w="6761" w:type="dxa"/>
                  <w:vMerge w:val="continue"/>
                  <w:tcBorders>
                    <w:tl2br w:val="nil"/>
                    <w:tr2bl w:val="nil"/>
                  </w:tcBorders>
                  <w:noWrap w:val="0"/>
                  <w:vAlign w:val="top"/>
                </w:tcPr>
                <w:p w14:paraId="3172CD2E">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空间布局约束：</w:t>
                  </w:r>
                </w:p>
                <w:p w14:paraId="0940C424">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禁止开发建设活动的要求</w:t>
                  </w:r>
                </w:p>
                <w:p w14:paraId="3D24623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3445C310">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限制开发建设活动的要求</w:t>
                  </w:r>
                </w:p>
                <w:p w14:paraId="770BEDE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2BD574B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不符合空间布局要求活动的退出要求</w:t>
                  </w:r>
                </w:p>
                <w:p w14:paraId="40D7BEC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06CF0FC1">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其他空间布局约束要求</w:t>
                  </w:r>
                </w:p>
                <w:p w14:paraId="7399A5F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75B3651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污染物排放管控：</w:t>
                  </w:r>
                </w:p>
                <w:p w14:paraId="56E3FAD5">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允许排放量要求</w:t>
                  </w:r>
                </w:p>
                <w:p w14:paraId="754EADF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00EF4C8F">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现有源提标升级改造</w:t>
                  </w:r>
                </w:p>
                <w:p w14:paraId="1AF5B26E">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76FB172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其他污染物排放管控要求</w:t>
                  </w:r>
                </w:p>
                <w:p w14:paraId="5C9B8EF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3D03832F">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环境风险防控：</w:t>
                  </w:r>
                </w:p>
                <w:p w14:paraId="04980D4F">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联防联控要求</w:t>
                  </w:r>
                </w:p>
                <w:p w14:paraId="766D135D">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1D50EC2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其他环境风险防控要求</w:t>
                  </w:r>
                </w:p>
                <w:p w14:paraId="08E8AF3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39EA0915">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资源开发利用效率要求：</w:t>
                  </w:r>
                </w:p>
                <w:p w14:paraId="2CF6D6D6">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水资源利用总量要求</w:t>
                  </w:r>
                </w:p>
                <w:p w14:paraId="64C9A3F3">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49BBA2A8">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地下水开采要求</w:t>
                  </w:r>
                </w:p>
                <w:p w14:paraId="68B8883C">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48058869">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能源利用总量及效率要求</w:t>
                  </w:r>
                </w:p>
                <w:p w14:paraId="5F07F2EA">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1F53A7C2">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禁燃区要求</w:t>
                  </w:r>
                </w:p>
                <w:p w14:paraId="6F75164E">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p w14:paraId="2F1D9FB1">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其他资源利用效率要求</w:t>
                  </w:r>
                </w:p>
                <w:p w14:paraId="31783DAB">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r>
                    <w:rPr>
                      <w:rStyle w:val="31"/>
                      <w:rFonts w:hint="default" w:ascii="Times New Roman" w:hAnsi="Times New Roman" w:eastAsia="宋体" w:cs="Times New Roman"/>
                      <w:color w:val="auto"/>
                      <w:kern w:val="0"/>
                      <w:sz w:val="21"/>
                      <w:szCs w:val="21"/>
                      <w:lang w:val="en-US" w:eastAsia="zh-CN" w:bidi="ar-SA"/>
                    </w:rPr>
                    <w:t>暂无</w:t>
                  </w:r>
                </w:p>
              </w:tc>
              <w:tc>
                <w:tcPr>
                  <w:tcW w:w="652" w:type="dxa"/>
                  <w:tcBorders>
                    <w:tl2br w:val="nil"/>
                    <w:tr2bl w:val="nil"/>
                  </w:tcBorders>
                  <w:shd w:val="clear" w:color="auto" w:fill="auto"/>
                  <w:noWrap w:val="0"/>
                  <w:vAlign w:val="center"/>
                </w:tcPr>
                <w:p w14:paraId="64B6CDEE">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环境风险防控</w:t>
                  </w:r>
                </w:p>
              </w:tc>
              <w:tc>
                <w:tcPr>
                  <w:tcW w:w="3585" w:type="dxa"/>
                  <w:tcBorders>
                    <w:tl2br w:val="nil"/>
                    <w:tr2bl w:val="nil"/>
                  </w:tcBorders>
                  <w:shd w:val="clear" w:color="auto" w:fill="auto"/>
                  <w:noWrap w:val="0"/>
                  <w:vAlign w:val="center"/>
                </w:tcPr>
                <w:p w14:paraId="0D0F6B5F">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进一步完善工业企业和矿山环境风险防范和管理体系建设，开展企业风险隐患排查与风险评估，增强企业的环境风险意识，守住环境安全底线。落实“一河一策一图”风险管理和应急响应方案，提升风险应急管理水平。</w:t>
                  </w:r>
                </w:p>
              </w:tc>
              <w:tc>
                <w:tcPr>
                  <w:tcW w:w="1829" w:type="dxa"/>
                  <w:tcBorders>
                    <w:tl2br w:val="nil"/>
                    <w:tr2bl w:val="nil"/>
                  </w:tcBorders>
                  <w:noWrap w:val="0"/>
                  <w:vAlign w:val="center"/>
                </w:tcPr>
                <w:p w14:paraId="0299C23E">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项目将完善环境风险防范措施和管理体系，定期开展风险隐患排查与风险评估，增强环境风险意识，守住环境安全底线。</w:t>
                  </w:r>
                </w:p>
              </w:tc>
              <w:tc>
                <w:tcPr>
                  <w:tcW w:w="466" w:type="dxa"/>
                  <w:tcBorders>
                    <w:tl2br w:val="nil"/>
                    <w:tr2bl w:val="nil"/>
                  </w:tcBorders>
                  <w:noWrap w:val="0"/>
                  <w:vAlign w:val="center"/>
                </w:tcPr>
                <w:p w14:paraId="37CB5F4A">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符合</w:t>
                  </w:r>
                </w:p>
              </w:tc>
            </w:tr>
            <w:tr w14:paraId="604A0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660" w:type="dxa"/>
                  <w:vMerge w:val="continue"/>
                  <w:tcBorders>
                    <w:tl2br w:val="nil"/>
                    <w:tr2bl w:val="nil"/>
                  </w:tcBorders>
                  <w:noWrap w:val="0"/>
                  <w:vAlign w:val="center"/>
                </w:tcPr>
                <w:p w14:paraId="01B7407D">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p>
              </w:tc>
              <w:tc>
                <w:tcPr>
                  <w:tcW w:w="772" w:type="dxa"/>
                  <w:vMerge w:val="continue"/>
                  <w:tcBorders>
                    <w:tl2br w:val="nil"/>
                    <w:tr2bl w:val="nil"/>
                  </w:tcBorders>
                  <w:noWrap w:val="0"/>
                  <w:vAlign w:val="center"/>
                </w:tcPr>
                <w:p w14:paraId="5B30C31F">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p>
              </w:tc>
              <w:tc>
                <w:tcPr>
                  <w:tcW w:w="6761" w:type="dxa"/>
                  <w:vMerge w:val="continue"/>
                  <w:tcBorders>
                    <w:tl2br w:val="nil"/>
                    <w:tr2bl w:val="nil"/>
                  </w:tcBorders>
                  <w:noWrap w:val="0"/>
                  <w:vAlign w:val="top"/>
                </w:tcPr>
                <w:p w14:paraId="45866EE7">
                  <w:pPr>
                    <w:pStyle w:val="89"/>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31"/>
                      <w:rFonts w:hint="default" w:ascii="Times New Roman" w:hAnsi="Times New Roman" w:eastAsia="宋体" w:cs="Times New Roman"/>
                      <w:color w:val="auto"/>
                      <w:kern w:val="0"/>
                      <w:sz w:val="21"/>
                      <w:szCs w:val="21"/>
                      <w:lang w:val="en-US" w:eastAsia="zh-CN" w:bidi="ar-SA"/>
                    </w:rPr>
                  </w:pPr>
                </w:p>
              </w:tc>
              <w:tc>
                <w:tcPr>
                  <w:tcW w:w="652" w:type="dxa"/>
                  <w:tcBorders>
                    <w:tl2br w:val="nil"/>
                    <w:tr2bl w:val="nil"/>
                  </w:tcBorders>
                  <w:shd w:val="clear" w:color="auto" w:fill="auto"/>
                  <w:noWrap w:val="0"/>
                  <w:vAlign w:val="center"/>
                </w:tcPr>
                <w:p w14:paraId="2A145259">
                  <w:pPr>
                    <w:pStyle w:val="89"/>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b/>
                      <w:bCs/>
                      <w:color w:val="auto"/>
                      <w:kern w:val="2"/>
                      <w:sz w:val="21"/>
                      <w:szCs w:val="21"/>
                      <w:lang w:val="en-US" w:eastAsia="zh-CN" w:bidi="ar-SA"/>
                    </w:rPr>
                  </w:pPr>
                  <w:r>
                    <w:rPr>
                      <w:rStyle w:val="31"/>
                      <w:rFonts w:hint="default" w:ascii="Times New Roman" w:hAnsi="Times New Roman" w:eastAsia="宋体" w:cs="Times New Roman"/>
                      <w:b/>
                      <w:bCs/>
                      <w:color w:val="auto"/>
                      <w:kern w:val="2"/>
                      <w:sz w:val="21"/>
                      <w:szCs w:val="21"/>
                      <w:lang w:val="en-US" w:eastAsia="zh-CN" w:bidi="ar-SA"/>
                    </w:rPr>
                    <w:t>资源开发效率要求</w:t>
                  </w:r>
                </w:p>
              </w:tc>
              <w:tc>
                <w:tcPr>
                  <w:tcW w:w="3585" w:type="dxa"/>
                  <w:tcBorders>
                    <w:tl2br w:val="nil"/>
                    <w:tr2bl w:val="nil"/>
                  </w:tcBorders>
                  <w:shd w:val="clear" w:color="auto" w:fill="auto"/>
                  <w:noWrap w:val="0"/>
                  <w:vAlign w:val="center"/>
                </w:tcPr>
                <w:p w14:paraId="5A7EC62E">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强化种植业节水；推进农村污水分质资源化利用。</w:t>
                  </w:r>
                </w:p>
              </w:tc>
              <w:tc>
                <w:tcPr>
                  <w:tcW w:w="1829" w:type="dxa"/>
                  <w:tcBorders>
                    <w:tl2br w:val="nil"/>
                    <w:tr2bl w:val="nil"/>
                  </w:tcBorders>
                  <w:noWrap w:val="0"/>
                  <w:vAlign w:val="center"/>
                </w:tcPr>
                <w:p w14:paraId="5DE05D34">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项目不属于种植业。生活污水经化粪池处理后用作农肥，可实现资源化利用。</w:t>
                  </w:r>
                </w:p>
              </w:tc>
              <w:tc>
                <w:tcPr>
                  <w:tcW w:w="466" w:type="dxa"/>
                  <w:tcBorders>
                    <w:tl2br w:val="nil"/>
                    <w:tr2bl w:val="nil"/>
                  </w:tcBorders>
                  <w:noWrap w:val="0"/>
                  <w:vAlign w:val="center"/>
                </w:tcPr>
                <w:p w14:paraId="4B0E0305">
                  <w:pPr>
                    <w:pStyle w:val="89"/>
                    <w:keepNext w:val="0"/>
                    <w:keepLines w:val="0"/>
                    <w:pageBreakBefore w:val="0"/>
                    <w:widowControl/>
                    <w:shd w:val="clear" w:color="auto" w:fill="FFFFFF"/>
                    <w:kinsoku/>
                    <w:wordWrap/>
                    <w:overflowPunct/>
                    <w:topLinePunct w:val="0"/>
                    <w:autoSpaceDE/>
                    <w:autoSpaceDN/>
                    <w:bidi w:val="0"/>
                    <w:adjustRightInd/>
                    <w:snapToGrid/>
                    <w:spacing w:line="300" w:lineRule="exact"/>
                    <w:ind w:firstLine="0" w:firstLineChars="0"/>
                    <w:jc w:val="left"/>
                    <w:textAlignment w:val="auto"/>
                    <w:rPr>
                      <w:rStyle w:val="31"/>
                      <w:rFonts w:hint="default" w:ascii="Times New Roman" w:hAnsi="Times New Roman" w:eastAsia="宋体" w:cs="Times New Roman"/>
                      <w:color w:val="auto"/>
                      <w:kern w:val="2"/>
                      <w:sz w:val="21"/>
                      <w:szCs w:val="21"/>
                      <w:lang w:val="en-US" w:eastAsia="zh-CN" w:bidi="ar-SA"/>
                    </w:rPr>
                  </w:pPr>
                  <w:r>
                    <w:rPr>
                      <w:rStyle w:val="31"/>
                      <w:rFonts w:hint="default" w:ascii="Times New Roman" w:hAnsi="Times New Roman" w:eastAsia="宋体" w:cs="Times New Roman"/>
                      <w:color w:val="auto"/>
                      <w:kern w:val="2"/>
                      <w:sz w:val="21"/>
                      <w:szCs w:val="21"/>
                      <w:lang w:val="en-US" w:eastAsia="zh-CN" w:bidi="ar-SA"/>
                    </w:rPr>
                    <w:t>符合</w:t>
                  </w:r>
                </w:p>
              </w:tc>
            </w:tr>
          </w:tbl>
          <w:p w14:paraId="545294C9">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综上，项目符合生态环境分区管控要求。</w:t>
            </w:r>
          </w:p>
          <w:p w14:paraId="1244F661">
            <w:pPr>
              <w:spacing w:line="360" w:lineRule="auto"/>
              <w:ind w:firstLine="480" w:firstLineChars="200"/>
              <w:rPr>
                <w:rFonts w:hint="default" w:ascii="Times New Roman" w:hAnsi="Times New Roman" w:cs="Times New Roman"/>
                <w:color w:val="auto"/>
                <w:sz w:val="24"/>
                <w:szCs w:val="24"/>
                <w:lang w:val="en-US" w:eastAsia="zh-CN"/>
              </w:rPr>
            </w:pPr>
          </w:p>
          <w:p w14:paraId="1728080A">
            <w:pPr>
              <w:spacing w:line="360" w:lineRule="auto"/>
              <w:ind w:firstLine="480" w:firstLineChars="200"/>
              <w:rPr>
                <w:rFonts w:hint="default" w:ascii="Times New Roman" w:hAnsi="Times New Roman" w:cs="Times New Roman"/>
                <w:color w:val="auto"/>
                <w:sz w:val="24"/>
                <w:szCs w:val="24"/>
                <w:lang w:val="en-US" w:eastAsia="zh-CN"/>
              </w:rPr>
            </w:pPr>
          </w:p>
          <w:p w14:paraId="10DC454E">
            <w:pPr>
              <w:spacing w:line="360" w:lineRule="auto"/>
              <w:ind w:firstLine="480" w:firstLineChars="200"/>
              <w:rPr>
                <w:rFonts w:hint="default" w:ascii="Times New Roman" w:hAnsi="Times New Roman" w:cs="Times New Roman"/>
                <w:color w:val="auto"/>
                <w:sz w:val="24"/>
                <w:szCs w:val="24"/>
                <w:lang w:val="en-US" w:eastAsia="zh-CN"/>
              </w:rPr>
            </w:pPr>
          </w:p>
          <w:p w14:paraId="16A7DFD1">
            <w:pPr>
              <w:spacing w:line="360" w:lineRule="auto"/>
              <w:ind w:firstLine="480" w:firstLineChars="200"/>
              <w:rPr>
                <w:rFonts w:hint="default" w:ascii="Times New Roman" w:hAnsi="Times New Roman" w:cs="Times New Roman"/>
                <w:color w:val="auto"/>
                <w:sz w:val="24"/>
                <w:szCs w:val="24"/>
                <w:lang w:val="en-US" w:eastAsia="zh-CN"/>
              </w:rPr>
            </w:pPr>
          </w:p>
          <w:p w14:paraId="7EA2D438">
            <w:pPr>
              <w:spacing w:line="360" w:lineRule="auto"/>
              <w:ind w:firstLine="480" w:firstLineChars="200"/>
              <w:rPr>
                <w:rFonts w:hint="default" w:ascii="Times New Roman" w:hAnsi="Times New Roman" w:cs="Times New Roman"/>
                <w:color w:val="auto"/>
                <w:sz w:val="24"/>
                <w:szCs w:val="24"/>
                <w:lang w:val="en-US" w:eastAsia="zh-CN"/>
              </w:rPr>
            </w:pPr>
          </w:p>
        </w:tc>
      </w:tr>
    </w:tbl>
    <w:p w14:paraId="1E0A743D">
      <w:pPr>
        <w:pStyle w:val="10"/>
        <w:rPr>
          <w:rFonts w:hint="default" w:ascii="Times New Roman" w:hAnsi="Times New Roman" w:cs="Times New Roman"/>
          <w:color w:val="auto"/>
        </w:rPr>
        <w:sectPr>
          <w:pgSz w:w="16838" w:h="11906" w:orient="landscape"/>
          <w:pgMar w:top="1418" w:right="1134"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9117"/>
      </w:tblGrid>
      <w:tr w14:paraId="78C9E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vAlign w:val="center"/>
          </w:tcPr>
          <w:p w14:paraId="26E3A172">
            <w:pPr>
              <w:spacing w:line="360" w:lineRule="auto"/>
              <w:jc w:val="center"/>
              <w:rPr>
                <w:rFonts w:hint="default" w:ascii="Times New Roman" w:hAnsi="Times New Roman" w:cs="Times New Roman"/>
                <w:color w:val="auto"/>
              </w:rPr>
            </w:pPr>
            <w:r>
              <w:rPr>
                <w:rFonts w:hint="default" w:ascii="Times New Roman" w:hAnsi="Times New Roman" w:cs="Times New Roman"/>
                <w:color w:val="auto"/>
                <w:sz w:val="24"/>
                <w:szCs w:val="24"/>
              </w:rPr>
              <w:t>其他符合性分析</w:t>
            </w:r>
          </w:p>
        </w:tc>
        <w:tc>
          <w:tcPr>
            <w:tcW w:w="8852" w:type="dxa"/>
          </w:tcPr>
          <w:p w14:paraId="09587CF6">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4</w:t>
            </w:r>
            <w:r>
              <w:rPr>
                <w:rFonts w:hint="default" w:ascii="Times New Roman" w:hAnsi="Times New Roman" w:cs="Times New Roman"/>
                <w:b/>
                <w:color w:val="auto"/>
                <w:sz w:val="24"/>
                <w:szCs w:val="24"/>
              </w:rPr>
              <w:t>、与《四川省嘉陵江流域生态环境保护条例（2024年修正）》的符合性分析</w:t>
            </w:r>
          </w:p>
          <w:p w14:paraId="0C8FCD36">
            <w:pPr>
              <w:spacing w:line="360" w:lineRule="auto"/>
              <w:ind w:firstLine="480" w:firstLineChars="200"/>
              <w:rPr>
                <w:rFonts w:hint="default" w:ascii="Times New Roman" w:hAnsi="Times New Roman" w:cs="Times New Roman"/>
                <w:b/>
                <w:bCs/>
                <w:color w:val="auto"/>
                <w:sz w:val="24"/>
                <w:szCs w:val="24"/>
              </w:rPr>
            </w:pPr>
            <w:r>
              <w:rPr>
                <w:rFonts w:hint="default" w:ascii="Times New Roman" w:hAnsi="Times New Roman" w:cs="Times New Roman"/>
                <w:bCs/>
                <w:color w:val="auto"/>
                <w:sz w:val="24"/>
                <w:szCs w:val="24"/>
              </w:rPr>
              <w:t>2024年12月4日四川省第十四届人民代表大会常务委员会第十六次会议</w:t>
            </w:r>
            <w:r>
              <w:rPr>
                <w:rFonts w:hint="default" w:ascii="Times New Roman" w:hAnsi="Times New Roman" w:cs="Times New Roman"/>
                <w:bCs/>
                <w:color w:val="auto"/>
                <w:sz w:val="24"/>
                <w:szCs w:val="24"/>
                <w:lang w:val="en-US" w:eastAsia="zh-CN"/>
              </w:rPr>
              <w:t>通过了</w:t>
            </w:r>
            <w:r>
              <w:rPr>
                <w:rFonts w:hint="default" w:ascii="Times New Roman" w:hAnsi="Times New Roman" w:cs="Times New Roman"/>
                <w:bCs/>
                <w:color w:val="auto"/>
                <w:sz w:val="24"/>
                <w:szCs w:val="24"/>
              </w:rPr>
              <w:t>《关于修改四川省嘉陵江流域生态环境保护条例的决定》修正）</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本项目与其符合性分析见下表：</w:t>
            </w:r>
          </w:p>
          <w:p w14:paraId="75BD47CA">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表1-4 与《四川省嘉陵江流域生态环境保护条例（2024年修正）》的符合性分析</w:t>
            </w:r>
          </w:p>
          <w:tbl>
            <w:tblPr>
              <w:tblStyle w:val="29"/>
              <w:tblW w:w="895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4949"/>
              <w:gridCol w:w="2396"/>
              <w:gridCol w:w="805"/>
            </w:tblGrid>
            <w:tr w14:paraId="47A87F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1" w:type="dxa"/>
                  <w:vAlign w:val="center"/>
                </w:tcPr>
                <w:p w14:paraId="4DB6E836">
                  <w:pPr>
                    <w:jc w:val="center"/>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lang w:val="en-US" w:eastAsia="zh-CN"/>
                    </w:rPr>
                    <w:t>序号</w:t>
                  </w:r>
                </w:p>
              </w:tc>
              <w:tc>
                <w:tcPr>
                  <w:tcW w:w="4949" w:type="dxa"/>
                  <w:vAlign w:val="center"/>
                </w:tcPr>
                <w:p w14:paraId="37A2C944">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法律条文</w:t>
                  </w:r>
                </w:p>
              </w:tc>
              <w:tc>
                <w:tcPr>
                  <w:tcW w:w="2396" w:type="dxa"/>
                  <w:vAlign w:val="center"/>
                </w:tcPr>
                <w:p w14:paraId="0301C2EA">
                  <w:pPr>
                    <w:ind w:left="-99" w:leftChars="-47" w:right="-40" w:rightChars="-19"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本项目情况</w:t>
                  </w:r>
                </w:p>
              </w:tc>
              <w:tc>
                <w:tcPr>
                  <w:tcW w:w="805" w:type="dxa"/>
                  <w:vAlign w:val="center"/>
                </w:tcPr>
                <w:p w14:paraId="0FDE5FDB">
                  <w:pPr>
                    <w:ind w:left="-99" w:leftChars="-47" w:right="-40" w:rightChars="-19" w:firstLine="0" w:firstLineChars="0"/>
                    <w:jc w:val="center"/>
                    <w:rPr>
                      <w:rFonts w:hint="default" w:ascii="Times New Roman" w:hAnsi="Times New Roman" w:cs="Times New Roman"/>
                      <w:b/>
                      <w:color w:val="auto"/>
                      <w:szCs w:val="21"/>
                    </w:rPr>
                  </w:pPr>
                  <w:r>
                    <w:rPr>
                      <w:rFonts w:hint="default" w:ascii="Times New Roman" w:hAnsi="Times New Roman" w:cs="Times New Roman"/>
                      <w:b/>
                      <w:bCs/>
                      <w:color w:val="auto"/>
                      <w:szCs w:val="21"/>
                    </w:rPr>
                    <w:t>符合</w:t>
                  </w:r>
                  <w:r>
                    <w:rPr>
                      <w:rFonts w:hint="default" w:ascii="Times New Roman" w:hAnsi="Times New Roman" w:cs="Times New Roman"/>
                      <w:b/>
                      <w:color w:val="auto"/>
                      <w:szCs w:val="21"/>
                    </w:rPr>
                    <w:t>性</w:t>
                  </w:r>
                </w:p>
              </w:tc>
            </w:tr>
            <w:tr w14:paraId="0EF633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1" w:type="dxa"/>
                  <w:vAlign w:val="center"/>
                </w:tcPr>
                <w:p w14:paraId="54C1682D">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第十七条</w:t>
                  </w:r>
                </w:p>
              </w:tc>
              <w:tc>
                <w:tcPr>
                  <w:tcW w:w="4949" w:type="dxa"/>
                  <w:vAlign w:val="center"/>
                </w:tcPr>
                <w:p w14:paraId="046747D4">
                  <w:pPr>
                    <w:keepNext w:val="0"/>
                    <w:keepLines w:val="0"/>
                    <w:pageBreakBefore w:val="0"/>
                    <w:widowControl w:val="0"/>
                    <w:kinsoku/>
                    <w:wordWrap/>
                    <w:overflowPunct/>
                    <w:topLinePunct w:val="0"/>
                    <w:autoSpaceDE/>
                    <w:autoSpaceDN/>
                    <w:bidi w:val="0"/>
                    <w:spacing w:line="240" w:lineRule="exac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在嘉陵江干支流岸线新建、扩建化工园区和化工项目，应当符合《中华人民共和国长江保护法》和国家有关规定。</w:t>
                  </w:r>
                </w:p>
              </w:tc>
              <w:tc>
                <w:tcPr>
                  <w:tcW w:w="2396" w:type="dxa"/>
                  <w:vAlign w:val="center"/>
                </w:tcPr>
                <w:p w14:paraId="72DC8FD8">
                  <w:pPr>
                    <w:keepNext w:val="0"/>
                    <w:keepLines w:val="0"/>
                    <w:pageBreakBefore w:val="0"/>
                    <w:widowControl w:val="0"/>
                    <w:kinsoku/>
                    <w:wordWrap/>
                    <w:overflowPunct/>
                    <w:topLinePunct w:val="0"/>
                    <w:autoSpaceDE/>
                    <w:autoSpaceDN/>
                    <w:bidi w:val="0"/>
                    <w:spacing w:line="240" w:lineRule="exact"/>
                    <w:jc w:val="left"/>
                    <w:textAlignment w:val="auto"/>
                    <w:rPr>
                      <w:rFonts w:hint="default" w:ascii="Times New Roman" w:hAnsi="Times New Roman" w:eastAsia="宋体" w:cs="Times New Roman"/>
                      <w:color w:val="auto"/>
                      <w:szCs w:val="21"/>
                      <w:lang w:val="en-US" w:eastAsia="zh-CN"/>
                    </w:rPr>
                  </w:pPr>
                  <w:r>
                    <w:rPr>
                      <w:rStyle w:val="31"/>
                      <w:rFonts w:hint="default" w:ascii="Times New Roman" w:hAnsi="Times New Roman" w:eastAsia="宋体" w:cs="Times New Roman"/>
                      <w:color w:val="auto"/>
                      <w:kern w:val="2"/>
                      <w:sz w:val="21"/>
                      <w:szCs w:val="21"/>
                      <w:lang w:val="en-US" w:eastAsia="zh-CN" w:bidi="ar-SA"/>
                    </w:rPr>
                    <w:t>项目距</w:t>
                  </w:r>
                  <w:r>
                    <w:rPr>
                      <w:rStyle w:val="31"/>
                      <w:rFonts w:hint="default" w:ascii="Times New Roman" w:hAnsi="Times New Roman" w:cs="Times New Roman"/>
                      <w:color w:val="auto"/>
                      <w:kern w:val="2"/>
                      <w:sz w:val="21"/>
                      <w:szCs w:val="21"/>
                      <w:lang w:val="en-US" w:eastAsia="zh-CN" w:bidi="ar-SA"/>
                    </w:rPr>
                    <w:t>西侧天生河约1.5k</w:t>
                  </w:r>
                  <w:r>
                    <w:rPr>
                      <w:rStyle w:val="31"/>
                      <w:rFonts w:hint="default" w:ascii="Times New Roman" w:hAnsi="Times New Roman" w:eastAsia="宋体" w:cs="Times New Roman"/>
                      <w:color w:val="auto"/>
                      <w:kern w:val="2"/>
                      <w:sz w:val="21"/>
                      <w:szCs w:val="21"/>
                      <w:lang w:val="en-US" w:eastAsia="zh-CN" w:bidi="ar-SA"/>
                    </w:rPr>
                    <w:t>m，属于C3099 其他非金属矿物制品制造</w:t>
                  </w:r>
                  <w:r>
                    <w:rPr>
                      <w:rStyle w:val="31"/>
                      <w:rFonts w:hint="default" w:ascii="Times New Roman" w:hAnsi="Times New Roman" w:cs="Times New Roman"/>
                      <w:color w:val="auto"/>
                      <w:kern w:val="2"/>
                      <w:sz w:val="21"/>
                      <w:szCs w:val="21"/>
                      <w:lang w:val="en-US" w:eastAsia="zh-CN" w:bidi="ar-SA"/>
                    </w:rPr>
                    <w:t>中的沥青混凝土搅拌</w:t>
                  </w:r>
                  <w:r>
                    <w:rPr>
                      <w:rStyle w:val="31"/>
                      <w:rFonts w:hint="default" w:ascii="Times New Roman" w:hAnsi="Times New Roman" w:eastAsia="宋体" w:cs="Times New Roman"/>
                      <w:color w:val="auto"/>
                      <w:kern w:val="2"/>
                      <w:sz w:val="21"/>
                      <w:szCs w:val="21"/>
                      <w:lang w:val="en-US" w:eastAsia="zh-CN" w:bidi="ar-SA"/>
                    </w:rPr>
                    <w:t>，</w:t>
                  </w:r>
                  <w:r>
                    <w:rPr>
                      <w:rFonts w:hint="default" w:ascii="Times New Roman" w:hAnsi="Times New Roman" w:cs="Times New Roman"/>
                      <w:color w:val="auto"/>
                      <w:szCs w:val="21"/>
                    </w:rPr>
                    <w:t>不属于新建、扩建化工园区和化工项目。</w:t>
                  </w:r>
                </w:p>
              </w:tc>
              <w:tc>
                <w:tcPr>
                  <w:tcW w:w="805" w:type="dxa"/>
                  <w:vAlign w:val="center"/>
                </w:tcPr>
                <w:p w14:paraId="6A259862">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559530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1" w:type="dxa"/>
                  <w:vAlign w:val="center"/>
                </w:tcPr>
                <w:p w14:paraId="2323CF48">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第二十一条</w:t>
                  </w:r>
                </w:p>
              </w:tc>
              <w:tc>
                <w:tcPr>
                  <w:tcW w:w="4949" w:type="dxa"/>
                  <w:vAlign w:val="center"/>
                </w:tcPr>
                <w:p w14:paraId="10CD0899">
                  <w:pPr>
                    <w:keepNext w:val="0"/>
                    <w:keepLines w:val="0"/>
                    <w:pageBreakBefore w:val="0"/>
                    <w:widowControl w:val="0"/>
                    <w:kinsoku/>
                    <w:wordWrap/>
                    <w:overflowPunct/>
                    <w:topLinePunct w:val="0"/>
                    <w:autoSpaceDE/>
                    <w:autoSpaceDN/>
                    <w:bidi w:val="0"/>
                    <w:spacing w:line="240" w:lineRule="exac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按照排污许可证的规定排放污染物；禁止未取得排污许可证或者违反排污许可证的规定排放污染物。</w:t>
                  </w:r>
                </w:p>
              </w:tc>
              <w:tc>
                <w:tcPr>
                  <w:tcW w:w="2396" w:type="dxa"/>
                  <w:vAlign w:val="center"/>
                </w:tcPr>
                <w:p w14:paraId="214C12A4">
                  <w:pPr>
                    <w:keepNext w:val="0"/>
                    <w:keepLines w:val="0"/>
                    <w:pageBreakBefore w:val="0"/>
                    <w:widowControl w:val="0"/>
                    <w:kinsoku/>
                    <w:wordWrap/>
                    <w:overflowPunct/>
                    <w:topLinePunct w:val="0"/>
                    <w:autoSpaceDE/>
                    <w:autoSpaceDN/>
                    <w:bidi w:val="0"/>
                    <w:spacing w:line="240" w:lineRule="exac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项目建成后将按要求完善排污许可证的手续。</w:t>
                  </w:r>
                </w:p>
              </w:tc>
              <w:tc>
                <w:tcPr>
                  <w:tcW w:w="805" w:type="dxa"/>
                  <w:vAlign w:val="center"/>
                </w:tcPr>
                <w:p w14:paraId="0DAABEE5">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1E852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1" w:type="dxa"/>
                  <w:vAlign w:val="center"/>
                </w:tcPr>
                <w:p w14:paraId="105FE205">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第六十七条</w:t>
                  </w:r>
                </w:p>
              </w:tc>
              <w:tc>
                <w:tcPr>
                  <w:tcW w:w="4949" w:type="dxa"/>
                  <w:vAlign w:val="center"/>
                </w:tcPr>
                <w:p w14:paraId="58B812D2">
                  <w:pPr>
                    <w:keepNext w:val="0"/>
                    <w:keepLines w:val="0"/>
                    <w:pageBreakBefore w:val="0"/>
                    <w:widowControl w:val="0"/>
                    <w:kinsoku/>
                    <w:wordWrap/>
                    <w:overflowPunct/>
                    <w:topLinePunct w:val="0"/>
                    <w:autoSpaceDE/>
                    <w:autoSpaceDN/>
                    <w:bidi w:val="0"/>
                    <w:spacing w:line="240" w:lineRule="exac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工业集聚区管理机构应当建设污水集中处理设施和配套管网，实行雨污分流，实现废水分类收集、分质处理。排污单位对污水进行预处理后向污水集中处理设施排放的，应当符合污水集中处理设施的接纳标准。</w:t>
                  </w:r>
                </w:p>
              </w:tc>
              <w:tc>
                <w:tcPr>
                  <w:tcW w:w="2396" w:type="dxa"/>
                  <w:vAlign w:val="center"/>
                </w:tcPr>
                <w:p w14:paraId="43B4C33A">
                  <w:pPr>
                    <w:keepNext w:val="0"/>
                    <w:keepLines w:val="0"/>
                    <w:pageBreakBefore w:val="0"/>
                    <w:widowControl w:val="0"/>
                    <w:kinsoku/>
                    <w:wordWrap/>
                    <w:overflowPunct/>
                    <w:topLinePunct w:val="0"/>
                    <w:autoSpaceDE/>
                    <w:autoSpaceDN/>
                    <w:bidi w:val="0"/>
                    <w:spacing w:line="240" w:lineRule="exac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项目不属于重点水污染排放项目，也不属于高污染项目，生产废水收集处理后全部回用不外排；生活污水采用化粪池收集处理用作农肥。厂区采取雨污分流制。</w:t>
                  </w:r>
                </w:p>
                <w:p w14:paraId="65C8F2AB">
                  <w:pPr>
                    <w:keepNext w:val="0"/>
                    <w:keepLines w:val="0"/>
                    <w:pageBreakBefore w:val="0"/>
                    <w:widowControl w:val="0"/>
                    <w:kinsoku/>
                    <w:wordWrap/>
                    <w:overflowPunct/>
                    <w:topLinePunct w:val="0"/>
                    <w:autoSpaceDE/>
                    <w:autoSpaceDN/>
                    <w:bidi w:val="0"/>
                    <w:spacing w:line="240" w:lineRule="exact"/>
                    <w:jc w:val="left"/>
                    <w:textAlignment w:val="auto"/>
                    <w:rPr>
                      <w:rFonts w:hint="default" w:ascii="Times New Roman" w:hAnsi="Times New Roman" w:cs="Times New Roman"/>
                      <w:color w:val="auto"/>
                      <w:szCs w:val="21"/>
                      <w:lang w:eastAsia="zh-CN"/>
                    </w:rPr>
                  </w:pPr>
                </w:p>
              </w:tc>
              <w:tc>
                <w:tcPr>
                  <w:tcW w:w="805" w:type="dxa"/>
                  <w:vAlign w:val="center"/>
                </w:tcPr>
                <w:p w14:paraId="24F71AEB">
                  <w:pPr>
                    <w:keepNext w:val="0"/>
                    <w:keepLines w:val="0"/>
                    <w:pageBreakBefore w:val="0"/>
                    <w:widowControl w:val="0"/>
                    <w:kinsoku/>
                    <w:wordWrap/>
                    <w:overflowPunct/>
                    <w:topLinePunct w:val="0"/>
                    <w:autoSpaceDE/>
                    <w:autoSpaceDN/>
                    <w:bidi w:val="0"/>
                    <w:spacing w:line="240" w:lineRule="exac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5D0A9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1" w:type="dxa"/>
                  <w:vAlign w:val="center"/>
                </w:tcPr>
                <w:p w14:paraId="72EF213F">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第七十三条</w:t>
                  </w:r>
                </w:p>
              </w:tc>
              <w:tc>
                <w:tcPr>
                  <w:tcW w:w="4949" w:type="dxa"/>
                  <w:vAlign w:val="center"/>
                </w:tcPr>
                <w:p w14:paraId="16B766CC">
                  <w:pPr>
                    <w:keepNext w:val="0"/>
                    <w:keepLines w:val="0"/>
                    <w:pageBreakBefore w:val="0"/>
                    <w:widowControl w:val="0"/>
                    <w:kinsoku/>
                    <w:wordWrap/>
                    <w:overflowPunct/>
                    <w:topLinePunct w:val="0"/>
                    <w:autoSpaceDE/>
                    <w:autoSpaceDN/>
                    <w:bidi w:val="0"/>
                    <w:spacing w:line="240" w:lineRule="exac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禁止在嘉陵江流域河湖管理范围内倾倒、填埋、堆放、弃置、处理固体废物。</w:t>
                  </w:r>
                </w:p>
              </w:tc>
              <w:tc>
                <w:tcPr>
                  <w:tcW w:w="2396" w:type="dxa"/>
                  <w:vAlign w:val="center"/>
                </w:tcPr>
                <w:p w14:paraId="4675F92D">
                  <w:pPr>
                    <w:keepNext w:val="0"/>
                    <w:keepLines w:val="0"/>
                    <w:pageBreakBefore w:val="0"/>
                    <w:widowControl w:val="0"/>
                    <w:kinsoku/>
                    <w:wordWrap/>
                    <w:overflowPunct/>
                    <w:topLinePunct w:val="0"/>
                    <w:autoSpaceDE/>
                    <w:autoSpaceDN/>
                    <w:bidi w:val="0"/>
                    <w:spacing w:line="240" w:lineRule="exac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本项目固体废物严格按照相关要求进行收集和处置。</w:t>
                  </w:r>
                </w:p>
              </w:tc>
              <w:tc>
                <w:tcPr>
                  <w:tcW w:w="805" w:type="dxa"/>
                  <w:vAlign w:val="center"/>
                </w:tcPr>
                <w:p w14:paraId="73E99088">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2D027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1" w:type="dxa"/>
                  <w:vAlign w:val="center"/>
                </w:tcPr>
                <w:p w14:paraId="1BAACC11">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第八十条</w:t>
                  </w:r>
                </w:p>
              </w:tc>
              <w:tc>
                <w:tcPr>
                  <w:tcW w:w="4949" w:type="dxa"/>
                  <w:vAlign w:val="center"/>
                </w:tcPr>
                <w:p w14:paraId="267C272F">
                  <w:pPr>
                    <w:keepNext w:val="0"/>
                    <w:keepLines w:val="0"/>
                    <w:pageBreakBefore w:val="0"/>
                    <w:widowControl w:val="0"/>
                    <w:kinsoku/>
                    <w:wordWrap/>
                    <w:overflowPunct/>
                    <w:topLinePunct w:val="0"/>
                    <w:autoSpaceDE/>
                    <w:autoSpaceDN/>
                    <w:bidi w:val="0"/>
                    <w:spacing w:line="240" w:lineRule="exac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限期禁止生产、销售、进口、使用、转让严重污染水环境的工艺和设备。</w:t>
                  </w:r>
                </w:p>
              </w:tc>
              <w:tc>
                <w:tcPr>
                  <w:tcW w:w="2396" w:type="dxa"/>
                  <w:vAlign w:val="center"/>
                </w:tcPr>
                <w:p w14:paraId="09354B63">
                  <w:pPr>
                    <w:keepNext w:val="0"/>
                    <w:keepLines w:val="0"/>
                    <w:pageBreakBefore w:val="0"/>
                    <w:widowControl w:val="0"/>
                    <w:kinsoku/>
                    <w:wordWrap/>
                    <w:overflowPunct/>
                    <w:topLinePunct w:val="0"/>
                    <w:autoSpaceDE/>
                    <w:autoSpaceDN/>
                    <w:bidi w:val="0"/>
                    <w:spacing w:line="240" w:lineRule="exact"/>
                    <w:jc w:val="left"/>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项目所用的设备、工艺不属于严重污染水环境的工艺和设备</w:t>
                  </w:r>
                  <w:r>
                    <w:rPr>
                      <w:rFonts w:hint="default" w:ascii="Times New Roman" w:hAnsi="Times New Roman" w:cs="Times New Roman"/>
                      <w:color w:val="auto"/>
                      <w:szCs w:val="21"/>
                      <w:lang w:eastAsia="zh-CN"/>
                    </w:rPr>
                    <w:t>。</w:t>
                  </w:r>
                </w:p>
              </w:tc>
              <w:tc>
                <w:tcPr>
                  <w:tcW w:w="805" w:type="dxa"/>
                  <w:vAlign w:val="center"/>
                </w:tcPr>
                <w:p w14:paraId="72DEBB71">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57817416">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rPr>
              <w:t>、与长江保护法符合性分析</w:t>
            </w:r>
          </w:p>
          <w:p w14:paraId="799A7A8D">
            <w:pPr>
              <w:spacing w:line="360" w:lineRule="auto"/>
              <w:ind w:firstLine="480" w:firstLineChars="200"/>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cs="Times New Roman"/>
                <w:color w:val="auto"/>
                <w:sz w:val="24"/>
                <w:szCs w:val="24"/>
              </w:rPr>
              <w:t>自2021年3月1日起施行的《中华人民共和国长江保护法》，是为了加强</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"https://baike.baidu.com/item/%E9%95%BF%E6%B1%9F/388" \t "_blank"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长江</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流域生态环境保护和修复，促进资源合理高效利用，保障生态安全，实现人与自然和谐共生、中华民族永续发展制定的法律。</w:t>
            </w:r>
          </w:p>
          <w:p w14:paraId="168B4FDD">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表1-5 本项目与“长江保护法”的符合性分析</w:t>
            </w:r>
          </w:p>
          <w:tbl>
            <w:tblPr>
              <w:tblStyle w:val="2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91"/>
              <w:gridCol w:w="4958"/>
              <w:gridCol w:w="2381"/>
              <w:gridCol w:w="766"/>
            </w:tblGrid>
            <w:tr w14:paraId="082A3E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1" w:type="dxa"/>
                  <w:tcBorders>
                    <w:tl2br w:val="nil"/>
                    <w:tr2bl w:val="nil"/>
                  </w:tcBorders>
                  <w:vAlign w:val="center"/>
                </w:tcPr>
                <w:p w14:paraId="171284D6">
                  <w:pPr>
                    <w:adjustRightInd w:val="0"/>
                    <w:snapToGrid w:val="0"/>
                    <w:spacing w:line="240" w:lineRule="auto"/>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序号</w:t>
                  </w:r>
                </w:p>
              </w:tc>
              <w:tc>
                <w:tcPr>
                  <w:tcW w:w="4958" w:type="dxa"/>
                  <w:tcBorders>
                    <w:tl2br w:val="nil"/>
                    <w:tr2bl w:val="nil"/>
                  </w:tcBorders>
                  <w:vAlign w:val="center"/>
                </w:tcPr>
                <w:p w14:paraId="091EA9AC">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原文内容</w:t>
                  </w:r>
                </w:p>
              </w:tc>
              <w:tc>
                <w:tcPr>
                  <w:tcW w:w="2381" w:type="dxa"/>
                  <w:tcBorders>
                    <w:tl2br w:val="nil"/>
                    <w:tr2bl w:val="nil"/>
                  </w:tcBorders>
                  <w:vAlign w:val="center"/>
                </w:tcPr>
                <w:p w14:paraId="13233E25">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766" w:type="dxa"/>
                  <w:tcBorders>
                    <w:tl2br w:val="nil"/>
                    <w:tr2bl w:val="nil"/>
                  </w:tcBorders>
                  <w:vAlign w:val="center"/>
                </w:tcPr>
                <w:p w14:paraId="5A2FE8B6">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14:paraId="11029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1" w:type="dxa"/>
                  <w:tcBorders>
                    <w:tl2br w:val="nil"/>
                    <w:tr2bl w:val="nil"/>
                  </w:tcBorders>
                  <w:vAlign w:val="center"/>
                </w:tcPr>
                <w:p w14:paraId="510E0D4E">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第二十一条</w:t>
                  </w:r>
                </w:p>
              </w:tc>
              <w:tc>
                <w:tcPr>
                  <w:tcW w:w="4958" w:type="dxa"/>
                  <w:tcBorders>
                    <w:tl2br w:val="nil"/>
                    <w:tr2bl w:val="nil"/>
                  </w:tcBorders>
                  <w:vAlign w:val="center"/>
                </w:tcPr>
                <w:p w14:paraId="5C663B86">
                  <w:pPr>
                    <w:adjustRightInd w:val="0"/>
                    <w:snapToGrid w:val="0"/>
                    <w:spacing w:line="240" w:lineRule="auto"/>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长江流域水质超标的水功能区，应当实施更严格的污染物排放总量削减要求。企业事业单位应当按照要求，采取污染物排放总量控制措施。</w:t>
                  </w:r>
                </w:p>
              </w:tc>
              <w:tc>
                <w:tcPr>
                  <w:tcW w:w="2381" w:type="dxa"/>
                  <w:tcBorders>
                    <w:tl2br w:val="nil"/>
                    <w:tr2bl w:val="nil"/>
                  </w:tcBorders>
                  <w:vAlign w:val="center"/>
                </w:tcPr>
                <w:p w14:paraId="6E2C2AA4">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项目所在区域水环境质量满足相应功能区要求，</w:t>
                  </w:r>
                  <w:r>
                    <w:rPr>
                      <w:rFonts w:hint="default" w:ascii="Times New Roman" w:hAnsi="Times New Roman" w:cs="Times New Roman"/>
                      <w:color w:val="auto"/>
                      <w:szCs w:val="21"/>
                      <w:lang w:val="en-US" w:eastAsia="zh-CN"/>
                    </w:rPr>
                    <w:t>生产废水收集处理后全部回用不外排；生活污水采用化粪池收集处理用作农肥</w:t>
                  </w:r>
                  <w:r>
                    <w:rPr>
                      <w:rFonts w:hint="default" w:ascii="Times New Roman" w:hAnsi="Times New Roman" w:cs="Times New Roman"/>
                      <w:bCs/>
                      <w:color w:val="auto"/>
                      <w:kern w:val="2"/>
                      <w:sz w:val="21"/>
                      <w:szCs w:val="21"/>
                      <w:lang w:val="en-US" w:eastAsia="zh-CN" w:bidi="ar-SA"/>
                    </w:rPr>
                    <w:t>。</w:t>
                  </w:r>
                </w:p>
              </w:tc>
              <w:tc>
                <w:tcPr>
                  <w:tcW w:w="766" w:type="dxa"/>
                  <w:tcBorders>
                    <w:tl2br w:val="nil"/>
                    <w:tr2bl w:val="nil"/>
                  </w:tcBorders>
                  <w:vAlign w:val="center"/>
                </w:tcPr>
                <w:p w14:paraId="74191987">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18E047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1" w:type="dxa"/>
                  <w:tcBorders>
                    <w:tl2br w:val="nil"/>
                    <w:tr2bl w:val="nil"/>
                  </w:tcBorders>
                  <w:vAlign w:val="center"/>
                </w:tcPr>
                <w:p w14:paraId="6CA55BF2">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第二十</w:t>
                  </w:r>
                  <w:r>
                    <w:rPr>
                      <w:rFonts w:hint="default" w:ascii="Times New Roman" w:hAnsi="Times New Roman" w:cs="Times New Roman"/>
                      <w:bCs/>
                      <w:color w:val="auto"/>
                      <w:szCs w:val="21"/>
                      <w:lang w:val="en-US" w:eastAsia="zh-CN"/>
                    </w:rPr>
                    <w:t>二</w:t>
                  </w:r>
                  <w:r>
                    <w:rPr>
                      <w:rFonts w:hint="default" w:ascii="Times New Roman" w:hAnsi="Times New Roman" w:cs="Times New Roman"/>
                      <w:bCs/>
                      <w:color w:val="auto"/>
                      <w:szCs w:val="21"/>
                    </w:rPr>
                    <w:t>条</w:t>
                  </w:r>
                </w:p>
              </w:tc>
              <w:tc>
                <w:tcPr>
                  <w:tcW w:w="4958" w:type="dxa"/>
                  <w:tcBorders>
                    <w:tl2br w:val="nil"/>
                    <w:tr2bl w:val="nil"/>
                  </w:tcBorders>
                  <w:vAlign w:val="center"/>
                </w:tcPr>
                <w:p w14:paraId="39F132AD">
                  <w:pPr>
                    <w:adjustRightInd w:val="0"/>
                    <w:snapToGrid w:val="0"/>
                    <w:spacing w:line="240" w:lineRule="auto"/>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长江流域产业结构和布局应当与长江流域生态系统和资源环境承载能力相适应。禁止在长江流域重点生态功能区布局对生态系统有严重影响的产业。禁止重污染企业和项目向长江中上游转移。</w:t>
                  </w:r>
                </w:p>
              </w:tc>
              <w:tc>
                <w:tcPr>
                  <w:tcW w:w="2381" w:type="dxa"/>
                  <w:tcBorders>
                    <w:tl2br w:val="nil"/>
                    <w:tr2bl w:val="nil"/>
                  </w:tcBorders>
                  <w:vAlign w:val="center"/>
                </w:tcPr>
                <w:p w14:paraId="2E71C16B">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项目所在地不属于长江流域重点生态功能区，</w:t>
                  </w:r>
                  <w:r>
                    <w:rPr>
                      <w:rFonts w:hint="default" w:ascii="Times New Roman" w:hAnsi="Times New Roman" w:cs="Times New Roman"/>
                      <w:bCs/>
                      <w:color w:val="auto"/>
                      <w:szCs w:val="21"/>
                      <w:lang w:val="en-US" w:eastAsia="zh-CN"/>
                    </w:rPr>
                    <w:t>对生态系统不会造成严重影响，也不属于重污染项目。</w:t>
                  </w:r>
                </w:p>
              </w:tc>
              <w:tc>
                <w:tcPr>
                  <w:tcW w:w="766" w:type="dxa"/>
                  <w:tcBorders>
                    <w:tl2br w:val="nil"/>
                    <w:tr2bl w:val="nil"/>
                  </w:tcBorders>
                  <w:vAlign w:val="center"/>
                </w:tcPr>
                <w:p w14:paraId="4B3C867E">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6521CD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1" w:type="dxa"/>
                  <w:tcBorders>
                    <w:tl2br w:val="nil"/>
                    <w:tr2bl w:val="nil"/>
                  </w:tcBorders>
                  <w:vAlign w:val="center"/>
                </w:tcPr>
                <w:p w14:paraId="5D2BA293">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第二十</w:t>
                  </w:r>
                  <w:r>
                    <w:rPr>
                      <w:rFonts w:hint="default" w:ascii="Times New Roman" w:hAnsi="Times New Roman" w:cs="Times New Roman"/>
                      <w:bCs/>
                      <w:color w:val="auto"/>
                      <w:szCs w:val="21"/>
                      <w:lang w:val="en-US" w:eastAsia="zh-CN"/>
                    </w:rPr>
                    <w:t>六</w:t>
                  </w:r>
                  <w:r>
                    <w:rPr>
                      <w:rFonts w:hint="default" w:ascii="Times New Roman" w:hAnsi="Times New Roman" w:cs="Times New Roman"/>
                      <w:bCs/>
                      <w:color w:val="auto"/>
                      <w:szCs w:val="21"/>
                    </w:rPr>
                    <w:t>条</w:t>
                  </w:r>
                </w:p>
              </w:tc>
              <w:tc>
                <w:tcPr>
                  <w:tcW w:w="4958" w:type="dxa"/>
                  <w:tcBorders>
                    <w:tl2br w:val="nil"/>
                    <w:tr2bl w:val="nil"/>
                  </w:tcBorders>
                  <w:vAlign w:val="center"/>
                </w:tcPr>
                <w:p w14:paraId="65EA5412">
                  <w:pPr>
                    <w:adjustRightInd w:val="0"/>
                    <w:snapToGrid w:val="0"/>
                    <w:spacing w:line="240" w:lineRule="auto"/>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禁止在长江干支流岸线一公里范围内新建、扩建化工园区和化工项目。禁止在长江干流岸线</w:t>
                  </w:r>
                  <w:r>
                    <w:rPr>
                      <w:rFonts w:hint="default" w:ascii="Times New Roman" w:hAnsi="Times New Roman" w:cs="Times New Roman"/>
                      <w:bCs/>
                      <w:color w:val="auto"/>
                      <w:szCs w:val="21"/>
                    </w:rPr>
                    <w:cr/>
                  </w:r>
                  <w:r>
                    <w:rPr>
                      <w:rFonts w:hint="default" w:ascii="Times New Roman" w:hAnsi="Times New Roman" w:cs="Times New Roman"/>
                      <w:bCs/>
                      <w:color w:val="auto"/>
                      <w:szCs w:val="21"/>
                    </w:rPr>
                    <w:t>三公里范围内和重要支流岸线一公里范围内新建、改建、扩建尾矿库；但是以提升安全、生态环境保护水平为目的的改建除外。</w:t>
                  </w:r>
                </w:p>
              </w:tc>
              <w:tc>
                <w:tcPr>
                  <w:tcW w:w="2381" w:type="dxa"/>
                  <w:tcBorders>
                    <w:tl2br w:val="nil"/>
                    <w:tr2bl w:val="nil"/>
                  </w:tcBorders>
                  <w:vAlign w:val="center"/>
                </w:tcPr>
                <w:p w14:paraId="079F2595">
                  <w:pPr>
                    <w:adjustRightInd w:val="0"/>
                    <w:snapToGrid w:val="0"/>
                    <w:spacing w:line="240" w:lineRule="auto"/>
                    <w:jc w:val="left"/>
                    <w:rPr>
                      <w:rFonts w:hint="default" w:ascii="Times New Roman" w:hAnsi="Times New Roman" w:cs="Times New Roman"/>
                      <w:bCs/>
                      <w:color w:val="auto"/>
                      <w:szCs w:val="21"/>
                    </w:rPr>
                  </w:pPr>
                  <w:r>
                    <w:rPr>
                      <w:rStyle w:val="31"/>
                      <w:rFonts w:hint="default" w:ascii="Times New Roman" w:hAnsi="Times New Roman" w:eastAsia="宋体" w:cs="Times New Roman"/>
                      <w:color w:val="auto"/>
                      <w:kern w:val="2"/>
                      <w:sz w:val="21"/>
                      <w:szCs w:val="21"/>
                      <w:lang w:val="en-US" w:eastAsia="zh-CN" w:bidi="ar-SA"/>
                    </w:rPr>
                    <w:t>项目</w:t>
                  </w:r>
                  <w:r>
                    <w:rPr>
                      <w:rStyle w:val="31"/>
                      <w:rFonts w:hint="default" w:ascii="Times New Roman" w:hAnsi="Times New Roman" w:cs="Times New Roman"/>
                      <w:color w:val="auto"/>
                      <w:kern w:val="2"/>
                      <w:sz w:val="21"/>
                      <w:szCs w:val="21"/>
                      <w:lang w:val="en-US" w:eastAsia="zh-CN" w:bidi="ar-SA"/>
                    </w:rPr>
                    <w:t>附近地表水体为西侧的天生河，相距约1.5km，由北向南汇入新宁河。本项目建设区域不属于长江重要支流岸线一公里范围内，且本项目不属于化工项目或尾矿库项目。</w:t>
                  </w:r>
                </w:p>
              </w:tc>
              <w:tc>
                <w:tcPr>
                  <w:tcW w:w="766" w:type="dxa"/>
                  <w:tcBorders>
                    <w:tl2br w:val="nil"/>
                    <w:tr2bl w:val="nil"/>
                  </w:tcBorders>
                  <w:vAlign w:val="center"/>
                </w:tcPr>
                <w:p w14:paraId="64EB6317">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75638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1" w:type="dxa"/>
                  <w:tcBorders>
                    <w:tl2br w:val="nil"/>
                    <w:tr2bl w:val="nil"/>
                  </w:tcBorders>
                  <w:vAlign w:val="center"/>
                </w:tcPr>
                <w:p w14:paraId="29C91084">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第二十</w:t>
                  </w:r>
                  <w:r>
                    <w:rPr>
                      <w:rFonts w:hint="default" w:ascii="Times New Roman" w:hAnsi="Times New Roman" w:cs="Times New Roman"/>
                      <w:bCs/>
                      <w:color w:val="auto"/>
                      <w:szCs w:val="21"/>
                      <w:lang w:val="en-US" w:eastAsia="zh-CN"/>
                    </w:rPr>
                    <w:t>八</w:t>
                  </w:r>
                  <w:r>
                    <w:rPr>
                      <w:rFonts w:hint="default" w:ascii="Times New Roman" w:hAnsi="Times New Roman" w:cs="Times New Roman"/>
                      <w:bCs/>
                      <w:color w:val="auto"/>
                      <w:szCs w:val="21"/>
                    </w:rPr>
                    <w:t>条</w:t>
                  </w:r>
                </w:p>
              </w:tc>
              <w:tc>
                <w:tcPr>
                  <w:tcW w:w="4958" w:type="dxa"/>
                  <w:tcBorders>
                    <w:tl2br w:val="nil"/>
                    <w:tr2bl w:val="nil"/>
                  </w:tcBorders>
                  <w:vAlign w:val="center"/>
                </w:tcPr>
                <w:p w14:paraId="78561305">
                  <w:pPr>
                    <w:adjustRightInd w:val="0"/>
                    <w:snapToGrid w:val="0"/>
                    <w:spacing w:line="240" w:lineRule="auto"/>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禁止在长江流域禁止采砂区和禁止采砂期从事采砂活动。</w:t>
                  </w:r>
                </w:p>
              </w:tc>
              <w:tc>
                <w:tcPr>
                  <w:tcW w:w="2381" w:type="dxa"/>
                  <w:tcBorders>
                    <w:tl2br w:val="nil"/>
                    <w:tr2bl w:val="nil"/>
                  </w:tcBorders>
                  <w:vAlign w:val="center"/>
                </w:tcPr>
                <w:p w14:paraId="21A2AB9A">
                  <w:pPr>
                    <w:adjustRightInd w:val="0"/>
                    <w:snapToGrid w:val="0"/>
                    <w:spacing w:line="240" w:lineRule="auto"/>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本项目不涉及采砂活动。</w:t>
                  </w:r>
                </w:p>
              </w:tc>
              <w:tc>
                <w:tcPr>
                  <w:tcW w:w="766" w:type="dxa"/>
                  <w:tcBorders>
                    <w:tl2br w:val="nil"/>
                    <w:tr2bl w:val="nil"/>
                  </w:tcBorders>
                  <w:vAlign w:val="center"/>
                </w:tcPr>
                <w:p w14:paraId="1951BEE5">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0922A8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1" w:type="dxa"/>
                  <w:tcBorders>
                    <w:tl2br w:val="nil"/>
                    <w:tr2bl w:val="nil"/>
                  </w:tcBorders>
                  <w:vAlign w:val="center"/>
                </w:tcPr>
                <w:p w14:paraId="6B225FB0">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第</w:t>
                  </w:r>
                  <w:r>
                    <w:rPr>
                      <w:rFonts w:hint="default" w:ascii="Times New Roman" w:hAnsi="Times New Roman" w:cs="Times New Roman"/>
                      <w:bCs/>
                      <w:color w:val="auto"/>
                      <w:szCs w:val="21"/>
                      <w:lang w:val="en-US" w:eastAsia="zh-CN"/>
                    </w:rPr>
                    <w:t>三</w:t>
                  </w:r>
                  <w:r>
                    <w:rPr>
                      <w:rFonts w:hint="default" w:ascii="Times New Roman" w:hAnsi="Times New Roman" w:cs="Times New Roman"/>
                      <w:bCs/>
                      <w:color w:val="auto"/>
                      <w:szCs w:val="21"/>
                    </w:rPr>
                    <w:t>十</w:t>
                  </w:r>
                  <w:r>
                    <w:rPr>
                      <w:rFonts w:hint="default" w:ascii="Times New Roman" w:hAnsi="Times New Roman" w:cs="Times New Roman"/>
                      <w:bCs/>
                      <w:color w:val="auto"/>
                      <w:szCs w:val="21"/>
                      <w:lang w:val="en-US" w:eastAsia="zh-CN"/>
                    </w:rPr>
                    <w:t>八</w:t>
                  </w:r>
                  <w:r>
                    <w:rPr>
                      <w:rFonts w:hint="default" w:ascii="Times New Roman" w:hAnsi="Times New Roman" w:cs="Times New Roman"/>
                      <w:bCs/>
                      <w:color w:val="auto"/>
                      <w:szCs w:val="21"/>
                    </w:rPr>
                    <w:t>条</w:t>
                  </w:r>
                </w:p>
              </w:tc>
              <w:tc>
                <w:tcPr>
                  <w:tcW w:w="4958" w:type="dxa"/>
                  <w:tcBorders>
                    <w:tl2br w:val="nil"/>
                    <w:tr2bl w:val="nil"/>
                  </w:tcBorders>
                  <w:vAlign w:val="center"/>
                </w:tcPr>
                <w:p w14:paraId="5A91FA97">
                  <w:pPr>
                    <w:adjustRightInd w:val="0"/>
                    <w:snapToGrid w:val="0"/>
                    <w:spacing w:line="240" w:lineRule="auto"/>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加强对高耗水行业、重点用水单位的用水定额管理，严格控制高耗水项目建设。</w:t>
                  </w:r>
                </w:p>
              </w:tc>
              <w:tc>
                <w:tcPr>
                  <w:tcW w:w="2381" w:type="dxa"/>
                  <w:tcBorders>
                    <w:tl2br w:val="nil"/>
                    <w:tr2bl w:val="nil"/>
                  </w:tcBorders>
                  <w:vAlign w:val="center"/>
                </w:tcPr>
                <w:p w14:paraId="2089BBB6">
                  <w:pPr>
                    <w:adjustRightInd w:val="0"/>
                    <w:snapToGrid w:val="0"/>
                    <w:spacing w:line="240" w:lineRule="auto"/>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本项目</w:t>
                  </w:r>
                  <w:r>
                    <w:rPr>
                      <w:rFonts w:hint="default" w:ascii="Times New Roman" w:hAnsi="Times New Roman" w:cs="Times New Roman"/>
                      <w:bCs/>
                      <w:color w:val="auto"/>
                      <w:szCs w:val="21"/>
                      <w:lang w:val="en-US" w:eastAsia="zh-CN"/>
                    </w:rPr>
                    <w:t>无生产废水，冲洗废水处理后回用，能够最大限度降低生产用水量。</w:t>
                  </w:r>
                </w:p>
              </w:tc>
              <w:tc>
                <w:tcPr>
                  <w:tcW w:w="766" w:type="dxa"/>
                  <w:tcBorders>
                    <w:tl2br w:val="nil"/>
                    <w:tr2bl w:val="nil"/>
                  </w:tcBorders>
                  <w:vAlign w:val="center"/>
                </w:tcPr>
                <w:p w14:paraId="7F263006">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bl>
          <w:p w14:paraId="4B6536CC">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6</w:t>
            </w:r>
            <w:r>
              <w:rPr>
                <w:rFonts w:hint="default" w:ascii="Times New Roman" w:hAnsi="Times New Roman" w:cs="Times New Roman"/>
                <w:b/>
                <w:color w:val="auto"/>
                <w:sz w:val="24"/>
                <w:szCs w:val="24"/>
              </w:rPr>
              <w:t>、与《四川省</w:t>
            </w: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rPr>
              <w:t>重庆市长江经济带发展负面清单实施细则》符合性分析</w:t>
            </w:r>
          </w:p>
          <w:p w14:paraId="1D61A8BD">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与四川省推动长江经济带发展领导小组办公室重庆市推动长江经济带发展领导小组办公室关于印发《四川省</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重庆市长江经济带发展负面清单实施细则（试行，2022年版）》的通知（川长江办</w:t>
            </w:r>
            <w:r>
              <w:rPr>
                <w:rFonts w:hint="default" w:ascii="Times New Roman" w:hAnsi="Times New Roman" w:cs="Times New Roman"/>
                <w:color w:val="auto"/>
                <w:sz w:val="24"/>
                <w:szCs w:val="24"/>
              </w:rPr>
              <w:t>〔2022〕</w:t>
            </w:r>
            <w:r>
              <w:rPr>
                <w:rFonts w:hint="default" w:ascii="Times New Roman" w:hAnsi="Times New Roman" w:cs="Times New Roman"/>
                <w:bCs/>
                <w:color w:val="auto"/>
                <w:sz w:val="24"/>
                <w:szCs w:val="24"/>
              </w:rPr>
              <w:t>17号）的符合性分析。</w:t>
            </w:r>
          </w:p>
          <w:p w14:paraId="60E893F0">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表1-6 本项目与“川长江办〔2022〕17号”的符合性分析</w:t>
            </w:r>
          </w:p>
          <w:tbl>
            <w:tblPr>
              <w:tblStyle w:val="29"/>
              <w:tblW w:w="896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90"/>
              <w:gridCol w:w="4959"/>
              <w:gridCol w:w="2400"/>
              <w:gridCol w:w="817"/>
            </w:tblGrid>
            <w:tr w14:paraId="62DCC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vAlign w:val="center"/>
                </w:tcPr>
                <w:p w14:paraId="71964D8C">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4959" w:type="dxa"/>
                  <w:tcBorders>
                    <w:tl2br w:val="nil"/>
                    <w:tr2bl w:val="nil"/>
                  </w:tcBorders>
                  <w:vAlign w:val="center"/>
                </w:tcPr>
                <w:p w14:paraId="2A76417F">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原文内容</w:t>
                  </w:r>
                </w:p>
              </w:tc>
              <w:tc>
                <w:tcPr>
                  <w:tcW w:w="2400" w:type="dxa"/>
                  <w:tcBorders>
                    <w:tl2br w:val="nil"/>
                    <w:tr2bl w:val="nil"/>
                  </w:tcBorders>
                  <w:vAlign w:val="center"/>
                </w:tcPr>
                <w:p w14:paraId="0DF4EA71">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817" w:type="dxa"/>
                  <w:tcBorders>
                    <w:tl2br w:val="nil"/>
                    <w:tr2bl w:val="nil"/>
                  </w:tcBorders>
                  <w:vAlign w:val="center"/>
                </w:tcPr>
                <w:p w14:paraId="5E63848A">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14:paraId="5F7FC7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vAlign w:val="center"/>
                </w:tcPr>
                <w:p w14:paraId="02CB6619">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第七条</w:t>
                  </w:r>
                </w:p>
              </w:tc>
              <w:tc>
                <w:tcPr>
                  <w:tcW w:w="4959" w:type="dxa"/>
                  <w:tcBorders>
                    <w:tl2br w:val="nil"/>
                    <w:tr2bl w:val="nil"/>
                  </w:tcBorders>
                  <w:vAlign w:val="center"/>
                </w:tcPr>
                <w:p w14:paraId="4674CEFA">
                  <w:pPr>
                    <w:adjustRightInd w:val="0"/>
                    <w:snapToGrid w:val="0"/>
                    <w:spacing w:line="240" w:lineRule="auto"/>
                    <w:jc w:val="left"/>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禁止在自然保护区核心区、缓冲区的岸线和河段范围内投资建设旅游和生产经营项目。自然保护区的内部未分区的依照核心区和缓冲区的规定管控。</w:t>
                  </w:r>
                </w:p>
              </w:tc>
              <w:tc>
                <w:tcPr>
                  <w:tcW w:w="2400" w:type="dxa"/>
                  <w:tcBorders>
                    <w:tl2br w:val="nil"/>
                    <w:tr2bl w:val="nil"/>
                  </w:tcBorders>
                  <w:shd w:val="clear" w:color="auto" w:fill="auto"/>
                  <w:vAlign w:val="center"/>
                </w:tcPr>
                <w:p w14:paraId="7DA03977">
                  <w:pPr>
                    <w:adjustRightInd w:val="0"/>
                    <w:snapToGrid w:val="0"/>
                    <w:spacing w:line="240" w:lineRule="auto"/>
                    <w:jc w:val="left"/>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本项目不涉及自然保护区</w:t>
                  </w:r>
                </w:p>
              </w:tc>
              <w:tc>
                <w:tcPr>
                  <w:tcW w:w="817" w:type="dxa"/>
                  <w:tcBorders>
                    <w:tl2br w:val="nil"/>
                    <w:tr2bl w:val="nil"/>
                  </w:tcBorders>
                  <w:vAlign w:val="center"/>
                </w:tcPr>
                <w:p w14:paraId="0B9B10C2">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2A740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shd w:val="clear" w:color="auto" w:fill="auto"/>
                  <w:vAlign w:val="center"/>
                </w:tcPr>
                <w:p w14:paraId="5F5753D7">
                  <w:pPr>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第八条</w:t>
                  </w:r>
                </w:p>
              </w:tc>
              <w:tc>
                <w:tcPr>
                  <w:tcW w:w="4959" w:type="dxa"/>
                  <w:tcBorders>
                    <w:tl2br w:val="nil"/>
                    <w:tr2bl w:val="nil"/>
                  </w:tcBorders>
                  <w:vAlign w:val="center"/>
                </w:tcPr>
                <w:p w14:paraId="57FFCF1C">
                  <w:pPr>
                    <w:adjustRightInd w:val="0"/>
                    <w:snapToGrid w:val="0"/>
                    <w:spacing w:line="240" w:lineRule="auto"/>
                    <w:jc w:val="left"/>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禁止违反风景名胜区规划，在风景名胜区内设立各类开发区。禁止在风景名胜区核心景区的岸线和河段范围内建设宾馆、招待所、培训中心、疗养院以及与风景名胜资源保护无关的项目。</w:t>
                  </w:r>
                </w:p>
              </w:tc>
              <w:tc>
                <w:tcPr>
                  <w:tcW w:w="2400" w:type="dxa"/>
                  <w:tcBorders>
                    <w:tl2br w:val="nil"/>
                    <w:tr2bl w:val="nil"/>
                  </w:tcBorders>
                  <w:shd w:val="clear" w:color="auto" w:fill="auto"/>
                  <w:vAlign w:val="center"/>
                </w:tcPr>
                <w:p w14:paraId="4DB87ED9">
                  <w:pPr>
                    <w:adjustRightInd w:val="0"/>
                    <w:snapToGrid w:val="0"/>
                    <w:spacing w:line="240" w:lineRule="auto"/>
                    <w:jc w:val="left"/>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本项目不涉及风景名胜区</w:t>
                  </w:r>
                </w:p>
              </w:tc>
              <w:tc>
                <w:tcPr>
                  <w:tcW w:w="817" w:type="dxa"/>
                  <w:tcBorders>
                    <w:tl2br w:val="nil"/>
                    <w:tr2bl w:val="nil"/>
                  </w:tcBorders>
                  <w:vAlign w:val="center"/>
                </w:tcPr>
                <w:p w14:paraId="7BD60FC4">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3DDE64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shd w:val="clear" w:color="auto" w:fill="auto"/>
                  <w:vAlign w:val="center"/>
                </w:tcPr>
                <w:p w14:paraId="7387F2B1">
                  <w:pPr>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第九条</w:t>
                  </w:r>
                </w:p>
              </w:tc>
              <w:tc>
                <w:tcPr>
                  <w:tcW w:w="4959" w:type="dxa"/>
                  <w:tcBorders>
                    <w:tl2br w:val="nil"/>
                    <w:tr2bl w:val="nil"/>
                  </w:tcBorders>
                  <w:shd w:val="clear" w:color="auto" w:fill="auto"/>
                  <w:vAlign w:val="center"/>
                </w:tcPr>
                <w:p w14:paraId="433D985F">
                  <w:pPr>
                    <w:adjustRightInd w:val="0"/>
                    <w:snapToGrid w:val="0"/>
                    <w:spacing w:line="240" w:lineRule="auto"/>
                    <w:jc w:val="left"/>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禁止在饮用水水源准保护区的岸线和河段范围内新建、扩建对水体污染严重的建设项目，禁止改建增加排污量的建设项目。</w:t>
                  </w:r>
                </w:p>
              </w:tc>
              <w:tc>
                <w:tcPr>
                  <w:tcW w:w="2400" w:type="dxa"/>
                  <w:tcBorders>
                    <w:tl2br w:val="nil"/>
                    <w:tr2bl w:val="nil"/>
                  </w:tcBorders>
                  <w:shd w:val="clear" w:color="auto" w:fill="auto"/>
                  <w:vAlign w:val="center"/>
                </w:tcPr>
                <w:p w14:paraId="71D08369">
                  <w:pPr>
                    <w:adjustRightInd w:val="0"/>
                    <w:snapToGrid w:val="0"/>
                    <w:spacing w:line="240" w:lineRule="auto"/>
                    <w:jc w:val="left"/>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本项目不涉及饮用水源准保护区</w:t>
                  </w:r>
                </w:p>
              </w:tc>
              <w:tc>
                <w:tcPr>
                  <w:tcW w:w="817" w:type="dxa"/>
                  <w:tcBorders>
                    <w:tl2br w:val="nil"/>
                    <w:tr2bl w:val="nil"/>
                  </w:tcBorders>
                  <w:shd w:val="clear" w:color="auto" w:fill="auto"/>
                  <w:vAlign w:val="center"/>
                </w:tcPr>
                <w:p w14:paraId="35CE5AA8">
                  <w:pPr>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符合</w:t>
                  </w:r>
                </w:p>
              </w:tc>
            </w:tr>
            <w:tr w14:paraId="26123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shd w:val="clear" w:color="auto" w:fill="auto"/>
                  <w:vAlign w:val="center"/>
                </w:tcPr>
                <w:p w14:paraId="3BE9032E">
                  <w:pPr>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第十条</w:t>
                  </w:r>
                </w:p>
              </w:tc>
              <w:tc>
                <w:tcPr>
                  <w:tcW w:w="4959" w:type="dxa"/>
                  <w:tcBorders>
                    <w:tl2br w:val="nil"/>
                    <w:tr2bl w:val="nil"/>
                  </w:tcBorders>
                  <w:vAlign w:val="center"/>
                </w:tcPr>
                <w:p w14:paraId="59606389">
                  <w:pPr>
                    <w:adjustRightInd w:val="0"/>
                    <w:snapToGrid w:val="0"/>
                    <w:spacing w:line="240" w:lineRule="auto"/>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饮用水水源二级保护区的岸线和河段范围内，除遵守准保护区规定外，禁止新建、改建、扩建排放污染物的投资建设项目；禁止从事对水体有污染的水产养殖等活动。</w:t>
                  </w:r>
                </w:p>
              </w:tc>
              <w:tc>
                <w:tcPr>
                  <w:tcW w:w="2400" w:type="dxa"/>
                  <w:tcBorders>
                    <w:tl2br w:val="nil"/>
                    <w:tr2bl w:val="nil"/>
                  </w:tcBorders>
                  <w:vAlign w:val="center"/>
                </w:tcPr>
                <w:p w14:paraId="3113404C">
                  <w:pPr>
                    <w:adjustRightInd w:val="0"/>
                    <w:snapToGrid w:val="0"/>
                    <w:spacing w:line="240" w:lineRule="auto"/>
                    <w:jc w:val="left"/>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本项目不涉及饮用水源二级保护区</w:t>
                  </w:r>
                </w:p>
              </w:tc>
              <w:tc>
                <w:tcPr>
                  <w:tcW w:w="817" w:type="dxa"/>
                  <w:tcBorders>
                    <w:tl2br w:val="nil"/>
                    <w:tr2bl w:val="nil"/>
                  </w:tcBorders>
                  <w:vAlign w:val="center"/>
                </w:tcPr>
                <w:p w14:paraId="50E5D338">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4A345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shd w:val="clear" w:color="auto" w:fill="auto"/>
                  <w:vAlign w:val="center"/>
                </w:tcPr>
                <w:p w14:paraId="3D75AB4D">
                  <w:pPr>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第十一条</w:t>
                  </w:r>
                </w:p>
              </w:tc>
              <w:tc>
                <w:tcPr>
                  <w:tcW w:w="4959" w:type="dxa"/>
                  <w:tcBorders>
                    <w:tl2br w:val="nil"/>
                    <w:tr2bl w:val="nil"/>
                  </w:tcBorders>
                  <w:vAlign w:val="center"/>
                </w:tcPr>
                <w:p w14:paraId="281452B6">
                  <w:pPr>
                    <w:adjustRightInd w:val="0"/>
                    <w:snapToGrid w:val="0"/>
                    <w:spacing w:line="240" w:lineRule="auto"/>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饮用水水源一级保护区的岸线和河段范围内，除应遵守二级保护区规定外，禁止新建、改建、扩建与供</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rPr>
                    <w:t>取）水设施和保护水源无关的项目，以及网箱养殖、畜禽养殖、旅游等可能污染饮用水水体的投资建设项目。</w:t>
                  </w:r>
                </w:p>
              </w:tc>
              <w:tc>
                <w:tcPr>
                  <w:tcW w:w="2400" w:type="dxa"/>
                  <w:tcBorders>
                    <w:tl2br w:val="nil"/>
                    <w:tr2bl w:val="nil"/>
                  </w:tcBorders>
                  <w:vAlign w:val="center"/>
                </w:tcPr>
                <w:p w14:paraId="7CEF0B00">
                  <w:pPr>
                    <w:adjustRightInd w:val="0"/>
                    <w:snapToGrid w:val="0"/>
                    <w:spacing w:line="240" w:lineRule="auto"/>
                    <w:jc w:val="left"/>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本项目不涉及饮用水源一级保护区</w:t>
                  </w:r>
                </w:p>
              </w:tc>
              <w:tc>
                <w:tcPr>
                  <w:tcW w:w="817" w:type="dxa"/>
                  <w:tcBorders>
                    <w:tl2br w:val="nil"/>
                    <w:tr2bl w:val="nil"/>
                  </w:tcBorders>
                  <w:vAlign w:val="center"/>
                </w:tcPr>
                <w:p w14:paraId="23019C48">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4B7A8F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shd w:val="clear" w:color="auto" w:fill="auto"/>
                  <w:vAlign w:val="center"/>
                </w:tcPr>
                <w:p w14:paraId="7F1CD2ED">
                  <w:pPr>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第十二条</w:t>
                  </w:r>
                </w:p>
              </w:tc>
              <w:tc>
                <w:tcPr>
                  <w:tcW w:w="4959" w:type="dxa"/>
                  <w:tcBorders>
                    <w:tl2br w:val="nil"/>
                    <w:tr2bl w:val="nil"/>
                  </w:tcBorders>
                  <w:vAlign w:val="center"/>
                </w:tcPr>
                <w:p w14:paraId="5D954479">
                  <w:pPr>
                    <w:adjustRightInd w:val="0"/>
                    <w:snapToGrid w:val="0"/>
                    <w:spacing w:line="240" w:lineRule="auto"/>
                    <w:jc w:val="left"/>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禁止在水产种质资源保护区岸线和河段范围内新建围湖造田、围湖造地或挖沙采石等投资建设项目。</w:t>
                  </w:r>
                </w:p>
              </w:tc>
              <w:tc>
                <w:tcPr>
                  <w:tcW w:w="2400" w:type="dxa"/>
                  <w:tcBorders>
                    <w:tl2br w:val="nil"/>
                    <w:tr2bl w:val="nil"/>
                  </w:tcBorders>
                  <w:vAlign w:val="center"/>
                </w:tcPr>
                <w:p w14:paraId="07618B09">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本项目不涉及水产种质资源保护区</w:t>
                  </w:r>
                </w:p>
              </w:tc>
              <w:tc>
                <w:tcPr>
                  <w:tcW w:w="817" w:type="dxa"/>
                  <w:tcBorders>
                    <w:tl2br w:val="nil"/>
                    <w:tr2bl w:val="nil"/>
                  </w:tcBorders>
                  <w:vAlign w:val="center"/>
                </w:tcPr>
                <w:p w14:paraId="2ED0A100">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6AF74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shd w:val="clear" w:color="auto" w:fill="auto"/>
                  <w:vAlign w:val="center"/>
                </w:tcPr>
                <w:p w14:paraId="5468EDC0">
                  <w:pPr>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第十三条</w:t>
                  </w:r>
                </w:p>
              </w:tc>
              <w:tc>
                <w:tcPr>
                  <w:tcW w:w="4959" w:type="dxa"/>
                  <w:tcBorders>
                    <w:tl2br w:val="nil"/>
                    <w:tr2bl w:val="nil"/>
                  </w:tcBorders>
                  <w:vAlign w:val="center"/>
                </w:tcPr>
                <w:p w14:paraId="4288203C">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2400" w:type="dxa"/>
                  <w:tcBorders>
                    <w:tl2br w:val="nil"/>
                    <w:tr2bl w:val="nil"/>
                  </w:tcBorders>
                  <w:vAlign w:val="center"/>
                </w:tcPr>
                <w:p w14:paraId="5E4C4828">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本项目不涉及国家湿地公园</w:t>
                  </w:r>
                </w:p>
              </w:tc>
              <w:tc>
                <w:tcPr>
                  <w:tcW w:w="817" w:type="dxa"/>
                  <w:tcBorders>
                    <w:tl2br w:val="nil"/>
                    <w:tr2bl w:val="nil"/>
                  </w:tcBorders>
                  <w:vAlign w:val="center"/>
                </w:tcPr>
                <w:p w14:paraId="2EBA30DB">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253AC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shd w:val="clear" w:color="auto" w:fill="auto"/>
                  <w:vAlign w:val="center"/>
                </w:tcPr>
                <w:p w14:paraId="331795AB">
                  <w:pPr>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第十六条</w:t>
                  </w:r>
                </w:p>
              </w:tc>
              <w:tc>
                <w:tcPr>
                  <w:tcW w:w="4959" w:type="dxa"/>
                  <w:tcBorders>
                    <w:tl2br w:val="nil"/>
                    <w:tr2bl w:val="nil"/>
                  </w:tcBorders>
                  <w:vAlign w:val="center"/>
                </w:tcPr>
                <w:p w14:paraId="1C22D906">
                  <w:pPr>
                    <w:adjustRightInd w:val="0"/>
                    <w:snapToGrid w:val="0"/>
                    <w:spacing w:line="240" w:lineRule="auto"/>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禁止在长江流域江河、湖泊新设、改设或者扩大排污口，经有管辖权的生态环境主管部门或者长江流域生态环境监督管理机构同意的除外。</w:t>
                  </w:r>
                </w:p>
              </w:tc>
              <w:tc>
                <w:tcPr>
                  <w:tcW w:w="2400" w:type="dxa"/>
                  <w:tcBorders>
                    <w:tl2br w:val="nil"/>
                    <w:tr2bl w:val="nil"/>
                  </w:tcBorders>
                  <w:vAlign w:val="center"/>
                </w:tcPr>
                <w:p w14:paraId="4A826BE2">
                  <w:pPr>
                    <w:adjustRightInd w:val="0"/>
                    <w:snapToGrid w:val="0"/>
                    <w:spacing w:line="240" w:lineRule="auto"/>
                    <w:jc w:val="left"/>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本项目</w:t>
                  </w:r>
                  <w:r>
                    <w:rPr>
                      <w:rFonts w:hint="default" w:ascii="Times New Roman" w:hAnsi="Times New Roman" w:cs="Times New Roman"/>
                      <w:bCs/>
                      <w:color w:val="auto"/>
                      <w:szCs w:val="21"/>
                      <w:lang w:val="en-US" w:eastAsia="zh-CN"/>
                    </w:rPr>
                    <w:t>废水全部收集处理后回用，不设置废排放口</w:t>
                  </w:r>
                  <w:r>
                    <w:rPr>
                      <w:rFonts w:hint="default" w:ascii="Times New Roman" w:hAnsi="Times New Roman" w:cs="Times New Roman"/>
                      <w:bCs/>
                      <w:color w:val="auto"/>
                      <w:szCs w:val="21"/>
                      <w:lang w:eastAsia="zh-CN"/>
                    </w:rPr>
                    <w:t>。</w:t>
                  </w:r>
                </w:p>
              </w:tc>
              <w:tc>
                <w:tcPr>
                  <w:tcW w:w="817" w:type="dxa"/>
                  <w:tcBorders>
                    <w:tl2br w:val="nil"/>
                    <w:tr2bl w:val="nil"/>
                  </w:tcBorders>
                  <w:vAlign w:val="center"/>
                </w:tcPr>
                <w:p w14:paraId="2AC56873">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61F90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shd w:val="clear" w:color="auto" w:fill="auto"/>
                  <w:vAlign w:val="center"/>
                </w:tcPr>
                <w:p w14:paraId="203BCFE9">
                  <w:pPr>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第十八条</w:t>
                  </w:r>
                </w:p>
              </w:tc>
              <w:tc>
                <w:tcPr>
                  <w:tcW w:w="4959" w:type="dxa"/>
                  <w:tcBorders>
                    <w:tl2br w:val="nil"/>
                    <w:tr2bl w:val="nil"/>
                  </w:tcBorders>
                  <w:vAlign w:val="center"/>
                </w:tcPr>
                <w:p w14:paraId="02E31182">
                  <w:pPr>
                    <w:adjustRightInd w:val="0"/>
                    <w:snapToGrid w:val="0"/>
                    <w:spacing w:line="240" w:lineRule="auto"/>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禁止在长江干支流、重要湖泊岸线一公里范围内新建、扩建化工园区和化工项目。</w:t>
                  </w:r>
                </w:p>
              </w:tc>
              <w:tc>
                <w:tcPr>
                  <w:tcW w:w="2400" w:type="dxa"/>
                  <w:tcBorders>
                    <w:tl2br w:val="nil"/>
                    <w:tr2bl w:val="nil"/>
                  </w:tcBorders>
                  <w:vAlign w:val="center"/>
                </w:tcPr>
                <w:p w14:paraId="66F6DE04">
                  <w:pPr>
                    <w:adjustRightInd w:val="0"/>
                    <w:snapToGrid w:val="0"/>
                    <w:spacing w:line="240" w:lineRule="auto"/>
                    <w:jc w:val="left"/>
                    <w:rPr>
                      <w:rFonts w:hint="default" w:ascii="Times New Roman" w:hAnsi="Times New Roman" w:eastAsia="宋体" w:cs="Times New Roman"/>
                      <w:bCs/>
                      <w:color w:val="auto"/>
                      <w:szCs w:val="21"/>
                      <w:lang w:eastAsia="zh-CN"/>
                    </w:rPr>
                  </w:pPr>
                  <w:r>
                    <w:rPr>
                      <w:rStyle w:val="31"/>
                      <w:rFonts w:hint="default" w:ascii="Times New Roman" w:hAnsi="Times New Roman" w:eastAsia="宋体" w:cs="Times New Roman"/>
                      <w:color w:val="auto"/>
                      <w:kern w:val="2"/>
                      <w:sz w:val="21"/>
                      <w:szCs w:val="21"/>
                      <w:lang w:val="en-US" w:eastAsia="zh-CN" w:bidi="ar-SA"/>
                    </w:rPr>
                    <w:t>本项目</w:t>
                  </w:r>
                  <w:r>
                    <w:rPr>
                      <w:rStyle w:val="31"/>
                      <w:rFonts w:hint="default" w:ascii="Times New Roman" w:hAnsi="Times New Roman" w:cs="Times New Roman"/>
                      <w:color w:val="auto"/>
                      <w:kern w:val="2"/>
                      <w:sz w:val="21"/>
                      <w:szCs w:val="21"/>
                      <w:lang w:val="en-US" w:eastAsia="zh-CN" w:bidi="ar-SA"/>
                    </w:rPr>
                    <w:t>不属于</w:t>
                  </w:r>
                  <w:r>
                    <w:rPr>
                      <w:rFonts w:hint="default" w:ascii="Times New Roman" w:hAnsi="Times New Roman" w:cs="Times New Roman"/>
                      <w:bCs/>
                      <w:color w:val="auto"/>
                      <w:szCs w:val="21"/>
                    </w:rPr>
                    <w:t>新建、扩建化工园区和化工项目</w:t>
                  </w:r>
                  <w:r>
                    <w:rPr>
                      <w:rFonts w:hint="default" w:ascii="Times New Roman" w:hAnsi="Times New Roman" w:cs="Times New Roman"/>
                      <w:bCs/>
                      <w:color w:val="auto"/>
                      <w:szCs w:val="21"/>
                      <w:lang w:eastAsia="zh-CN"/>
                    </w:rPr>
                    <w:t>。</w:t>
                  </w:r>
                </w:p>
              </w:tc>
              <w:tc>
                <w:tcPr>
                  <w:tcW w:w="817" w:type="dxa"/>
                  <w:tcBorders>
                    <w:tl2br w:val="nil"/>
                    <w:tr2bl w:val="nil"/>
                  </w:tcBorders>
                  <w:vAlign w:val="center"/>
                </w:tcPr>
                <w:p w14:paraId="19DCC8B1">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112A6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shd w:val="clear" w:color="auto" w:fill="auto"/>
                  <w:vAlign w:val="center"/>
                </w:tcPr>
                <w:p w14:paraId="0A0E8A41">
                  <w:pPr>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第十九条</w:t>
                  </w:r>
                </w:p>
              </w:tc>
              <w:tc>
                <w:tcPr>
                  <w:tcW w:w="4959" w:type="dxa"/>
                  <w:tcBorders>
                    <w:tl2br w:val="nil"/>
                    <w:tr2bl w:val="nil"/>
                  </w:tcBorders>
                  <w:vAlign w:val="center"/>
                </w:tcPr>
                <w:p w14:paraId="483F5143">
                  <w:pPr>
                    <w:adjustRightInd w:val="0"/>
                    <w:snapToGrid w:val="0"/>
                    <w:spacing w:line="240" w:lineRule="auto"/>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禁止在长江干流岸线三公里范围内和重要支流岸线一公里范围内新建、改建、扩建尾矿库、冶炼渣库、磷石膏库，以提升安全、生态环境保护水平为目的的改建除外。</w:t>
                  </w:r>
                </w:p>
              </w:tc>
              <w:tc>
                <w:tcPr>
                  <w:tcW w:w="2400" w:type="dxa"/>
                  <w:tcBorders>
                    <w:tl2br w:val="nil"/>
                    <w:tr2bl w:val="nil"/>
                  </w:tcBorders>
                  <w:vAlign w:val="center"/>
                </w:tcPr>
                <w:p w14:paraId="043F117C">
                  <w:pPr>
                    <w:adjustRightInd w:val="0"/>
                    <w:snapToGrid w:val="0"/>
                    <w:spacing w:line="240" w:lineRule="auto"/>
                    <w:jc w:val="left"/>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lang w:val="en-US" w:eastAsia="zh-CN"/>
                    </w:rPr>
                    <w:t>项目</w:t>
                  </w:r>
                  <w:r>
                    <w:rPr>
                      <w:rFonts w:hint="default" w:ascii="Times New Roman" w:hAnsi="Times New Roman" w:cs="Times New Roman"/>
                      <w:color w:val="auto"/>
                      <w:szCs w:val="21"/>
                    </w:rPr>
                    <w:t>不属于</w:t>
                  </w:r>
                  <w:r>
                    <w:rPr>
                      <w:rFonts w:hint="default" w:ascii="Times New Roman" w:hAnsi="Times New Roman" w:cs="Times New Roman"/>
                      <w:bCs/>
                      <w:color w:val="auto"/>
                      <w:szCs w:val="21"/>
                    </w:rPr>
                    <w:t>新建、改建、扩建尾矿库、冶炼渣库、磷石膏库</w:t>
                  </w:r>
                  <w:r>
                    <w:rPr>
                      <w:rFonts w:hint="default" w:ascii="Times New Roman" w:hAnsi="Times New Roman" w:cs="Times New Roman"/>
                      <w:bCs/>
                      <w:color w:val="auto"/>
                      <w:szCs w:val="21"/>
                      <w:lang w:val="en-US" w:eastAsia="zh-CN"/>
                    </w:rPr>
                    <w:t>项目</w:t>
                  </w:r>
                  <w:r>
                    <w:rPr>
                      <w:rFonts w:hint="default" w:ascii="Times New Roman" w:hAnsi="Times New Roman" w:cs="Times New Roman"/>
                      <w:color w:val="auto"/>
                      <w:szCs w:val="21"/>
                      <w:lang w:eastAsia="zh-CN"/>
                    </w:rPr>
                    <w:t>。</w:t>
                  </w:r>
                </w:p>
              </w:tc>
              <w:tc>
                <w:tcPr>
                  <w:tcW w:w="817" w:type="dxa"/>
                  <w:tcBorders>
                    <w:tl2br w:val="nil"/>
                    <w:tr2bl w:val="nil"/>
                  </w:tcBorders>
                  <w:vAlign w:val="center"/>
                </w:tcPr>
                <w:p w14:paraId="56CC0D50">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2EF98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shd w:val="clear" w:color="auto" w:fill="auto"/>
                  <w:vAlign w:val="center"/>
                </w:tcPr>
                <w:p w14:paraId="075B2FCB">
                  <w:pPr>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第二十条</w:t>
                  </w:r>
                </w:p>
              </w:tc>
              <w:tc>
                <w:tcPr>
                  <w:tcW w:w="4959" w:type="dxa"/>
                  <w:tcBorders>
                    <w:tl2br w:val="nil"/>
                    <w:tr2bl w:val="nil"/>
                  </w:tcBorders>
                  <w:vAlign w:val="center"/>
                </w:tcPr>
                <w:p w14:paraId="4B31CC65">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禁止在生态保护红线区域、永久基本农田集中区域和其他需要特别保护的区域内选址建设尾矿库、冶炼渣库、磷石膏库</w:t>
                  </w:r>
                </w:p>
              </w:tc>
              <w:tc>
                <w:tcPr>
                  <w:tcW w:w="2400" w:type="dxa"/>
                  <w:tcBorders>
                    <w:tl2br w:val="nil"/>
                    <w:tr2bl w:val="nil"/>
                  </w:tcBorders>
                  <w:vAlign w:val="center"/>
                </w:tcPr>
                <w:p w14:paraId="3858DF15">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本项目不涉及生态保护红线区域、永久基本农田集中区域和其他需要特别保护的区域。</w:t>
                  </w:r>
                </w:p>
              </w:tc>
              <w:tc>
                <w:tcPr>
                  <w:tcW w:w="817" w:type="dxa"/>
                  <w:tcBorders>
                    <w:tl2br w:val="nil"/>
                    <w:tr2bl w:val="nil"/>
                  </w:tcBorders>
                  <w:vAlign w:val="center"/>
                </w:tcPr>
                <w:p w14:paraId="10D7F307">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034CB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vAlign w:val="center"/>
                </w:tcPr>
                <w:p w14:paraId="580FBC84">
                  <w:pPr>
                    <w:adjustRightInd w:val="0"/>
                    <w:snapToGrid w:val="0"/>
                    <w:spacing w:line="240" w:lineRule="auto"/>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第二十三条</w:t>
                  </w:r>
                </w:p>
              </w:tc>
              <w:tc>
                <w:tcPr>
                  <w:tcW w:w="4959" w:type="dxa"/>
                  <w:tcBorders>
                    <w:tl2br w:val="nil"/>
                    <w:tr2bl w:val="nil"/>
                  </w:tcBorders>
                  <w:vAlign w:val="center"/>
                </w:tcPr>
                <w:p w14:paraId="4ACEB25E">
                  <w:pPr>
                    <w:adjustRightInd w:val="0"/>
                    <w:snapToGrid w:val="0"/>
                    <w:spacing w:line="240" w:lineRule="auto"/>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400" w:type="dxa"/>
                  <w:tcBorders>
                    <w:tl2br w:val="nil"/>
                    <w:tr2bl w:val="nil"/>
                  </w:tcBorders>
                  <w:vAlign w:val="center"/>
                </w:tcPr>
                <w:p w14:paraId="32902E95">
                  <w:pPr>
                    <w:adjustRightInd w:val="0"/>
                    <w:snapToGrid w:val="0"/>
                    <w:spacing w:line="240" w:lineRule="auto"/>
                    <w:jc w:val="left"/>
                    <w:rPr>
                      <w:rFonts w:hint="default" w:ascii="Times New Roman" w:hAnsi="Times New Roman" w:eastAsia="宋体" w:cs="Times New Roman"/>
                      <w:bCs/>
                      <w:color w:val="auto"/>
                      <w:szCs w:val="21"/>
                      <w:lang w:eastAsia="zh-CN"/>
                    </w:rPr>
                  </w:pPr>
                  <w:r>
                    <w:rPr>
                      <w:rFonts w:hint="default" w:ascii="Times New Roman" w:hAnsi="Times New Roman" w:cs="Times New Roman"/>
                      <w:color w:val="auto"/>
                      <w:szCs w:val="21"/>
                    </w:rPr>
                    <w:t>项目</w:t>
                  </w:r>
                  <w:r>
                    <w:rPr>
                      <w:rFonts w:hint="default" w:ascii="Times New Roman" w:hAnsi="Times New Roman" w:cs="Times New Roman"/>
                      <w:color w:val="auto"/>
                      <w:szCs w:val="21"/>
                      <w:lang w:val="en-US" w:eastAsia="zh-CN"/>
                    </w:rPr>
                    <w:t>为沥青混凝土搅拌站项目，产品用于周边道路及基础设施建设，不属于</w:t>
                  </w:r>
                  <w:r>
                    <w:rPr>
                      <w:rFonts w:hint="default" w:ascii="Times New Roman" w:hAnsi="Times New Roman" w:cs="Times New Roman"/>
                      <w:color w:val="auto"/>
                      <w:szCs w:val="21"/>
                    </w:rPr>
                    <w:t>落后产能和过剩产能。</w:t>
                  </w:r>
                </w:p>
              </w:tc>
              <w:tc>
                <w:tcPr>
                  <w:tcW w:w="817" w:type="dxa"/>
                  <w:tcBorders>
                    <w:tl2br w:val="nil"/>
                    <w:tr2bl w:val="nil"/>
                  </w:tcBorders>
                  <w:vAlign w:val="center"/>
                </w:tcPr>
                <w:p w14:paraId="36B8BFFC">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5057B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vAlign w:val="center"/>
                </w:tcPr>
                <w:p w14:paraId="51294419">
                  <w:pPr>
                    <w:adjustRightInd w:val="0"/>
                    <w:snapToGrid w:val="0"/>
                    <w:spacing w:line="240" w:lineRule="auto"/>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第二十六条</w:t>
                  </w:r>
                </w:p>
              </w:tc>
              <w:tc>
                <w:tcPr>
                  <w:tcW w:w="4959" w:type="dxa"/>
                  <w:tcBorders>
                    <w:tl2br w:val="nil"/>
                    <w:tr2bl w:val="nil"/>
                  </w:tcBorders>
                  <w:vAlign w:val="center"/>
                </w:tcPr>
                <w:p w14:paraId="4A3922EA">
                  <w:pPr>
                    <w:adjustRightInd w:val="0"/>
                    <w:snapToGrid w:val="0"/>
                    <w:spacing w:line="240" w:lineRule="auto"/>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禁止新建、扩建不符合要求的高耗能、高排放、低水平项目。</w:t>
                  </w:r>
                </w:p>
              </w:tc>
              <w:tc>
                <w:tcPr>
                  <w:tcW w:w="2400" w:type="dxa"/>
                  <w:tcBorders>
                    <w:tl2br w:val="nil"/>
                    <w:tr2bl w:val="nil"/>
                  </w:tcBorders>
                  <w:vAlign w:val="center"/>
                </w:tcPr>
                <w:p w14:paraId="01B0E086">
                  <w:pPr>
                    <w:adjustRightInd w:val="0"/>
                    <w:snapToGrid w:val="0"/>
                    <w:spacing w:line="240" w:lineRule="auto"/>
                    <w:jc w:val="left"/>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本项目不属于高耗能、高排放、低水平项目</w:t>
                  </w:r>
                  <w:r>
                    <w:rPr>
                      <w:rFonts w:hint="default" w:ascii="Times New Roman" w:hAnsi="Times New Roman" w:cs="Times New Roman"/>
                      <w:bCs/>
                      <w:color w:val="auto"/>
                      <w:szCs w:val="21"/>
                      <w:lang w:eastAsia="zh-CN"/>
                    </w:rPr>
                    <w:t>。</w:t>
                  </w:r>
                </w:p>
              </w:tc>
              <w:tc>
                <w:tcPr>
                  <w:tcW w:w="817" w:type="dxa"/>
                  <w:tcBorders>
                    <w:tl2br w:val="nil"/>
                    <w:tr2bl w:val="nil"/>
                  </w:tcBorders>
                  <w:vAlign w:val="center"/>
                </w:tcPr>
                <w:p w14:paraId="30A036B1">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bl>
          <w:p w14:paraId="32CC3FC9">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7</w:t>
            </w:r>
            <w:r>
              <w:rPr>
                <w:rFonts w:hint="default" w:ascii="Times New Roman" w:hAnsi="Times New Roman" w:cs="Times New Roman"/>
                <w:b/>
                <w:bCs/>
                <w:color w:val="auto"/>
                <w:sz w:val="24"/>
                <w:szCs w:val="24"/>
              </w:rPr>
              <w:t>、与大气污染防治相关规划符合性分析</w:t>
            </w:r>
          </w:p>
          <w:p w14:paraId="67F05E02">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（1）与《中华人民共和国大气污染防治法》的符合性分析</w:t>
            </w:r>
          </w:p>
          <w:p w14:paraId="055B8D01">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表1-7  项目与“中华人民共和国大气污染防治法”的符合性分析</w:t>
            </w:r>
          </w:p>
          <w:tbl>
            <w:tblPr>
              <w:tblStyle w:val="29"/>
              <w:tblW w:w="89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90"/>
              <w:gridCol w:w="4970"/>
              <w:gridCol w:w="2389"/>
              <w:gridCol w:w="800"/>
            </w:tblGrid>
            <w:tr w14:paraId="70D66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vAlign w:val="center"/>
                </w:tcPr>
                <w:p w14:paraId="62F4215C">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4970" w:type="dxa"/>
                  <w:tcBorders>
                    <w:tl2br w:val="nil"/>
                    <w:tr2bl w:val="nil"/>
                  </w:tcBorders>
                  <w:vAlign w:val="center"/>
                </w:tcPr>
                <w:p w14:paraId="0CF28491">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原文内容</w:t>
                  </w:r>
                </w:p>
              </w:tc>
              <w:tc>
                <w:tcPr>
                  <w:tcW w:w="2389" w:type="dxa"/>
                  <w:tcBorders>
                    <w:tl2br w:val="nil"/>
                    <w:tr2bl w:val="nil"/>
                  </w:tcBorders>
                  <w:vAlign w:val="center"/>
                </w:tcPr>
                <w:p w14:paraId="0E068B98">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800" w:type="dxa"/>
                  <w:tcBorders>
                    <w:tl2br w:val="nil"/>
                    <w:tr2bl w:val="nil"/>
                  </w:tcBorders>
                  <w:vAlign w:val="center"/>
                </w:tcPr>
                <w:p w14:paraId="440A2E47">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14:paraId="35F1E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vAlign w:val="center"/>
                </w:tcPr>
                <w:p w14:paraId="674952DF">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第十八条</w:t>
                  </w:r>
                </w:p>
              </w:tc>
              <w:tc>
                <w:tcPr>
                  <w:tcW w:w="4970" w:type="dxa"/>
                  <w:tcBorders>
                    <w:tl2br w:val="nil"/>
                    <w:tr2bl w:val="nil"/>
                  </w:tcBorders>
                  <w:vAlign w:val="center"/>
                </w:tcPr>
                <w:p w14:paraId="677A85DF">
                  <w:pPr>
                    <w:adjustRightInd w:val="0"/>
                    <w:snapToGrid w:val="0"/>
                    <w:spacing w:line="240" w:lineRule="auto"/>
                    <w:jc w:val="left"/>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企业事业单位和其他生产经营者建设对大气环境有影响的项目，应当依法进行环境影响评价、公开环境影响评价文件；向大气排放污染物的，应当符合大气污染物排放标准，遵守重点大气污染物排放总量控制要求。</w:t>
                  </w:r>
                </w:p>
              </w:tc>
              <w:tc>
                <w:tcPr>
                  <w:tcW w:w="2389" w:type="dxa"/>
                  <w:tcBorders>
                    <w:tl2br w:val="nil"/>
                    <w:tr2bl w:val="nil"/>
                  </w:tcBorders>
                  <w:shd w:val="clear" w:color="auto" w:fill="auto"/>
                  <w:vAlign w:val="center"/>
                </w:tcPr>
                <w:p w14:paraId="1432FEFE">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项目按要求办理环境影响评价；严格执行大气污染物排放标准，遵守重点大气污染物排放总量控制要求。</w:t>
                  </w:r>
                </w:p>
              </w:tc>
              <w:tc>
                <w:tcPr>
                  <w:tcW w:w="800" w:type="dxa"/>
                  <w:tcBorders>
                    <w:tl2br w:val="nil"/>
                    <w:tr2bl w:val="nil"/>
                  </w:tcBorders>
                  <w:vAlign w:val="center"/>
                </w:tcPr>
                <w:p w14:paraId="4D5764BC">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70861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shd w:val="clear" w:color="auto" w:fill="auto"/>
                  <w:vAlign w:val="center"/>
                </w:tcPr>
                <w:p w14:paraId="201928F7">
                  <w:pPr>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第四十三条</w:t>
                  </w:r>
                </w:p>
              </w:tc>
              <w:tc>
                <w:tcPr>
                  <w:tcW w:w="4970" w:type="dxa"/>
                  <w:tcBorders>
                    <w:tl2br w:val="nil"/>
                    <w:tr2bl w:val="nil"/>
                  </w:tcBorders>
                  <w:vAlign w:val="center"/>
                </w:tcPr>
                <w:p w14:paraId="29070FAC">
                  <w:pPr>
                    <w:adjustRightInd w:val="0"/>
                    <w:snapToGrid w:val="0"/>
                    <w:spacing w:line="240" w:lineRule="auto"/>
                    <w:jc w:val="left"/>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钢铁、建材、有色金属、石油、化工等企业生产过程中排放粉尘、硫化物和氮氧化物的，应当采用清洁生产工艺，配套建设除尘、脱硫、脱硝等装置，或者采取技术改造等其他控制大气污染物排放的措施。</w:t>
                  </w:r>
                </w:p>
              </w:tc>
              <w:tc>
                <w:tcPr>
                  <w:tcW w:w="2389" w:type="dxa"/>
                  <w:tcBorders>
                    <w:tl2br w:val="nil"/>
                    <w:tr2bl w:val="nil"/>
                  </w:tcBorders>
                  <w:shd w:val="clear" w:color="auto" w:fill="auto"/>
                  <w:vAlign w:val="center"/>
                </w:tcPr>
                <w:p w14:paraId="46E621D2">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项目废气主要为SO</w:t>
                  </w:r>
                  <w:r>
                    <w:rPr>
                      <w:rFonts w:hint="default" w:ascii="Times New Roman" w:hAnsi="Times New Roman" w:cs="Times New Roman"/>
                      <w:bCs/>
                      <w:color w:val="auto"/>
                      <w:szCs w:val="21"/>
                      <w:vertAlign w:val="subscript"/>
                      <w:lang w:val="en-US" w:eastAsia="zh-CN"/>
                    </w:rPr>
                    <w:t>2</w:t>
                  </w:r>
                  <w:r>
                    <w:rPr>
                      <w:rFonts w:hint="default" w:ascii="Times New Roman" w:hAnsi="Times New Roman" w:cs="Times New Roman"/>
                      <w:bCs/>
                      <w:color w:val="auto"/>
                      <w:szCs w:val="21"/>
                      <w:lang w:val="en-US" w:eastAsia="zh-CN"/>
                    </w:rPr>
                    <w:t>、NOx、颗粒物、VOCs以及苯并[a]芘，通过采取相应的污染防治措施后，对周围环境影响较小。</w:t>
                  </w:r>
                </w:p>
              </w:tc>
              <w:tc>
                <w:tcPr>
                  <w:tcW w:w="800" w:type="dxa"/>
                  <w:tcBorders>
                    <w:tl2br w:val="nil"/>
                    <w:tr2bl w:val="nil"/>
                  </w:tcBorders>
                  <w:vAlign w:val="center"/>
                </w:tcPr>
                <w:p w14:paraId="22E4CB5F">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7B4C46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shd w:val="clear" w:color="auto" w:fill="auto"/>
                  <w:vAlign w:val="center"/>
                </w:tcPr>
                <w:p w14:paraId="328E48A0">
                  <w:pPr>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第四十八条</w:t>
                  </w:r>
                </w:p>
              </w:tc>
              <w:tc>
                <w:tcPr>
                  <w:tcW w:w="4970" w:type="dxa"/>
                  <w:tcBorders>
                    <w:tl2br w:val="nil"/>
                    <w:tr2bl w:val="nil"/>
                  </w:tcBorders>
                  <w:shd w:val="clear" w:color="auto" w:fill="auto"/>
                  <w:vAlign w:val="center"/>
                </w:tcPr>
                <w:p w14:paraId="393CED0E">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钢铁、建材、有色金属、石油、化工、制药、矿产开采等企业，应当加强精细化管理，采取集中收集处理等措施，严格控制粉尘和气态污染物的排放。</w:t>
                  </w:r>
                </w:p>
              </w:tc>
              <w:tc>
                <w:tcPr>
                  <w:tcW w:w="2389" w:type="dxa"/>
                  <w:tcBorders>
                    <w:tl2br w:val="nil"/>
                    <w:tr2bl w:val="nil"/>
                  </w:tcBorders>
                  <w:shd w:val="clear" w:color="auto" w:fill="auto"/>
                  <w:vAlign w:val="center"/>
                </w:tcPr>
                <w:p w14:paraId="016186A8">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生产过程中将采取集中收集处理等措施控制各污染物；采取喷雾洒水、车间封闭等措施防尘。</w:t>
                  </w:r>
                </w:p>
              </w:tc>
              <w:tc>
                <w:tcPr>
                  <w:tcW w:w="800" w:type="dxa"/>
                  <w:tcBorders>
                    <w:tl2br w:val="nil"/>
                    <w:tr2bl w:val="nil"/>
                  </w:tcBorders>
                  <w:shd w:val="clear" w:color="auto" w:fill="auto"/>
                  <w:vAlign w:val="center"/>
                </w:tcPr>
                <w:p w14:paraId="48623732">
                  <w:pPr>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符合</w:t>
                  </w:r>
                </w:p>
              </w:tc>
            </w:tr>
            <w:tr w14:paraId="1129D4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shd w:val="clear" w:color="auto" w:fill="auto"/>
                  <w:vAlign w:val="center"/>
                </w:tcPr>
                <w:p w14:paraId="1241758F">
                  <w:pPr>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第六十九条</w:t>
                  </w:r>
                </w:p>
              </w:tc>
              <w:tc>
                <w:tcPr>
                  <w:tcW w:w="4970" w:type="dxa"/>
                  <w:tcBorders>
                    <w:tl2br w:val="nil"/>
                    <w:tr2bl w:val="nil"/>
                  </w:tcBorders>
                  <w:vAlign w:val="center"/>
                </w:tcPr>
                <w:p w14:paraId="64E911D0">
                  <w:pPr>
                    <w:adjustRightInd w:val="0"/>
                    <w:snapToGrid w:val="0"/>
                    <w:spacing w:line="240" w:lineRule="auto"/>
                    <w:jc w:val="left"/>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施工单位应当在施工工地设置硬质围挡，并采取覆盖、分段作业、择时施工、洒水抑尘、冲洗地面和车辆等有效防尘降尘措施。建筑土方、工程渣土、建筑垃圾应当及时清运；在场地内堆存的，应当采用密闭式防尘网遮盖。工程渣土、建筑垃圾应当进行资源化处理。</w:t>
                  </w:r>
                </w:p>
              </w:tc>
              <w:tc>
                <w:tcPr>
                  <w:tcW w:w="2389" w:type="dxa"/>
                  <w:tcBorders>
                    <w:tl2br w:val="nil"/>
                    <w:tr2bl w:val="nil"/>
                  </w:tcBorders>
                  <w:vAlign w:val="center"/>
                </w:tcPr>
                <w:p w14:paraId="39FBA3C0">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项目施工期拟对场地周围设置围挡，并采取覆盖、洒水抑尘、冲洗车辆等防尘措施。建筑垃圾及时清运至指定地点。</w:t>
                  </w:r>
                </w:p>
              </w:tc>
              <w:tc>
                <w:tcPr>
                  <w:tcW w:w="800" w:type="dxa"/>
                  <w:tcBorders>
                    <w:tl2br w:val="nil"/>
                    <w:tr2bl w:val="nil"/>
                  </w:tcBorders>
                  <w:vAlign w:val="center"/>
                </w:tcPr>
                <w:p w14:paraId="591AD306">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4E80F4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shd w:val="clear" w:color="auto" w:fill="auto"/>
                  <w:vAlign w:val="center"/>
                </w:tcPr>
                <w:p w14:paraId="3EA01AA7">
                  <w:pPr>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第七十条</w:t>
                  </w:r>
                </w:p>
              </w:tc>
              <w:tc>
                <w:tcPr>
                  <w:tcW w:w="4970" w:type="dxa"/>
                  <w:tcBorders>
                    <w:tl2br w:val="nil"/>
                    <w:tr2bl w:val="nil"/>
                  </w:tcBorders>
                  <w:vAlign w:val="center"/>
                </w:tcPr>
                <w:p w14:paraId="0A35ACD6">
                  <w:pPr>
                    <w:adjustRightInd w:val="0"/>
                    <w:snapToGrid w:val="0"/>
                    <w:spacing w:line="240" w:lineRule="auto"/>
                    <w:jc w:val="left"/>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运输煤炭、垃圾、渣土、砂石、土方、灰浆等散装、流体物料的车辆应当采取密闭或者其他措施防止物料遗撒造成扬尘污染，并按照规定路线行驶。 装卸物料应当采取密闭或者喷淋等方式防治扬尘污染。</w:t>
                  </w:r>
                </w:p>
              </w:tc>
              <w:tc>
                <w:tcPr>
                  <w:tcW w:w="2389" w:type="dxa"/>
                  <w:tcBorders>
                    <w:tl2br w:val="nil"/>
                    <w:tr2bl w:val="nil"/>
                  </w:tcBorders>
                  <w:vAlign w:val="center"/>
                </w:tcPr>
                <w:p w14:paraId="1760F87C">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项目沥青、粉料、产品等运输车辆全部采用封闭式罐车，装卸环节采用密闭的输送管道；骨料运输车辆采取覆盖，配套喷雾洒水防尘；场内配备雾炮机降尘。</w:t>
                  </w:r>
                </w:p>
              </w:tc>
              <w:tc>
                <w:tcPr>
                  <w:tcW w:w="800" w:type="dxa"/>
                  <w:tcBorders>
                    <w:tl2br w:val="nil"/>
                    <w:tr2bl w:val="nil"/>
                  </w:tcBorders>
                  <w:vAlign w:val="center"/>
                </w:tcPr>
                <w:p w14:paraId="523483F7">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432E17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shd w:val="clear" w:color="auto" w:fill="auto"/>
                  <w:vAlign w:val="center"/>
                </w:tcPr>
                <w:p w14:paraId="7E5339D1">
                  <w:pPr>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第七十二条</w:t>
                  </w:r>
                </w:p>
              </w:tc>
              <w:tc>
                <w:tcPr>
                  <w:tcW w:w="4970" w:type="dxa"/>
                  <w:tcBorders>
                    <w:tl2br w:val="nil"/>
                    <w:tr2bl w:val="nil"/>
                  </w:tcBorders>
                  <w:vAlign w:val="center"/>
                </w:tcPr>
                <w:p w14:paraId="7A79B35C">
                  <w:pPr>
                    <w:adjustRightInd w:val="0"/>
                    <w:snapToGrid w:val="0"/>
                    <w:spacing w:line="240" w:lineRule="auto"/>
                    <w:jc w:val="left"/>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贮存煤炭、煤矸石、煤渣、煤灰、水泥、石灰、石膏、砂土等易产生扬尘的物料应当密闭；不能密闭的，应当设置不低于堆放物高度的严密围挡，并采取有效覆盖措施防治扬尘污染。码头、矿山、填埋场和消纳场应当实施分区作业，并采取有效措施防治扬尘污染。</w:t>
                  </w:r>
                </w:p>
              </w:tc>
              <w:tc>
                <w:tcPr>
                  <w:tcW w:w="2389" w:type="dxa"/>
                  <w:tcBorders>
                    <w:tl2br w:val="nil"/>
                    <w:tr2bl w:val="nil"/>
                  </w:tcBorders>
                  <w:vAlign w:val="center"/>
                </w:tcPr>
                <w:p w14:paraId="171CE67A">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项目骨料堆场采取三面封闭+顶棚措施，并安装喷雾洒水装置防尘；粉料采用筒仓储存。</w:t>
                  </w:r>
                </w:p>
              </w:tc>
              <w:tc>
                <w:tcPr>
                  <w:tcW w:w="800" w:type="dxa"/>
                  <w:tcBorders>
                    <w:tl2br w:val="nil"/>
                    <w:tr2bl w:val="nil"/>
                  </w:tcBorders>
                  <w:vAlign w:val="center"/>
                </w:tcPr>
                <w:p w14:paraId="3AA61BA9">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bl>
          <w:p w14:paraId="338E1696">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 xml:space="preserve">（2）与《四川省打赢蓝天保卫战等九个实施方案的通知（川府发〔2019〕4号）》 </w:t>
            </w:r>
          </w:p>
          <w:p w14:paraId="1308D693">
            <w:pPr>
              <w:spacing w:line="360" w:lineRule="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的符合性分析</w:t>
            </w:r>
          </w:p>
          <w:p w14:paraId="3B7CC487">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表1-8 与“四川省打赢蓝天保卫战等九个实施方案的通知”的符合性分析</w:t>
            </w:r>
          </w:p>
          <w:tbl>
            <w:tblPr>
              <w:tblStyle w:val="29"/>
              <w:tblW w:w="89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88"/>
              <w:gridCol w:w="4993"/>
              <w:gridCol w:w="2394"/>
              <w:gridCol w:w="812"/>
            </w:tblGrid>
            <w:tr w14:paraId="51746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88" w:type="dxa"/>
                  <w:tcBorders>
                    <w:tl2br w:val="nil"/>
                    <w:tr2bl w:val="nil"/>
                  </w:tcBorders>
                  <w:vAlign w:val="center"/>
                </w:tcPr>
                <w:p w14:paraId="30A1DC84">
                  <w:pPr>
                    <w:adjustRightInd w:val="0"/>
                    <w:snapToGrid w:val="0"/>
                    <w:spacing w:line="240" w:lineRule="auto"/>
                    <w:jc w:val="center"/>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条例</w:t>
                  </w:r>
                </w:p>
                <w:p w14:paraId="53C225CC">
                  <w:pPr>
                    <w:adjustRightInd w:val="0"/>
                    <w:snapToGrid w:val="0"/>
                    <w:spacing w:line="240" w:lineRule="auto"/>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名称</w:t>
                  </w:r>
                </w:p>
              </w:tc>
              <w:tc>
                <w:tcPr>
                  <w:tcW w:w="4993" w:type="dxa"/>
                  <w:tcBorders>
                    <w:tl2br w:val="nil"/>
                    <w:tr2bl w:val="nil"/>
                  </w:tcBorders>
                  <w:vAlign w:val="center"/>
                </w:tcPr>
                <w:p w14:paraId="5F5E3065">
                  <w:pPr>
                    <w:adjustRightInd w:val="0"/>
                    <w:snapToGrid w:val="0"/>
                    <w:spacing w:line="240" w:lineRule="auto"/>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相关要求</w:t>
                  </w:r>
                </w:p>
              </w:tc>
              <w:tc>
                <w:tcPr>
                  <w:tcW w:w="2394" w:type="dxa"/>
                  <w:tcBorders>
                    <w:tl2br w:val="nil"/>
                    <w:tr2bl w:val="nil"/>
                  </w:tcBorders>
                  <w:vAlign w:val="center"/>
                </w:tcPr>
                <w:p w14:paraId="1915B058">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812" w:type="dxa"/>
                  <w:tcBorders>
                    <w:tl2br w:val="nil"/>
                    <w:tr2bl w:val="nil"/>
                  </w:tcBorders>
                  <w:vAlign w:val="center"/>
                </w:tcPr>
                <w:p w14:paraId="06D0A04D">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14:paraId="368B4A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88" w:type="dxa"/>
                  <w:vMerge w:val="restart"/>
                  <w:tcBorders>
                    <w:tl2br w:val="nil"/>
                    <w:tr2bl w:val="nil"/>
                  </w:tcBorders>
                  <w:vAlign w:val="center"/>
                </w:tcPr>
                <w:p w14:paraId="3F4D4CFC">
                  <w:pPr>
                    <w:adjustRightInd w:val="0"/>
                    <w:snapToGrid w:val="0"/>
                    <w:spacing w:line="240" w:lineRule="auto"/>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四川省打赢蓝天保卫战实施方案</w:t>
                  </w:r>
                </w:p>
              </w:tc>
              <w:tc>
                <w:tcPr>
                  <w:tcW w:w="4993" w:type="dxa"/>
                  <w:tcBorders>
                    <w:tl2br w:val="nil"/>
                    <w:tr2bl w:val="nil"/>
                  </w:tcBorders>
                  <w:vAlign w:val="center"/>
                </w:tcPr>
                <w:p w14:paraId="4B855210">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重点区域执行大气污染物特别排放限值，严禁新增钢铁、电力、水泥、玻璃、砖瓦、陶瓷、焦化、电解铝、有色等重点行业大气污染物排放。</w:t>
                  </w:r>
                </w:p>
              </w:tc>
              <w:tc>
                <w:tcPr>
                  <w:tcW w:w="2394" w:type="dxa"/>
                  <w:tcBorders>
                    <w:tl2br w:val="nil"/>
                    <w:tr2bl w:val="nil"/>
                  </w:tcBorders>
                  <w:shd w:val="clear" w:color="auto" w:fill="auto"/>
                  <w:vAlign w:val="center"/>
                </w:tcPr>
                <w:p w14:paraId="3A5D4C28">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本项目为沥青搅拌站建设项目，不属于重点大气污染物排放行业。项目将严格执行大气污染物排放限值要求。</w:t>
                  </w:r>
                </w:p>
              </w:tc>
              <w:tc>
                <w:tcPr>
                  <w:tcW w:w="812" w:type="dxa"/>
                  <w:tcBorders>
                    <w:tl2br w:val="nil"/>
                    <w:tr2bl w:val="nil"/>
                  </w:tcBorders>
                  <w:vAlign w:val="center"/>
                </w:tcPr>
                <w:p w14:paraId="49F13ED1">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471DD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88" w:type="dxa"/>
                  <w:vMerge w:val="continue"/>
                  <w:tcBorders>
                    <w:tl2br w:val="nil"/>
                    <w:tr2bl w:val="nil"/>
                  </w:tcBorders>
                  <w:vAlign w:val="center"/>
                </w:tcPr>
                <w:p w14:paraId="60D5CAD6">
                  <w:pPr>
                    <w:adjustRightInd w:val="0"/>
                    <w:snapToGrid w:val="0"/>
                    <w:spacing w:line="240" w:lineRule="auto"/>
                    <w:jc w:val="center"/>
                    <w:rPr>
                      <w:rFonts w:hint="default" w:ascii="Times New Roman" w:hAnsi="Times New Roman" w:cs="Times New Roman"/>
                      <w:bCs/>
                      <w:color w:val="auto"/>
                      <w:szCs w:val="21"/>
                      <w:lang w:val="en-US" w:eastAsia="zh-CN"/>
                    </w:rPr>
                  </w:pPr>
                </w:p>
              </w:tc>
              <w:tc>
                <w:tcPr>
                  <w:tcW w:w="4993" w:type="dxa"/>
                  <w:tcBorders>
                    <w:tl2br w:val="nil"/>
                    <w:tr2bl w:val="nil"/>
                  </w:tcBorders>
                  <w:vAlign w:val="center"/>
                </w:tcPr>
                <w:p w14:paraId="5B5D6B3C">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加强扬尘管控，提高城市环境管理水平。强化堆场扬尘管控。工业企业堆场实施规范化全封闭管理。易产生扬尘的物料堆场采用封闭式库仓，不具备封闭式库仓改造条件的，应设置不低于料堆高度的严密围挡，并采取覆盖措施有效控制扬尘污染；堆场内进行搅拌、粉碎、筛分等作业时应喷水抑尘，遇重污染天气时禁止进行产生扬尘的作业。物料装卸配备喷淋等防尘设施，转运物料尽量采取封闭式皮带输送。厂区主要运输通道实施硬化并定期冲洗或湿式清扫，堆场进出口设置车辆冲洗设施，运输车辆实施密闭或全覆盖，及时收集清理堆场外道路上撒落的物料。</w:t>
                  </w:r>
                </w:p>
              </w:tc>
              <w:tc>
                <w:tcPr>
                  <w:tcW w:w="2394" w:type="dxa"/>
                  <w:tcBorders>
                    <w:tl2br w:val="nil"/>
                    <w:tr2bl w:val="nil"/>
                  </w:tcBorders>
                  <w:shd w:val="clear" w:color="auto" w:fill="auto"/>
                  <w:vAlign w:val="center"/>
                </w:tcPr>
                <w:p w14:paraId="3B55C791">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本项目搅拌楼封闭式建设，粉料、沥青等采用密闭储料罐，骨料堆场设置三面围挡及顶棚建设，并在顶部设置喷雾装置控尘。同时，对厂区地面进行硬化，在场内道路一侧布设喷雾装置，在进出口设置车辆冲洗平台，进出车辆使用篷布遮盖，并指派专人定期对厂区道路进行洒水、冲洗和清扫。</w:t>
                  </w:r>
                </w:p>
              </w:tc>
              <w:tc>
                <w:tcPr>
                  <w:tcW w:w="812" w:type="dxa"/>
                  <w:tcBorders>
                    <w:tl2br w:val="nil"/>
                    <w:tr2bl w:val="nil"/>
                  </w:tcBorders>
                  <w:vAlign w:val="center"/>
                </w:tcPr>
                <w:p w14:paraId="264FE116">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1D795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88" w:type="dxa"/>
                  <w:vMerge w:val="restart"/>
                  <w:tcBorders>
                    <w:tl2br w:val="nil"/>
                    <w:tr2bl w:val="nil"/>
                  </w:tcBorders>
                  <w:shd w:val="clear" w:color="auto" w:fill="auto"/>
                  <w:vAlign w:val="center"/>
                </w:tcPr>
                <w:p w14:paraId="4C0569A8">
                  <w:pPr>
                    <w:adjustRightInd w:val="0"/>
                    <w:snapToGrid w:val="0"/>
                    <w:spacing w:line="240" w:lineRule="auto"/>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四川省打赢碧水保卫战实施方案</w:t>
                  </w:r>
                </w:p>
              </w:tc>
              <w:tc>
                <w:tcPr>
                  <w:tcW w:w="4993" w:type="dxa"/>
                  <w:tcBorders>
                    <w:tl2br w:val="nil"/>
                    <w:tr2bl w:val="nil"/>
                  </w:tcBorders>
                  <w:shd w:val="clear" w:color="auto" w:fill="auto"/>
                  <w:vAlign w:val="center"/>
                </w:tcPr>
                <w:p w14:paraId="557D6ABD">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减少工业废水排放量</w:t>
                  </w:r>
                </w:p>
              </w:tc>
              <w:tc>
                <w:tcPr>
                  <w:tcW w:w="2394" w:type="dxa"/>
                  <w:tcBorders>
                    <w:tl2br w:val="nil"/>
                    <w:tr2bl w:val="nil"/>
                  </w:tcBorders>
                  <w:shd w:val="clear" w:color="auto" w:fill="auto"/>
                  <w:vAlign w:val="center"/>
                </w:tcPr>
                <w:p w14:paraId="31512317">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本项目生产过程中的冲洗废水经收集沉淀处理后回用，不外排。</w:t>
                  </w:r>
                </w:p>
              </w:tc>
              <w:tc>
                <w:tcPr>
                  <w:tcW w:w="812" w:type="dxa"/>
                  <w:tcBorders>
                    <w:tl2br w:val="nil"/>
                    <w:tr2bl w:val="nil"/>
                  </w:tcBorders>
                  <w:shd w:val="clear" w:color="auto" w:fill="auto"/>
                  <w:vAlign w:val="center"/>
                </w:tcPr>
                <w:p w14:paraId="3CB90550">
                  <w:pPr>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符合</w:t>
                  </w:r>
                </w:p>
              </w:tc>
            </w:tr>
            <w:tr w14:paraId="229DC2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88" w:type="dxa"/>
                  <w:vMerge w:val="continue"/>
                  <w:tcBorders>
                    <w:tl2br w:val="nil"/>
                    <w:tr2bl w:val="nil"/>
                  </w:tcBorders>
                  <w:vAlign w:val="center"/>
                </w:tcPr>
                <w:p w14:paraId="54860553">
                  <w:pPr>
                    <w:adjustRightInd w:val="0"/>
                    <w:snapToGrid w:val="0"/>
                    <w:spacing w:line="240" w:lineRule="auto"/>
                    <w:jc w:val="left"/>
                    <w:rPr>
                      <w:rFonts w:hint="default" w:ascii="Times New Roman" w:hAnsi="Times New Roman" w:cs="Times New Roman"/>
                      <w:bCs/>
                      <w:color w:val="auto"/>
                      <w:szCs w:val="21"/>
                    </w:rPr>
                  </w:pPr>
                </w:p>
              </w:tc>
              <w:tc>
                <w:tcPr>
                  <w:tcW w:w="4993" w:type="dxa"/>
                  <w:tcBorders>
                    <w:tl2br w:val="nil"/>
                    <w:tr2bl w:val="nil"/>
                  </w:tcBorders>
                  <w:vAlign w:val="center"/>
                </w:tcPr>
                <w:p w14:paraId="3EF52BC7">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 xml:space="preserve">加强水资源节约。在岷江、沱江、嘉陵江等流域，实行重点扶持，落实国家节水行动，推动节水型社会建设。 </w:t>
                  </w:r>
                </w:p>
                <w:p w14:paraId="1D70BBB9">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抓好工业节水，提高水重复利用率。</w:t>
                  </w:r>
                </w:p>
              </w:tc>
              <w:tc>
                <w:tcPr>
                  <w:tcW w:w="2394" w:type="dxa"/>
                  <w:tcBorders>
                    <w:tl2br w:val="nil"/>
                    <w:tr2bl w:val="nil"/>
                  </w:tcBorders>
                  <w:vAlign w:val="center"/>
                </w:tcPr>
                <w:p w14:paraId="6BC9EA81">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本项目生产废水经沉淀处理后，全部循环回用，能够节约用水量，提高水重复利用率。</w:t>
                  </w:r>
                </w:p>
              </w:tc>
              <w:tc>
                <w:tcPr>
                  <w:tcW w:w="812" w:type="dxa"/>
                  <w:tcBorders>
                    <w:tl2br w:val="nil"/>
                    <w:tr2bl w:val="nil"/>
                  </w:tcBorders>
                  <w:vAlign w:val="center"/>
                </w:tcPr>
                <w:p w14:paraId="7B2807DB">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bl>
          <w:p w14:paraId="33783073">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（3）与《达州市打赢蓝天保卫战等九个实施方案的通知（达市府函〔2019〕120 号）》的符合性</w:t>
            </w:r>
          </w:p>
          <w:p w14:paraId="4595E9FA">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表1-9 与达州市打赢蓝天保卫战等九个实施方案的通知的符合性分析</w:t>
            </w:r>
          </w:p>
          <w:tbl>
            <w:tblPr>
              <w:tblStyle w:val="29"/>
              <w:tblW w:w="90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76"/>
              <w:gridCol w:w="5016"/>
              <w:gridCol w:w="2400"/>
              <w:gridCol w:w="812"/>
            </w:tblGrid>
            <w:tr w14:paraId="06FC8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76" w:type="dxa"/>
                  <w:tcBorders>
                    <w:tl2br w:val="nil"/>
                    <w:tr2bl w:val="nil"/>
                  </w:tcBorders>
                  <w:vAlign w:val="center"/>
                </w:tcPr>
                <w:p w14:paraId="6F9909C8">
                  <w:pPr>
                    <w:adjustRightInd w:val="0"/>
                    <w:snapToGrid w:val="0"/>
                    <w:spacing w:line="240" w:lineRule="auto"/>
                    <w:jc w:val="center"/>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条例</w:t>
                  </w:r>
                </w:p>
                <w:p w14:paraId="4601F380">
                  <w:pPr>
                    <w:adjustRightInd w:val="0"/>
                    <w:snapToGrid w:val="0"/>
                    <w:spacing w:line="240" w:lineRule="auto"/>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名称</w:t>
                  </w:r>
                </w:p>
              </w:tc>
              <w:tc>
                <w:tcPr>
                  <w:tcW w:w="5016" w:type="dxa"/>
                  <w:tcBorders>
                    <w:tl2br w:val="nil"/>
                    <w:tr2bl w:val="nil"/>
                  </w:tcBorders>
                  <w:vAlign w:val="center"/>
                </w:tcPr>
                <w:p w14:paraId="1D15E7F8">
                  <w:pPr>
                    <w:adjustRightInd w:val="0"/>
                    <w:snapToGrid w:val="0"/>
                    <w:spacing w:line="240" w:lineRule="auto"/>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相关要求</w:t>
                  </w:r>
                </w:p>
              </w:tc>
              <w:tc>
                <w:tcPr>
                  <w:tcW w:w="2400" w:type="dxa"/>
                  <w:tcBorders>
                    <w:tl2br w:val="nil"/>
                    <w:tr2bl w:val="nil"/>
                  </w:tcBorders>
                  <w:vAlign w:val="center"/>
                </w:tcPr>
                <w:p w14:paraId="6E230BA7">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812" w:type="dxa"/>
                  <w:tcBorders>
                    <w:tl2br w:val="nil"/>
                    <w:tr2bl w:val="nil"/>
                  </w:tcBorders>
                  <w:vAlign w:val="center"/>
                </w:tcPr>
                <w:p w14:paraId="7C6D58E6">
                  <w:pPr>
                    <w:adjustRightInd w:val="0"/>
                    <w:snapToGrid w:val="0"/>
                    <w:spacing w:line="24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14:paraId="19533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76" w:type="dxa"/>
                  <w:vMerge w:val="restart"/>
                  <w:tcBorders>
                    <w:tl2br w:val="nil"/>
                    <w:tr2bl w:val="nil"/>
                  </w:tcBorders>
                  <w:vAlign w:val="center"/>
                </w:tcPr>
                <w:p w14:paraId="41302091">
                  <w:pPr>
                    <w:adjustRightInd w:val="0"/>
                    <w:snapToGrid w:val="0"/>
                    <w:spacing w:line="240" w:lineRule="auto"/>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达州市打赢蓝天保卫战实施方案</w:t>
                  </w:r>
                </w:p>
              </w:tc>
              <w:tc>
                <w:tcPr>
                  <w:tcW w:w="5016" w:type="dxa"/>
                  <w:tcBorders>
                    <w:tl2br w:val="nil"/>
                    <w:tr2bl w:val="nil"/>
                  </w:tcBorders>
                  <w:vAlign w:val="center"/>
                </w:tcPr>
                <w:p w14:paraId="4FD08944">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严格施工扬尘监管。大力推进装配式建筑，推广节能降耗的建筑新技术和新工艺，提高绿色施工水平。加强城市施工工地扬尘管控，建立扬尘控制责任制度。各地建立施工工地管理清单并定期进行更新。研究制定建筑施工扬尘防治技术导则。严格落实“六必须、六不准”管控要求，对违法违规的工地，依法停工整改。将扬尘管理工作不到位的不良信息纳入建筑市场信用管理体系，情节严重的，列入建筑市场主体“黑名单”。督促建设单位依法将防治扬尘污染费用列入工程造价。建立扬尘在线监测体系，加强现场检查力度。严禁露天焚烧建筑垃圾，排放有毒烟尘和气体。加强预拌混凝土和预拌砂浆搅拌站扬尘防治，严格执行《预拌混凝土绿色生产及技术管理规程》，研究制定预拌混凝土和预拌砂浆搅拌站绿色环保标准，严禁在禁搅区内现场搅拌混凝土、砂浆或设置移动式搅拌站，推进全省绿色搅拌站建设。</w:t>
                  </w:r>
                </w:p>
              </w:tc>
              <w:tc>
                <w:tcPr>
                  <w:tcW w:w="2400" w:type="dxa"/>
                  <w:tcBorders>
                    <w:tl2br w:val="nil"/>
                    <w:tr2bl w:val="nil"/>
                  </w:tcBorders>
                  <w:shd w:val="clear" w:color="auto" w:fill="auto"/>
                  <w:vAlign w:val="center"/>
                </w:tcPr>
                <w:p w14:paraId="077863D4">
                  <w:pPr>
                    <w:adjustRightInd w:val="0"/>
                    <w:snapToGrid w:val="0"/>
                    <w:spacing w:line="240" w:lineRule="auto"/>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本项目购买成套设备，减少土建施工；施工期间将严格落实“六必须、六不准”管控要求，通过采取相应的污染治理措施，不会造成扬尘污染。</w:t>
                  </w:r>
                </w:p>
              </w:tc>
              <w:tc>
                <w:tcPr>
                  <w:tcW w:w="812" w:type="dxa"/>
                  <w:tcBorders>
                    <w:tl2br w:val="nil"/>
                    <w:tr2bl w:val="nil"/>
                  </w:tcBorders>
                  <w:vAlign w:val="center"/>
                </w:tcPr>
                <w:p w14:paraId="690CAA0C">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494755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76" w:type="dxa"/>
                  <w:vMerge w:val="continue"/>
                  <w:tcBorders>
                    <w:tl2br w:val="nil"/>
                    <w:tr2bl w:val="nil"/>
                  </w:tcBorders>
                  <w:vAlign w:val="center"/>
                </w:tcPr>
                <w:p w14:paraId="4F9CF87C">
                  <w:pPr>
                    <w:adjustRightInd w:val="0"/>
                    <w:snapToGrid w:val="0"/>
                    <w:spacing w:line="240" w:lineRule="auto"/>
                    <w:jc w:val="center"/>
                    <w:rPr>
                      <w:rFonts w:hint="default" w:ascii="Times New Roman" w:hAnsi="Times New Roman" w:cs="Times New Roman"/>
                      <w:bCs/>
                      <w:color w:val="auto"/>
                      <w:szCs w:val="21"/>
                      <w:lang w:val="en-US" w:eastAsia="zh-CN"/>
                    </w:rPr>
                  </w:pPr>
                </w:p>
              </w:tc>
              <w:tc>
                <w:tcPr>
                  <w:tcW w:w="5016" w:type="dxa"/>
                  <w:tcBorders>
                    <w:tl2br w:val="nil"/>
                    <w:tr2bl w:val="nil"/>
                  </w:tcBorders>
                  <w:vAlign w:val="center"/>
                </w:tcPr>
                <w:p w14:paraId="62970F1C">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强化堆场扬尘管控。工业企业堆场实施规范化全封闭管理。易产生扬尘的物料堆场采用封闭式库仓，不具备封闭式库仓改造条件的，应设置不低于料堆高度的严密围挡，并采取覆盖措施有效控制扬尘污染；堆场内进行搅拌、粉碎、筛分等作业时应喷水抑尘，遇重污染天气时禁止进行产生扬尘的作业。物料装卸配备喷淋等防尘设施，转运物料尽量采取封闭式皮带输送。厂区主要运输通道实施硬化并定期冲洗或湿式清扫，堆场进出口设置车辆冲洗设施，运输车辆实施密闭或全覆盖，及时收集清理堆场外道路上撒落的物料。建设工业企业堆场数据库，并组织安装工业堆场视频监控设施，实现工业企业堆场扬尘动态管理。加强砂石厂扬尘管控。</w:t>
                  </w:r>
                </w:p>
              </w:tc>
              <w:tc>
                <w:tcPr>
                  <w:tcW w:w="2400" w:type="dxa"/>
                  <w:tcBorders>
                    <w:tl2br w:val="nil"/>
                    <w:tr2bl w:val="nil"/>
                  </w:tcBorders>
                  <w:shd w:val="clear" w:color="auto" w:fill="auto"/>
                  <w:vAlign w:val="center"/>
                </w:tcPr>
                <w:p w14:paraId="70DCF3A7">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项目设置三面围挡及顶棚的封闭式骨料堆场；沥青采用密闭的储罐，密闭管道输送、装卸；粉料采用密闭筒仓储存；密闭管道气力输送；遇重污染天气时采取停产；场内地面全部硬化并安装喷雾装置，厂区进出口设置车辆冲洗设施；运输车辆实施密闭或全覆盖。</w:t>
                  </w:r>
                </w:p>
              </w:tc>
              <w:tc>
                <w:tcPr>
                  <w:tcW w:w="812" w:type="dxa"/>
                  <w:tcBorders>
                    <w:tl2br w:val="nil"/>
                    <w:tr2bl w:val="nil"/>
                  </w:tcBorders>
                  <w:vAlign w:val="center"/>
                </w:tcPr>
                <w:p w14:paraId="32E6F000">
                  <w:pPr>
                    <w:adjustRightInd w:val="0"/>
                    <w:snapToGrid w:val="0"/>
                    <w:spacing w:line="24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69E18D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76" w:type="dxa"/>
                  <w:tcBorders>
                    <w:tl2br w:val="nil"/>
                    <w:tr2bl w:val="nil"/>
                  </w:tcBorders>
                  <w:shd w:val="clear" w:color="auto" w:fill="auto"/>
                  <w:vAlign w:val="center"/>
                </w:tcPr>
                <w:p w14:paraId="1B23D12D">
                  <w:pPr>
                    <w:adjustRightInd w:val="0"/>
                    <w:snapToGrid w:val="0"/>
                    <w:spacing w:line="240" w:lineRule="auto"/>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达州市打赢碧水保卫战实施方案</w:t>
                  </w:r>
                </w:p>
              </w:tc>
              <w:tc>
                <w:tcPr>
                  <w:tcW w:w="5016" w:type="dxa"/>
                  <w:tcBorders>
                    <w:tl2br w:val="nil"/>
                    <w:tr2bl w:val="nil"/>
                  </w:tcBorders>
                  <w:shd w:val="clear" w:color="auto" w:fill="auto"/>
                  <w:vAlign w:val="center"/>
                </w:tcPr>
                <w:p w14:paraId="50C64268">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实施园区工业废水达标整治。落实《四川省工业园区〔工业集聚区〕工业废水处理设施建设三年行动计划》要求，倒排工期，压实责任，按照属地管理、辖区负责的原则，市级相关部门按照管理权限督促指导各地加快推进工业园区〔工业集聚区)污水处理设施建设，确保污水处理设施按期建成投入使用和 正常运行。在处理设施建成前，依托生活污水处理厂、一体化应急设备全面处理工业废水，确保达标排放；处理设施建成后，加强运行维护，确保设施稳定运行。</w:t>
                  </w:r>
                </w:p>
              </w:tc>
              <w:tc>
                <w:tcPr>
                  <w:tcW w:w="2400" w:type="dxa"/>
                  <w:tcBorders>
                    <w:tl2br w:val="nil"/>
                    <w:tr2bl w:val="nil"/>
                  </w:tcBorders>
                  <w:shd w:val="clear" w:color="auto" w:fill="auto"/>
                  <w:vAlign w:val="center"/>
                </w:tcPr>
                <w:p w14:paraId="488BFD38">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本项目不产生工业废水，冲洗废水处理后循环使用，不外排；少量生活污水经化粪池收集处理后定期清掏做农肥。</w:t>
                  </w:r>
                </w:p>
              </w:tc>
              <w:tc>
                <w:tcPr>
                  <w:tcW w:w="812" w:type="dxa"/>
                  <w:tcBorders>
                    <w:tl2br w:val="nil"/>
                    <w:tr2bl w:val="nil"/>
                  </w:tcBorders>
                  <w:shd w:val="clear" w:color="auto" w:fill="auto"/>
                  <w:vAlign w:val="center"/>
                </w:tcPr>
                <w:p w14:paraId="58EA1F8C">
                  <w:pPr>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符合</w:t>
                  </w:r>
                </w:p>
              </w:tc>
            </w:tr>
          </w:tbl>
          <w:p w14:paraId="2B520594">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（4）与《挥发性有机物（VOCs）污染防治技术政策》符合性分析</w:t>
            </w:r>
          </w:p>
          <w:p w14:paraId="40F146B0">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表1-10 与《挥发性有机物（VOCs）污染防治技术政策》有关规定符合性分析</w:t>
            </w:r>
          </w:p>
          <w:tbl>
            <w:tblPr>
              <w:tblStyle w:val="29"/>
              <w:tblW w:w="497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86"/>
              <w:gridCol w:w="4878"/>
              <w:gridCol w:w="2384"/>
              <w:gridCol w:w="808"/>
            </w:tblGrid>
            <w:tr w14:paraId="7C0E89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5" w:hRule="atLeast"/>
                <w:jc w:val="center"/>
              </w:trPr>
              <w:tc>
                <w:tcPr>
                  <w:tcW w:w="786" w:type="dxa"/>
                  <w:tcBorders>
                    <w:tl2br w:val="nil"/>
                    <w:tr2bl w:val="nil"/>
                  </w:tcBorders>
                  <w:vAlign w:val="center"/>
                </w:tcPr>
                <w:p w14:paraId="51E40253">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4879" w:type="dxa"/>
                  <w:tcBorders>
                    <w:tl2br w:val="nil"/>
                    <w:tr2bl w:val="nil"/>
                  </w:tcBorders>
                  <w:vAlign w:val="center"/>
                </w:tcPr>
                <w:p w14:paraId="300EEB1E">
                  <w:pPr>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相关要求</w:t>
                  </w:r>
                </w:p>
              </w:tc>
              <w:tc>
                <w:tcPr>
                  <w:tcW w:w="2385" w:type="dxa"/>
                  <w:tcBorders>
                    <w:tl2br w:val="nil"/>
                    <w:tr2bl w:val="nil"/>
                  </w:tcBorders>
                  <w:vAlign w:val="center"/>
                </w:tcPr>
                <w:p w14:paraId="316D90E3">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808" w:type="dxa"/>
                  <w:tcBorders>
                    <w:tl2br w:val="nil"/>
                    <w:tr2bl w:val="nil"/>
                  </w:tcBorders>
                  <w:vAlign w:val="center"/>
                </w:tcPr>
                <w:p w14:paraId="0C826C23">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14:paraId="4E053C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14" w:hRule="atLeast"/>
                <w:jc w:val="center"/>
              </w:trPr>
              <w:tc>
                <w:tcPr>
                  <w:tcW w:w="786" w:type="dxa"/>
                  <w:tcBorders>
                    <w:tl2br w:val="nil"/>
                    <w:tr2bl w:val="nil"/>
                  </w:tcBorders>
                  <w:vAlign w:val="center"/>
                </w:tcPr>
                <w:p w14:paraId="7CAD1DAB">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w:t>
                  </w:r>
                </w:p>
              </w:tc>
              <w:tc>
                <w:tcPr>
                  <w:tcW w:w="4879" w:type="dxa"/>
                  <w:tcBorders>
                    <w:tl2br w:val="nil"/>
                    <w:tr2bl w:val="nil"/>
                  </w:tcBorders>
                  <w:vAlign w:val="center"/>
                </w:tcPr>
                <w:p w14:paraId="4643C657">
                  <w:pPr>
                    <w:adjustRightInd w:val="0"/>
                    <w:snapToGrid w:val="0"/>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VOCs污染防治应遵循源头和过程控制与末端治理相结合的综合防治原则。在工业生产中采用清洁生产技术，严格控制含VOCs原料与产品在生产和储运销过程中的VOCs排放，鼓励对资源和能源的回收利用；鼓励在生产和生活中使用不含VOCs的替代产品或低VOCs含量的产品。</w:t>
                  </w:r>
                </w:p>
              </w:tc>
              <w:tc>
                <w:tcPr>
                  <w:tcW w:w="2385" w:type="dxa"/>
                  <w:vMerge w:val="restart"/>
                  <w:tcBorders>
                    <w:tl2br w:val="nil"/>
                    <w:tr2bl w:val="nil"/>
                  </w:tcBorders>
                  <w:shd w:val="clear" w:color="auto" w:fill="auto"/>
                  <w:vAlign w:val="center"/>
                </w:tcPr>
                <w:p w14:paraId="7CF4E4BE">
                  <w:pPr>
                    <w:adjustRightInd w:val="0"/>
                    <w:snapToGrid w:val="0"/>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项目挥发性有机物主要产生于沥青加热过程。通过设置密闭管道收集至燃烧器高温燃烧处理后，再经过两级除尘系统实现有组织达标排放。</w:t>
                  </w:r>
                </w:p>
              </w:tc>
              <w:tc>
                <w:tcPr>
                  <w:tcW w:w="808" w:type="dxa"/>
                  <w:tcBorders>
                    <w:tl2br w:val="nil"/>
                    <w:tr2bl w:val="nil"/>
                  </w:tcBorders>
                  <w:vAlign w:val="center"/>
                </w:tcPr>
                <w:p w14:paraId="7F709504">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5D1C84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62" w:hRule="atLeast"/>
                <w:jc w:val="center"/>
              </w:trPr>
              <w:tc>
                <w:tcPr>
                  <w:tcW w:w="786" w:type="dxa"/>
                  <w:tcBorders>
                    <w:tl2br w:val="nil"/>
                    <w:tr2bl w:val="nil"/>
                  </w:tcBorders>
                  <w:shd w:val="clear" w:color="auto" w:fill="auto"/>
                  <w:vAlign w:val="center"/>
                </w:tcPr>
                <w:p w14:paraId="01C0A52B">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2</w:t>
                  </w:r>
                </w:p>
              </w:tc>
              <w:tc>
                <w:tcPr>
                  <w:tcW w:w="4879" w:type="dxa"/>
                  <w:tcBorders>
                    <w:tl2br w:val="nil"/>
                    <w:tr2bl w:val="nil"/>
                  </w:tcBorders>
                  <w:vAlign w:val="center"/>
                </w:tcPr>
                <w:p w14:paraId="70866A43">
                  <w:pPr>
                    <w:adjustRightInd w:val="0"/>
                    <w:snapToGrid w:val="0"/>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含VOCs产品的使用过程中，应采取废气收集措施，提高废气收集效率，减少废气的无组织排放与逸散，并对收集后的废气进行回收或处理后达标排放。</w:t>
                  </w:r>
                </w:p>
              </w:tc>
              <w:tc>
                <w:tcPr>
                  <w:tcW w:w="2385" w:type="dxa"/>
                  <w:vMerge w:val="continue"/>
                  <w:tcBorders>
                    <w:tl2br w:val="nil"/>
                    <w:tr2bl w:val="nil"/>
                  </w:tcBorders>
                  <w:shd w:val="clear" w:color="auto" w:fill="auto"/>
                  <w:vAlign w:val="center"/>
                </w:tcPr>
                <w:p w14:paraId="3C3CAE3A">
                  <w:pPr>
                    <w:adjustRightInd w:val="0"/>
                    <w:snapToGrid w:val="0"/>
                    <w:jc w:val="left"/>
                    <w:rPr>
                      <w:rFonts w:hint="default" w:ascii="Times New Roman" w:hAnsi="Times New Roman" w:cs="Times New Roman"/>
                      <w:bCs/>
                      <w:color w:val="auto"/>
                      <w:szCs w:val="21"/>
                      <w:lang w:val="en-US" w:eastAsia="zh-CN"/>
                    </w:rPr>
                  </w:pPr>
                </w:p>
              </w:tc>
              <w:tc>
                <w:tcPr>
                  <w:tcW w:w="808" w:type="dxa"/>
                  <w:tcBorders>
                    <w:tl2br w:val="nil"/>
                    <w:tr2bl w:val="nil"/>
                  </w:tcBorders>
                  <w:vAlign w:val="center"/>
                </w:tcPr>
                <w:p w14:paraId="6D13C18C">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36E586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461" w:hRule="atLeast"/>
                <w:jc w:val="center"/>
              </w:trPr>
              <w:tc>
                <w:tcPr>
                  <w:tcW w:w="786" w:type="dxa"/>
                  <w:tcBorders>
                    <w:tl2br w:val="nil"/>
                    <w:tr2bl w:val="nil"/>
                  </w:tcBorders>
                  <w:shd w:val="clear" w:color="auto" w:fill="auto"/>
                  <w:vAlign w:val="center"/>
                </w:tcPr>
                <w:p w14:paraId="72DF9570">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3</w:t>
                  </w:r>
                </w:p>
              </w:tc>
              <w:tc>
                <w:tcPr>
                  <w:tcW w:w="4879" w:type="dxa"/>
                  <w:tcBorders>
                    <w:tl2br w:val="nil"/>
                    <w:tr2bl w:val="nil"/>
                  </w:tcBorders>
                  <w:shd w:val="clear" w:color="auto" w:fill="auto"/>
                  <w:vAlign w:val="center"/>
                </w:tcPr>
                <w:p w14:paraId="7B918274">
                  <w:pPr>
                    <w:adjustRightInd w:val="0"/>
                    <w:snapToGrid w:val="0"/>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对于含低浓度VOCs的废气，有回收价值时可采用吸附技术、吸收技术对有机溶剂回收后达标排放；不宜回收时，可采用吸附浓缩燃烧技术、生物技术、吸收技术</w:t>
                  </w:r>
                  <w:bookmarkStart w:id="3" w:name="_GoBack"/>
                  <w:r>
                    <w:rPr>
                      <w:rFonts w:hint="default" w:ascii="Times New Roman" w:hAnsi="Times New Roman" w:cs="Times New Roman"/>
                      <w:bCs/>
                      <w:color w:val="auto"/>
                      <w:szCs w:val="21"/>
                      <w:lang w:val="en-US" w:eastAsia="zh-CN"/>
                    </w:rPr>
                    <w:t>、等</w:t>
                  </w:r>
                  <w:bookmarkEnd w:id="3"/>
                  <w:r>
                    <w:rPr>
                      <w:rFonts w:hint="default" w:ascii="Times New Roman" w:hAnsi="Times New Roman" w:cs="Times New Roman"/>
                      <w:bCs/>
                      <w:color w:val="auto"/>
                      <w:szCs w:val="21"/>
                      <w:lang w:val="en-US" w:eastAsia="zh-CN"/>
                    </w:rPr>
                    <w:t>离子体技术或紫外光高级氧化技术等净化后达标排放。</w:t>
                  </w:r>
                </w:p>
              </w:tc>
              <w:tc>
                <w:tcPr>
                  <w:tcW w:w="2385" w:type="dxa"/>
                  <w:vMerge w:val="continue"/>
                  <w:tcBorders>
                    <w:tl2br w:val="nil"/>
                    <w:tr2bl w:val="nil"/>
                  </w:tcBorders>
                  <w:shd w:val="clear" w:color="auto" w:fill="auto"/>
                  <w:vAlign w:val="center"/>
                </w:tcPr>
                <w:p w14:paraId="0BEF491D">
                  <w:pPr>
                    <w:adjustRightInd w:val="0"/>
                    <w:snapToGrid w:val="0"/>
                    <w:jc w:val="left"/>
                    <w:rPr>
                      <w:rFonts w:hint="default" w:ascii="Times New Roman" w:hAnsi="Times New Roman" w:cs="Times New Roman"/>
                      <w:bCs/>
                      <w:color w:val="auto"/>
                      <w:szCs w:val="21"/>
                      <w:lang w:val="en-US" w:eastAsia="zh-CN"/>
                    </w:rPr>
                  </w:pPr>
                </w:p>
              </w:tc>
              <w:tc>
                <w:tcPr>
                  <w:tcW w:w="808" w:type="dxa"/>
                  <w:tcBorders>
                    <w:tl2br w:val="nil"/>
                    <w:tr2bl w:val="nil"/>
                  </w:tcBorders>
                  <w:shd w:val="clear" w:color="auto" w:fill="auto"/>
                  <w:vAlign w:val="center"/>
                </w:tcPr>
                <w:p w14:paraId="348E8177">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符合</w:t>
                  </w:r>
                </w:p>
              </w:tc>
            </w:tr>
          </w:tbl>
          <w:p w14:paraId="168A5FFE">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 xml:space="preserve">（5）与《2020年挥发性有机物治理攻坚方案》符合性分析 </w:t>
            </w:r>
          </w:p>
          <w:p w14:paraId="133027AA">
            <w:pPr>
              <w:keepNext w:val="0"/>
              <w:keepLines w:val="0"/>
              <w:widowControl/>
              <w:suppressLineNumbers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根据《2020年挥发性有机物治理攻坚方案》（环大气〔2020〕33 号），本项目与其相关要求的符合性分析如下：</w:t>
            </w:r>
          </w:p>
          <w:p w14:paraId="30A84DF2">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表1-11 本项目与“2020年挥发性有机物治理攻坚方案”的符合性分析</w:t>
            </w:r>
          </w:p>
          <w:tbl>
            <w:tblPr>
              <w:tblStyle w:val="2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90"/>
              <w:gridCol w:w="4899"/>
              <w:gridCol w:w="2395"/>
              <w:gridCol w:w="812"/>
            </w:tblGrid>
            <w:tr w14:paraId="04003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vAlign w:val="center"/>
                </w:tcPr>
                <w:p w14:paraId="763A7558">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4898" w:type="dxa"/>
                  <w:tcBorders>
                    <w:tl2br w:val="nil"/>
                    <w:tr2bl w:val="nil"/>
                  </w:tcBorders>
                  <w:vAlign w:val="center"/>
                </w:tcPr>
                <w:p w14:paraId="670559B7">
                  <w:pPr>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相关要求</w:t>
                  </w:r>
                </w:p>
              </w:tc>
              <w:tc>
                <w:tcPr>
                  <w:tcW w:w="2395" w:type="dxa"/>
                  <w:tcBorders>
                    <w:tl2br w:val="nil"/>
                    <w:tr2bl w:val="nil"/>
                  </w:tcBorders>
                  <w:vAlign w:val="center"/>
                </w:tcPr>
                <w:p w14:paraId="248A01F2">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812" w:type="dxa"/>
                  <w:tcBorders>
                    <w:tl2br w:val="nil"/>
                    <w:tr2bl w:val="nil"/>
                  </w:tcBorders>
                  <w:vAlign w:val="center"/>
                </w:tcPr>
                <w:p w14:paraId="6119880B">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14:paraId="3BA7A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vAlign w:val="center"/>
                </w:tcPr>
                <w:p w14:paraId="77825CF0">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w:t>
                  </w:r>
                </w:p>
              </w:tc>
              <w:tc>
                <w:tcPr>
                  <w:tcW w:w="4898" w:type="dxa"/>
                  <w:tcBorders>
                    <w:tl2br w:val="nil"/>
                    <w:tr2bl w:val="nil"/>
                  </w:tcBorders>
                  <w:vAlign w:val="center"/>
                </w:tcPr>
                <w:p w14:paraId="7847057C">
                  <w:pPr>
                    <w:adjustRightInd w:val="0"/>
                    <w:snapToGrid w:val="0"/>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2020年7月1日起，全面执行《挥发性有机物无组织排放控制标准》，重点区域应落实无组织排放特别控制要求。</w:t>
                  </w:r>
                </w:p>
              </w:tc>
              <w:tc>
                <w:tcPr>
                  <w:tcW w:w="2395" w:type="dxa"/>
                  <w:tcBorders>
                    <w:tl2br w:val="nil"/>
                    <w:tr2bl w:val="nil"/>
                  </w:tcBorders>
                  <w:shd w:val="clear" w:color="auto" w:fill="auto"/>
                  <w:vAlign w:val="center"/>
                </w:tcPr>
                <w:p w14:paraId="44C818C7">
                  <w:pPr>
                    <w:adjustRightInd w:val="0"/>
                    <w:snapToGrid w:val="0"/>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本项目位于宣汉县，不属于四川省大气污染防治重点区域。项目已严格落实无组织排放控制要求。</w:t>
                  </w:r>
                </w:p>
              </w:tc>
              <w:tc>
                <w:tcPr>
                  <w:tcW w:w="812" w:type="dxa"/>
                  <w:tcBorders>
                    <w:tl2br w:val="nil"/>
                    <w:tr2bl w:val="nil"/>
                  </w:tcBorders>
                  <w:vAlign w:val="center"/>
                </w:tcPr>
                <w:p w14:paraId="2C7E188F">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3A861E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shd w:val="clear" w:color="auto" w:fill="auto"/>
                  <w:vAlign w:val="center"/>
                </w:tcPr>
                <w:p w14:paraId="3E06DCA7">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2</w:t>
                  </w:r>
                </w:p>
              </w:tc>
              <w:tc>
                <w:tcPr>
                  <w:tcW w:w="4898" w:type="dxa"/>
                  <w:tcBorders>
                    <w:tl2br w:val="nil"/>
                    <w:tr2bl w:val="nil"/>
                  </w:tcBorders>
                  <w:vAlign w:val="center"/>
                </w:tcPr>
                <w:p w14:paraId="17635296">
                  <w:pPr>
                    <w:adjustRightInd w:val="0"/>
                    <w:snapToGrid w:val="0"/>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 xml:space="preserve">组织企业对现有 VOCs 废气收集设施、治理设施同步运行率和去除率开展自查，重点关注单一采用光氧 化、光催化、低温等离子、一次性活性炭吸附、喷淋 </w:t>
                  </w:r>
                </w:p>
                <w:p w14:paraId="1B430A21">
                  <w:pPr>
                    <w:adjustRightInd w:val="0"/>
                    <w:snapToGrid w:val="0"/>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 xml:space="preserve">吸收等工艺的治理设施，7 月 15 日前完成。对达不 到要求的 VOCs 收集、治理设施进行更换或升级改造，确保实现达标排放。按照“应收尽收”的原则提升 </w:t>
                  </w:r>
                </w:p>
                <w:p w14:paraId="3C34414B">
                  <w:pPr>
                    <w:adjustRightInd w:val="0"/>
                    <w:snapToGrid w:val="0"/>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废气收集率。</w:t>
                  </w:r>
                </w:p>
              </w:tc>
              <w:tc>
                <w:tcPr>
                  <w:tcW w:w="2395" w:type="dxa"/>
                  <w:tcBorders>
                    <w:tl2br w:val="nil"/>
                    <w:tr2bl w:val="nil"/>
                  </w:tcBorders>
                  <w:shd w:val="clear" w:color="auto" w:fill="auto"/>
                  <w:vAlign w:val="center"/>
                </w:tcPr>
                <w:p w14:paraId="26C8C573">
                  <w:pPr>
                    <w:adjustRightInd w:val="0"/>
                    <w:snapToGrid w:val="0"/>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项目挥发性有机物主要产生于沥青加热过程。通过设置密闭管道收集至燃烧器高温燃烧处理后，再经过两级除尘系统实现有组织达标排放。</w:t>
                  </w:r>
                </w:p>
              </w:tc>
              <w:tc>
                <w:tcPr>
                  <w:tcW w:w="812" w:type="dxa"/>
                  <w:tcBorders>
                    <w:tl2br w:val="nil"/>
                    <w:tr2bl w:val="nil"/>
                  </w:tcBorders>
                  <w:vAlign w:val="center"/>
                </w:tcPr>
                <w:p w14:paraId="4CCCECAD">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14:paraId="19E3D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shd w:val="clear" w:color="auto" w:fill="auto"/>
                  <w:vAlign w:val="center"/>
                </w:tcPr>
                <w:p w14:paraId="1A772092">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3</w:t>
                  </w:r>
                </w:p>
              </w:tc>
              <w:tc>
                <w:tcPr>
                  <w:tcW w:w="4898" w:type="dxa"/>
                  <w:tcBorders>
                    <w:tl2br w:val="nil"/>
                    <w:tr2bl w:val="nil"/>
                  </w:tcBorders>
                  <w:shd w:val="clear" w:color="auto" w:fill="auto"/>
                  <w:vAlign w:val="center"/>
                </w:tcPr>
                <w:p w14:paraId="58D85C99">
                  <w:pPr>
                    <w:adjustRightInd w:val="0"/>
                    <w:snapToGrid w:val="0"/>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 xml:space="preserve">将无组织排放转变为有组织排放进行控制，优先采用 </w:t>
                  </w:r>
                </w:p>
                <w:p w14:paraId="7D288B80">
                  <w:pPr>
                    <w:adjustRightInd w:val="0"/>
                    <w:snapToGrid w:val="0"/>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 xml:space="preserve">密闭设备、在密闭空间中操作或采用全密闭集气罩收 </w:t>
                  </w:r>
                </w:p>
                <w:p w14:paraId="59EDC179">
                  <w:pPr>
                    <w:adjustRightInd w:val="0"/>
                    <w:snapToGrid w:val="0"/>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集方式。</w:t>
                  </w:r>
                </w:p>
              </w:tc>
              <w:tc>
                <w:tcPr>
                  <w:tcW w:w="2395" w:type="dxa"/>
                  <w:tcBorders>
                    <w:tl2br w:val="nil"/>
                    <w:tr2bl w:val="nil"/>
                  </w:tcBorders>
                  <w:shd w:val="clear" w:color="auto" w:fill="auto"/>
                  <w:vAlign w:val="center"/>
                </w:tcPr>
                <w:p w14:paraId="196CBBDA">
                  <w:pPr>
                    <w:adjustRightInd w:val="0"/>
                    <w:snapToGrid w:val="0"/>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本项目沥青储罐、搅拌缸均是密闭设备，对沥青加热过程产生的挥发性有机物采取密闭收集处理后，实现有组织排放。</w:t>
                  </w:r>
                </w:p>
              </w:tc>
              <w:tc>
                <w:tcPr>
                  <w:tcW w:w="812" w:type="dxa"/>
                  <w:tcBorders>
                    <w:tl2br w:val="nil"/>
                    <w:tr2bl w:val="nil"/>
                  </w:tcBorders>
                  <w:shd w:val="clear" w:color="auto" w:fill="auto"/>
                  <w:vAlign w:val="center"/>
                </w:tcPr>
                <w:p w14:paraId="2A1039C6">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符合</w:t>
                  </w:r>
                </w:p>
              </w:tc>
            </w:tr>
            <w:tr w14:paraId="35501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90" w:type="dxa"/>
                  <w:tcBorders>
                    <w:tl2br w:val="nil"/>
                    <w:tr2bl w:val="nil"/>
                  </w:tcBorders>
                  <w:shd w:val="clear" w:color="auto" w:fill="auto"/>
                  <w:vAlign w:val="center"/>
                </w:tcPr>
                <w:p w14:paraId="7516E423">
                  <w:pPr>
                    <w:adjustRightInd w:val="0"/>
                    <w:snapToGrid w:val="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4</w:t>
                  </w:r>
                </w:p>
              </w:tc>
              <w:tc>
                <w:tcPr>
                  <w:tcW w:w="4898" w:type="dxa"/>
                  <w:tcBorders>
                    <w:tl2br w:val="nil"/>
                    <w:tr2bl w:val="nil"/>
                  </w:tcBorders>
                  <w:shd w:val="clear" w:color="auto" w:fill="auto"/>
                  <w:vAlign w:val="center"/>
                </w:tcPr>
                <w:p w14:paraId="7130C1A4">
                  <w:pPr>
                    <w:adjustRightInd w:val="0"/>
                    <w:snapToGrid w:val="0"/>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 xml:space="preserve">按照与生产设备“同启同停”的原则提升治理设施运 </w:t>
                  </w:r>
                </w:p>
                <w:p w14:paraId="3DCE665E">
                  <w:pPr>
                    <w:adjustRightInd w:val="0"/>
                    <w:snapToGrid w:val="0"/>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 xml:space="preserve">行率。根据处理工艺要求，在处理设施达到正常运行 </w:t>
                  </w:r>
                </w:p>
                <w:p w14:paraId="3A5B63F6">
                  <w:pPr>
                    <w:adjustRightInd w:val="0"/>
                    <w:snapToGrid w:val="0"/>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 xml:space="preserve">条件后方可启动生产设备，在生产设备停止、残留 </w:t>
                  </w:r>
                </w:p>
                <w:p w14:paraId="5E7CD762">
                  <w:pPr>
                    <w:adjustRightInd w:val="0"/>
                    <w:snapToGrid w:val="0"/>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 xml:space="preserve">VOCs 废气收集处理完毕后，方可停运处理设施。 </w:t>
                  </w:r>
                </w:p>
                <w:p w14:paraId="1CDF38FD">
                  <w:pPr>
                    <w:adjustRightInd w:val="0"/>
                    <w:snapToGrid w:val="0"/>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 xml:space="preserve">VOCs 废气处理系统发生故障或检修时，对应生产工 </w:t>
                  </w:r>
                </w:p>
                <w:p w14:paraId="1AEA6A12">
                  <w:pPr>
                    <w:adjustRightInd w:val="0"/>
                    <w:snapToGrid w:val="0"/>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艺设备应停止运行，待检修完毕后同步投入使用。</w:t>
                  </w:r>
                </w:p>
              </w:tc>
              <w:tc>
                <w:tcPr>
                  <w:tcW w:w="2395" w:type="dxa"/>
                  <w:tcBorders>
                    <w:tl2br w:val="nil"/>
                    <w:tr2bl w:val="nil"/>
                  </w:tcBorders>
                  <w:shd w:val="clear" w:color="auto" w:fill="auto"/>
                  <w:vAlign w:val="center"/>
                </w:tcPr>
                <w:p w14:paraId="481D1CFD">
                  <w:pPr>
                    <w:adjustRightInd w:val="0"/>
                    <w:snapToGrid w:val="0"/>
                    <w:jc w:val="left"/>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本项目为新建项目，能够实现废气治理设施与生产设备“同启同停”。</w:t>
                  </w:r>
                </w:p>
              </w:tc>
              <w:tc>
                <w:tcPr>
                  <w:tcW w:w="812" w:type="dxa"/>
                  <w:tcBorders>
                    <w:tl2br w:val="nil"/>
                    <w:tr2bl w:val="nil"/>
                  </w:tcBorders>
                  <w:shd w:val="clear" w:color="auto" w:fill="auto"/>
                  <w:vAlign w:val="center"/>
                </w:tcPr>
                <w:p w14:paraId="2BC9FEFF">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bl>
          <w:p w14:paraId="7F8E3B4E">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 xml:space="preserve">（6）与《四川省空气质量持续改善行动计划实施方案》符合性分析 </w:t>
            </w:r>
          </w:p>
          <w:p w14:paraId="02F71F82">
            <w:pPr>
              <w:keepNext w:val="0"/>
              <w:keepLines w:val="0"/>
              <w:widowControl/>
              <w:suppressLineNumbers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根据《四川省空气质量持续改善行动计划实施方案》（川府发〔2024〕15号），本项目与其相关要求的符合性分析如下：</w:t>
            </w:r>
          </w:p>
          <w:p w14:paraId="0BE08F19">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表1-12 本项目与“四川省空气质量持续改善行动计划实施方案”的符合性分析</w:t>
            </w:r>
          </w:p>
          <w:tbl>
            <w:tblPr>
              <w:tblStyle w:val="29"/>
              <w:tblW w:w="89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92"/>
              <w:gridCol w:w="4912"/>
              <w:gridCol w:w="2401"/>
              <w:gridCol w:w="814"/>
            </w:tblGrid>
            <w:tr w14:paraId="1AF63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3" w:hRule="atLeast"/>
                <w:jc w:val="center"/>
              </w:trPr>
              <w:tc>
                <w:tcPr>
                  <w:tcW w:w="792" w:type="dxa"/>
                  <w:tcBorders>
                    <w:tl2br w:val="nil"/>
                    <w:tr2bl w:val="nil"/>
                  </w:tcBorders>
                  <w:vAlign w:val="center"/>
                </w:tcPr>
                <w:p w14:paraId="41D4AB38">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4912" w:type="dxa"/>
                  <w:tcBorders>
                    <w:tl2br w:val="nil"/>
                    <w:tr2bl w:val="nil"/>
                  </w:tcBorders>
                  <w:vAlign w:val="center"/>
                </w:tcPr>
                <w:p w14:paraId="5585DFAD">
                  <w:pPr>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相关要求</w:t>
                  </w:r>
                </w:p>
              </w:tc>
              <w:tc>
                <w:tcPr>
                  <w:tcW w:w="2401" w:type="dxa"/>
                  <w:tcBorders>
                    <w:tl2br w:val="nil"/>
                    <w:tr2bl w:val="nil"/>
                  </w:tcBorders>
                  <w:vAlign w:val="center"/>
                </w:tcPr>
                <w:p w14:paraId="23FF2C54">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814" w:type="dxa"/>
                  <w:tcBorders>
                    <w:tl2br w:val="nil"/>
                    <w:tr2bl w:val="nil"/>
                  </w:tcBorders>
                  <w:vAlign w:val="center"/>
                </w:tcPr>
                <w:p w14:paraId="65D2B50A">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14:paraId="449C7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20" w:hRule="atLeast"/>
                <w:jc w:val="center"/>
              </w:trPr>
              <w:tc>
                <w:tcPr>
                  <w:tcW w:w="792" w:type="dxa"/>
                  <w:tcBorders>
                    <w:tl2br w:val="nil"/>
                    <w:tr2bl w:val="nil"/>
                  </w:tcBorders>
                  <w:vAlign w:val="center"/>
                </w:tcPr>
                <w:p w14:paraId="458D0E63">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w:t>
                  </w:r>
                </w:p>
              </w:tc>
              <w:tc>
                <w:tcPr>
                  <w:tcW w:w="4912" w:type="dxa"/>
                  <w:tcBorders>
                    <w:tl2br w:val="nil"/>
                    <w:tr2bl w:val="nil"/>
                  </w:tcBorders>
                  <w:shd w:val="clear" w:color="auto" w:fill="auto"/>
                  <w:vAlign w:val="center"/>
                </w:tcPr>
                <w:p w14:paraId="4747B204">
                  <w:pP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
                      <w:bCs w:val="0"/>
                      <w:color w:val="auto"/>
                      <w:szCs w:val="21"/>
                    </w:rPr>
                    <w:t>加强含VOCs原辅材料源头管控</w:t>
                  </w:r>
                  <w:r>
                    <w:rPr>
                      <w:rFonts w:hint="default" w:ascii="Times New Roman" w:hAnsi="Times New Roman" w:cs="Times New Roman"/>
                      <w:bCs/>
                      <w:color w:val="auto"/>
                      <w:szCs w:val="21"/>
                      <w:lang w:val="en-US" w:eastAsia="zh-CN"/>
                    </w:rPr>
                    <w:t xml:space="preserve"> </w:t>
                  </w:r>
                  <w:r>
                    <w:rPr>
                      <w:rFonts w:hint="default" w:ascii="Times New Roman" w:hAnsi="Times New Roman" w:cs="Times New Roman"/>
                      <w:bCs/>
                      <w:color w:val="auto"/>
                      <w:szCs w:val="21"/>
                    </w:rPr>
                    <w:t>严格控制生产和使用高VOCs含量涂料、油墨、胶粘剂、清洗剂等建设项目定期编制发布低</w:t>
                  </w:r>
                  <w:r>
                    <w:rPr>
                      <w:rFonts w:hint="default" w:ascii="Times New Roman" w:hAnsi="Times New Roman" w:eastAsia="宋体" w:cs="Times New Roman"/>
                      <w:bCs/>
                      <w:color w:val="auto"/>
                      <w:szCs w:val="21"/>
                    </w:rPr>
                    <w:t>(无)</w:t>
                  </w:r>
                  <w:r>
                    <w:rPr>
                      <w:rFonts w:hint="default" w:ascii="Times New Roman" w:hAnsi="Times New Roman" w:cs="Times New Roman"/>
                      <w:bCs/>
                      <w:color w:val="auto"/>
                      <w:szCs w:val="21"/>
                    </w:rPr>
                    <w:t>VOCs 原辅材料和产品目录在生产、销售、进口、使用等环节严格执行VOCs含量限值标准建立低</w:t>
                  </w:r>
                  <w:r>
                    <w:rPr>
                      <w:rFonts w:hint="default" w:ascii="Times New Roman" w:hAnsi="Times New Roman" w:eastAsia="宋体" w:cs="Times New Roman"/>
                      <w:bCs/>
                      <w:color w:val="auto"/>
                      <w:szCs w:val="21"/>
                    </w:rPr>
                    <w:t>(无)</w:t>
                  </w:r>
                  <w:r>
                    <w:rPr>
                      <w:rFonts w:hint="default" w:ascii="Times New Roman" w:hAnsi="Times New Roman" w:cs="Times New Roman"/>
                      <w:bCs/>
                      <w:color w:val="auto"/>
                      <w:szCs w:val="21"/>
                    </w:rPr>
                    <w:t>VOCs含量产品标识制度实施重点领域原辅材料替代工程到</w:t>
                  </w:r>
                  <w:r>
                    <w:rPr>
                      <w:rFonts w:hint="default" w:ascii="Times New Roman" w:hAnsi="Times New Roman" w:cs="Times New Roman"/>
                      <w:bCs/>
                      <w:color w:val="auto"/>
                      <w:szCs w:val="21"/>
                      <w:lang w:val="en-US" w:eastAsia="zh-CN"/>
                    </w:rPr>
                    <w:t>2025</w:t>
                  </w:r>
                  <w:r>
                    <w:rPr>
                      <w:rFonts w:hint="default" w:ascii="Times New Roman" w:hAnsi="Times New Roman" w:cs="Times New Roman"/>
                      <w:bCs/>
                      <w:color w:val="auto"/>
                      <w:szCs w:val="21"/>
                    </w:rPr>
                    <w:t>年力争重点行业原辅材料替代比例在“十三五”末期的基础上进一步提升全面推广房屋建筑和市政工程涉VOCs工序环节使用低VOCs含量涂料和胶粘剂重点区域除特殊功能要求外的室内地坪施工、室外构筑物防护和城市道路交通标志基本使用低VOCs含量涂料</w:t>
                  </w:r>
                  <w:r>
                    <w:rPr>
                      <w:rFonts w:hint="default" w:ascii="Times New Roman" w:hAnsi="Times New Roman" w:cs="Times New Roman"/>
                      <w:bCs/>
                      <w:color w:val="auto"/>
                      <w:szCs w:val="21"/>
                      <w:lang w:eastAsia="zh-CN"/>
                    </w:rPr>
                    <w:t>。</w:t>
                  </w:r>
                </w:p>
              </w:tc>
              <w:tc>
                <w:tcPr>
                  <w:tcW w:w="2401" w:type="dxa"/>
                  <w:tcBorders>
                    <w:tl2br w:val="nil"/>
                    <w:tr2bl w:val="nil"/>
                  </w:tcBorders>
                  <w:shd w:val="clear" w:color="auto" w:fill="auto"/>
                  <w:vAlign w:val="center"/>
                </w:tcPr>
                <w:p w14:paraId="646DFD54">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项目使用的含</w:t>
                  </w:r>
                  <w:r>
                    <w:rPr>
                      <w:rFonts w:hint="default" w:ascii="Times New Roman" w:hAnsi="Times New Roman" w:cs="Times New Roman"/>
                      <w:bCs/>
                      <w:color w:val="auto"/>
                      <w:szCs w:val="21"/>
                    </w:rPr>
                    <w:t>VOCs物料</w:t>
                  </w:r>
                  <w:r>
                    <w:rPr>
                      <w:rFonts w:hint="default" w:ascii="Times New Roman" w:hAnsi="Times New Roman" w:cs="Times New Roman"/>
                      <w:bCs/>
                      <w:color w:val="auto"/>
                      <w:szCs w:val="21"/>
                      <w:lang w:val="en-US" w:eastAsia="zh-CN"/>
                    </w:rPr>
                    <w:t>主要为沥青，为</w:t>
                  </w:r>
                  <w:r>
                    <w:rPr>
                      <w:rFonts w:hint="default" w:ascii="Times New Roman" w:hAnsi="Times New Roman" w:cs="Times New Roman"/>
                      <w:bCs/>
                      <w:color w:val="auto"/>
                      <w:szCs w:val="21"/>
                    </w:rPr>
                    <w:t>VOCs 含量</w:t>
                  </w:r>
                  <w:r>
                    <w:rPr>
                      <w:rFonts w:hint="default" w:ascii="Times New Roman" w:hAnsi="Times New Roman" w:cs="Times New Roman"/>
                      <w:bCs/>
                      <w:color w:val="auto"/>
                      <w:szCs w:val="21"/>
                      <w:lang w:val="en-US" w:eastAsia="zh-CN"/>
                    </w:rPr>
                    <w:t>低的原辅料，</w:t>
                  </w:r>
                  <w:r>
                    <w:rPr>
                      <w:rFonts w:hint="default" w:ascii="Times New Roman" w:hAnsi="Times New Roman" w:cs="Times New Roman"/>
                      <w:bCs/>
                      <w:color w:val="auto"/>
                      <w:szCs w:val="21"/>
                    </w:rPr>
                    <w:t>本</w:t>
                  </w:r>
                  <w:r>
                    <w:rPr>
                      <w:rFonts w:hint="default" w:ascii="Times New Roman" w:hAnsi="Times New Roman" w:cs="Times New Roman"/>
                      <w:color w:val="auto"/>
                      <w:sz w:val="21"/>
                      <w:szCs w:val="21"/>
                      <w:lang w:val="en-US" w:eastAsia="zh-CN"/>
                    </w:rPr>
                    <w:t>项目大气污染物主要为粉尘、</w:t>
                  </w:r>
                  <w:r>
                    <w:rPr>
                      <w:rFonts w:hint="default" w:ascii="Times New Roman" w:hAnsi="Times New Roman" w:cs="Times New Roman"/>
                      <w:color w:val="auto"/>
                      <w:sz w:val="21"/>
                      <w:szCs w:val="21"/>
                      <w:vertAlign w:val="baseline"/>
                      <w:lang w:val="en-US" w:eastAsia="zh-CN"/>
                    </w:rPr>
                    <w:t>VOCs、沥青烟以及</w:t>
                  </w:r>
                  <w:r>
                    <w:rPr>
                      <w:rFonts w:hint="default" w:ascii="Times New Roman" w:hAnsi="Times New Roman" w:cs="Times New Roman"/>
                      <w:color w:val="auto"/>
                      <w:szCs w:val="21"/>
                    </w:rPr>
                    <w:t>苯并[a]芘</w:t>
                  </w:r>
                  <w:r>
                    <w:rPr>
                      <w:rFonts w:hint="default" w:ascii="Times New Roman" w:hAnsi="Times New Roman" w:cs="Times New Roman"/>
                      <w:color w:val="auto"/>
                      <w:szCs w:val="21"/>
                      <w:lang w:val="en-US" w:eastAsia="zh-CN"/>
                    </w:rPr>
                    <w:t>等</w:t>
                  </w:r>
                  <w:r>
                    <w:rPr>
                      <w:rFonts w:hint="default" w:ascii="Times New Roman" w:hAnsi="Times New Roman" w:cs="Times New Roman"/>
                      <w:color w:val="auto"/>
                      <w:sz w:val="21"/>
                      <w:szCs w:val="21"/>
                      <w:lang w:val="en-US" w:eastAsia="zh-CN"/>
                    </w:rPr>
                    <w:t>，粉尘经布袋除尘器处理后通过排气筒有组织排放，</w:t>
                  </w:r>
                  <w:r>
                    <w:rPr>
                      <w:rFonts w:hint="default" w:ascii="Times New Roman" w:hAnsi="Times New Roman" w:cs="Times New Roman"/>
                      <w:color w:val="auto"/>
                      <w:sz w:val="21"/>
                      <w:szCs w:val="21"/>
                      <w:vertAlign w:val="baseline"/>
                      <w:lang w:val="en-US" w:eastAsia="zh-CN"/>
                    </w:rPr>
                    <w:t>VOCs</w:t>
                  </w:r>
                  <w:r>
                    <w:rPr>
                      <w:rFonts w:hint="default" w:ascii="Times New Roman" w:hAnsi="Times New Roman" w:cs="Times New Roman"/>
                      <w:color w:val="auto"/>
                      <w:sz w:val="21"/>
                      <w:szCs w:val="21"/>
                      <w:lang w:val="en-US" w:eastAsia="zh-CN"/>
                    </w:rPr>
                    <w:t>、沥青烟以及</w:t>
                  </w:r>
                  <w:r>
                    <w:rPr>
                      <w:rFonts w:hint="default" w:ascii="Times New Roman" w:hAnsi="Times New Roman" w:cs="Times New Roman"/>
                      <w:color w:val="auto"/>
                      <w:szCs w:val="21"/>
                    </w:rPr>
                    <w:t>苯并[a]芘</w:t>
                  </w:r>
                  <w:r>
                    <w:rPr>
                      <w:rFonts w:hint="default" w:ascii="Times New Roman" w:hAnsi="Times New Roman" w:cs="Times New Roman"/>
                      <w:color w:val="auto"/>
                      <w:szCs w:val="21"/>
                      <w:lang w:val="en-US" w:eastAsia="zh-CN"/>
                    </w:rPr>
                    <w:t>通过</w:t>
                  </w:r>
                  <w:r>
                    <w:rPr>
                      <w:rFonts w:hint="default" w:ascii="Times New Roman" w:hAnsi="Times New Roman" w:cs="Times New Roman"/>
                      <w:bCs/>
                      <w:color w:val="auto"/>
                      <w:szCs w:val="21"/>
                      <w:lang w:val="en-US" w:eastAsia="zh-CN"/>
                    </w:rPr>
                    <w:t>收集至燃烧器高温燃烧处理后，再经过两级除尘系统实现达标排放。</w:t>
                  </w:r>
                </w:p>
              </w:tc>
              <w:tc>
                <w:tcPr>
                  <w:tcW w:w="814" w:type="dxa"/>
                  <w:tcBorders>
                    <w:tl2br w:val="nil"/>
                    <w:tr2bl w:val="nil"/>
                  </w:tcBorders>
                  <w:vAlign w:val="center"/>
                </w:tcPr>
                <w:p w14:paraId="7A4FA4A7">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bl>
          <w:p w14:paraId="4DC8BC5C">
            <w:pPr>
              <w:numPr>
                <w:ilvl w:val="0"/>
                <w:numId w:val="0"/>
              </w:numPr>
              <w:spacing w:line="360" w:lineRule="auto"/>
              <w:ind w:leftChars="200"/>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8、项目与饮用水源关系</w:t>
            </w:r>
          </w:p>
          <w:p w14:paraId="404CB8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yellow"/>
                <w:lang w:val="en-US" w:eastAsia="zh-CN"/>
              </w:rPr>
            </w:pPr>
            <w:r>
              <w:rPr>
                <w:rFonts w:hint="default" w:ascii="Times New Roman" w:hAnsi="Times New Roman" w:eastAsia="宋体" w:cs="Times New Roman"/>
                <w:b w:val="0"/>
                <w:bCs w:val="0"/>
                <w:color w:val="auto"/>
                <w:sz w:val="24"/>
                <w:szCs w:val="24"/>
                <w:lang w:val="en-US" w:eastAsia="zh-CN"/>
              </w:rPr>
              <w:t>根据达州市人民政府《关于划定万源市、宣汉县和大竹县乡镇及以下集中式饮用水水源地保护区的批复》（达市</w:t>
            </w:r>
            <w:r>
              <w:rPr>
                <w:rFonts w:hint="default" w:ascii="Times New Roman" w:hAnsi="Times New Roman" w:eastAsia="宋体" w:cs="Times New Roman"/>
                <w:b w:val="0"/>
                <w:bCs w:val="0"/>
                <w:color w:val="auto"/>
                <w:sz w:val="24"/>
                <w:szCs w:val="24"/>
                <w:highlight w:val="none"/>
                <w:lang w:val="en-US" w:eastAsia="zh-CN"/>
              </w:rPr>
              <w:t>府函</w:t>
            </w:r>
            <w:r>
              <w:rPr>
                <w:rFonts w:hint="default" w:ascii="Times New Roman" w:hAnsi="Times New Roman" w:cs="Times New Roman"/>
                <w:i w:val="0"/>
                <w:iCs w:val="0"/>
                <w:color w:val="auto"/>
                <w:sz w:val="24"/>
                <w:szCs w:val="24"/>
                <w:highlight w:val="none"/>
              </w:rPr>
              <w:t>〔20</w:t>
            </w:r>
            <w:r>
              <w:rPr>
                <w:rFonts w:hint="default" w:ascii="Times New Roman" w:hAnsi="Times New Roman" w:cs="Times New Roman"/>
                <w:i w:val="0"/>
                <w:iCs w:val="0"/>
                <w:color w:val="auto"/>
                <w:sz w:val="24"/>
                <w:szCs w:val="24"/>
                <w:highlight w:val="none"/>
                <w:lang w:val="en-US" w:eastAsia="zh-CN"/>
              </w:rPr>
              <w:t>20</w:t>
            </w:r>
            <w:r>
              <w:rPr>
                <w:rFonts w:hint="default" w:ascii="Times New Roman" w:hAnsi="Times New Roman" w:cs="Times New Roman"/>
                <w:i w:val="0"/>
                <w:iCs w:val="0"/>
                <w:color w:val="auto"/>
                <w:sz w:val="24"/>
                <w:szCs w:val="24"/>
                <w:highlight w:val="none"/>
              </w:rPr>
              <w:t>〕</w:t>
            </w:r>
            <w:r>
              <w:rPr>
                <w:rFonts w:hint="default" w:ascii="Times New Roman" w:hAnsi="Times New Roman" w:cs="Times New Roman"/>
                <w:b w:val="0"/>
                <w:bCs w:val="0"/>
                <w:color w:val="auto"/>
                <w:sz w:val="24"/>
                <w:szCs w:val="24"/>
                <w:highlight w:val="none"/>
                <w:lang w:val="en-US" w:eastAsia="zh-CN"/>
              </w:rPr>
              <w:t>124</w:t>
            </w:r>
            <w:r>
              <w:rPr>
                <w:rFonts w:hint="default" w:ascii="Times New Roman" w:hAnsi="Times New Roman" w:eastAsia="宋体" w:cs="Times New Roman"/>
                <w:b w:val="0"/>
                <w:bCs w:val="0"/>
                <w:color w:val="auto"/>
                <w:sz w:val="24"/>
                <w:szCs w:val="24"/>
                <w:highlight w:val="none"/>
                <w:lang w:val="en-US" w:eastAsia="zh-CN"/>
              </w:rPr>
              <w:t>号），</w:t>
            </w:r>
            <w:r>
              <w:rPr>
                <w:rFonts w:hint="default" w:ascii="Times New Roman" w:hAnsi="Times New Roman" w:cs="Times New Roman"/>
                <w:b w:val="0"/>
                <w:bCs w:val="0"/>
                <w:color w:val="auto"/>
                <w:sz w:val="24"/>
                <w:szCs w:val="24"/>
                <w:highlight w:val="none"/>
                <w:lang w:val="en-US" w:eastAsia="zh-CN"/>
              </w:rPr>
              <w:t>该项目周围较近的</w:t>
            </w:r>
            <w:r>
              <w:rPr>
                <w:rFonts w:hint="default" w:ascii="Times New Roman" w:hAnsi="Times New Roman" w:eastAsia="宋体" w:cs="Times New Roman"/>
                <w:b w:val="0"/>
                <w:bCs w:val="0"/>
                <w:color w:val="auto"/>
                <w:sz w:val="24"/>
                <w:szCs w:val="24"/>
                <w:highlight w:val="none"/>
                <w:lang w:val="en-US" w:eastAsia="zh-CN"/>
              </w:rPr>
              <w:t>集中式饮用水水源地</w:t>
            </w:r>
            <w:r>
              <w:rPr>
                <w:rFonts w:hint="default" w:ascii="Times New Roman" w:hAnsi="Times New Roman" w:cs="Times New Roman"/>
                <w:b w:val="0"/>
                <w:bCs w:val="0"/>
                <w:color w:val="auto"/>
                <w:sz w:val="24"/>
                <w:szCs w:val="24"/>
                <w:highlight w:val="none"/>
                <w:lang w:val="en-US" w:eastAsia="zh-CN"/>
              </w:rPr>
              <w:t>为宣汉县天生镇曹家沟水库集中式饮用水水源地，其取水口</w:t>
            </w:r>
            <w:r>
              <w:rPr>
                <w:rFonts w:hint="default" w:ascii="Times New Roman" w:hAnsi="Times New Roman" w:eastAsia="宋体" w:cs="Times New Roman"/>
                <w:b w:val="0"/>
                <w:bCs w:val="0"/>
                <w:color w:val="auto"/>
                <w:sz w:val="24"/>
                <w:szCs w:val="24"/>
                <w:highlight w:val="none"/>
                <w:lang w:val="en-US" w:eastAsia="zh-CN"/>
              </w:rPr>
              <w:t>位于</w:t>
            </w:r>
            <w:r>
              <w:rPr>
                <w:rFonts w:hint="default" w:ascii="Times New Roman" w:hAnsi="Times New Roman" w:cs="Times New Roman"/>
                <w:b w:val="0"/>
                <w:bCs w:val="0"/>
                <w:color w:val="auto"/>
                <w:sz w:val="24"/>
                <w:szCs w:val="24"/>
                <w:highlight w:val="none"/>
                <w:lang w:val="en-US" w:eastAsia="zh-CN"/>
              </w:rPr>
              <w:t>天生镇大路村13组（</w:t>
            </w:r>
            <w:r>
              <w:rPr>
                <w:rFonts w:hint="default" w:ascii="Times New Roman" w:hAnsi="Times New Roman" w:eastAsia="宋体" w:cs="Times New Roman"/>
                <w:b w:val="0"/>
                <w:bCs w:val="0"/>
                <w:color w:val="auto"/>
                <w:sz w:val="24"/>
                <w:szCs w:val="24"/>
                <w:highlight w:val="none"/>
                <w:lang w:val="en-US" w:eastAsia="zh-CN"/>
              </w:rPr>
              <w:t>坐标</w:t>
            </w:r>
            <w:r>
              <w:rPr>
                <w:rFonts w:hint="default" w:ascii="Times New Roman" w:hAnsi="Times New Roman" w:cs="Times New Roman"/>
                <w:b w:val="0"/>
                <w:bCs w:val="0"/>
                <w:color w:val="auto"/>
                <w:sz w:val="24"/>
                <w:szCs w:val="24"/>
                <w:highlight w:val="none"/>
                <w:lang w:val="en-US" w:eastAsia="zh-CN"/>
              </w:rPr>
              <w:t>E</w:t>
            </w:r>
            <w:r>
              <w:rPr>
                <w:rFonts w:hint="default" w:ascii="Times New Roman" w:hAnsi="Times New Roman" w:eastAsia="宋体" w:cs="Times New Roman"/>
                <w:b w:val="0"/>
                <w:bCs w:val="0"/>
                <w:color w:val="auto"/>
                <w:sz w:val="24"/>
                <w:szCs w:val="24"/>
                <w:highlight w:val="none"/>
                <w:lang w:val="en-US" w:eastAsia="zh-CN"/>
              </w:rPr>
              <w:t>10</w:t>
            </w:r>
            <w:r>
              <w:rPr>
                <w:rFonts w:hint="default" w:ascii="Times New Roman" w:hAnsi="Times New Roman" w:cs="Times New Roman"/>
                <w:b w:val="0"/>
                <w:bCs w:val="0"/>
                <w:color w:val="auto"/>
                <w:sz w:val="24"/>
                <w:szCs w:val="24"/>
                <w:highlight w:val="none"/>
                <w:lang w:val="en-US" w:eastAsia="zh-CN"/>
              </w:rPr>
              <w:t>7</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45</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39.388</w:t>
            </w:r>
            <w:r>
              <w:rPr>
                <w:rFonts w:hint="default" w:ascii="Times New Roman" w:hAnsi="Times New Roman" w:eastAsia="宋体" w:cs="Times New Roman"/>
                <w:b w:val="0"/>
                <w:bCs w:val="0"/>
                <w:color w:val="auto"/>
                <w:sz w:val="24"/>
                <w:szCs w:val="24"/>
                <w:highlight w:val="none"/>
                <w:lang w:val="en-US" w:eastAsia="zh-CN"/>
              </w:rPr>
              <w:t>″，31°</w:t>
            </w:r>
            <w:r>
              <w:rPr>
                <w:rFonts w:hint="default" w:ascii="Times New Roman" w:hAnsi="Times New Roman" w:cs="Times New Roman"/>
                <w:b w:val="0"/>
                <w:bCs w:val="0"/>
                <w:color w:val="auto"/>
                <w:sz w:val="24"/>
                <w:szCs w:val="24"/>
                <w:highlight w:val="none"/>
                <w:lang w:val="en-US" w:eastAsia="zh-CN"/>
              </w:rPr>
              <w:t>14</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51.234</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，水源名称为曹家沟水库</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类型为湖库型。</w:t>
            </w:r>
            <w:r>
              <w:rPr>
                <w:rFonts w:hint="default" w:ascii="Times New Roman" w:hAnsi="Times New Roman" w:eastAsia="宋体" w:cs="Times New Roman"/>
                <w:b w:val="0"/>
                <w:bCs w:val="0"/>
                <w:color w:val="auto"/>
                <w:sz w:val="24"/>
                <w:szCs w:val="24"/>
                <w:highlight w:val="none"/>
                <w:lang w:val="en-US" w:eastAsia="zh-CN"/>
              </w:rPr>
              <w:t>本项目建设区域位于宣汉县天生镇峨城社区4组</w:t>
            </w:r>
            <w:r>
              <w:rPr>
                <w:rFonts w:hint="default" w:ascii="Times New Roman" w:hAnsi="Times New Roman" w:cs="Times New Roman"/>
                <w:b w:val="0"/>
                <w:bCs w:val="0"/>
                <w:color w:val="auto"/>
                <w:sz w:val="24"/>
                <w:szCs w:val="24"/>
                <w:highlight w:val="none"/>
                <w:lang w:val="en-US" w:eastAsia="zh-CN"/>
              </w:rPr>
              <w:t>，均</w:t>
            </w:r>
            <w:r>
              <w:rPr>
                <w:rFonts w:hint="default" w:ascii="Times New Roman" w:hAnsi="Times New Roman" w:eastAsia="宋体" w:cs="Times New Roman"/>
                <w:b w:val="0"/>
                <w:bCs w:val="0"/>
                <w:color w:val="auto"/>
                <w:sz w:val="24"/>
                <w:szCs w:val="24"/>
                <w:highlight w:val="none"/>
                <w:lang w:val="en-US" w:eastAsia="zh-CN"/>
              </w:rPr>
              <w:t>不在其集中式饮用水水源地的一级、二级保护区范围内。</w:t>
            </w:r>
          </w:p>
          <w:p w14:paraId="779A61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项目与集中式饮用水水源保护区关系表见下表。</w:t>
            </w:r>
          </w:p>
          <w:p w14:paraId="05FE8134">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表1-13 本项目与集中式饮用水水源保护区关系表</w:t>
            </w:r>
          </w:p>
          <w:tbl>
            <w:tblPr>
              <w:tblStyle w:val="29"/>
              <w:tblW w:w="494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2572"/>
              <w:gridCol w:w="2685"/>
              <w:gridCol w:w="1630"/>
              <w:gridCol w:w="911"/>
            </w:tblGrid>
            <w:tr w14:paraId="482C6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568" w:type="pct"/>
                  <w:tcBorders>
                    <w:tl2br w:val="nil"/>
                    <w:tr2bl w:val="nil"/>
                  </w:tcBorders>
                  <w:noWrap w:val="0"/>
                  <w:vAlign w:val="center"/>
                </w:tcPr>
                <w:p w14:paraId="2929B772">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取水点</w:t>
                  </w:r>
                  <w:r>
                    <w:rPr>
                      <w:rFonts w:hint="default" w:ascii="Times New Roman" w:hAnsi="Times New Roman" w:cs="Times New Roman"/>
                      <w:b/>
                      <w:bCs w:val="0"/>
                      <w:color w:val="auto"/>
                      <w:sz w:val="21"/>
                      <w:szCs w:val="21"/>
                      <w:lang w:val="en-US" w:eastAsia="zh-CN"/>
                    </w:rPr>
                    <w:t>地名</w:t>
                  </w:r>
                </w:p>
              </w:tc>
              <w:tc>
                <w:tcPr>
                  <w:tcW w:w="1461" w:type="pct"/>
                  <w:tcBorders>
                    <w:tl2br w:val="nil"/>
                    <w:tr2bl w:val="nil"/>
                  </w:tcBorders>
                  <w:noWrap w:val="0"/>
                  <w:vAlign w:val="center"/>
                </w:tcPr>
                <w:p w14:paraId="70CE2D4A">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一级保护区</w:t>
                  </w:r>
                </w:p>
              </w:tc>
              <w:tc>
                <w:tcPr>
                  <w:tcW w:w="1525" w:type="pct"/>
                  <w:tcBorders>
                    <w:tl2br w:val="nil"/>
                    <w:tr2bl w:val="nil"/>
                  </w:tcBorders>
                  <w:noWrap w:val="0"/>
                  <w:vAlign w:val="center"/>
                </w:tcPr>
                <w:p w14:paraId="06EA4B5F">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20" w:leftChars="-57" w:right="-46" w:rightChars="-22"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二级保护区</w:t>
                  </w:r>
                </w:p>
              </w:tc>
              <w:tc>
                <w:tcPr>
                  <w:tcW w:w="926" w:type="pct"/>
                  <w:tcBorders>
                    <w:tl2br w:val="nil"/>
                    <w:tr2bl w:val="nil"/>
                  </w:tcBorders>
                  <w:noWrap w:val="0"/>
                  <w:vAlign w:val="center"/>
                </w:tcPr>
                <w:p w14:paraId="7E1C67A0">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20" w:leftChars="-57" w:right="-46" w:rightChars="-22"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本项目与</w:t>
                  </w:r>
                  <w:r>
                    <w:rPr>
                      <w:rFonts w:hint="default" w:ascii="Times New Roman" w:hAnsi="Times New Roman" w:cs="Times New Roman"/>
                      <w:b/>
                      <w:bCs w:val="0"/>
                      <w:color w:val="auto"/>
                      <w:sz w:val="21"/>
                      <w:szCs w:val="21"/>
                      <w:lang w:val="en-US" w:eastAsia="zh-CN"/>
                    </w:rPr>
                    <w:t>地表水保护</w:t>
                  </w:r>
                  <w:r>
                    <w:rPr>
                      <w:rFonts w:hint="default" w:ascii="Times New Roman" w:hAnsi="Times New Roman" w:eastAsia="宋体" w:cs="Times New Roman"/>
                      <w:b/>
                      <w:bCs w:val="0"/>
                      <w:color w:val="auto"/>
                      <w:sz w:val="21"/>
                      <w:szCs w:val="21"/>
                      <w:lang w:val="en-US" w:eastAsia="zh-CN"/>
                    </w:rPr>
                    <w:t>边界位置关系</w:t>
                  </w:r>
                </w:p>
              </w:tc>
              <w:tc>
                <w:tcPr>
                  <w:tcW w:w="517" w:type="pct"/>
                  <w:tcBorders>
                    <w:tl2br w:val="nil"/>
                    <w:tr2bl w:val="nil"/>
                  </w:tcBorders>
                  <w:noWrap w:val="0"/>
                  <w:vAlign w:val="center"/>
                </w:tcPr>
                <w:p w14:paraId="18E22EA5">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20" w:leftChars="-57" w:right="-46" w:rightChars="-22"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是否涉及饮用水源保护区</w:t>
                  </w:r>
                </w:p>
              </w:tc>
            </w:tr>
            <w:tr w14:paraId="50986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5" w:hRule="atLeast"/>
                <w:jc w:val="center"/>
              </w:trPr>
              <w:tc>
                <w:tcPr>
                  <w:tcW w:w="568" w:type="pct"/>
                  <w:tcBorders>
                    <w:tl2br w:val="nil"/>
                    <w:tr2bl w:val="nil"/>
                  </w:tcBorders>
                  <w:noWrap w:val="0"/>
                  <w:vAlign w:val="center"/>
                </w:tcPr>
                <w:p w14:paraId="388472B8">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天生镇大路村13组</w:t>
                  </w:r>
                </w:p>
              </w:tc>
              <w:tc>
                <w:tcPr>
                  <w:tcW w:w="1461" w:type="pct"/>
                  <w:tcBorders>
                    <w:tl2br w:val="nil"/>
                    <w:tr2bl w:val="nil"/>
                  </w:tcBorders>
                  <w:noWrap w:val="0"/>
                  <w:vAlign w:val="center"/>
                </w:tcPr>
                <w:p w14:paraId="4CA2288E">
                  <w:pPr>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lang w:val="en-US" w:eastAsia="zh-CN"/>
                    </w:rPr>
                    <w:t>水域范围：</w:t>
                  </w:r>
                  <w:r>
                    <w:rPr>
                      <w:rFonts w:hint="default" w:ascii="Times New Roman" w:hAnsi="Times New Roman" w:cs="Times New Roman"/>
                      <w:color w:val="auto"/>
                      <w:sz w:val="21"/>
                      <w:szCs w:val="21"/>
                      <w:lang w:val="en-US" w:eastAsia="zh-CN"/>
                    </w:rPr>
                    <w:t>曹家沟水库多年平均水位对应的高程线（450.2米）以下的全部水域范围。</w:t>
                  </w:r>
                </w:p>
                <w:p w14:paraId="09324355">
                  <w:pPr>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kern w:val="2"/>
                      <w:szCs w:val="21"/>
                      <w:highlight w:val="none"/>
                      <w:lang w:val="en-US" w:eastAsia="zh-CN" w:bidi="ar-SA"/>
                    </w:rPr>
                  </w:pPr>
                  <w:r>
                    <w:rPr>
                      <w:rFonts w:hint="default" w:ascii="Times New Roman" w:hAnsi="Times New Roman" w:cs="Times New Roman"/>
                      <w:b/>
                      <w:bCs/>
                      <w:color w:val="auto"/>
                      <w:sz w:val="21"/>
                      <w:szCs w:val="21"/>
                      <w:lang w:val="en-US" w:eastAsia="zh-CN"/>
                    </w:rPr>
                    <w:t>陆域范围：</w:t>
                  </w:r>
                  <w:r>
                    <w:rPr>
                      <w:rFonts w:hint="default" w:ascii="Times New Roman" w:hAnsi="Times New Roman" w:cs="Times New Roman"/>
                      <w:color w:val="auto"/>
                      <w:sz w:val="21"/>
                      <w:szCs w:val="21"/>
                      <w:lang w:val="en-US" w:eastAsia="zh-CN"/>
                    </w:rPr>
                    <w:t>曹家沟水库一级保护区水域外200米范围内，但不超过分水岭和水库沿岸最近道路临库侧的全部陆域范围。</w:t>
                  </w:r>
                </w:p>
              </w:tc>
              <w:tc>
                <w:tcPr>
                  <w:tcW w:w="1525" w:type="pct"/>
                  <w:tcBorders>
                    <w:tl2br w:val="nil"/>
                    <w:tr2bl w:val="nil"/>
                  </w:tcBorders>
                  <w:noWrap w:val="0"/>
                  <w:vAlign w:val="center"/>
                </w:tcPr>
                <w:p w14:paraId="6ED74504">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bCs/>
                      <w:color w:val="auto"/>
                      <w:sz w:val="21"/>
                      <w:szCs w:val="21"/>
                      <w:lang w:val="en-US" w:eastAsia="zh-CN"/>
                    </w:rPr>
                    <w:t>水域范围、陆域范围：</w:t>
                  </w:r>
                  <w:r>
                    <w:rPr>
                      <w:rFonts w:hint="default" w:ascii="Times New Roman" w:hAnsi="Times New Roman" w:cs="Times New Roman"/>
                      <w:color w:val="auto"/>
                      <w:kern w:val="2"/>
                      <w:sz w:val="21"/>
                      <w:szCs w:val="21"/>
                      <w:lang w:val="en-US" w:eastAsia="zh-CN" w:bidi="ar-SA"/>
                    </w:rPr>
                    <w:t>除一</w:t>
                  </w:r>
                  <w:r>
                    <w:rPr>
                      <w:rFonts w:hint="default" w:ascii="Times New Roman" w:hAnsi="Times New Roman" w:eastAsia="宋体" w:cs="Times New Roman"/>
                      <w:color w:val="auto"/>
                      <w:kern w:val="2"/>
                      <w:sz w:val="21"/>
                      <w:szCs w:val="21"/>
                      <w:lang w:val="en-US" w:eastAsia="zh-CN" w:bidi="ar-SA"/>
                    </w:rPr>
                    <w:t>级保护区</w:t>
                  </w:r>
                  <w:r>
                    <w:rPr>
                      <w:rFonts w:hint="default" w:ascii="Times New Roman" w:hAnsi="Times New Roman" w:cs="Times New Roman"/>
                      <w:color w:val="auto"/>
                      <w:kern w:val="2"/>
                      <w:sz w:val="21"/>
                      <w:szCs w:val="21"/>
                      <w:lang w:val="en-US" w:eastAsia="zh-CN" w:bidi="ar-SA"/>
                    </w:rPr>
                    <w:t>外，曹家沟水库坝顶以上（含大坝坝顶）汇水范围内的全部水域陆域范围。</w:t>
                  </w:r>
                </w:p>
              </w:tc>
              <w:tc>
                <w:tcPr>
                  <w:tcW w:w="926" w:type="pct"/>
                  <w:tcBorders>
                    <w:tl2br w:val="nil"/>
                    <w:tr2bl w:val="nil"/>
                  </w:tcBorders>
                  <w:noWrap w:val="0"/>
                  <w:vAlign w:val="center"/>
                </w:tcPr>
                <w:p w14:paraId="272D516F">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本项目位于该饮用水源二级保护区上游约1.2km位置，且中间有山体相隔，不属于曹家沟水库汇水范围。</w:t>
                  </w:r>
                </w:p>
              </w:tc>
              <w:tc>
                <w:tcPr>
                  <w:tcW w:w="517" w:type="pct"/>
                  <w:tcBorders>
                    <w:tl2br w:val="nil"/>
                    <w:tr2bl w:val="nil"/>
                  </w:tcBorders>
                  <w:noWrap w:val="0"/>
                  <w:vAlign w:val="center"/>
                </w:tcPr>
                <w:p w14:paraId="1BC42106">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否</w:t>
                  </w:r>
                </w:p>
              </w:tc>
            </w:tr>
          </w:tbl>
          <w:p w14:paraId="26A35A9E">
            <w:pPr>
              <w:spacing w:line="360" w:lineRule="auto"/>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cs="Times New Roman"/>
                <w:color w:val="auto"/>
              </w:rPr>
              <w:drawing>
                <wp:inline distT="0" distB="0" distL="114300" distR="114300">
                  <wp:extent cx="4700270" cy="3644900"/>
                  <wp:effectExtent l="0" t="0" r="5080" b="1270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4700270" cy="3644900"/>
                          </a:xfrm>
                          <a:prstGeom prst="rect">
                            <a:avLst/>
                          </a:prstGeom>
                          <a:noFill/>
                          <a:ln>
                            <a:noFill/>
                          </a:ln>
                        </pic:spPr>
                      </pic:pic>
                    </a:graphicData>
                  </a:graphic>
                </wp:inline>
              </w:drawing>
            </w:r>
          </w:p>
          <w:p w14:paraId="7EC479E8">
            <w:pPr>
              <w:spacing w:line="360" w:lineRule="auto"/>
              <w:jc w:val="center"/>
              <w:rPr>
                <w:rFonts w:hint="default" w:ascii="Times New Roman" w:hAnsi="Times New Roman" w:eastAsia="黑体" w:cs="Times New Roman"/>
                <w:b/>
                <w:bCs/>
                <w:color w:val="auto"/>
                <w:kern w:val="0"/>
                <w:sz w:val="20"/>
                <w:szCs w:val="20"/>
                <w:highlight w:val="none"/>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图1-4  本项目与集中式饮用水水源保护区关系图</w:t>
            </w:r>
          </w:p>
          <w:p w14:paraId="71347879">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综上可知，本项目用地范围未在</w:t>
            </w:r>
            <w:r>
              <w:rPr>
                <w:rFonts w:hint="default" w:ascii="Times New Roman" w:hAnsi="Times New Roman" w:cs="Times New Roman"/>
                <w:b w:val="0"/>
                <w:bCs w:val="0"/>
                <w:color w:val="auto"/>
                <w:sz w:val="24"/>
                <w:szCs w:val="24"/>
                <w:highlight w:val="none"/>
                <w:lang w:val="en-US" w:eastAsia="zh-CN"/>
              </w:rPr>
              <w:t>宣汉县天生镇曹家沟水库集中式饮用水水源地</w:t>
            </w:r>
            <w:r>
              <w:rPr>
                <w:rFonts w:hint="default" w:ascii="Times New Roman" w:hAnsi="Times New Roman" w:cs="Times New Roman"/>
                <w:color w:val="auto"/>
                <w:sz w:val="24"/>
                <w:szCs w:val="24"/>
                <w:lang w:val="en-US" w:eastAsia="zh-CN"/>
              </w:rPr>
              <w:t>及其保护区范围，项目不涉及集中式饮用水水源地保护区</w:t>
            </w:r>
          </w:p>
          <w:p w14:paraId="0DC3E720">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9、</w:t>
            </w:r>
            <w:r>
              <w:rPr>
                <w:rFonts w:hint="default" w:ascii="Times New Roman" w:hAnsi="Times New Roman" w:cs="Times New Roman"/>
                <w:b/>
                <w:bCs/>
                <w:color w:val="auto"/>
                <w:sz w:val="24"/>
                <w:szCs w:val="24"/>
              </w:rPr>
              <w:t>选址合理性分析</w:t>
            </w:r>
          </w:p>
          <w:p w14:paraId="5971F4C1">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外环境关系</w:t>
            </w:r>
          </w:p>
          <w:p w14:paraId="5EECA0D1">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本项目位于</w:t>
            </w:r>
            <w:r>
              <w:rPr>
                <w:rFonts w:hint="default" w:ascii="Times New Roman" w:hAnsi="Times New Roman" w:cs="Times New Roman"/>
                <w:color w:val="auto"/>
                <w:sz w:val="24"/>
                <w:szCs w:val="24"/>
                <w:lang w:val="en-US" w:eastAsia="zh-CN"/>
              </w:rPr>
              <w:t>四川省达州市宣汉县天生镇峨城社区4组大路监狱3大队闲置用地</w:t>
            </w:r>
            <w:r>
              <w:rPr>
                <w:rFonts w:hint="default" w:ascii="Times New Roman" w:hAnsi="Times New Roman" w:cs="Times New Roman"/>
                <w:color w:val="auto"/>
                <w:sz w:val="24"/>
                <w:szCs w:val="24"/>
              </w:rPr>
              <w:t>。根据现场</w:t>
            </w:r>
            <w:r>
              <w:rPr>
                <w:rFonts w:hint="default" w:ascii="Times New Roman" w:hAnsi="Times New Roman" w:cs="Times New Roman"/>
                <w:color w:val="auto"/>
                <w:sz w:val="24"/>
                <w:szCs w:val="24"/>
                <w:lang w:val="en-US" w:eastAsia="zh-CN"/>
              </w:rPr>
              <w:t>地形地势，项目处于三座山体围合形成的沟谷之中，三面环山，是典型的山间凹地地形，北侧及西侧为季节性冲沟，周边居民主要分布在西侧及西北侧。项目</w:t>
            </w:r>
            <w:r>
              <w:rPr>
                <w:rFonts w:hint="default" w:ascii="Times New Roman" w:hAnsi="Times New Roman" w:cs="Times New Roman"/>
                <w:color w:val="auto"/>
                <w:sz w:val="24"/>
                <w:szCs w:val="24"/>
              </w:rPr>
              <w:t>外环境关系如下：</w:t>
            </w:r>
          </w:p>
          <w:p w14:paraId="260EF781">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w:t>
            </w:r>
            <w:r>
              <w:rPr>
                <w:rFonts w:hint="default" w:ascii="Times New Roman" w:hAnsi="Times New Roman" w:cs="Times New Roman"/>
                <w:color w:val="auto"/>
                <w:sz w:val="24"/>
                <w:szCs w:val="24"/>
                <w:lang w:val="en-US" w:eastAsia="zh-CN"/>
              </w:rPr>
              <w:t>西侧、北侧紧邻乡村道路，北侧约150m处为大路煤矿北矿老矸石堆场；约350~500m为老院子居民（约10户）。</w:t>
            </w:r>
          </w:p>
          <w:p w14:paraId="35962E25">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w:t>
            </w:r>
            <w:r>
              <w:rPr>
                <w:rFonts w:hint="default" w:ascii="Times New Roman" w:hAnsi="Times New Roman" w:cs="Times New Roman"/>
                <w:color w:val="auto"/>
                <w:sz w:val="24"/>
                <w:szCs w:val="24"/>
                <w:lang w:val="en-US" w:eastAsia="zh-CN"/>
              </w:rPr>
              <w:t>西北侧隔乡村道路为大路监狱废弃办公楼；约100m处为大路煤矿北矿区工业广场；约320~500m为楚家坝居民（约22户），与项目高差约-50m。</w:t>
            </w:r>
          </w:p>
          <w:p w14:paraId="40997558">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w:t>
            </w:r>
            <w:r>
              <w:rPr>
                <w:rFonts w:hint="default" w:ascii="Times New Roman" w:hAnsi="Times New Roman" w:cs="Times New Roman"/>
                <w:color w:val="auto"/>
                <w:sz w:val="24"/>
                <w:szCs w:val="24"/>
                <w:lang w:val="en-US" w:eastAsia="zh-CN"/>
              </w:rPr>
              <w:t>西侧约260~340m处为杨家湾居民（约7户），与项目高差约-35m，有山体相隔。</w:t>
            </w:r>
          </w:p>
          <w:p w14:paraId="2B353456">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w:t>
            </w:r>
            <w:r>
              <w:rPr>
                <w:rFonts w:hint="default" w:ascii="Times New Roman" w:hAnsi="Times New Roman" w:cs="Times New Roman"/>
                <w:color w:val="auto"/>
                <w:sz w:val="24"/>
                <w:szCs w:val="24"/>
                <w:lang w:val="en-US" w:eastAsia="zh-CN"/>
              </w:rPr>
              <w:t>南侧约60~100m处为筲箕湾居民废弃老屋基，现已搬迁至西北侧楚家坝居住。约270m有1户散户居住（有山体相隔），与项目高差约+30m。</w:t>
            </w:r>
          </w:p>
          <w:p w14:paraId="368A99FF">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项目区附近的地表水体为东侧约1.5km的天生河，北侧及西侧为天然山谷形成的季节性山水冲沟，天生河水体功能为行洪、灌溉等，评价范围无饮用水源取水点。</w:t>
            </w:r>
          </w:p>
          <w:p w14:paraId="12C9B33D">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天生场镇位于项目区西侧，直线距离最近约2.1km，中间为山体相隔，本项目不在其规划范围内。峨城山森林公园位于项目区东北侧，直线距离最近约1.3km，本项目不在其规划范围内。</w:t>
            </w:r>
          </w:p>
          <w:p w14:paraId="45E0DB60">
            <w:pPr>
              <w:numPr>
                <w:ilvl w:val="0"/>
                <w:numId w:val="0"/>
              </w:numPr>
              <w:spacing w:line="360" w:lineRule="auto"/>
              <w:ind w:left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（2）与外环境的相容性</w:t>
            </w:r>
          </w:p>
          <w:p w14:paraId="2760C675">
            <w:pPr>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本项目位于</w:t>
            </w:r>
            <w:r>
              <w:rPr>
                <w:rFonts w:hint="default" w:ascii="Times New Roman" w:hAnsi="Times New Roman" w:cs="Times New Roman"/>
                <w:color w:val="auto"/>
                <w:sz w:val="24"/>
                <w:szCs w:val="24"/>
                <w:lang w:val="en-US" w:eastAsia="zh-CN"/>
              </w:rPr>
              <w:t>宣汉县天生镇峨城社区4组大路监狱3大队租用原大路监狱闲置用地</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其选址合理性在于：</w:t>
            </w:r>
          </w:p>
          <w:p w14:paraId="741E6DB8">
            <w:pPr>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eastAsia="zh-CN"/>
              </w:rPr>
              <w:t>①</w:t>
            </w:r>
            <w:r>
              <w:rPr>
                <w:rFonts w:hint="default" w:ascii="Times New Roman" w:hAnsi="Times New Roman" w:cs="Times New Roman"/>
                <w:color w:val="auto"/>
                <w:sz w:val="24"/>
                <w:szCs w:val="24"/>
                <w:lang w:val="en-US" w:eastAsia="zh-CN"/>
              </w:rPr>
              <w:t>项目租用大路监狱闲置多年的生活广场，用途为工业用地，项目建设工业项目，符合土地利用性质。结合根据宣汉县自然资源局及天生镇人民政府出具的《情况说明》，项目用地范围不涉及永久基本农田，不涉及生态保护红线，符合空间规划及产业布局要求。</w:t>
            </w:r>
          </w:p>
          <w:p w14:paraId="68FCE997">
            <w:pPr>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eastAsia="zh-CN"/>
              </w:rPr>
              <w:t>②</w:t>
            </w:r>
            <w:r>
              <w:rPr>
                <w:rFonts w:hint="default" w:ascii="Times New Roman" w:hAnsi="Times New Roman" w:eastAsia="宋体" w:cs="Times New Roman"/>
                <w:color w:val="auto"/>
                <w:sz w:val="24"/>
                <w:szCs w:val="24"/>
                <w:lang w:val="en-US" w:eastAsia="zh-CN"/>
              </w:rPr>
              <w:t>项</w:t>
            </w:r>
            <w:r>
              <w:rPr>
                <w:rFonts w:hint="default" w:ascii="Times New Roman" w:hAnsi="Times New Roman" w:cs="Times New Roman"/>
                <w:color w:val="auto"/>
                <w:sz w:val="24"/>
                <w:szCs w:val="24"/>
                <w:lang w:val="en-US" w:eastAsia="zh-CN"/>
              </w:rPr>
              <w:t>目租用闲置场地，可充分利用闲置的土地资源，减少新增占地带来的生态破坏。工程区内无泥石流、岩崩、滑坡、危岩等特殊地质灾害现象，基岩整体稳定，适宜修建建筑物。</w:t>
            </w:r>
            <w:r>
              <w:rPr>
                <w:rFonts w:hint="default" w:ascii="Times New Roman" w:hAnsi="Times New Roman" w:cs="Times New Roman"/>
                <w:color w:val="auto"/>
                <w:sz w:val="24"/>
                <w:szCs w:val="24"/>
                <w:highlight w:val="none"/>
                <w:lang w:val="en-US" w:eastAsia="zh-CN"/>
              </w:rPr>
              <w:t>拟建场地的地震基本烈度为6度，设计基本地震加速度值为0.05g。整个场区地质条件优越，无地震液化和震陷地层分布，为建筑抗震有利地段。</w:t>
            </w:r>
          </w:p>
          <w:p w14:paraId="20B162CA">
            <w:pPr>
              <w:numPr>
                <w:ilvl w:val="0"/>
                <w:numId w:val="0"/>
              </w:num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eastAsia="宋体" w:cs="Times New Roman"/>
                <w:color w:val="auto"/>
                <w:sz w:val="24"/>
                <w:szCs w:val="24"/>
                <w:lang w:eastAsia="zh-CN"/>
              </w:rPr>
              <w:t>③</w:t>
            </w:r>
            <w:r>
              <w:rPr>
                <w:rFonts w:hint="default" w:ascii="Times New Roman" w:hAnsi="Times New Roman" w:cs="Times New Roman"/>
                <w:color w:val="auto"/>
                <w:sz w:val="24"/>
                <w:szCs w:val="24"/>
              </w:rPr>
              <w:t>根据调查，项目用地区域及评价范围内，不涉及依法划定的自然保护区、风景名胜区、饮用水源保护区、重要湖泊周边、文物古迹所在地、地质遗迹保护区等。</w:t>
            </w:r>
            <w:r>
              <w:rPr>
                <w:rFonts w:hint="default" w:ascii="Times New Roman" w:hAnsi="Times New Roman" w:cs="Times New Roman"/>
                <w:color w:val="auto"/>
                <w:sz w:val="24"/>
                <w:szCs w:val="24"/>
                <w:highlight w:val="none"/>
                <w:lang w:val="en-US" w:eastAsia="zh-CN"/>
              </w:rPr>
              <w:t>项目东北侧约1.3km处为峨城山森林公园，位于本项目的上风向，</w:t>
            </w:r>
            <w:r>
              <w:rPr>
                <w:rFonts w:hint="default" w:ascii="Times New Roman" w:hAnsi="Times New Roman" w:eastAsia="宋体" w:cs="Times New Roman"/>
                <w:color w:val="auto"/>
                <w:sz w:val="24"/>
                <w:szCs w:val="24"/>
                <w:lang w:val="en-US" w:eastAsia="zh-CN"/>
              </w:rPr>
              <w:t>与项目高差约+100m</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highlight w:val="none"/>
                <w:lang w:val="en-US" w:eastAsia="zh-CN"/>
              </w:rPr>
              <w:t>有山体阻隔，</w:t>
            </w:r>
            <w:r>
              <w:rPr>
                <w:rFonts w:hint="default" w:ascii="Times New Roman" w:hAnsi="Times New Roman" w:cs="Times New Roman"/>
                <w:color w:val="auto"/>
                <w:sz w:val="24"/>
                <w:highlight w:val="none"/>
              </w:rPr>
              <w:t>且</w:t>
            </w:r>
            <w:r>
              <w:rPr>
                <w:rFonts w:hint="default" w:ascii="Times New Roman" w:hAnsi="Times New Roman" w:cs="Times New Roman"/>
                <w:color w:val="auto"/>
                <w:sz w:val="24"/>
                <w:highlight w:val="none"/>
                <w:lang w:val="en-US" w:eastAsia="zh-CN"/>
              </w:rPr>
              <w:t>本项目运营</w:t>
            </w:r>
            <w:r>
              <w:rPr>
                <w:rFonts w:hint="default" w:ascii="Times New Roman" w:hAnsi="Times New Roman" w:cs="Times New Roman"/>
                <w:color w:val="auto"/>
                <w:sz w:val="24"/>
                <w:highlight w:val="none"/>
              </w:rPr>
              <w:t>产生的</w:t>
            </w:r>
            <w:r>
              <w:rPr>
                <w:rFonts w:hint="default" w:ascii="Times New Roman" w:hAnsi="Times New Roman" w:cs="Times New Roman"/>
                <w:color w:val="auto"/>
                <w:sz w:val="24"/>
                <w:highlight w:val="none"/>
                <w:lang w:val="en-US" w:eastAsia="zh-CN"/>
              </w:rPr>
              <w:t>废气</w:t>
            </w:r>
            <w:r>
              <w:rPr>
                <w:rFonts w:hint="default" w:ascii="Times New Roman" w:hAnsi="Times New Roman" w:cs="Times New Roman"/>
                <w:color w:val="auto"/>
                <w:sz w:val="24"/>
                <w:highlight w:val="none"/>
              </w:rPr>
              <w:t>、废水满足环境排放标准的要求。因此，</w:t>
            </w:r>
            <w:r>
              <w:rPr>
                <w:rFonts w:hint="default" w:ascii="Times New Roman" w:hAnsi="Times New Roman" w:cs="Times New Roman"/>
                <w:color w:val="auto"/>
                <w:sz w:val="24"/>
              </w:rPr>
              <w:t>对森林公园内的动植物、景观等的影响微弱</w:t>
            </w:r>
            <w:r>
              <w:rPr>
                <w:rFonts w:hint="default" w:ascii="Times New Roman" w:hAnsi="Times New Roman" w:cs="Times New Roman"/>
                <w:color w:val="auto"/>
                <w:sz w:val="24"/>
                <w:szCs w:val="24"/>
                <w:lang w:val="en-US" w:eastAsia="zh-CN"/>
              </w:rPr>
              <w:t>。</w:t>
            </w:r>
          </w:p>
          <w:p w14:paraId="03C7E6C3">
            <w:pPr>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eastAsia="zh-CN"/>
              </w:rPr>
              <w:t>④</w:t>
            </w:r>
            <w:r>
              <w:rPr>
                <w:rFonts w:hint="default" w:ascii="Times New Roman" w:hAnsi="Times New Roman" w:eastAsia="宋体" w:cs="Times New Roman"/>
                <w:color w:val="auto"/>
                <w:sz w:val="24"/>
                <w:szCs w:val="24"/>
                <w:lang w:val="en-US" w:eastAsia="zh-CN"/>
              </w:rPr>
              <w:t>根</w:t>
            </w:r>
            <w:r>
              <w:rPr>
                <w:rFonts w:hint="default" w:ascii="Times New Roman" w:hAnsi="Times New Roman" w:cs="Times New Roman"/>
                <w:color w:val="auto"/>
                <w:sz w:val="24"/>
                <w:szCs w:val="24"/>
                <w:lang w:val="en-US" w:eastAsia="zh-CN"/>
              </w:rPr>
              <w:t>据达州市人民政府《关于划定万源市、宣汉县和大竹县乡镇及以下集中式饮用水水源地保护区的批复》（达市府函</w:t>
            </w:r>
            <w:r>
              <w:rPr>
                <w:rFonts w:hint="default" w:ascii="Times New Roman" w:hAnsi="Times New Roman" w:cs="Times New Roman"/>
                <w:color w:val="auto"/>
                <w:sz w:val="24"/>
                <w:szCs w:val="24"/>
                <w:lang w:eastAsia="zh-CN"/>
              </w:rPr>
              <w:t>〔20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124号），天生镇场镇集中式饮用水源取水点位于天生镇大路村13组（曹家沟水库），距离其取水口直线距离约1.7km，不在其集中式饮用水水源地的一级、二级保护区范围内。</w:t>
            </w:r>
          </w:p>
          <w:p w14:paraId="4F73F296">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⑤</w:t>
            </w:r>
            <w:r>
              <w:rPr>
                <w:rFonts w:hint="default" w:ascii="Times New Roman" w:hAnsi="Times New Roman" w:eastAsia="宋体" w:cs="Times New Roman"/>
                <w:color w:val="auto"/>
                <w:sz w:val="24"/>
                <w:szCs w:val="24"/>
                <w:lang w:val="en-US" w:eastAsia="zh-CN"/>
              </w:rPr>
              <w:t>项目不属于高能耗、高污染项目，建成投入使用后，通过采取相应的污染防治措施，经预测分析，对周边环境影响较小，项目的建设不会改变区域环境功能类别，符合区域环境功能区划要求。根据调查，项目厂房周围主要为</w:t>
            </w:r>
            <w:r>
              <w:rPr>
                <w:rFonts w:hint="default" w:ascii="Times New Roman" w:hAnsi="Times New Roman" w:eastAsia="宋体" w:cs="Times New Roman"/>
                <w:color w:val="auto"/>
                <w:sz w:val="24"/>
                <w:szCs w:val="24"/>
                <w:highlight w:val="none"/>
                <w:lang w:val="en-US" w:eastAsia="zh-CN"/>
              </w:rPr>
              <w:t>农村区域，三面环山，住户主要分布在西北侧的道路两侧，项目区</w:t>
            </w:r>
            <w:r>
              <w:rPr>
                <w:rFonts w:hint="default" w:ascii="Times New Roman" w:hAnsi="Times New Roman"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0m范围内</w:t>
            </w:r>
            <w:r>
              <w:rPr>
                <w:rFonts w:hint="default" w:ascii="Times New Roman" w:hAnsi="Times New Roman" w:cs="Times New Roman"/>
                <w:color w:val="auto"/>
                <w:sz w:val="24"/>
                <w:szCs w:val="24"/>
                <w:highlight w:val="none"/>
                <w:lang w:val="en-US" w:eastAsia="zh-CN"/>
              </w:rPr>
              <w:t>无住户</w:t>
            </w:r>
            <w:r>
              <w:rPr>
                <w:rFonts w:hint="default" w:ascii="Times New Roman" w:hAnsi="Times New Roman" w:eastAsia="宋体" w:cs="Times New Roman"/>
                <w:color w:val="auto"/>
                <w:sz w:val="24"/>
                <w:szCs w:val="24"/>
                <w:highlight w:val="none"/>
                <w:lang w:val="en-US" w:eastAsia="zh-CN"/>
              </w:rPr>
              <w:t>、500m范围内住户约</w:t>
            </w:r>
            <w:r>
              <w:rPr>
                <w:rFonts w:hint="default" w:ascii="Times New Roman" w:hAnsi="Times New Roman"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lang w:val="en-US" w:eastAsia="zh-CN"/>
              </w:rPr>
              <w:t>户，距离</w:t>
            </w:r>
            <w:r>
              <w:rPr>
                <w:rFonts w:hint="default" w:ascii="Times New Roman" w:hAnsi="Times New Roman" w:cs="Times New Roman"/>
                <w:color w:val="auto"/>
                <w:sz w:val="24"/>
                <w:szCs w:val="24"/>
                <w:highlight w:val="none"/>
                <w:lang w:val="en-US" w:eastAsia="zh-CN"/>
              </w:rPr>
              <w:t>东北</w:t>
            </w:r>
            <w:r>
              <w:rPr>
                <w:rFonts w:hint="default" w:ascii="Times New Roman" w:hAnsi="Times New Roman" w:eastAsia="宋体" w:cs="Times New Roman"/>
                <w:color w:val="auto"/>
                <w:sz w:val="24"/>
                <w:szCs w:val="24"/>
                <w:highlight w:val="none"/>
                <w:lang w:val="en-US" w:eastAsia="zh-CN"/>
              </w:rPr>
              <w:t>侧峨城山森林公园最近约</w:t>
            </w:r>
            <w:r>
              <w:rPr>
                <w:rFonts w:hint="default" w:ascii="Times New Roman" w:hAnsi="Times New Roman"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lang w:val="en-US" w:eastAsia="zh-CN"/>
              </w:rPr>
              <w:t>km</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距离西侧天生场镇最近约2.1km，峨城山</w:t>
            </w:r>
            <w:r>
              <w:rPr>
                <w:rFonts w:hint="default" w:ascii="Times New Roman" w:hAnsi="Times New Roman" w:cs="Times New Roman"/>
                <w:color w:val="auto"/>
                <w:sz w:val="24"/>
                <w:szCs w:val="24"/>
                <w:highlight w:val="none"/>
                <w:lang w:val="en-US" w:eastAsia="zh-CN"/>
              </w:rPr>
              <w:t>森林公园位于项目上风向，</w:t>
            </w:r>
            <w:r>
              <w:rPr>
                <w:rFonts w:hint="default" w:ascii="Times New Roman" w:hAnsi="Times New Roman" w:eastAsia="宋体" w:cs="Times New Roman"/>
                <w:color w:val="auto"/>
                <w:sz w:val="24"/>
                <w:szCs w:val="24"/>
                <w:lang w:val="en-US" w:eastAsia="zh-CN"/>
              </w:rPr>
              <w:t>与项目高差约+100m</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highlight w:val="none"/>
                <w:lang w:val="en-US" w:eastAsia="zh-CN"/>
              </w:rPr>
              <w:t>且有山体相隔，影响范围的住户较少。四周200m范围内无食品、医药等敏感企业存在，本项目生产不会对周围住户的正常生活造成较大影响。</w:t>
            </w:r>
            <w:r>
              <w:rPr>
                <w:rFonts w:hint="default" w:ascii="Times New Roman" w:hAnsi="Times New Roman" w:eastAsia="宋体" w:cs="Times New Roman"/>
                <w:color w:val="auto"/>
                <w:sz w:val="24"/>
                <w:szCs w:val="24"/>
                <w:lang w:val="en-US" w:eastAsia="zh-CN"/>
              </w:rPr>
              <w:t>因此，项目与周围环境是相容的。</w:t>
            </w:r>
          </w:p>
          <w:p w14:paraId="158042C5">
            <w:pPr>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eastAsia="zh-CN"/>
              </w:rPr>
              <w:t>⑥</w:t>
            </w:r>
            <w:r>
              <w:rPr>
                <w:rFonts w:hint="default" w:ascii="Times New Roman" w:hAnsi="Times New Roman" w:eastAsia="宋体" w:cs="Times New Roman"/>
                <w:color w:val="auto"/>
                <w:sz w:val="24"/>
                <w:szCs w:val="24"/>
                <w:lang w:val="en-US" w:eastAsia="zh-CN"/>
              </w:rPr>
              <w:t>项目区域</w:t>
            </w:r>
            <w:r>
              <w:rPr>
                <w:rFonts w:hint="default" w:ascii="Times New Roman" w:hAnsi="Times New Roman" w:cs="Times New Roman"/>
                <w:color w:val="auto"/>
                <w:sz w:val="24"/>
                <w:szCs w:val="24"/>
                <w:lang w:val="en-US" w:eastAsia="zh-CN"/>
              </w:rPr>
              <w:t>主导风向为东北风，项目无组织废气主要为粉尘、</w:t>
            </w:r>
            <w:r>
              <w:rPr>
                <w:rFonts w:hint="default" w:ascii="Times New Roman" w:hAnsi="Times New Roman" w:cs="Times New Roman"/>
                <w:color w:val="auto"/>
                <w:sz w:val="24"/>
                <w:szCs w:val="24"/>
                <w:vertAlign w:val="baseline"/>
                <w:lang w:val="en-US" w:eastAsia="zh-CN"/>
              </w:rPr>
              <w:t>VOCs、沥青烟以及</w:t>
            </w:r>
            <w:r>
              <w:rPr>
                <w:rFonts w:hint="default" w:ascii="Times New Roman" w:hAnsi="Times New Roman" w:cs="Times New Roman"/>
                <w:color w:val="auto"/>
                <w:sz w:val="24"/>
                <w:szCs w:val="24"/>
              </w:rPr>
              <w:t>苯并[a]芘</w:t>
            </w:r>
            <w:r>
              <w:rPr>
                <w:rFonts w:hint="default" w:ascii="Times New Roman" w:hAnsi="Times New Roman" w:cs="Times New Roman"/>
                <w:color w:val="auto"/>
                <w:sz w:val="24"/>
                <w:szCs w:val="24"/>
                <w:lang w:val="en-US" w:eastAsia="zh-CN"/>
              </w:rPr>
              <w:t>等，</w:t>
            </w:r>
            <w:r>
              <w:rPr>
                <w:rFonts w:hint="default" w:ascii="Times New Roman" w:hAnsi="Times New Roman" w:cs="Times New Roman"/>
                <w:bCs/>
                <w:color w:val="auto"/>
                <w:sz w:val="24"/>
                <w:szCs w:val="24"/>
                <w:lang w:val="en-US" w:eastAsia="zh-CN"/>
              </w:rPr>
              <w:t>项目搅拌楼封闭式建设，粉料、沥青等采用密闭储料罐，骨料堆场设置三面围挡及顶棚建设，并在堆场内四周及顶部设置喷雾装置控尘。</w:t>
            </w:r>
            <w:r>
              <w:rPr>
                <w:rFonts w:hint="default" w:ascii="Times New Roman" w:hAnsi="Times New Roman" w:cs="Times New Roman"/>
                <w:color w:val="auto"/>
                <w:sz w:val="24"/>
                <w:szCs w:val="24"/>
                <w:lang w:val="en-US" w:eastAsia="zh-CN"/>
              </w:rPr>
              <w:t>粉尘经布袋除尘器处理后通过排气筒有组织排放，</w:t>
            </w:r>
            <w:r>
              <w:rPr>
                <w:rFonts w:hint="default" w:ascii="Times New Roman" w:hAnsi="Times New Roman" w:cs="Times New Roman"/>
                <w:color w:val="auto"/>
                <w:sz w:val="24"/>
                <w:szCs w:val="24"/>
                <w:vertAlign w:val="baseline"/>
                <w:lang w:val="en-US" w:eastAsia="zh-CN"/>
              </w:rPr>
              <w:t>VOCs</w:t>
            </w:r>
            <w:r>
              <w:rPr>
                <w:rFonts w:hint="default" w:ascii="Times New Roman" w:hAnsi="Times New Roman" w:cs="Times New Roman"/>
                <w:color w:val="auto"/>
                <w:sz w:val="24"/>
                <w:szCs w:val="24"/>
                <w:lang w:val="en-US" w:eastAsia="zh-CN"/>
              </w:rPr>
              <w:t>、沥青烟以及</w:t>
            </w:r>
            <w:r>
              <w:rPr>
                <w:rFonts w:hint="default" w:ascii="Times New Roman" w:hAnsi="Times New Roman" w:cs="Times New Roman"/>
                <w:color w:val="auto"/>
                <w:sz w:val="24"/>
                <w:szCs w:val="24"/>
              </w:rPr>
              <w:t>苯并[a]芘</w:t>
            </w:r>
            <w:r>
              <w:rPr>
                <w:rFonts w:hint="default" w:ascii="Times New Roman" w:hAnsi="Times New Roman" w:cs="Times New Roman"/>
                <w:color w:val="auto"/>
                <w:sz w:val="24"/>
                <w:szCs w:val="24"/>
                <w:lang w:val="en-US" w:eastAsia="zh-CN"/>
              </w:rPr>
              <w:t>通过</w:t>
            </w:r>
            <w:r>
              <w:rPr>
                <w:rFonts w:hint="default" w:ascii="Times New Roman" w:hAnsi="Times New Roman" w:cs="Times New Roman"/>
                <w:bCs/>
                <w:color w:val="auto"/>
                <w:sz w:val="24"/>
                <w:szCs w:val="24"/>
                <w:lang w:val="en-US" w:eastAsia="zh-CN"/>
              </w:rPr>
              <w:t>收集至燃烧器高温燃烧处理后，再经过两级除尘系统实现有组织达标排放。同时，对厂区地面进行硬化，在场内道路一侧布设喷雾装置，在进出口设置车辆冲洗平台，进出车辆使用篷布遮盖，并指派专人定期对厂区道路进行洒水、冲洗和清扫，减少车辆运输粉尘。</w:t>
            </w:r>
          </w:p>
          <w:p w14:paraId="3DA4B538">
            <w:pPr>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⑦本项目所生产的沥青混凝土，主要供给至周边道路及基础设施建设，对宣汉县的城市发展及道路建设具有积极的推动作用；同时也可带动拌合站上下游相关产业的发展，对区域经济发展也有一定的促进作用。 </w:t>
            </w:r>
          </w:p>
          <w:p w14:paraId="162F65C9">
            <w:pPr>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lang w:eastAsia="zh-CN"/>
              </w:rPr>
              <w:t>综上，本评价认为本项目选址合理。</w:t>
            </w:r>
          </w:p>
          <w:p w14:paraId="08217E0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lang w:eastAsia="zh-CN"/>
              </w:rPr>
            </w:pPr>
          </w:p>
        </w:tc>
      </w:tr>
    </w:tbl>
    <w:p w14:paraId="42001231">
      <w:pPr>
        <w:rPr>
          <w:rFonts w:hint="default" w:ascii="Times New Roman" w:hAnsi="Times New Roman" w:cs="Times New Roman"/>
          <w:color w:val="auto"/>
        </w:rPr>
        <w:sectPr>
          <w:footerReference r:id="rId6" w:type="default"/>
          <w:pgSz w:w="11906" w:h="16838"/>
          <w:pgMar w:top="1134" w:right="1134" w:bottom="1134" w:left="1418" w:header="851" w:footer="992" w:gutter="0"/>
          <w:pgBorders>
            <w:top w:val="none" w:sz="0" w:space="0"/>
            <w:left w:val="none" w:sz="0" w:space="0"/>
            <w:bottom w:val="none" w:sz="0" w:space="0"/>
            <w:right w:val="none" w:sz="0" w:space="0"/>
          </w:pgBorders>
          <w:pgNumType w:fmt="decimal" w:start="25"/>
          <w:cols w:space="720" w:num="1"/>
          <w:docGrid w:type="lines" w:linePitch="312" w:charSpace="0"/>
        </w:sectPr>
      </w:pPr>
    </w:p>
    <w:p w14:paraId="3FBACFB2">
      <w:pPr>
        <w:pStyle w:val="64"/>
        <w:jc w:val="center"/>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二、建设项目工程分析</w:t>
      </w:r>
    </w:p>
    <w:tbl>
      <w:tblPr>
        <w:tblStyle w:val="29"/>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114"/>
      </w:tblGrid>
      <w:tr w14:paraId="52BC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dxa"/>
            <w:vAlign w:val="center"/>
          </w:tcPr>
          <w:p w14:paraId="05FBFA52">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建设内容</w:t>
            </w:r>
          </w:p>
        </w:tc>
        <w:tc>
          <w:tcPr>
            <w:tcW w:w="9115" w:type="dxa"/>
            <w:vAlign w:val="center"/>
          </w:tcPr>
          <w:p w14:paraId="2792A2ED">
            <w:pPr>
              <w:numPr>
                <w:ilvl w:val="0"/>
                <w:numId w:val="2"/>
              </w:numPr>
              <w:spacing w:line="360" w:lineRule="auto"/>
              <w:ind w:firstLine="482" w:firstLineChars="200"/>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项目由来</w:t>
            </w:r>
          </w:p>
          <w:p w14:paraId="2B240DDC">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四川省大路监狱为民国时期的四川省第一监狱（原1357监狱），四川省大路煤矿为其属下煤矿，始建于1959年1月。2006年国有产权转型，监狱搬迁至成都金堂及达州404，其属下大路煤矿于2011年四川省监狱管理局响应退出高危行业的国家政策进行公开拍卖，与达州博瑞实业有限责任公司签订产权转让协议，将煤矿开采范围及权限进行转让，其余部分用地由宣汉县人民政府划拨为国有建设用地。</w:t>
            </w:r>
          </w:p>
          <w:p w14:paraId="638AC2B2">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近年来随着建筑材料的不断发展，市场需求的增加，本着盘活闲置国有建设用地资源，促进土地节约集约利用原则，达州市兴桥新材料科技有限公司拟租用达州市宣汉县天生镇峨城社区4组大路监狱3大队（原大路监狱生活广场）闲置用地，建设天生镇沥青混凝土搅拌站基础建设项目，生产沥青混凝土及乳化沥青，产品主要用于周边道路及基础设施建设。</w:t>
            </w:r>
          </w:p>
          <w:p w14:paraId="2EDCC170">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宣汉县自然资源局2022年3月3日颁发给宣汉发展投资集团有限公司的《不动产权证书》（川〔2022〕宣汉县不动产权第0002234号）可知，该区域属于确权的国有建设用地，用途为工业用地。建设单位与宣汉发展投资集团有限公司签订《租赁合同》，用于建设沥青混凝土搅拌站，并约定若租期满后不续租需拆除设备并恢复场地。该项目属于工业项目，与已批准的土地用途相符。根据宣汉县自然资源局及天生镇人民政府出具的《情况说明》，项目为工业用地，不涉及永久基本农田，不涉及生态保护红线。</w:t>
            </w:r>
          </w:p>
          <w:p w14:paraId="122FFAFC">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根据《国民经济行业分类》（GB/T4754-2017），</w:t>
            </w: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沥青</w:t>
            </w:r>
            <w:r>
              <w:rPr>
                <w:rFonts w:hint="default" w:ascii="Times New Roman" w:hAnsi="Times New Roman" w:cs="Times New Roman"/>
                <w:color w:val="auto"/>
                <w:sz w:val="24"/>
                <w:szCs w:val="24"/>
                <w:lang w:val="en-US" w:eastAsia="zh-CN"/>
              </w:rPr>
              <w:t>混凝土</w:t>
            </w:r>
            <w:r>
              <w:rPr>
                <w:rFonts w:hint="default" w:ascii="Times New Roman" w:hAnsi="Times New Roman" w:eastAsia="宋体" w:cs="Times New Roman"/>
                <w:color w:val="auto"/>
                <w:sz w:val="24"/>
                <w:szCs w:val="24"/>
                <w:lang w:val="en-US" w:eastAsia="zh-CN"/>
              </w:rPr>
              <w:t>生产线及乳化沥青生产线</w:t>
            </w:r>
            <w:r>
              <w:rPr>
                <w:rFonts w:hint="default" w:ascii="Times New Roman" w:hAnsi="Times New Roman" w:eastAsia="宋体" w:cs="Times New Roman"/>
                <w:color w:val="auto"/>
                <w:sz w:val="24"/>
                <w:szCs w:val="24"/>
              </w:rPr>
              <w:t>属于C3099 其他非金属矿物制品制造</w:t>
            </w:r>
            <w:r>
              <w:rPr>
                <w:rFonts w:hint="default" w:ascii="Times New Roman" w:hAnsi="Times New Roman" w:eastAsia="宋体" w:cs="Times New Roman"/>
                <w:color w:val="auto"/>
                <w:sz w:val="24"/>
                <w:szCs w:val="24"/>
                <w:lang w:val="en-US" w:eastAsia="zh-CN"/>
              </w:rPr>
              <w:t xml:space="preserve">，根据《建设项目环境影响评价分类管理名录》（2021 年版），本项目属于二十七、非金属矿物制品业 </w:t>
            </w:r>
            <w:r>
              <w:rPr>
                <w:rFonts w:hint="default" w:ascii="Times New Roman" w:hAnsi="Times New Roman" w:eastAsia="宋体" w:cs="Times New Roman"/>
                <w:color w:val="auto"/>
                <w:sz w:val="24"/>
                <w:szCs w:val="24"/>
                <w:lang w:eastAsia="zh-CN"/>
              </w:rPr>
              <w:t>60 石墨及其他非金属矿物制品制造 309。</w:t>
            </w:r>
            <w:r>
              <w:rPr>
                <w:rFonts w:hint="default" w:ascii="Times New Roman" w:hAnsi="Times New Roman" w:eastAsia="宋体" w:cs="Times New Roman"/>
                <w:color w:val="auto"/>
                <w:sz w:val="24"/>
                <w:szCs w:val="24"/>
                <w:lang w:val="en-US" w:eastAsia="zh-CN"/>
              </w:rPr>
              <w:t>本项目环境影响评价类型为报告表。为此，</w:t>
            </w:r>
            <w:r>
              <w:rPr>
                <w:rFonts w:hint="default" w:ascii="Times New Roman" w:hAnsi="Times New Roman" w:eastAsia="宋体" w:cs="Times New Roman"/>
                <w:color w:val="auto"/>
                <w:sz w:val="24"/>
                <w:szCs w:val="24"/>
                <w:lang w:eastAsia="zh-CN"/>
              </w:rPr>
              <w:t>达州市兴桥新材料科技有限公司</w:t>
            </w:r>
            <w:r>
              <w:rPr>
                <w:rFonts w:hint="default" w:ascii="Times New Roman" w:hAnsi="Times New Roman" w:eastAsia="宋体" w:cs="Times New Roman"/>
                <w:color w:val="auto"/>
                <w:sz w:val="24"/>
                <w:szCs w:val="24"/>
                <w:lang w:val="en-US" w:eastAsia="zh-CN"/>
              </w:rPr>
              <w:t>委托</w:t>
            </w:r>
            <w:r>
              <w:rPr>
                <w:rFonts w:hint="default" w:ascii="Times New Roman" w:hAnsi="Times New Roman" w:cs="Times New Roman"/>
                <w:color w:val="auto"/>
                <w:sz w:val="24"/>
                <w:szCs w:val="24"/>
                <w:lang w:val="en-US" w:eastAsia="zh-CN"/>
              </w:rPr>
              <w:t>四川恒达环创科技有限公司</w:t>
            </w:r>
            <w:r>
              <w:rPr>
                <w:rFonts w:hint="default" w:ascii="Times New Roman" w:hAnsi="Times New Roman" w:eastAsia="宋体" w:cs="Times New Roman"/>
                <w:color w:val="auto"/>
                <w:sz w:val="24"/>
                <w:szCs w:val="24"/>
                <w:lang w:val="en-US" w:eastAsia="zh-CN"/>
              </w:rPr>
              <w:t>进行本项目的环境影响评价工作。接受委托后，评价单位立即组织技术人员到项目现场进行了实地勘察和调研、收集，在完成工程分析和环境影响因素识别的基础上，按照有关法律、法规和“建设项目环境影响报告表编制技术指南（污染类）（试行）”等技术规范要求，并根据建设单位提供的资料编制完成了《</w:t>
            </w:r>
            <w:r>
              <w:rPr>
                <w:rFonts w:hint="default" w:ascii="Times New Roman" w:hAnsi="Times New Roman" w:eastAsia="宋体" w:cs="Times New Roman"/>
                <w:color w:val="auto"/>
                <w:sz w:val="24"/>
                <w:szCs w:val="24"/>
                <w:lang w:eastAsia="zh-CN"/>
              </w:rPr>
              <w:t>达州市兴桥新材料科技有限公司天生镇沥青混凝土搅拌站基础建设</w:t>
            </w:r>
            <w:r>
              <w:rPr>
                <w:rFonts w:hint="default" w:ascii="Times New Roman" w:hAnsi="Times New Roman" w:eastAsia="宋体" w:cs="Times New Roman"/>
                <w:color w:val="auto"/>
                <w:sz w:val="24"/>
                <w:szCs w:val="24"/>
                <w:lang w:val="en-US" w:eastAsia="zh-CN"/>
              </w:rPr>
              <w:t>项目环境影响报告表》，现上报审批。</w:t>
            </w:r>
          </w:p>
          <w:p w14:paraId="3FB8E817">
            <w:pPr>
              <w:pStyle w:val="25"/>
              <w:rPr>
                <w:rFonts w:hint="default" w:ascii="Times New Roman" w:hAnsi="Times New Roman" w:cs="Times New Roman"/>
                <w:color w:val="auto"/>
                <w:lang w:val="en-US" w:eastAsia="zh-CN"/>
              </w:rPr>
            </w:pPr>
          </w:p>
          <w:p w14:paraId="72713D8D">
            <w:pPr>
              <w:numPr>
                <w:ilvl w:val="0"/>
                <w:numId w:val="2"/>
              </w:num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项目概况</w:t>
            </w:r>
          </w:p>
          <w:p w14:paraId="6FBAA2DB">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项目名称：</w:t>
            </w:r>
            <w:r>
              <w:rPr>
                <w:rFonts w:hint="default" w:ascii="Times New Roman" w:hAnsi="Times New Roman" w:eastAsia="宋体" w:cs="Times New Roman"/>
                <w:color w:val="auto"/>
                <w:sz w:val="24"/>
                <w:szCs w:val="24"/>
                <w:lang w:eastAsia="zh-CN"/>
              </w:rPr>
              <w:t>天生镇沥青混凝土搅拌站基础建设项目</w:t>
            </w:r>
          </w:p>
          <w:p w14:paraId="784B2DEC">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建设单位：</w:t>
            </w:r>
            <w:r>
              <w:rPr>
                <w:rFonts w:hint="default" w:ascii="Times New Roman" w:hAnsi="Times New Roman" w:eastAsia="宋体" w:cs="Times New Roman"/>
                <w:color w:val="auto"/>
                <w:sz w:val="24"/>
                <w:szCs w:val="24"/>
                <w:lang w:eastAsia="zh-CN"/>
              </w:rPr>
              <w:t>达州市兴桥新材料科技有限公司</w:t>
            </w:r>
          </w:p>
          <w:p w14:paraId="02CE6441">
            <w:pPr>
              <w:spacing w:line="360" w:lineRule="auto"/>
              <w:ind w:left="1679" w:leftChars="228" w:hanging="1200" w:hangingChars="5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建设地点：</w:t>
            </w:r>
            <w:r>
              <w:rPr>
                <w:rFonts w:hint="default" w:ascii="Times New Roman" w:hAnsi="Times New Roman" w:cs="Times New Roman"/>
                <w:color w:val="auto"/>
                <w:sz w:val="24"/>
                <w:szCs w:val="24"/>
                <w:lang w:val="en-US" w:eastAsia="zh-CN"/>
              </w:rPr>
              <w:t>四川省达州市宣汉县天生镇峨城社区4组</w:t>
            </w:r>
          </w:p>
          <w:p w14:paraId="29200B6A">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r>
              <w:rPr>
                <w:rFonts w:hint="default" w:ascii="Times New Roman" w:hAnsi="Times New Roman" w:eastAsia="宋体" w:cs="Times New Roman"/>
                <w:color w:val="auto"/>
                <w:sz w:val="24"/>
                <w:szCs w:val="24"/>
                <w:lang w:val="en-US" w:eastAsia="zh-CN"/>
              </w:rPr>
              <w:t>新</w:t>
            </w:r>
            <w:r>
              <w:rPr>
                <w:rFonts w:hint="default" w:ascii="Times New Roman" w:hAnsi="Times New Roman" w:eastAsia="宋体" w:cs="Times New Roman"/>
                <w:color w:val="auto"/>
                <w:sz w:val="24"/>
                <w:szCs w:val="24"/>
              </w:rPr>
              <w:t>建</w:t>
            </w:r>
          </w:p>
          <w:p w14:paraId="670DA785">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项目投资：总投资</w:t>
            </w:r>
            <w:r>
              <w:rPr>
                <w:rFonts w:hint="default" w:ascii="Times New Roman" w:hAnsi="Times New Roman" w:eastAsia="宋体" w:cs="Times New Roman"/>
                <w:color w:val="auto"/>
                <w:sz w:val="24"/>
                <w:szCs w:val="24"/>
                <w:lang w:val="en-US" w:eastAsia="zh-CN"/>
              </w:rPr>
              <w:t>1000</w:t>
            </w:r>
            <w:r>
              <w:rPr>
                <w:rFonts w:hint="default" w:ascii="Times New Roman" w:hAnsi="Times New Roman" w:eastAsia="宋体" w:cs="Times New Roman"/>
                <w:color w:val="auto"/>
                <w:sz w:val="24"/>
                <w:szCs w:val="24"/>
              </w:rPr>
              <w:t>万元</w:t>
            </w:r>
          </w:p>
          <w:p w14:paraId="14C7B146">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建设内容：项目占地</w:t>
            </w:r>
            <w:r>
              <w:rPr>
                <w:rFonts w:hint="default" w:ascii="Times New Roman" w:hAnsi="Times New Roman" w:eastAsia="宋体" w:cs="Times New Roman"/>
                <w:color w:val="auto"/>
                <w:sz w:val="24"/>
                <w:szCs w:val="24"/>
                <w:lang w:val="en-US" w:eastAsia="zh-CN"/>
              </w:rPr>
              <w:t>面积为4811.23m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，拟</w:t>
            </w:r>
            <w:r>
              <w:rPr>
                <w:rFonts w:hint="default" w:ascii="Times New Roman" w:hAnsi="Times New Roman" w:cs="Times New Roman"/>
                <w:color w:val="auto"/>
                <w:sz w:val="24"/>
                <w:szCs w:val="24"/>
                <w:lang w:val="en-US" w:eastAsia="zh-CN"/>
              </w:rPr>
              <w:t>新</w:t>
            </w:r>
            <w:r>
              <w:rPr>
                <w:rFonts w:hint="default" w:ascii="Times New Roman" w:hAnsi="Times New Roman" w:eastAsia="宋体" w:cs="Times New Roman"/>
                <w:color w:val="auto"/>
                <w:sz w:val="24"/>
                <w:szCs w:val="24"/>
              </w:rPr>
              <w:t>建一条年产</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万吨的沥青混凝土生产线1条、1套年产</w:t>
            </w:r>
            <w:r>
              <w:rPr>
                <w:rFonts w:hint="default" w:ascii="Times New Roman" w:hAnsi="Times New Roman" w:cs="Times New Roman"/>
                <w:color w:val="auto"/>
                <w:sz w:val="24"/>
                <w:szCs w:val="24"/>
                <w:lang w:val="en-US" w:eastAsia="zh-CN"/>
              </w:rPr>
              <w:t>10</w:t>
            </w:r>
            <w:r>
              <w:rPr>
                <w:rFonts w:hint="default" w:ascii="Times New Roman" w:hAnsi="Times New Roman" w:eastAsia="宋体" w:cs="Times New Roman"/>
                <w:color w:val="auto"/>
                <w:sz w:val="24"/>
                <w:szCs w:val="24"/>
              </w:rPr>
              <w:t>00吨的乳化沥青生产设备。包括搅拌主机楼、骨料堆棚、冷料配给系统、干燥加热系统、提升系统、筛分系统、计量系统、拌和系统、除尘系统、粉料供给系统、沥青供给系统、气路系统、电气控制系统等，以及辅助生产用房、给排水、供电等公辅设施，同时配套建设污染物治理设施。</w:t>
            </w:r>
          </w:p>
          <w:p w14:paraId="6B1E7598">
            <w:pPr>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w:t>
            </w:r>
            <w:r>
              <w:rPr>
                <w:rFonts w:hint="default" w:ascii="Times New Roman" w:hAnsi="Times New Roman" w:eastAsia="宋体" w:cs="Times New Roman"/>
                <w:bCs/>
                <w:color w:val="auto"/>
                <w:sz w:val="24"/>
                <w:szCs w:val="24"/>
                <w:lang w:val="en-US" w:eastAsia="zh-CN"/>
              </w:rPr>
              <w:t>项目</w:t>
            </w:r>
            <w:r>
              <w:rPr>
                <w:rFonts w:hint="default" w:ascii="Times New Roman" w:hAnsi="Times New Roman" w:eastAsia="宋体" w:cs="Times New Roman"/>
                <w:bCs/>
                <w:color w:val="auto"/>
                <w:sz w:val="24"/>
                <w:szCs w:val="24"/>
              </w:rPr>
              <w:t>劳动定员1</w:t>
            </w:r>
            <w:r>
              <w:rPr>
                <w:rFonts w:hint="default" w:ascii="Times New Roman" w:hAnsi="Times New Roman" w:eastAsia="宋体" w:cs="Times New Roman"/>
                <w:bCs/>
                <w:color w:val="auto"/>
                <w:sz w:val="24"/>
                <w:szCs w:val="24"/>
                <w:lang w:val="en-US" w:eastAsia="zh-CN"/>
              </w:rPr>
              <w:t>0</w:t>
            </w:r>
            <w:r>
              <w:rPr>
                <w:rFonts w:hint="default" w:ascii="Times New Roman" w:hAnsi="Times New Roman" w:eastAsia="宋体" w:cs="Times New Roman"/>
                <w:bCs/>
                <w:color w:val="auto"/>
                <w:sz w:val="24"/>
                <w:szCs w:val="24"/>
              </w:rPr>
              <w:t>人，每天生产</w:t>
            </w:r>
            <w:r>
              <w:rPr>
                <w:rFonts w:hint="default" w:ascii="Times New Roman" w:hAnsi="Times New Roman" w:cs="Times New Roman"/>
                <w:bCs/>
                <w:color w:val="auto"/>
                <w:sz w:val="24"/>
                <w:szCs w:val="24"/>
                <w:lang w:val="en-US" w:eastAsia="zh-CN"/>
              </w:rPr>
              <w:t>6</w:t>
            </w:r>
            <w:r>
              <w:rPr>
                <w:rFonts w:hint="default" w:ascii="Times New Roman" w:hAnsi="Times New Roman" w:eastAsia="宋体" w:cs="Times New Roman"/>
                <w:bCs/>
                <w:color w:val="auto"/>
                <w:sz w:val="24"/>
                <w:szCs w:val="24"/>
              </w:rPr>
              <w:t>小时，</w:t>
            </w:r>
            <w:r>
              <w:rPr>
                <w:rFonts w:hint="default" w:ascii="Times New Roman" w:hAnsi="Times New Roman" w:eastAsia="宋体" w:cs="Times New Roman"/>
                <w:bCs/>
                <w:color w:val="auto"/>
                <w:sz w:val="24"/>
                <w:szCs w:val="24"/>
                <w:lang w:val="en-US" w:eastAsia="zh-CN"/>
              </w:rPr>
              <w:t>年生产150天。</w:t>
            </w:r>
            <w:r>
              <w:rPr>
                <w:rFonts w:hint="default" w:ascii="Times New Roman" w:hAnsi="Times New Roman" w:eastAsia="宋体" w:cs="Times New Roman"/>
                <w:bCs/>
                <w:color w:val="auto"/>
                <w:sz w:val="24"/>
                <w:szCs w:val="24"/>
              </w:rPr>
              <w:t>厂区</w:t>
            </w:r>
            <w:r>
              <w:rPr>
                <w:rFonts w:hint="default" w:ascii="Times New Roman" w:hAnsi="Times New Roman" w:eastAsia="宋体" w:cs="Times New Roman"/>
                <w:bCs/>
                <w:color w:val="auto"/>
                <w:sz w:val="24"/>
                <w:szCs w:val="24"/>
                <w:lang w:val="en-US" w:eastAsia="zh-CN"/>
              </w:rPr>
              <w:t>设置</w:t>
            </w:r>
            <w:r>
              <w:rPr>
                <w:rFonts w:hint="default" w:ascii="Times New Roman" w:hAnsi="Times New Roman" w:eastAsia="宋体" w:cs="Times New Roman"/>
                <w:bCs/>
                <w:color w:val="auto"/>
                <w:sz w:val="24"/>
                <w:szCs w:val="24"/>
              </w:rPr>
              <w:t>食宿</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不进行大型设备维修，设</w:t>
            </w:r>
            <w:r>
              <w:rPr>
                <w:rFonts w:hint="default" w:ascii="Times New Roman" w:hAnsi="Times New Roman" w:eastAsia="宋体" w:cs="Times New Roman"/>
                <w:bCs/>
                <w:color w:val="auto"/>
                <w:sz w:val="24"/>
                <w:szCs w:val="24"/>
              </w:rPr>
              <w:t>备维修委外处理。工程组成表见下表。</w:t>
            </w:r>
          </w:p>
          <w:p w14:paraId="61B994FC">
            <w:pPr>
              <w:spacing w:line="360" w:lineRule="auto"/>
              <w:ind w:firstLine="482" w:firstLineChars="200"/>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、产品</w:t>
            </w:r>
            <w:r>
              <w:rPr>
                <w:rFonts w:hint="default" w:ascii="Times New Roman" w:hAnsi="Times New Roman" w:eastAsia="宋体" w:cs="Times New Roman"/>
                <w:b/>
                <w:bCs/>
                <w:color w:val="auto"/>
                <w:sz w:val="24"/>
                <w:szCs w:val="24"/>
                <w:lang w:val="en-US" w:eastAsia="zh-CN"/>
              </w:rPr>
              <w:t>情况</w:t>
            </w:r>
          </w:p>
          <w:p w14:paraId="421A4E02">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（1）项目产品方案</w:t>
            </w:r>
          </w:p>
          <w:p w14:paraId="57E95965">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本项目产品方案及年产能见表2-1。</w:t>
            </w:r>
          </w:p>
          <w:p w14:paraId="036B03C1">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宋体" w:cs="Times New Roman"/>
                <w:b/>
                <w:bCs/>
                <w:color w:val="auto"/>
                <w:kern w:val="0"/>
                <w:sz w:val="20"/>
                <w:szCs w:val="20"/>
                <w:lang w:val="en-US" w:eastAsia="zh-CN" w:bidi="ar-SA"/>
              </w:rPr>
            </w:pPr>
            <w:r>
              <w:rPr>
                <w:rFonts w:hint="default" w:ascii="Times New Roman" w:hAnsi="Times New Roman" w:eastAsia="宋体" w:cs="Times New Roman"/>
                <w:b/>
                <w:bCs/>
                <w:color w:val="auto"/>
                <w:kern w:val="0"/>
                <w:sz w:val="20"/>
                <w:szCs w:val="20"/>
                <w:lang w:val="en-US" w:eastAsia="zh-CN" w:bidi="ar-SA"/>
              </w:rPr>
              <w:t>表2-1  项目产品方案</w:t>
            </w:r>
          </w:p>
          <w:tbl>
            <w:tblPr>
              <w:tblStyle w:val="29"/>
              <w:tblW w:w="88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91"/>
              <w:gridCol w:w="2086"/>
              <w:gridCol w:w="1682"/>
              <w:gridCol w:w="1213"/>
              <w:gridCol w:w="1346"/>
              <w:gridCol w:w="1719"/>
            </w:tblGrid>
            <w:tr w14:paraId="7BDFCE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6" w:hRule="atLeast"/>
                <w:tblHeader/>
                <w:jc w:val="center"/>
              </w:trPr>
              <w:tc>
                <w:tcPr>
                  <w:tcW w:w="448" w:type="pct"/>
                  <w:tcBorders>
                    <w:tl2br w:val="nil"/>
                    <w:tr2bl w:val="nil"/>
                  </w:tcBorders>
                  <w:noWrap w:val="0"/>
                  <w:vAlign w:val="center"/>
                </w:tcPr>
                <w:p w14:paraId="016F8175">
                  <w:pPr>
                    <w:pStyle w:val="80"/>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序号</w:t>
                  </w:r>
                </w:p>
              </w:tc>
              <w:tc>
                <w:tcPr>
                  <w:tcW w:w="1180" w:type="pct"/>
                  <w:tcBorders>
                    <w:tl2br w:val="nil"/>
                    <w:tr2bl w:val="nil"/>
                  </w:tcBorders>
                  <w:noWrap w:val="0"/>
                  <w:vAlign w:val="center"/>
                </w:tcPr>
                <w:p w14:paraId="22909E4A">
                  <w:pPr>
                    <w:pStyle w:val="80"/>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生产线</w:t>
                  </w:r>
                </w:p>
              </w:tc>
              <w:tc>
                <w:tcPr>
                  <w:tcW w:w="951" w:type="pct"/>
                  <w:tcBorders>
                    <w:tl2br w:val="nil"/>
                    <w:tr2bl w:val="nil"/>
                  </w:tcBorders>
                  <w:noWrap w:val="0"/>
                  <w:vAlign w:val="center"/>
                </w:tcPr>
                <w:p w14:paraId="05E82B09">
                  <w:pPr>
                    <w:pStyle w:val="80"/>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产品名称</w:t>
                  </w:r>
                </w:p>
              </w:tc>
              <w:tc>
                <w:tcPr>
                  <w:tcW w:w="686" w:type="pct"/>
                  <w:tcBorders>
                    <w:tl2br w:val="nil"/>
                    <w:tr2bl w:val="nil"/>
                  </w:tcBorders>
                  <w:noWrap w:val="0"/>
                  <w:vAlign w:val="center"/>
                </w:tcPr>
                <w:p w14:paraId="324938F2">
                  <w:pPr>
                    <w:pStyle w:val="80"/>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年产量</w:t>
                  </w:r>
                </w:p>
              </w:tc>
              <w:tc>
                <w:tcPr>
                  <w:tcW w:w="761" w:type="pct"/>
                  <w:tcBorders>
                    <w:tl2br w:val="nil"/>
                    <w:tr2bl w:val="nil"/>
                  </w:tcBorders>
                  <w:noWrap w:val="0"/>
                  <w:vAlign w:val="center"/>
                </w:tcPr>
                <w:p w14:paraId="535535C7">
                  <w:pPr>
                    <w:pStyle w:val="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c>
                <w:tcPr>
                  <w:tcW w:w="972" w:type="pct"/>
                  <w:tcBorders>
                    <w:tl2br w:val="nil"/>
                    <w:tr2bl w:val="nil"/>
                  </w:tcBorders>
                  <w:shd w:val="clear" w:color="auto" w:fill="auto"/>
                  <w:noWrap w:val="0"/>
                  <w:vAlign w:val="center"/>
                </w:tcPr>
                <w:p w14:paraId="44AB767B">
                  <w:pPr>
                    <w:pStyle w:val="8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用途</w:t>
                  </w:r>
                </w:p>
              </w:tc>
            </w:tr>
            <w:tr w14:paraId="61BFA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4" w:hRule="atLeast"/>
                <w:tblHeader/>
                <w:jc w:val="center"/>
              </w:trPr>
              <w:tc>
                <w:tcPr>
                  <w:tcW w:w="448" w:type="pct"/>
                  <w:tcBorders>
                    <w:tl2br w:val="nil"/>
                    <w:tr2bl w:val="nil"/>
                  </w:tcBorders>
                  <w:noWrap w:val="0"/>
                  <w:vAlign w:val="center"/>
                </w:tcPr>
                <w:p w14:paraId="258983E8">
                  <w:pPr>
                    <w:pStyle w:val="80"/>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eastAsia="en-US"/>
                    </w:rPr>
                    <w:t>1</w:t>
                  </w:r>
                </w:p>
              </w:tc>
              <w:tc>
                <w:tcPr>
                  <w:tcW w:w="1180" w:type="pct"/>
                  <w:tcBorders>
                    <w:tl2br w:val="nil"/>
                    <w:tr2bl w:val="nil"/>
                  </w:tcBorders>
                  <w:noWrap w:val="0"/>
                  <w:vAlign w:val="center"/>
                </w:tcPr>
                <w:p w14:paraId="0FF13791">
                  <w:pPr>
                    <w:pStyle w:val="8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沥青混凝土</w:t>
                  </w:r>
                  <w:r>
                    <w:rPr>
                      <w:rFonts w:hint="default" w:ascii="Times New Roman" w:hAnsi="Times New Roman" w:eastAsia="宋体" w:cs="Times New Roman"/>
                      <w:color w:val="auto"/>
                      <w:sz w:val="21"/>
                      <w:szCs w:val="21"/>
                      <w:lang w:val="en-US" w:eastAsia="zh-CN"/>
                    </w:rPr>
                    <w:t>生产线</w:t>
                  </w:r>
                </w:p>
              </w:tc>
              <w:tc>
                <w:tcPr>
                  <w:tcW w:w="951" w:type="pct"/>
                  <w:tcBorders>
                    <w:tl2br w:val="nil"/>
                    <w:tr2bl w:val="nil"/>
                  </w:tcBorders>
                  <w:noWrap w:val="0"/>
                  <w:vAlign w:val="center"/>
                </w:tcPr>
                <w:p w14:paraId="63273E84">
                  <w:pPr>
                    <w:pStyle w:val="80"/>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lang w:val="en-US" w:eastAsia="zh-CN"/>
                    </w:rPr>
                    <w:t>高温</w:t>
                  </w:r>
                  <w:r>
                    <w:rPr>
                      <w:rFonts w:hint="default" w:ascii="Times New Roman" w:hAnsi="Times New Roman" w:eastAsia="宋体" w:cs="Times New Roman"/>
                      <w:color w:val="auto"/>
                      <w:sz w:val="21"/>
                      <w:szCs w:val="21"/>
                      <w:lang w:eastAsia="en-US"/>
                    </w:rPr>
                    <w:t>沥青</w:t>
                  </w:r>
                </w:p>
              </w:tc>
              <w:tc>
                <w:tcPr>
                  <w:tcW w:w="686" w:type="pct"/>
                  <w:tcBorders>
                    <w:tl2br w:val="nil"/>
                    <w:tr2bl w:val="nil"/>
                  </w:tcBorders>
                  <w:noWrap w:val="0"/>
                  <w:vAlign w:val="center"/>
                </w:tcPr>
                <w:p w14:paraId="097E5F71">
                  <w:pPr>
                    <w:pStyle w:val="80"/>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5万吨</w:t>
                  </w:r>
                </w:p>
              </w:tc>
              <w:tc>
                <w:tcPr>
                  <w:tcW w:w="761" w:type="pct"/>
                  <w:tcBorders>
                    <w:tl2br w:val="nil"/>
                    <w:tr2bl w:val="nil"/>
                  </w:tcBorders>
                  <w:noWrap w:val="0"/>
                  <w:vAlign w:val="center"/>
                </w:tcPr>
                <w:p w14:paraId="28EBABE0">
                  <w:pPr>
                    <w:pStyle w:val="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综合密度约2.4g/cm</w:t>
                  </w:r>
                  <w:r>
                    <w:rPr>
                      <w:rFonts w:hint="default" w:ascii="Times New Roman" w:hAnsi="Times New Roman" w:eastAsia="宋体" w:cs="Times New Roman"/>
                      <w:color w:val="auto"/>
                      <w:sz w:val="21"/>
                      <w:szCs w:val="21"/>
                      <w:vertAlign w:val="superscript"/>
                    </w:rPr>
                    <w:t>3</w:t>
                  </w:r>
                </w:p>
              </w:tc>
              <w:tc>
                <w:tcPr>
                  <w:tcW w:w="972" w:type="pct"/>
                  <w:vMerge w:val="restart"/>
                  <w:tcBorders>
                    <w:tl2br w:val="nil"/>
                    <w:tr2bl w:val="nil"/>
                  </w:tcBorders>
                  <w:shd w:val="clear" w:color="auto" w:fill="auto"/>
                  <w:noWrap w:val="0"/>
                  <w:vAlign w:val="center"/>
                </w:tcPr>
                <w:p w14:paraId="5E58ECC8">
                  <w:pPr>
                    <w:pStyle w:val="8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外售，用于宣汉县天生镇周边道路及基础设施建设</w:t>
                  </w:r>
                </w:p>
              </w:tc>
            </w:tr>
            <w:tr w14:paraId="5C313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3" w:hRule="atLeast"/>
                <w:tblHeader/>
                <w:jc w:val="center"/>
              </w:trPr>
              <w:tc>
                <w:tcPr>
                  <w:tcW w:w="448" w:type="pct"/>
                  <w:tcBorders>
                    <w:tl2br w:val="nil"/>
                    <w:tr2bl w:val="nil"/>
                  </w:tcBorders>
                  <w:noWrap w:val="0"/>
                  <w:vAlign w:val="center"/>
                </w:tcPr>
                <w:p w14:paraId="672C5B6C">
                  <w:pPr>
                    <w:pStyle w:val="8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1180" w:type="pct"/>
                  <w:tcBorders>
                    <w:tl2br w:val="nil"/>
                    <w:tr2bl w:val="nil"/>
                  </w:tcBorders>
                  <w:noWrap w:val="0"/>
                  <w:vAlign w:val="center"/>
                </w:tcPr>
                <w:p w14:paraId="3059C1B5">
                  <w:pPr>
                    <w:pStyle w:val="80"/>
                    <w:ind w:firstLine="0" w:firstLineChars="0"/>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lang w:eastAsia="en-US"/>
                    </w:rPr>
                    <w:t>乳化沥青生产线</w:t>
                  </w:r>
                </w:p>
              </w:tc>
              <w:tc>
                <w:tcPr>
                  <w:tcW w:w="951" w:type="pct"/>
                  <w:tcBorders>
                    <w:tl2br w:val="nil"/>
                    <w:tr2bl w:val="nil"/>
                  </w:tcBorders>
                  <w:noWrap w:val="0"/>
                  <w:vAlign w:val="center"/>
                </w:tcPr>
                <w:p w14:paraId="68FEC524">
                  <w:pPr>
                    <w:pStyle w:val="80"/>
                    <w:ind w:firstLine="0" w:firstLineChars="0"/>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z w:val="21"/>
                      <w:szCs w:val="21"/>
                      <w:lang w:eastAsia="en-US"/>
                    </w:rPr>
                    <w:t>乳化沥青</w:t>
                  </w:r>
                </w:p>
              </w:tc>
              <w:tc>
                <w:tcPr>
                  <w:tcW w:w="686" w:type="pct"/>
                  <w:tcBorders>
                    <w:tl2br w:val="nil"/>
                    <w:tr2bl w:val="nil"/>
                  </w:tcBorders>
                  <w:noWrap w:val="0"/>
                  <w:vAlign w:val="center"/>
                </w:tcPr>
                <w:p w14:paraId="7DF25B9C">
                  <w:pPr>
                    <w:pStyle w:val="8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1000</w:t>
                  </w:r>
                  <w:r>
                    <w:rPr>
                      <w:rFonts w:hint="default" w:ascii="Times New Roman" w:hAnsi="Times New Roman" w:eastAsia="宋体" w:cs="Times New Roman"/>
                      <w:color w:val="auto"/>
                      <w:sz w:val="21"/>
                      <w:szCs w:val="21"/>
                    </w:rPr>
                    <w:t>吨</w:t>
                  </w:r>
                </w:p>
              </w:tc>
              <w:tc>
                <w:tcPr>
                  <w:tcW w:w="761" w:type="pct"/>
                  <w:tcBorders>
                    <w:tl2br w:val="nil"/>
                    <w:tr2bl w:val="nil"/>
                  </w:tcBorders>
                  <w:noWrap w:val="0"/>
                  <w:vAlign w:val="center"/>
                </w:tcPr>
                <w:p w14:paraId="4E973332">
                  <w:pPr>
                    <w:pStyle w:val="80"/>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en-US"/>
                    </w:rPr>
                    <w:t>密度约1.15g/c</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972" w:type="pct"/>
                  <w:vMerge w:val="continue"/>
                  <w:tcBorders>
                    <w:tl2br w:val="nil"/>
                    <w:tr2bl w:val="nil"/>
                  </w:tcBorders>
                  <w:shd w:val="clear" w:color="auto" w:fill="auto"/>
                  <w:noWrap w:val="0"/>
                  <w:vAlign w:val="center"/>
                </w:tcPr>
                <w:p w14:paraId="0033DF21">
                  <w:pPr>
                    <w:pStyle w:val="80"/>
                    <w:ind w:firstLine="0" w:firstLineChars="0"/>
                    <w:rPr>
                      <w:rFonts w:hint="default" w:ascii="Times New Roman" w:hAnsi="Times New Roman" w:eastAsia="宋体" w:cs="Times New Roman"/>
                      <w:color w:val="auto"/>
                      <w:kern w:val="2"/>
                      <w:sz w:val="21"/>
                      <w:szCs w:val="21"/>
                      <w:lang w:val="en-US" w:eastAsia="en-US" w:bidi="ar-SA"/>
                    </w:rPr>
                  </w:pPr>
                </w:p>
              </w:tc>
            </w:tr>
          </w:tbl>
          <w:p w14:paraId="1B8F7920">
            <w:pPr>
              <w:spacing w:line="360" w:lineRule="auto"/>
              <w:ind w:firstLine="482" w:firstLineChars="200"/>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、项目组成及主要环境问题</w:t>
            </w:r>
            <w:r>
              <w:rPr>
                <w:rFonts w:hint="default" w:ascii="Times New Roman" w:hAnsi="Times New Roman" w:cs="Times New Roman"/>
                <w:b/>
                <w:color w:val="auto"/>
                <w:sz w:val="24"/>
                <w:szCs w:val="24"/>
                <w:lang w:val="en-US" w:eastAsia="zh-CN"/>
              </w:rPr>
              <w:t xml:space="preserve">  </w:t>
            </w:r>
          </w:p>
          <w:p w14:paraId="6085B5CC">
            <w:pPr>
              <w:spacing w:line="360" w:lineRule="auto"/>
              <w:ind w:firstLine="480" w:firstLineChars="200"/>
              <w:rPr>
                <w:rFonts w:hint="default" w:ascii="Times New Roman" w:hAnsi="Times New Roman" w:eastAsia="宋体" w:cs="Times New Roman"/>
                <w:b/>
                <w:bCs/>
                <w:color w:val="auto"/>
                <w:kern w:val="24"/>
                <w:sz w:val="24"/>
                <w:szCs w:val="24"/>
              </w:rPr>
            </w:pPr>
            <w:r>
              <w:rPr>
                <w:rFonts w:hint="default" w:ascii="Times New Roman" w:hAnsi="Times New Roman" w:eastAsia="宋体" w:cs="Times New Roman"/>
                <w:color w:val="auto"/>
                <w:sz w:val="24"/>
                <w:szCs w:val="24"/>
              </w:rPr>
              <w:t>项目组成及主要环境问题见表2-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p>
          <w:p w14:paraId="77B18D54">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宋体" w:cs="Times New Roman"/>
                <w:b/>
                <w:bCs/>
                <w:color w:val="auto"/>
                <w:kern w:val="0"/>
                <w:sz w:val="20"/>
                <w:szCs w:val="20"/>
                <w:lang w:val="en-US" w:eastAsia="zh-CN" w:bidi="ar-SA"/>
              </w:rPr>
            </w:pPr>
            <w:r>
              <w:rPr>
                <w:rFonts w:hint="default" w:ascii="Times New Roman" w:hAnsi="Times New Roman" w:eastAsia="宋体" w:cs="Times New Roman"/>
                <w:b/>
                <w:bCs/>
                <w:color w:val="auto"/>
                <w:kern w:val="0"/>
                <w:sz w:val="20"/>
                <w:szCs w:val="20"/>
                <w:lang w:val="en-US" w:eastAsia="zh-CN" w:bidi="ar-SA"/>
              </w:rPr>
              <w:t>表2-2 项目组成及主要环境问题</w:t>
            </w:r>
          </w:p>
          <w:tbl>
            <w:tblPr>
              <w:tblStyle w:val="2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62"/>
              <w:gridCol w:w="518"/>
              <w:gridCol w:w="852"/>
              <w:gridCol w:w="5263"/>
              <w:gridCol w:w="895"/>
              <w:gridCol w:w="803"/>
            </w:tblGrid>
            <w:tr w14:paraId="776C4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restart"/>
                  <w:tcBorders>
                    <w:tl2br w:val="nil"/>
                    <w:tr2bl w:val="nil"/>
                  </w:tcBorders>
                  <w:shd w:val="clear" w:color="auto" w:fill="auto"/>
                  <w:vAlign w:val="center"/>
                </w:tcPr>
                <w:p w14:paraId="39C8443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工程分类</w:t>
                  </w:r>
                </w:p>
              </w:tc>
              <w:tc>
                <w:tcPr>
                  <w:tcW w:w="770" w:type="pct"/>
                  <w:gridSpan w:val="2"/>
                  <w:vMerge w:val="restart"/>
                  <w:tcBorders>
                    <w:tl2br w:val="nil"/>
                    <w:tr2bl w:val="nil"/>
                  </w:tcBorders>
                  <w:shd w:val="clear" w:color="auto" w:fill="auto"/>
                  <w:vAlign w:val="center"/>
                </w:tcPr>
                <w:p w14:paraId="069EF5E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项目名称</w:t>
                  </w:r>
                </w:p>
              </w:tc>
              <w:tc>
                <w:tcPr>
                  <w:tcW w:w="2958" w:type="pct"/>
                  <w:vMerge w:val="restart"/>
                  <w:tcBorders>
                    <w:tl2br w:val="nil"/>
                    <w:tr2bl w:val="nil"/>
                  </w:tcBorders>
                  <w:shd w:val="clear" w:color="auto" w:fill="auto"/>
                  <w:vAlign w:val="center"/>
                </w:tcPr>
                <w:p w14:paraId="4D01C86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建设内容及规模</w:t>
                  </w:r>
                </w:p>
              </w:tc>
              <w:tc>
                <w:tcPr>
                  <w:tcW w:w="954" w:type="pct"/>
                  <w:gridSpan w:val="2"/>
                  <w:tcBorders>
                    <w:tl2br w:val="nil"/>
                    <w:tr2bl w:val="nil"/>
                  </w:tcBorders>
                  <w:shd w:val="clear" w:color="auto" w:fill="auto"/>
                  <w:vAlign w:val="center"/>
                </w:tcPr>
                <w:p w14:paraId="4625696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可能产生的环境问题</w:t>
                  </w:r>
                </w:p>
              </w:tc>
            </w:tr>
            <w:tr w14:paraId="240B0D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4E85B5D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770" w:type="pct"/>
                  <w:gridSpan w:val="2"/>
                  <w:vMerge w:val="continue"/>
                  <w:tcBorders>
                    <w:tl2br w:val="nil"/>
                    <w:tr2bl w:val="nil"/>
                  </w:tcBorders>
                  <w:shd w:val="clear" w:color="auto" w:fill="auto"/>
                  <w:vAlign w:val="center"/>
                </w:tcPr>
                <w:p w14:paraId="0008567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58" w:type="pct"/>
                  <w:vMerge w:val="continue"/>
                  <w:tcBorders>
                    <w:tl2br w:val="nil"/>
                    <w:tr2bl w:val="nil"/>
                  </w:tcBorders>
                  <w:shd w:val="clear" w:color="auto" w:fill="auto"/>
                  <w:vAlign w:val="center"/>
                </w:tcPr>
                <w:p w14:paraId="004787A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503" w:type="pct"/>
                  <w:tcBorders>
                    <w:tl2br w:val="nil"/>
                    <w:tr2bl w:val="nil"/>
                  </w:tcBorders>
                  <w:shd w:val="clear" w:color="auto" w:fill="auto"/>
                  <w:vAlign w:val="center"/>
                </w:tcPr>
                <w:p w14:paraId="204EB20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施工期</w:t>
                  </w:r>
                </w:p>
              </w:tc>
              <w:tc>
                <w:tcPr>
                  <w:tcW w:w="451" w:type="pct"/>
                  <w:tcBorders>
                    <w:tl2br w:val="nil"/>
                    <w:tr2bl w:val="nil"/>
                  </w:tcBorders>
                  <w:shd w:val="clear" w:color="auto" w:fill="auto"/>
                  <w:vAlign w:val="center"/>
                </w:tcPr>
                <w:p w14:paraId="05B542D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运营期</w:t>
                  </w:r>
                </w:p>
              </w:tc>
            </w:tr>
            <w:tr w14:paraId="6042E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restart"/>
                  <w:tcBorders>
                    <w:tl2br w:val="nil"/>
                    <w:tr2bl w:val="nil"/>
                  </w:tcBorders>
                  <w:shd w:val="clear" w:color="auto" w:fill="auto"/>
                  <w:vAlign w:val="center"/>
                </w:tcPr>
                <w:p w14:paraId="69006F4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770" w:type="pct"/>
                  <w:gridSpan w:val="2"/>
                  <w:vMerge w:val="restart"/>
                  <w:tcBorders>
                    <w:tl2br w:val="nil"/>
                    <w:tr2bl w:val="nil"/>
                  </w:tcBorders>
                  <w:shd w:val="clear" w:color="auto" w:fill="auto"/>
                  <w:vAlign w:val="center"/>
                </w:tcPr>
                <w:p w14:paraId="3F7AA8F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沥青混凝土搅拌站</w:t>
                  </w:r>
                </w:p>
              </w:tc>
              <w:tc>
                <w:tcPr>
                  <w:tcW w:w="2958" w:type="pct"/>
                  <w:tcBorders>
                    <w:tl2br w:val="nil"/>
                    <w:tr2bl w:val="nil"/>
                  </w:tcBorders>
                  <w:shd w:val="clear" w:color="auto" w:fill="auto"/>
                  <w:vAlign w:val="center"/>
                </w:tcPr>
                <w:p w14:paraId="22112D1C">
                  <w:pPr>
                    <w:pStyle w:val="80"/>
                    <w:jc w:val="left"/>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lang w:bidi="ar"/>
                    </w:rPr>
                    <w:t>沥青混凝土生产线：</w:t>
                  </w:r>
                  <w:r>
                    <w:rPr>
                      <w:rFonts w:hint="default" w:ascii="Times New Roman" w:hAnsi="Times New Roman" w:cs="Times New Roman"/>
                      <w:color w:val="auto"/>
                      <w:lang w:bidi="ar"/>
                    </w:rPr>
                    <w:t>位于项目场地东侧，占地面积约800m</w:t>
                  </w:r>
                  <w:r>
                    <w:rPr>
                      <w:rFonts w:hint="default" w:ascii="Times New Roman" w:hAnsi="Times New Roman" w:cs="Times New Roman"/>
                      <w:color w:val="auto"/>
                      <w:vertAlign w:val="superscript"/>
                      <w:lang w:bidi="ar"/>
                    </w:rPr>
                    <w:t>2</w:t>
                  </w:r>
                  <w:r>
                    <w:rPr>
                      <w:rFonts w:hint="default" w:ascii="Times New Roman" w:hAnsi="Times New Roman" w:cs="Times New Roman"/>
                      <w:color w:val="auto"/>
                      <w:lang w:bidi="ar"/>
                    </w:rPr>
                    <w:t>，</w:t>
                  </w:r>
                  <w:r>
                    <w:rPr>
                      <w:rFonts w:hint="default" w:ascii="Times New Roman" w:hAnsi="Times New Roman" w:cs="Times New Roman"/>
                      <w:color w:val="auto"/>
                    </w:rPr>
                    <w:t>安装一套陆德3000型间歇式沥青拌合设备，为整体封闭结构。主要由以下几部分组成：冷料配给系统、干燥加热系统、提升系统、筛分系统、计量系统、拌和系统、除尘系统、粉料供给系统、沥青供给系统、气路系统、电气控制系统等。年生产沥青混凝土约5万吨</w:t>
                  </w:r>
                  <w:r>
                    <w:rPr>
                      <w:rFonts w:hint="default" w:ascii="Times New Roman" w:hAnsi="Times New Roman" w:cs="Times New Roman"/>
                      <w:color w:val="auto"/>
                      <w:kern w:val="0"/>
                    </w:rPr>
                    <w:t>。</w:t>
                  </w:r>
                </w:p>
              </w:tc>
              <w:tc>
                <w:tcPr>
                  <w:tcW w:w="503" w:type="pct"/>
                  <w:vMerge w:val="restart"/>
                  <w:tcBorders>
                    <w:tl2br w:val="nil"/>
                    <w:tr2bl w:val="nil"/>
                  </w:tcBorders>
                  <w:shd w:val="clear" w:color="auto" w:fill="auto"/>
                  <w:vAlign w:val="center"/>
                </w:tcPr>
                <w:p w14:paraId="2B58CFC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施工废气</w:t>
                  </w:r>
                </w:p>
                <w:p w14:paraId="7BC88D0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施工废水</w:t>
                  </w:r>
                </w:p>
                <w:p w14:paraId="606E0DA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p w14:paraId="1E99836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施工噪声</w:t>
                  </w:r>
                </w:p>
                <w:p w14:paraId="5C1B14D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451" w:type="pct"/>
                  <w:vMerge w:val="restart"/>
                  <w:tcBorders>
                    <w:tl2br w:val="nil"/>
                    <w:tr2bl w:val="nil"/>
                  </w:tcBorders>
                  <w:shd w:val="clear" w:color="auto" w:fill="auto"/>
                  <w:vAlign w:val="center"/>
                </w:tcPr>
                <w:p w14:paraId="3CB9821D">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1"/>
                      <w:szCs w:val="21"/>
                      <w:lang w:val="en-US" w:eastAsia="zh-CN"/>
                    </w:rPr>
                    <w:t>废气、废水、噪声、固废</w:t>
                  </w:r>
                </w:p>
              </w:tc>
            </w:tr>
            <w:tr w14:paraId="1CA6B8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2F75F6DD">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770" w:type="pct"/>
                  <w:gridSpan w:val="2"/>
                  <w:vMerge w:val="continue"/>
                  <w:tcBorders>
                    <w:tl2br w:val="nil"/>
                    <w:tr2bl w:val="nil"/>
                  </w:tcBorders>
                  <w:shd w:val="clear" w:color="auto" w:fill="auto"/>
                  <w:vAlign w:val="center"/>
                </w:tcPr>
                <w:p w14:paraId="7AB24FF2">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2958" w:type="pct"/>
                  <w:tcBorders>
                    <w:tl2br w:val="nil"/>
                    <w:tr2bl w:val="nil"/>
                  </w:tcBorders>
                  <w:shd w:val="clear" w:color="auto" w:fill="auto"/>
                  <w:vAlign w:val="center"/>
                </w:tcPr>
                <w:p w14:paraId="6B5B9F47">
                  <w:pPr>
                    <w:pStyle w:val="80"/>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
                    </w:rPr>
                    <w:t>乳化沥青生产线：</w:t>
                  </w:r>
                  <w:r>
                    <w:rPr>
                      <w:rFonts w:hint="default" w:ascii="Times New Roman" w:hAnsi="Times New Roman" w:eastAsia="宋体" w:cs="Times New Roman"/>
                      <w:color w:val="auto"/>
                      <w:kern w:val="2"/>
                      <w:sz w:val="21"/>
                      <w:szCs w:val="21"/>
                      <w:lang w:val="en-US" w:eastAsia="zh-CN" w:bidi="ar"/>
                    </w:rPr>
                    <w:t>位于</w:t>
                  </w:r>
                  <w:r>
                    <w:rPr>
                      <w:rFonts w:hint="default" w:ascii="Times New Roman" w:hAnsi="Times New Roman" w:cs="Times New Roman"/>
                      <w:color w:val="auto"/>
                      <w:kern w:val="2"/>
                      <w:sz w:val="21"/>
                      <w:szCs w:val="21"/>
                      <w:lang w:val="en-US" w:eastAsia="zh-CN" w:bidi="ar"/>
                    </w:rPr>
                    <w:t>沥青混凝土</w:t>
                  </w:r>
                  <w:r>
                    <w:rPr>
                      <w:rFonts w:hint="default" w:ascii="Times New Roman" w:hAnsi="Times New Roman" w:eastAsia="宋体" w:cs="Times New Roman"/>
                      <w:color w:val="auto"/>
                      <w:kern w:val="2"/>
                      <w:sz w:val="21"/>
                      <w:szCs w:val="21"/>
                      <w:lang w:val="en-US" w:eastAsia="zh-CN" w:bidi="ar"/>
                    </w:rPr>
                    <w:t>生产线南侧，设置1套乳化设备，</w:t>
                  </w:r>
                  <w:r>
                    <w:rPr>
                      <w:rFonts w:hint="default" w:ascii="Times New Roman" w:hAnsi="Times New Roman" w:eastAsia="宋体" w:cs="Times New Roman"/>
                      <w:color w:val="auto"/>
                      <w:sz w:val="21"/>
                      <w:szCs w:val="21"/>
                      <w:lang w:val="en-US" w:eastAsia="zh-CN"/>
                    </w:rPr>
                    <w:t>2个乳化沥青搅拌罐，</w:t>
                  </w:r>
                  <w:r>
                    <w:rPr>
                      <w:rFonts w:hint="default" w:ascii="Times New Roman" w:hAnsi="Times New Roman" w:eastAsia="宋体" w:cs="Times New Roman"/>
                      <w:color w:val="auto"/>
                      <w:sz w:val="21"/>
                      <w:szCs w:val="21"/>
                    </w:rPr>
                    <w:t>单个容积</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生产少量乳化沥青，总供应乳化沥青约1000吨。</w:t>
                  </w:r>
                </w:p>
              </w:tc>
              <w:tc>
                <w:tcPr>
                  <w:tcW w:w="503" w:type="pct"/>
                  <w:vMerge w:val="continue"/>
                  <w:tcBorders>
                    <w:tl2br w:val="nil"/>
                    <w:tr2bl w:val="nil"/>
                  </w:tcBorders>
                  <w:shd w:val="clear" w:color="auto" w:fill="auto"/>
                  <w:vAlign w:val="center"/>
                </w:tcPr>
                <w:p w14:paraId="15088C50">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bCs/>
                      <w:color w:val="auto"/>
                      <w:sz w:val="21"/>
                      <w:szCs w:val="21"/>
                      <w:lang w:val="en-US" w:eastAsia="zh-CN"/>
                    </w:rPr>
                  </w:pPr>
                </w:p>
              </w:tc>
              <w:tc>
                <w:tcPr>
                  <w:tcW w:w="451" w:type="pct"/>
                  <w:vMerge w:val="continue"/>
                  <w:tcBorders>
                    <w:tl2br w:val="nil"/>
                    <w:tr2bl w:val="nil"/>
                  </w:tcBorders>
                  <w:shd w:val="clear" w:color="auto" w:fill="auto"/>
                  <w:vAlign w:val="center"/>
                </w:tcPr>
                <w:p w14:paraId="5CE59858">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bCs/>
                      <w:color w:val="auto"/>
                      <w:sz w:val="21"/>
                      <w:szCs w:val="21"/>
                      <w:lang w:val="en-US" w:eastAsia="zh-CN"/>
                    </w:rPr>
                  </w:pPr>
                </w:p>
              </w:tc>
            </w:tr>
            <w:tr w14:paraId="2E569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restart"/>
                  <w:tcBorders>
                    <w:tl2br w:val="nil"/>
                    <w:tr2bl w:val="nil"/>
                  </w:tcBorders>
                  <w:shd w:val="clear" w:color="auto" w:fill="auto"/>
                  <w:vAlign w:val="center"/>
                </w:tcPr>
                <w:p w14:paraId="6A3457A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辅助工程</w:t>
                  </w:r>
                </w:p>
              </w:tc>
              <w:tc>
                <w:tcPr>
                  <w:tcW w:w="770" w:type="pct"/>
                  <w:gridSpan w:val="2"/>
                  <w:tcBorders>
                    <w:tl2br w:val="nil"/>
                    <w:tr2bl w:val="nil"/>
                  </w:tcBorders>
                  <w:shd w:val="clear" w:color="auto" w:fill="auto"/>
                  <w:vAlign w:val="center"/>
                </w:tcPr>
                <w:p w14:paraId="0CBF15B4">
                  <w:pPr>
                    <w:adjustRightInd w:val="0"/>
                    <w:snapToGrid w:val="0"/>
                    <w:spacing w:line="240" w:lineRule="exact"/>
                    <w:ind w:right="-27" w:rightChars="-13"/>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沥青储罐</w:t>
                  </w:r>
                </w:p>
              </w:tc>
              <w:tc>
                <w:tcPr>
                  <w:tcW w:w="2958" w:type="pct"/>
                  <w:tcBorders>
                    <w:tl2br w:val="nil"/>
                    <w:tr2bl w:val="nil"/>
                  </w:tcBorders>
                  <w:shd w:val="clear" w:color="auto" w:fill="auto"/>
                  <w:vAlign w:val="center"/>
                </w:tcPr>
                <w:p w14:paraId="6D68548A">
                  <w:pPr>
                    <w:adjustRightInd w:val="0"/>
                    <w:snapToGrid w:val="0"/>
                    <w:spacing w:line="24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沥青搅拌楼</w:t>
                  </w: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rPr>
                    <w:t>侧设2个</w:t>
                  </w:r>
                  <w:r>
                    <w:rPr>
                      <w:rFonts w:hint="default" w:ascii="Times New Roman" w:hAnsi="Times New Roman" w:eastAsia="宋体" w:cs="Times New Roman"/>
                      <w:color w:val="auto"/>
                      <w:sz w:val="21"/>
                      <w:szCs w:val="21"/>
                      <w:lang w:val="en-US" w:eastAsia="zh-CN"/>
                    </w:rPr>
                    <w:t>卧式</w:t>
                  </w:r>
                  <w:r>
                    <w:rPr>
                      <w:rFonts w:hint="default" w:ascii="Times New Roman" w:hAnsi="Times New Roman" w:eastAsia="宋体" w:cs="Times New Roman"/>
                      <w:color w:val="auto"/>
                      <w:sz w:val="21"/>
                      <w:szCs w:val="21"/>
                    </w:rPr>
                    <w:t>沥青罐，单个容积</w:t>
                  </w:r>
                  <w:r>
                    <w:rPr>
                      <w:rFonts w:hint="default"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vertAlign w:val="superscript"/>
                    </w:rPr>
                    <w:t>3</w:t>
                  </w:r>
                </w:p>
              </w:tc>
              <w:tc>
                <w:tcPr>
                  <w:tcW w:w="503" w:type="pct"/>
                  <w:vMerge w:val="continue"/>
                  <w:tcBorders>
                    <w:tl2br w:val="nil"/>
                    <w:tr2bl w:val="nil"/>
                  </w:tcBorders>
                  <w:shd w:val="clear" w:color="auto" w:fill="auto"/>
                  <w:vAlign w:val="center"/>
                </w:tcPr>
                <w:p w14:paraId="0191685A">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1B72AC1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r>
            <w:tr w14:paraId="00E4A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4BE2500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770" w:type="pct"/>
                  <w:gridSpan w:val="2"/>
                  <w:tcBorders>
                    <w:tl2br w:val="nil"/>
                    <w:tr2bl w:val="nil"/>
                  </w:tcBorders>
                  <w:shd w:val="clear" w:color="auto" w:fill="auto"/>
                  <w:vAlign w:val="center"/>
                </w:tcPr>
                <w:p w14:paraId="54EF4D55">
                  <w:pPr>
                    <w:adjustRightInd w:val="0"/>
                    <w:snapToGrid w:val="0"/>
                    <w:spacing w:line="240" w:lineRule="exact"/>
                    <w:ind w:right="-27" w:rightChars="-13"/>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沥青卸油罐</w:t>
                  </w:r>
                </w:p>
              </w:tc>
              <w:tc>
                <w:tcPr>
                  <w:tcW w:w="2958" w:type="pct"/>
                  <w:tcBorders>
                    <w:tl2br w:val="nil"/>
                    <w:tr2bl w:val="nil"/>
                  </w:tcBorders>
                  <w:shd w:val="clear" w:color="auto" w:fill="auto"/>
                  <w:vAlign w:val="center"/>
                </w:tcPr>
                <w:p w14:paraId="74904273">
                  <w:pPr>
                    <w:adjustRightInd w:val="0"/>
                    <w:snapToGrid w:val="0"/>
                    <w:spacing w:line="240" w:lineRule="exact"/>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1个，容积1m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，位于沥青储罐西侧</w:t>
                  </w:r>
                </w:p>
              </w:tc>
              <w:tc>
                <w:tcPr>
                  <w:tcW w:w="503" w:type="pct"/>
                  <w:vMerge w:val="continue"/>
                  <w:tcBorders>
                    <w:tl2br w:val="nil"/>
                    <w:tr2bl w:val="nil"/>
                  </w:tcBorders>
                  <w:shd w:val="clear" w:color="auto" w:fill="auto"/>
                  <w:vAlign w:val="center"/>
                </w:tcPr>
                <w:p w14:paraId="19678B60">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75AD160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r>
            <w:tr w14:paraId="3E88C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56175BF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770" w:type="pct"/>
                  <w:gridSpan w:val="2"/>
                  <w:tcBorders>
                    <w:tl2br w:val="nil"/>
                    <w:tr2bl w:val="nil"/>
                  </w:tcBorders>
                  <w:shd w:val="clear" w:color="auto" w:fill="auto"/>
                  <w:vAlign w:val="center"/>
                </w:tcPr>
                <w:p w14:paraId="15DFDABF">
                  <w:pPr>
                    <w:adjustRightInd w:val="0"/>
                    <w:snapToGrid w:val="0"/>
                    <w:spacing w:line="240" w:lineRule="exact"/>
                    <w:ind w:right="-27" w:rightChars="-13"/>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轻质油储罐</w:t>
                  </w:r>
                </w:p>
              </w:tc>
              <w:tc>
                <w:tcPr>
                  <w:tcW w:w="2958" w:type="pct"/>
                  <w:tcBorders>
                    <w:tl2br w:val="nil"/>
                    <w:tr2bl w:val="nil"/>
                  </w:tcBorders>
                  <w:shd w:val="clear" w:color="auto" w:fill="auto"/>
                  <w:vAlign w:val="center"/>
                </w:tcPr>
                <w:p w14:paraId="287E7C81">
                  <w:pPr>
                    <w:adjustRightInd w:val="0"/>
                    <w:snapToGrid w:val="0"/>
                    <w:spacing w:line="24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罐区沥青储罐旁</w:t>
                  </w:r>
                  <w:r>
                    <w:rPr>
                      <w:rFonts w:hint="default" w:ascii="Times New Roman" w:hAnsi="Times New Roman" w:eastAsia="宋体" w:cs="Times New Roman"/>
                      <w:color w:val="auto"/>
                      <w:sz w:val="21"/>
                      <w:szCs w:val="21"/>
                    </w:rPr>
                    <w:t>设置1个卧式轻质油储罐，容积</w:t>
                  </w:r>
                  <w:r>
                    <w:rPr>
                      <w:rFonts w:hint="default"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，用于轻质油暂存。</w:t>
                  </w:r>
                </w:p>
              </w:tc>
              <w:tc>
                <w:tcPr>
                  <w:tcW w:w="503" w:type="pct"/>
                  <w:vMerge w:val="continue"/>
                  <w:tcBorders>
                    <w:tl2br w:val="nil"/>
                    <w:tr2bl w:val="nil"/>
                  </w:tcBorders>
                  <w:shd w:val="clear" w:color="auto" w:fill="auto"/>
                  <w:vAlign w:val="center"/>
                </w:tcPr>
                <w:p w14:paraId="0C9DB13E">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3560306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Cs w:val="21"/>
                    </w:rPr>
                    <w:t>废气</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环境风险</w:t>
                  </w:r>
                </w:p>
              </w:tc>
            </w:tr>
            <w:tr w14:paraId="17F09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014D284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770" w:type="pct"/>
                  <w:gridSpan w:val="2"/>
                  <w:tcBorders>
                    <w:tl2br w:val="nil"/>
                    <w:tr2bl w:val="nil"/>
                  </w:tcBorders>
                  <w:shd w:val="clear" w:color="auto" w:fill="auto"/>
                  <w:vAlign w:val="center"/>
                </w:tcPr>
                <w:p w14:paraId="1EA42D69">
                  <w:pPr>
                    <w:adjustRightInd w:val="0"/>
                    <w:snapToGrid w:val="0"/>
                    <w:spacing w:line="240" w:lineRule="exact"/>
                    <w:ind w:right="-27" w:rightChars="-13"/>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导热油罐</w:t>
                  </w:r>
                </w:p>
              </w:tc>
              <w:tc>
                <w:tcPr>
                  <w:tcW w:w="2958" w:type="pct"/>
                  <w:tcBorders>
                    <w:tl2br w:val="nil"/>
                    <w:tr2bl w:val="nil"/>
                  </w:tcBorders>
                  <w:shd w:val="clear" w:color="auto" w:fill="auto"/>
                  <w:vAlign w:val="center"/>
                </w:tcPr>
                <w:p w14:paraId="263AC449">
                  <w:pPr>
                    <w:adjustRightInd w:val="0"/>
                    <w:snapToGrid w:val="0"/>
                    <w:spacing w:line="240" w:lineRule="exact"/>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储罐区东侧</w:t>
                  </w:r>
                  <w:r>
                    <w:rPr>
                      <w:rFonts w:hint="default" w:ascii="Times New Roman" w:hAnsi="Times New Roman" w:eastAsia="宋体" w:cs="Times New Roman"/>
                      <w:color w:val="auto"/>
                      <w:sz w:val="21"/>
                      <w:szCs w:val="21"/>
                      <w:highlight w:val="none"/>
                    </w:rPr>
                    <w:t>设1个导热油罐，</w:t>
                  </w:r>
                  <w:r>
                    <w:rPr>
                      <w:rFonts w:hint="default" w:ascii="Times New Roman" w:hAnsi="Times New Roman" w:eastAsia="宋体" w:cs="Times New Roman"/>
                      <w:color w:val="auto"/>
                      <w:sz w:val="21"/>
                      <w:szCs w:val="21"/>
                    </w:rPr>
                    <w:t>容积2m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，用于导热油的暂存。</w:t>
                  </w:r>
                </w:p>
                <w:p w14:paraId="4F9F4873">
                  <w:pPr>
                    <w:adjustRightInd w:val="0"/>
                    <w:snapToGrid w:val="0"/>
                    <w:spacing w:line="240" w:lineRule="exact"/>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导热油使用电加热器对其加热，将电加热器插入导热油中直接加热，并通过高温油泵进行强制性液相循环将加热后的导热油输送到用热设备，再由用热设备出油口回到热油炉加热，形成一个完整的密闭循环加热系统。</w:t>
                  </w:r>
                </w:p>
              </w:tc>
              <w:tc>
                <w:tcPr>
                  <w:tcW w:w="503" w:type="pct"/>
                  <w:vMerge w:val="continue"/>
                  <w:tcBorders>
                    <w:tl2br w:val="nil"/>
                    <w:tr2bl w:val="nil"/>
                  </w:tcBorders>
                  <w:shd w:val="clear" w:color="auto" w:fill="auto"/>
                  <w:vAlign w:val="center"/>
                </w:tcPr>
                <w:p w14:paraId="27B072B1">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55F74DB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r>
            <w:tr w14:paraId="38EE2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6976F5C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770" w:type="pct"/>
                  <w:gridSpan w:val="2"/>
                  <w:tcBorders>
                    <w:tl2br w:val="nil"/>
                    <w:tr2bl w:val="nil"/>
                  </w:tcBorders>
                  <w:shd w:val="clear" w:color="auto" w:fill="auto"/>
                  <w:vAlign w:val="center"/>
                </w:tcPr>
                <w:p w14:paraId="70591142">
                  <w:pPr>
                    <w:adjustRightInd w:val="0"/>
                    <w:snapToGrid w:val="0"/>
                    <w:spacing w:line="240" w:lineRule="exact"/>
                    <w:ind w:right="-27" w:rightChars="-13"/>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烘干</w:t>
                  </w:r>
                  <w:r>
                    <w:rPr>
                      <w:rFonts w:hint="default" w:ascii="Times New Roman" w:hAnsi="Times New Roman" w:eastAsia="宋体" w:cs="Times New Roman"/>
                      <w:color w:val="auto"/>
                      <w:sz w:val="21"/>
                      <w:szCs w:val="21"/>
                      <w:lang w:val="en-US" w:eastAsia="zh-CN"/>
                    </w:rPr>
                    <w:t>筒</w:t>
                  </w:r>
                </w:p>
              </w:tc>
              <w:tc>
                <w:tcPr>
                  <w:tcW w:w="2958" w:type="pct"/>
                  <w:tcBorders>
                    <w:tl2br w:val="nil"/>
                    <w:tr2bl w:val="nil"/>
                  </w:tcBorders>
                  <w:shd w:val="clear" w:color="auto" w:fill="auto"/>
                  <w:vAlign w:val="center"/>
                </w:tcPr>
                <w:p w14:paraId="1E6E6A18">
                  <w:pPr>
                    <w:adjustRightInd w:val="0"/>
                    <w:snapToGrid w:val="0"/>
                    <w:spacing w:line="24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用于骨料加热烘干，以轻质油为燃料</w:t>
                  </w:r>
                </w:p>
              </w:tc>
              <w:tc>
                <w:tcPr>
                  <w:tcW w:w="503" w:type="pct"/>
                  <w:vMerge w:val="continue"/>
                  <w:tcBorders>
                    <w:tl2br w:val="nil"/>
                    <w:tr2bl w:val="nil"/>
                  </w:tcBorders>
                  <w:shd w:val="clear" w:color="auto" w:fill="auto"/>
                  <w:vAlign w:val="center"/>
                </w:tcPr>
                <w:p w14:paraId="29A83F9E">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7C906EF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r>
            <w:tr w14:paraId="533C1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76C08AB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770" w:type="pct"/>
                  <w:gridSpan w:val="2"/>
                  <w:tcBorders>
                    <w:tl2br w:val="nil"/>
                    <w:tr2bl w:val="nil"/>
                  </w:tcBorders>
                  <w:shd w:val="clear" w:color="auto" w:fill="auto"/>
                  <w:vAlign w:val="center"/>
                </w:tcPr>
                <w:p w14:paraId="32021CBA">
                  <w:pPr>
                    <w:adjustRightInd w:val="0"/>
                    <w:snapToGrid w:val="0"/>
                    <w:spacing w:line="240" w:lineRule="exact"/>
                    <w:ind w:right="-27" w:rightChars="-13"/>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eastAsia="en-US"/>
                    </w:rPr>
                    <w:t>矿粉</w:t>
                  </w:r>
                  <w:r>
                    <w:rPr>
                      <w:rFonts w:hint="default" w:ascii="Times New Roman" w:hAnsi="Times New Roman" w:eastAsia="宋体" w:cs="Times New Roman"/>
                      <w:color w:val="auto"/>
                      <w:sz w:val="21"/>
                      <w:szCs w:val="21"/>
                    </w:rPr>
                    <w:t>筒仓</w:t>
                  </w:r>
                </w:p>
              </w:tc>
              <w:tc>
                <w:tcPr>
                  <w:tcW w:w="2958" w:type="pct"/>
                  <w:tcBorders>
                    <w:tl2br w:val="nil"/>
                    <w:tr2bl w:val="nil"/>
                  </w:tcBorders>
                  <w:shd w:val="clear" w:color="auto" w:fill="auto"/>
                  <w:vAlign w:val="center"/>
                </w:tcPr>
                <w:p w14:paraId="47BF4A00">
                  <w:pPr>
                    <w:adjustRightInd w:val="0"/>
                    <w:snapToGrid w:val="0"/>
                    <w:spacing w:line="240" w:lineRule="exact"/>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搅拌主楼东侧设置2</w:t>
                  </w:r>
                  <w:r>
                    <w:rPr>
                      <w:rFonts w:hint="default" w:ascii="Times New Roman" w:hAnsi="Times New Roman" w:eastAsia="宋体" w:cs="Times New Roman"/>
                      <w:color w:val="auto"/>
                      <w:sz w:val="21"/>
                      <w:szCs w:val="21"/>
                    </w:rPr>
                    <w:t>个矿粉筒仓，单个容积</w:t>
                  </w:r>
                  <w:r>
                    <w:rPr>
                      <w:rFonts w:hint="default" w:ascii="Times New Roman" w:hAnsi="Times New Roman" w:eastAsia="宋体" w:cs="Times New Roman"/>
                      <w:color w:val="auto"/>
                      <w:sz w:val="21"/>
                      <w:szCs w:val="21"/>
                      <w:lang w:val="en-US" w:eastAsia="zh-CN"/>
                    </w:rPr>
                    <w:t>45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，用于矿粉</w:t>
                  </w:r>
                  <w:r>
                    <w:rPr>
                      <w:rFonts w:hint="default" w:ascii="Times New Roman" w:hAnsi="Times New Roman" w:eastAsia="宋体" w:cs="Times New Roman"/>
                      <w:color w:val="auto"/>
                      <w:sz w:val="21"/>
                      <w:szCs w:val="21"/>
                      <w:lang w:val="en-US" w:eastAsia="zh-CN"/>
                    </w:rPr>
                    <w:t>储存</w:t>
                  </w:r>
                  <w:r>
                    <w:rPr>
                      <w:rFonts w:hint="default" w:ascii="Times New Roman" w:hAnsi="Times New Roman" w:eastAsia="宋体" w:cs="Times New Roman"/>
                      <w:color w:val="auto"/>
                      <w:sz w:val="21"/>
                      <w:szCs w:val="21"/>
                    </w:rPr>
                    <w:t>。</w:t>
                  </w:r>
                </w:p>
              </w:tc>
              <w:tc>
                <w:tcPr>
                  <w:tcW w:w="503" w:type="pct"/>
                  <w:vMerge w:val="continue"/>
                  <w:tcBorders>
                    <w:tl2br w:val="nil"/>
                    <w:tr2bl w:val="nil"/>
                  </w:tcBorders>
                  <w:shd w:val="clear" w:color="auto" w:fill="auto"/>
                  <w:vAlign w:val="center"/>
                </w:tcPr>
                <w:p w14:paraId="73F6179D">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124928D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废气、固废</w:t>
                  </w:r>
                </w:p>
              </w:tc>
            </w:tr>
            <w:tr w14:paraId="2D0F8B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1D592B0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770" w:type="pct"/>
                  <w:gridSpan w:val="2"/>
                  <w:tcBorders>
                    <w:tl2br w:val="nil"/>
                    <w:tr2bl w:val="nil"/>
                  </w:tcBorders>
                  <w:shd w:val="clear" w:color="auto" w:fill="auto"/>
                  <w:vAlign w:val="center"/>
                </w:tcPr>
                <w:p w14:paraId="276DEC40">
                  <w:pPr>
                    <w:adjustRightInd w:val="0"/>
                    <w:snapToGrid w:val="0"/>
                    <w:spacing w:line="240" w:lineRule="exact"/>
                    <w:ind w:right="-27" w:rightChars="-13"/>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eastAsia="zh-CN"/>
                    </w:rPr>
                    <w:t>骨料堆场</w:t>
                  </w:r>
                </w:p>
              </w:tc>
              <w:tc>
                <w:tcPr>
                  <w:tcW w:w="2958" w:type="pct"/>
                  <w:tcBorders>
                    <w:tl2br w:val="nil"/>
                    <w:tr2bl w:val="nil"/>
                  </w:tcBorders>
                  <w:shd w:val="clear" w:color="auto" w:fill="auto"/>
                  <w:vAlign w:val="top"/>
                </w:tcPr>
                <w:p w14:paraId="38168261">
                  <w:pPr>
                    <w:adjustRightInd w:val="0"/>
                    <w:snapToGrid w:val="0"/>
                    <w:spacing w:line="24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rPr>
                    <w:t>场地</w:t>
                  </w:r>
                  <w:r>
                    <w:rPr>
                      <w:rFonts w:hint="default" w:ascii="Times New Roman" w:hAnsi="Times New Roman" w:eastAsia="宋体" w:cs="Times New Roman"/>
                      <w:color w:val="auto"/>
                      <w:sz w:val="21"/>
                      <w:szCs w:val="21"/>
                      <w:lang w:val="en-US" w:eastAsia="zh-CN"/>
                    </w:rPr>
                    <w:t>北</w:t>
                  </w:r>
                  <w:r>
                    <w:rPr>
                      <w:rFonts w:hint="default" w:ascii="Times New Roman" w:hAnsi="Times New Roman" w:eastAsia="宋体" w:cs="Times New Roman"/>
                      <w:color w:val="auto"/>
                      <w:sz w:val="21"/>
                      <w:szCs w:val="21"/>
                    </w:rPr>
                    <w:t>侧设置一座</w:t>
                  </w:r>
                  <w:r>
                    <w:rPr>
                      <w:rFonts w:hint="default" w:ascii="Times New Roman" w:hAnsi="Times New Roman" w:cs="Times New Roman"/>
                      <w:bCs/>
                      <w:color w:val="auto"/>
                      <w:sz w:val="21"/>
                      <w:szCs w:val="21"/>
                      <w:lang w:eastAsia="zh-CN"/>
                    </w:rPr>
                    <w:t>骨料堆场</w:t>
                  </w:r>
                  <w:r>
                    <w:rPr>
                      <w:rFonts w:hint="default" w:ascii="Times New Roman" w:hAnsi="Times New Roman" w:eastAsia="宋体" w:cs="Times New Roman"/>
                      <w:color w:val="auto"/>
                      <w:sz w:val="21"/>
                      <w:szCs w:val="21"/>
                    </w:rPr>
                    <w:t>，占地面积约</w:t>
                  </w:r>
                  <w:r>
                    <w:rPr>
                      <w:rFonts w:hint="default" w:ascii="Times New Roman" w:hAnsi="Times New Roman" w:cs="Times New Roman"/>
                      <w:color w:val="auto"/>
                      <w:sz w:val="21"/>
                      <w:szCs w:val="21"/>
                      <w:lang w:val="en-US" w:eastAsia="zh-CN"/>
                    </w:rPr>
                    <w:t>8</w:t>
                  </w:r>
                  <w:r>
                    <w:rPr>
                      <w:rFonts w:hint="default" w:ascii="Times New Roman" w:hAnsi="Times New Roman" w:eastAsia="宋体" w:cs="Times New Roman"/>
                      <w:color w:val="auto"/>
                      <w:sz w:val="21"/>
                      <w:szCs w:val="21"/>
                    </w:rPr>
                    <w:t>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，共</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个料仓，料仓为钢结构封闭厂房（三面封闭+顶棚），直接由铲车分别运至上料斗进行配料。</w:t>
                  </w:r>
                </w:p>
              </w:tc>
              <w:tc>
                <w:tcPr>
                  <w:tcW w:w="503" w:type="pct"/>
                  <w:vMerge w:val="continue"/>
                  <w:tcBorders>
                    <w:tl2br w:val="nil"/>
                    <w:tr2bl w:val="nil"/>
                  </w:tcBorders>
                  <w:shd w:val="clear" w:color="auto" w:fill="auto"/>
                  <w:vAlign w:val="center"/>
                </w:tcPr>
                <w:p w14:paraId="2CC02201">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58AAA50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废气、噪声</w:t>
                  </w:r>
                </w:p>
              </w:tc>
            </w:tr>
            <w:tr w14:paraId="21B23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5B08ABF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p>
              </w:tc>
              <w:tc>
                <w:tcPr>
                  <w:tcW w:w="770" w:type="pct"/>
                  <w:gridSpan w:val="2"/>
                  <w:tcBorders>
                    <w:tl2br w:val="nil"/>
                    <w:tr2bl w:val="nil"/>
                  </w:tcBorders>
                  <w:shd w:val="clear" w:color="auto" w:fill="auto"/>
                  <w:vAlign w:val="center"/>
                </w:tcPr>
                <w:p w14:paraId="41D9330A">
                  <w:pPr>
                    <w:adjustRightInd w:val="0"/>
                    <w:snapToGrid w:val="0"/>
                    <w:spacing w:line="240" w:lineRule="exact"/>
                    <w:ind w:right="-27" w:rightChars="-13"/>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上料斗</w:t>
                  </w:r>
                </w:p>
              </w:tc>
              <w:tc>
                <w:tcPr>
                  <w:tcW w:w="2958" w:type="pct"/>
                  <w:tcBorders>
                    <w:tl2br w:val="nil"/>
                    <w:tr2bl w:val="nil"/>
                  </w:tcBorders>
                  <w:shd w:val="clear" w:color="auto" w:fill="auto"/>
                  <w:vAlign w:val="center"/>
                </w:tcPr>
                <w:p w14:paraId="56E619D8">
                  <w:pPr>
                    <w:adjustRightInd w:val="0"/>
                    <w:snapToGrid w:val="0"/>
                    <w:spacing w:line="240" w:lineRule="exact"/>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5个，位于</w:t>
                  </w:r>
                  <w:r>
                    <w:rPr>
                      <w:rFonts w:hint="default" w:ascii="Times New Roman" w:hAnsi="Times New Roman" w:cs="Times New Roman"/>
                      <w:color w:val="auto"/>
                      <w:sz w:val="21"/>
                      <w:szCs w:val="21"/>
                      <w:lang w:val="en-US" w:eastAsia="zh-CN"/>
                    </w:rPr>
                    <w:t>骨料堆场</w:t>
                  </w:r>
                  <w:r>
                    <w:rPr>
                      <w:rFonts w:hint="default" w:ascii="Times New Roman" w:hAnsi="Times New Roman" w:eastAsia="宋体" w:cs="Times New Roman"/>
                      <w:color w:val="auto"/>
                      <w:sz w:val="21"/>
                      <w:szCs w:val="21"/>
                      <w:lang w:val="en-US" w:eastAsia="zh-CN"/>
                    </w:rPr>
                    <w:t>东侧。</w:t>
                  </w:r>
                </w:p>
              </w:tc>
              <w:tc>
                <w:tcPr>
                  <w:tcW w:w="503" w:type="pct"/>
                  <w:vMerge w:val="continue"/>
                  <w:tcBorders>
                    <w:tl2br w:val="nil"/>
                    <w:tr2bl w:val="nil"/>
                  </w:tcBorders>
                  <w:shd w:val="clear" w:color="auto" w:fill="auto"/>
                  <w:vAlign w:val="center"/>
                </w:tcPr>
                <w:p w14:paraId="2EE53A22">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3FFE7F9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废气、噪声</w:t>
                  </w:r>
                </w:p>
              </w:tc>
            </w:tr>
            <w:tr w14:paraId="47C689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15AA577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770" w:type="pct"/>
                  <w:gridSpan w:val="2"/>
                  <w:tcBorders>
                    <w:tl2br w:val="nil"/>
                    <w:tr2bl w:val="nil"/>
                  </w:tcBorders>
                  <w:shd w:val="clear" w:color="auto" w:fill="auto"/>
                  <w:vAlign w:val="center"/>
                </w:tcPr>
                <w:p w14:paraId="2A0E612E">
                  <w:pPr>
                    <w:pStyle w:val="80"/>
                    <w:spacing w:line="24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地磅</w:t>
                  </w:r>
                </w:p>
              </w:tc>
              <w:tc>
                <w:tcPr>
                  <w:tcW w:w="2958" w:type="pct"/>
                  <w:tcBorders>
                    <w:tl2br w:val="nil"/>
                    <w:tr2bl w:val="nil"/>
                  </w:tcBorders>
                  <w:shd w:val="clear" w:color="auto" w:fill="auto"/>
                  <w:vAlign w:val="center"/>
                </w:tcPr>
                <w:p w14:paraId="36896D36">
                  <w:pPr>
                    <w:spacing w:line="24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厂区东侧出入口设置1台1</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0t地磅。</w:t>
                  </w:r>
                </w:p>
              </w:tc>
              <w:tc>
                <w:tcPr>
                  <w:tcW w:w="503" w:type="pct"/>
                  <w:vMerge w:val="continue"/>
                  <w:tcBorders>
                    <w:tl2br w:val="nil"/>
                    <w:tr2bl w:val="nil"/>
                  </w:tcBorders>
                  <w:shd w:val="clear" w:color="auto" w:fill="auto"/>
                  <w:vAlign w:val="center"/>
                </w:tcPr>
                <w:p w14:paraId="20D89DE3">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0519671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r>
            <w:tr w14:paraId="117E0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restart"/>
                  <w:tcBorders>
                    <w:tl2br w:val="nil"/>
                    <w:tr2bl w:val="nil"/>
                  </w:tcBorders>
                  <w:shd w:val="clear" w:color="auto" w:fill="auto"/>
                  <w:vAlign w:val="center"/>
                </w:tcPr>
                <w:p w14:paraId="0AC939D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770" w:type="pct"/>
                  <w:gridSpan w:val="2"/>
                  <w:tcBorders>
                    <w:tl2br w:val="nil"/>
                    <w:tr2bl w:val="nil"/>
                  </w:tcBorders>
                  <w:shd w:val="clear" w:color="auto" w:fill="auto"/>
                  <w:vAlign w:val="center"/>
                </w:tcPr>
                <w:p w14:paraId="38898F21">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供电</w:t>
                  </w:r>
                </w:p>
              </w:tc>
              <w:tc>
                <w:tcPr>
                  <w:tcW w:w="2958" w:type="pct"/>
                  <w:tcBorders>
                    <w:tl2br w:val="nil"/>
                    <w:tr2bl w:val="nil"/>
                  </w:tcBorders>
                  <w:shd w:val="clear" w:color="auto" w:fill="auto"/>
                  <w:vAlign w:val="center"/>
                </w:tcPr>
                <w:p w14:paraId="042191B2">
                  <w:pPr>
                    <w:spacing w:line="240" w:lineRule="exact"/>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由当地电网供给，项目内设置配电房，本项目不设备用发电机。</w:t>
                  </w:r>
                </w:p>
              </w:tc>
              <w:tc>
                <w:tcPr>
                  <w:tcW w:w="503" w:type="pct"/>
                  <w:vMerge w:val="continue"/>
                  <w:tcBorders>
                    <w:tl2br w:val="nil"/>
                    <w:tr2bl w:val="nil"/>
                  </w:tcBorders>
                  <w:shd w:val="clear" w:color="auto" w:fill="auto"/>
                  <w:vAlign w:val="center"/>
                </w:tcPr>
                <w:p w14:paraId="7DD618DC">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7D3AD1B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1049D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0A8C290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770" w:type="pct"/>
                  <w:gridSpan w:val="2"/>
                  <w:tcBorders>
                    <w:tl2br w:val="nil"/>
                    <w:tr2bl w:val="nil"/>
                  </w:tcBorders>
                  <w:shd w:val="clear" w:color="auto" w:fill="auto"/>
                  <w:vAlign w:val="center"/>
                </w:tcPr>
                <w:p w14:paraId="2E5CF0B8">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供水</w:t>
                  </w:r>
                </w:p>
              </w:tc>
              <w:tc>
                <w:tcPr>
                  <w:tcW w:w="2958" w:type="pct"/>
                  <w:tcBorders>
                    <w:tl2br w:val="nil"/>
                    <w:tr2bl w:val="nil"/>
                  </w:tcBorders>
                  <w:shd w:val="clear" w:color="auto" w:fill="auto"/>
                  <w:vAlign w:val="center"/>
                </w:tcPr>
                <w:p w14:paraId="1C43800A">
                  <w:pPr>
                    <w:spacing w:line="240" w:lineRule="exact"/>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生活</w:t>
                  </w:r>
                  <w:r>
                    <w:rPr>
                      <w:rFonts w:hint="default" w:ascii="Times New Roman" w:hAnsi="Times New Roman" w:cs="Times New Roman"/>
                      <w:color w:val="auto"/>
                      <w:kern w:val="24"/>
                      <w:szCs w:val="21"/>
                    </w:rPr>
                    <w:t>生产用水来自大路煤矿的矿井</w:t>
                  </w:r>
                  <w:r>
                    <w:rPr>
                      <w:rFonts w:hint="default" w:ascii="Times New Roman" w:hAnsi="Times New Roman" w:cs="Times New Roman"/>
                      <w:color w:val="auto"/>
                      <w:kern w:val="24"/>
                      <w:szCs w:val="21"/>
                      <w:lang w:val="en-US" w:eastAsia="zh-CN"/>
                    </w:rPr>
                    <w:t>涌</w:t>
                  </w:r>
                  <w:r>
                    <w:rPr>
                      <w:rFonts w:hint="default" w:ascii="Times New Roman" w:hAnsi="Times New Roman" w:cs="Times New Roman"/>
                      <w:color w:val="auto"/>
                      <w:kern w:val="24"/>
                      <w:szCs w:val="21"/>
                    </w:rPr>
                    <w:t>水，场地内设100m</w:t>
                  </w:r>
                  <w:r>
                    <w:rPr>
                      <w:rFonts w:hint="default" w:ascii="Times New Roman" w:hAnsi="Times New Roman" w:cs="Times New Roman"/>
                      <w:color w:val="auto"/>
                      <w:kern w:val="24"/>
                      <w:szCs w:val="21"/>
                      <w:vertAlign w:val="superscript"/>
                    </w:rPr>
                    <w:t>3</w:t>
                  </w:r>
                  <w:r>
                    <w:rPr>
                      <w:rFonts w:hint="default" w:ascii="Times New Roman" w:hAnsi="Times New Roman" w:cs="Times New Roman"/>
                      <w:color w:val="auto"/>
                      <w:kern w:val="24"/>
                      <w:szCs w:val="21"/>
                    </w:rPr>
                    <w:t>蓄水池，用于生产用水。</w:t>
                  </w:r>
                </w:p>
              </w:tc>
              <w:tc>
                <w:tcPr>
                  <w:tcW w:w="503" w:type="pct"/>
                  <w:vMerge w:val="continue"/>
                  <w:tcBorders>
                    <w:tl2br w:val="nil"/>
                    <w:tr2bl w:val="nil"/>
                  </w:tcBorders>
                  <w:shd w:val="clear" w:color="auto" w:fill="auto"/>
                  <w:vAlign w:val="center"/>
                </w:tcPr>
                <w:p w14:paraId="552CEA76">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4DF2FA7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27A0A6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73EA10F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770" w:type="pct"/>
                  <w:gridSpan w:val="2"/>
                  <w:tcBorders>
                    <w:tl2br w:val="nil"/>
                    <w:tr2bl w:val="nil"/>
                  </w:tcBorders>
                  <w:shd w:val="clear" w:color="auto" w:fill="auto"/>
                  <w:vAlign w:val="center"/>
                </w:tcPr>
                <w:p w14:paraId="4B24B54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w:t>
                  </w:r>
                </w:p>
              </w:tc>
              <w:tc>
                <w:tcPr>
                  <w:tcW w:w="2958" w:type="pct"/>
                  <w:tcBorders>
                    <w:tl2br w:val="nil"/>
                    <w:tr2bl w:val="nil"/>
                  </w:tcBorders>
                  <w:shd w:val="clear" w:color="auto" w:fill="auto"/>
                  <w:vAlign w:val="center"/>
                </w:tcPr>
                <w:p w14:paraId="421F664B">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
                      <w:sz w:val="21"/>
                      <w:szCs w:val="21"/>
                    </w:rPr>
                    <w:t>雨污分流</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1"/>
                      <w:sz w:val="21"/>
                      <w:szCs w:val="21"/>
                      <w:lang w:val="en-US" w:eastAsia="zh-CN"/>
                    </w:rPr>
                    <w:t>厂区</w:t>
                  </w:r>
                  <w:r>
                    <w:rPr>
                      <w:rFonts w:hint="default" w:ascii="Times New Roman" w:hAnsi="Times New Roman" w:eastAsia="宋体" w:cs="Times New Roman"/>
                      <w:color w:val="auto"/>
                      <w:spacing w:val="-1"/>
                      <w:sz w:val="21"/>
                      <w:szCs w:val="21"/>
                    </w:rPr>
                    <w:t>周围建排水沟；场外雨水直接随雨水沟排放；场</w:t>
                  </w:r>
                  <w:r>
                    <w:rPr>
                      <w:rFonts w:hint="default" w:ascii="Times New Roman" w:hAnsi="Times New Roman" w:eastAsia="宋体" w:cs="Times New Roman"/>
                      <w:color w:val="auto"/>
                      <w:spacing w:val="-1"/>
                      <w:sz w:val="21"/>
                      <w:szCs w:val="21"/>
                      <w:lang w:val="en-US" w:eastAsia="zh-CN"/>
                    </w:rPr>
                    <w:t>地</w:t>
                  </w:r>
                  <w:r>
                    <w:rPr>
                      <w:rFonts w:hint="default" w:ascii="Times New Roman" w:hAnsi="Times New Roman" w:eastAsia="宋体" w:cs="Times New Roman"/>
                      <w:color w:val="auto"/>
                      <w:spacing w:val="-1"/>
                      <w:sz w:val="21"/>
                      <w:szCs w:val="21"/>
                    </w:rPr>
                    <w:t>内</w:t>
                  </w:r>
                  <w:r>
                    <w:rPr>
                      <w:rFonts w:hint="default" w:ascii="Times New Roman" w:hAnsi="Times New Roman" w:eastAsia="宋体" w:cs="Times New Roman"/>
                      <w:color w:val="auto"/>
                      <w:spacing w:val="-1"/>
                      <w:sz w:val="21"/>
                      <w:szCs w:val="21"/>
                      <w:lang w:val="en-US" w:eastAsia="zh-CN"/>
                    </w:rPr>
                    <w:t>设置截排水沟，</w:t>
                  </w:r>
                  <w:r>
                    <w:rPr>
                      <w:rFonts w:hint="default" w:ascii="Times New Roman" w:hAnsi="Times New Roman" w:eastAsia="宋体" w:cs="Times New Roman"/>
                      <w:color w:val="auto"/>
                      <w:spacing w:val="-1"/>
                      <w:sz w:val="21"/>
                      <w:szCs w:val="21"/>
                    </w:rPr>
                    <w:t>雨水及冲洗废水经收集</w:t>
                  </w:r>
                  <w:r>
                    <w:rPr>
                      <w:rFonts w:hint="default" w:ascii="Times New Roman" w:hAnsi="Times New Roman" w:eastAsia="宋体" w:cs="Times New Roman"/>
                      <w:color w:val="auto"/>
                      <w:spacing w:val="-1"/>
                      <w:sz w:val="21"/>
                      <w:szCs w:val="21"/>
                      <w:lang w:val="en-US" w:eastAsia="zh-CN"/>
                    </w:rPr>
                    <w:t>进入三级沉淀池</w:t>
                  </w:r>
                  <w:r>
                    <w:rPr>
                      <w:rFonts w:hint="default" w:ascii="Times New Roman" w:hAnsi="Times New Roman" w:eastAsia="宋体" w:cs="Times New Roman"/>
                      <w:color w:val="auto"/>
                      <w:spacing w:val="-1"/>
                      <w:sz w:val="21"/>
                      <w:szCs w:val="21"/>
                    </w:rPr>
                    <w:t>处理后回用；生活污水</w:t>
                  </w:r>
                  <w:r>
                    <w:rPr>
                      <w:rFonts w:hint="default" w:ascii="Times New Roman" w:hAnsi="Times New Roman" w:eastAsia="宋体" w:cs="Times New Roman"/>
                      <w:color w:val="auto"/>
                      <w:spacing w:val="-1"/>
                      <w:sz w:val="21"/>
                      <w:szCs w:val="21"/>
                      <w:lang w:val="en-US" w:eastAsia="zh-CN"/>
                    </w:rPr>
                    <w:t>经化粪池处理后用于农肥。</w:t>
                  </w:r>
                </w:p>
              </w:tc>
              <w:tc>
                <w:tcPr>
                  <w:tcW w:w="503" w:type="pct"/>
                  <w:vMerge w:val="continue"/>
                  <w:tcBorders>
                    <w:tl2br w:val="nil"/>
                    <w:tr2bl w:val="nil"/>
                  </w:tcBorders>
                  <w:shd w:val="clear" w:color="auto" w:fill="auto"/>
                  <w:vAlign w:val="center"/>
                </w:tcPr>
                <w:p w14:paraId="38BAE4FB">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2446A06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1FC8E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86" w:hRule="atLeast"/>
                <w:jc w:val="center"/>
              </w:trPr>
              <w:tc>
                <w:tcPr>
                  <w:tcW w:w="316" w:type="pct"/>
                  <w:vMerge w:val="restart"/>
                  <w:tcBorders>
                    <w:tl2br w:val="nil"/>
                    <w:tr2bl w:val="nil"/>
                  </w:tcBorders>
                  <w:shd w:val="clear" w:color="auto" w:fill="auto"/>
                  <w:vAlign w:val="center"/>
                </w:tcPr>
                <w:p w14:paraId="65A5F2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办公及生活工程</w:t>
                  </w:r>
                </w:p>
              </w:tc>
              <w:tc>
                <w:tcPr>
                  <w:tcW w:w="770" w:type="pct"/>
                  <w:gridSpan w:val="2"/>
                  <w:tcBorders>
                    <w:tl2br w:val="nil"/>
                    <w:tr2bl w:val="nil"/>
                  </w:tcBorders>
                  <w:shd w:val="clear" w:color="auto" w:fill="auto"/>
                  <w:vAlign w:val="center"/>
                </w:tcPr>
                <w:p w14:paraId="12D0F56A">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沥青拌合楼操作室</w:t>
                  </w:r>
                </w:p>
              </w:tc>
              <w:tc>
                <w:tcPr>
                  <w:tcW w:w="2958" w:type="pct"/>
                  <w:tcBorders>
                    <w:tl2br w:val="nil"/>
                    <w:tr2bl w:val="nil"/>
                  </w:tcBorders>
                  <w:shd w:val="clear" w:color="auto" w:fill="auto"/>
                  <w:vAlign w:val="center"/>
                </w:tcPr>
                <w:p w14:paraId="1F8E31CE">
                  <w:pPr>
                    <w:pStyle w:val="7"/>
                    <w:adjustRightInd w:val="0"/>
                    <w:snapToGrid w:val="0"/>
                    <w:spacing w:line="240" w:lineRule="exact"/>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沥青拌合站东侧，</w:t>
                  </w:r>
                  <w:r>
                    <w:rPr>
                      <w:rFonts w:hint="default" w:ascii="Times New Roman" w:hAnsi="Times New Roman" w:cs="Times New Roman"/>
                      <w:color w:val="auto"/>
                      <w:sz w:val="21"/>
                      <w:szCs w:val="21"/>
                      <w:lang w:val="en-US" w:eastAsia="zh-CN"/>
                    </w:rPr>
                    <w:t>集装箱式设备操作室，</w:t>
                  </w:r>
                  <w:r>
                    <w:rPr>
                      <w:rFonts w:hint="default" w:ascii="Times New Roman" w:hAnsi="Times New Roman" w:eastAsia="宋体" w:cs="Times New Roman"/>
                      <w:color w:val="auto"/>
                      <w:sz w:val="21"/>
                      <w:szCs w:val="21"/>
                    </w:rPr>
                    <w:t>面积约</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503" w:type="pct"/>
                  <w:vMerge w:val="continue"/>
                  <w:tcBorders>
                    <w:tl2br w:val="nil"/>
                    <w:tr2bl w:val="nil"/>
                  </w:tcBorders>
                  <w:shd w:val="clear" w:color="auto" w:fill="auto"/>
                  <w:vAlign w:val="center"/>
                </w:tcPr>
                <w:p w14:paraId="1AEDC88E">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lang w:val="en-US" w:eastAsia="zh-CN"/>
                    </w:rPr>
                  </w:pPr>
                </w:p>
              </w:tc>
              <w:tc>
                <w:tcPr>
                  <w:tcW w:w="451" w:type="pct"/>
                  <w:tcBorders>
                    <w:tl2br w:val="nil"/>
                    <w:tr2bl w:val="nil"/>
                  </w:tcBorders>
                  <w:shd w:val="clear" w:color="auto" w:fill="auto"/>
                  <w:vAlign w:val="center"/>
                </w:tcPr>
                <w:p w14:paraId="3FEEA48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r>
            <w:tr w14:paraId="6E9DF2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86" w:hRule="atLeast"/>
                <w:jc w:val="center"/>
              </w:trPr>
              <w:tc>
                <w:tcPr>
                  <w:tcW w:w="316" w:type="pct"/>
                  <w:vMerge w:val="continue"/>
                  <w:tcBorders>
                    <w:tl2br w:val="nil"/>
                    <w:tr2bl w:val="nil"/>
                  </w:tcBorders>
                  <w:shd w:val="clear" w:color="auto" w:fill="auto"/>
                  <w:vAlign w:val="center"/>
                </w:tcPr>
                <w:p w14:paraId="391D12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snapToGrid w:val="0"/>
                      <w:color w:val="auto"/>
                      <w:kern w:val="0"/>
                      <w:sz w:val="21"/>
                      <w:szCs w:val="21"/>
                      <w:lang w:val="en-US" w:eastAsia="zh-CN"/>
                    </w:rPr>
                  </w:pPr>
                </w:p>
              </w:tc>
              <w:tc>
                <w:tcPr>
                  <w:tcW w:w="770" w:type="pct"/>
                  <w:gridSpan w:val="2"/>
                  <w:tcBorders>
                    <w:tl2br w:val="nil"/>
                    <w:tr2bl w:val="nil"/>
                  </w:tcBorders>
                  <w:shd w:val="clear" w:color="auto" w:fill="auto"/>
                  <w:vAlign w:val="center"/>
                </w:tcPr>
                <w:p w14:paraId="140DABF5">
                  <w:pPr>
                    <w:snapToGrid w:val="0"/>
                    <w:ind w:left="-69" w:leftChars="-33" w:right="-101" w:rightChars="-48"/>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办公综合区</w:t>
                  </w:r>
                </w:p>
              </w:tc>
              <w:tc>
                <w:tcPr>
                  <w:tcW w:w="2958" w:type="pct"/>
                  <w:tcBorders>
                    <w:tl2br w:val="nil"/>
                    <w:tr2bl w:val="nil"/>
                  </w:tcBorders>
                  <w:shd w:val="clear" w:color="auto" w:fill="auto"/>
                  <w:vAlign w:val="center"/>
                </w:tcPr>
                <w:p w14:paraId="7C066458">
                  <w:pPr>
                    <w:snapToGrid w:val="0"/>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color w:val="auto"/>
                      <w:sz w:val="21"/>
                      <w:szCs w:val="21"/>
                    </w:rPr>
                    <w:t>位于厂区</w:t>
                  </w:r>
                  <w:r>
                    <w:rPr>
                      <w:rFonts w:hint="default" w:ascii="Times New Roman" w:hAnsi="Times New Roman" w:eastAsia="宋体" w:cs="Times New Roman"/>
                      <w:color w:val="auto"/>
                      <w:sz w:val="21"/>
                      <w:szCs w:val="21"/>
                      <w:lang w:val="en-US" w:eastAsia="zh-CN"/>
                    </w:rPr>
                    <w:t>北</w:t>
                  </w:r>
                  <w:r>
                    <w:rPr>
                      <w:rFonts w:hint="default" w:ascii="Times New Roman" w:hAnsi="Times New Roman" w:eastAsia="宋体" w:cs="Times New Roman"/>
                      <w:color w:val="auto"/>
                      <w:sz w:val="21"/>
                      <w:szCs w:val="21"/>
                    </w:rPr>
                    <w:t>侧</w:t>
                  </w:r>
                  <w:r>
                    <w:rPr>
                      <w:rFonts w:hint="default" w:ascii="Times New Roman" w:hAnsi="Times New Roman" w:eastAsia="宋体" w:cs="Times New Roman"/>
                      <w:color w:val="auto"/>
                      <w:sz w:val="21"/>
                      <w:szCs w:val="21"/>
                      <w:lang w:eastAsia="zh-CN"/>
                    </w:rPr>
                    <w:t>，采用钢结构活动板房材质，</w:t>
                  </w:r>
                  <w:r>
                    <w:rPr>
                      <w:rFonts w:hint="default" w:ascii="Times New Roman" w:hAnsi="Times New Roman" w:eastAsia="宋体" w:cs="Times New Roman"/>
                      <w:color w:val="auto"/>
                      <w:sz w:val="21"/>
                      <w:szCs w:val="21"/>
                      <w:lang w:val="en-US" w:eastAsia="zh-CN"/>
                    </w:rPr>
                    <w:t>设食堂、厕所、浴室、宿舍等</w:t>
                  </w:r>
                </w:p>
              </w:tc>
              <w:tc>
                <w:tcPr>
                  <w:tcW w:w="503" w:type="pct"/>
                  <w:vMerge w:val="continue"/>
                  <w:tcBorders>
                    <w:tl2br w:val="nil"/>
                    <w:tr2bl w:val="nil"/>
                  </w:tcBorders>
                  <w:shd w:val="clear" w:color="auto" w:fill="auto"/>
                  <w:vAlign w:val="center"/>
                </w:tcPr>
                <w:p w14:paraId="6650E8F6">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lang w:val="en-US" w:eastAsia="zh-CN"/>
                    </w:rPr>
                  </w:pPr>
                </w:p>
              </w:tc>
              <w:tc>
                <w:tcPr>
                  <w:tcW w:w="451" w:type="pct"/>
                  <w:tcBorders>
                    <w:tl2br w:val="nil"/>
                    <w:tr2bl w:val="nil"/>
                  </w:tcBorders>
                  <w:shd w:val="clear" w:color="auto" w:fill="auto"/>
                  <w:vAlign w:val="center"/>
                </w:tcPr>
                <w:p w14:paraId="575DA4D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生活垃圾、生活</w:t>
                  </w:r>
                  <w:r>
                    <w:rPr>
                      <w:rFonts w:hint="default" w:ascii="Times New Roman" w:hAnsi="Times New Roman" w:eastAsia="宋体" w:cs="Times New Roman"/>
                      <w:color w:val="auto"/>
                      <w:sz w:val="21"/>
                      <w:szCs w:val="21"/>
                      <w:lang w:val="en-US" w:eastAsia="zh-CN"/>
                    </w:rPr>
                    <w:t>污水</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油烟</w:t>
                  </w:r>
                </w:p>
              </w:tc>
            </w:tr>
            <w:tr w14:paraId="0DDC2C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3FB4D2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snapToGrid w:val="0"/>
                      <w:color w:val="auto"/>
                      <w:kern w:val="0"/>
                      <w:sz w:val="21"/>
                      <w:szCs w:val="21"/>
                      <w:lang w:val="en-US" w:eastAsia="zh-CN"/>
                    </w:rPr>
                  </w:pPr>
                </w:p>
              </w:tc>
              <w:tc>
                <w:tcPr>
                  <w:tcW w:w="770" w:type="pct"/>
                  <w:gridSpan w:val="2"/>
                  <w:tcBorders>
                    <w:tl2br w:val="nil"/>
                    <w:tr2bl w:val="nil"/>
                  </w:tcBorders>
                  <w:shd w:val="clear" w:color="auto" w:fill="auto"/>
                  <w:vAlign w:val="center"/>
                </w:tcPr>
                <w:p w14:paraId="08E7B22B">
                  <w:pPr>
                    <w:pStyle w:val="8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门卫室</w:t>
                  </w:r>
                </w:p>
              </w:tc>
              <w:tc>
                <w:tcPr>
                  <w:tcW w:w="2958" w:type="pct"/>
                  <w:tcBorders>
                    <w:tl2br w:val="nil"/>
                    <w:tr2bl w:val="nil"/>
                  </w:tcBorders>
                  <w:shd w:val="clear" w:color="auto" w:fill="auto"/>
                  <w:vAlign w:val="center"/>
                </w:tcPr>
                <w:p w14:paraId="12CFC016">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设置1处，为东南侧出入口旁，建筑面积8m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eastAsia="zh-CN"/>
                    </w:rPr>
                    <w:t>。</w:t>
                  </w:r>
                </w:p>
              </w:tc>
              <w:tc>
                <w:tcPr>
                  <w:tcW w:w="503" w:type="pct"/>
                  <w:vMerge w:val="continue"/>
                  <w:tcBorders>
                    <w:tl2br w:val="nil"/>
                    <w:tr2bl w:val="nil"/>
                  </w:tcBorders>
                  <w:shd w:val="clear" w:color="auto" w:fill="auto"/>
                  <w:vAlign w:val="center"/>
                </w:tcPr>
                <w:p w14:paraId="1BD23445">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lang w:val="en-US" w:eastAsia="zh-CN"/>
                    </w:rPr>
                  </w:pPr>
                </w:p>
              </w:tc>
              <w:tc>
                <w:tcPr>
                  <w:tcW w:w="451" w:type="pct"/>
                  <w:tcBorders>
                    <w:tl2br w:val="nil"/>
                    <w:tr2bl w:val="nil"/>
                  </w:tcBorders>
                  <w:shd w:val="clear" w:color="auto" w:fill="auto"/>
                  <w:vAlign w:val="center"/>
                </w:tcPr>
                <w:p w14:paraId="58C1AD7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r>
            <w:tr w14:paraId="213539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restart"/>
                  <w:tcBorders>
                    <w:tl2br w:val="nil"/>
                    <w:tr2bl w:val="nil"/>
                  </w:tcBorders>
                  <w:shd w:val="clear" w:color="auto" w:fill="auto"/>
                  <w:vAlign w:val="center"/>
                </w:tcPr>
                <w:p w14:paraId="06A14EF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291" w:type="pct"/>
                  <w:vMerge w:val="restart"/>
                  <w:tcBorders>
                    <w:tl2br w:val="nil"/>
                    <w:tr2bl w:val="nil"/>
                  </w:tcBorders>
                  <w:shd w:val="clear" w:color="auto" w:fill="auto"/>
                  <w:vAlign w:val="center"/>
                </w:tcPr>
                <w:p w14:paraId="1458F90F">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废气</w:t>
                  </w:r>
                </w:p>
              </w:tc>
              <w:tc>
                <w:tcPr>
                  <w:tcW w:w="479" w:type="pct"/>
                  <w:tcBorders>
                    <w:tl2br w:val="nil"/>
                    <w:tr2bl w:val="nil"/>
                  </w:tcBorders>
                  <w:shd w:val="clear" w:color="auto" w:fill="auto"/>
                  <w:vAlign w:val="center"/>
                </w:tcPr>
                <w:p w14:paraId="36B2ECE1">
                  <w:pPr>
                    <w:pStyle w:val="8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骨料上料粉尘</w:t>
                  </w:r>
                </w:p>
              </w:tc>
              <w:tc>
                <w:tcPr>
                  <w:tcW w:w="2958" w:type="pct"/>
                  <w:tcBorders>
                    <w:tl2br w:val="nil"/>
                    <w:tr2bl w:val="nil"/>
                  </w:tcBorders>
                  <w:shd w:val="clear" w:color="auto" w:fill="auto"/>
                  <w:vAlign w:val="center"/>
                </w:tcPr>
                <w:p w14:paraId="118D9833">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rPr>
                    <w:t>骨料通过装载机转运至</w:t>
                  </w:r>
                  <w:r>
                    <w:rPr>
                      <w:rFonts w:hint="default" w:ascii="Times New Roman" w:hAnsi="Times New Roman" w:eastAsia="宋体" w:cs="Times New Roman"/>
                      <w:color w:val="auto"/>
                      <w:spacing w:val="-1"/>
                      <w:sz w:val="21"/>
                      <w:szCs w:val="21"/>
                      <w:lang w:val="en-US" w:eastAsia="zh-CN"/>
                    </w:rPr>
                    <w:t>上料斗</w:t>
                  </w:r>
                  <w:r>
                    <w:rPr>
                      <w:rFonts w:hint="default" w:ascii="Times New Roman" w:hAnsi="Times New Roman" w:eastAsia="宋体" w:cs="Times New Roman"/>
                      <w:color w:val="auto"/>
                      <w:spacing w:val="-1"/>
                      <w:sz w:val="21"/>
                      <w:szCs w:val="21"/>
                    </w:rPr>
                    <w:t>进行上料，</w:t>
                  </w:r>
                  <w:r>
                    <w:rPr>
                      <w:rFonts w:hint="default" w:ascii="Times New Roman" w:hAnsi="Times New Roman" w:eastAsia="宋体" w:cs="Times New Roman"/>
                      <w:color w:val="auto"/>
                      <w:spacing w:val="-1"/>
                      <w:sz w:val="21"/>
                      <w:szCs w:val="21"/>
                      <w:lang w:val="en-US" w:eastAsia="zh-CN"/>
                    </w:rPr>
                    <w:t>上料斗</w:t>
                  </w:r>
                  <w:r>
                    <w:rPr>
                      <w:rFonts w:hint="default" w:ascii="Times New Roman" w:hAnsi="Times New Roman" w:eastAsia="宋体" w:cs="Times New Roman"/>
                      <w:color w:val="auto"/>
                      <w:spacing w:val="-1"/>
                      <w:sz w:val="21"/>
                      <w:szCs w:val="21"/>
                    </w:rPr>
                    <w:t>设置</w:t>
                  </w:r>
                  <w:r>
                    <w:rPr>
                      <w:rFonts w:hint="default" w:ascii="Times New Roman" w:hAnsi="Times New Roman" w:eastAsia="宋体" w:cs="Times New Roman"/>
                      <w:color w:val="auto"/>
                      <w:spacing w:val="-1"/>
                      <w:sz w:val="21"/>
                      <w:szCs w:val="21"/>
                      <w:lang w:eastAsia="zh-CN"/>
                    </w:rPr>
                    <w:t>三面围挡，顶部加盖</w:t>
                  </w:r>
                  <w:r>
                    <w:rPr>
                      <w:rFonts w:hint="default" w:ascii="Times New Roman" w:hAnsi="Times New Roman" w:eastAsia="宋体" w:cs="Times New Roman"/>
                      <w:color w:val="auto"/>
                      <w:spacing w:val="-1"/>
                      <w:sz w:val="21"/>
                      <w:szCs w:val="21"/>
                    </w:rPr>
                    <w:t>，上料区上方采取喷雾降尘装置、平缓上料、减小落差等措施，降低骨料上料、输送过程产生的粉尘。</w:t>
                  </w:r>
                </w:p>
              </w:tc>
              <w:tc>
                <w:tcPr>
                  <w:tcW w:w="503" w:type="pct"/>
                  <w:vMerge w:val="continue"/>
                  <w:tcBorders>
                    <w:tl2br w:val="nil"/>
                    <w:tr2bl w:val="nil"/>
                  </w:tcBorders>
                  <w:shd w:val="clear" w:color="auto" w:fill="auto"/>
                  <w:vAlign w:val="center"/>
                </w:tcPr>
                <w:p w14:paraId="090A4DD4">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45AB1AE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B248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6627C48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continue"/>
                  <w:tcBorders>
                    <w:tl2br w:val="nil"/>
                    <w:tr2bl w:val="nil"/>
                  </w:tcBorders>
                  <w:shd w:val="clear" w:color="auto" w:fill="auto"/>
                  <w:vAlign w:val="center"/>
                </w:tcPr>
                <w:p w14:paraId="1674A986">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sz w:val="21"/>
                      <w:szCs w:val="21"/>
                    </w:rPr>
                  </w:pPr>
                </w:p>
              </w:tc>
              <w:tc>
                <w:tcPr>
                  <w:tcW w:w="479" w:type="pct"/>
                  <w:tcBorders>
                    <w:tl2br w:val="nil"/>
                    <w:tr2bl w:val="nil"/>
                  </w:tcBorders>
                  <w:shd w:val="clear" w:color="auto" w:fill="auto"/>
                  <w:vAlign w:val="center"/>
                </w:tcPr>
                <w:p w14:paraId="7645C92C">
                  <w:pPr>
                    <w:pStyle w:val="8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矿粉筒仓粉尘</w:t>
                  </w:r>
                </w:p>
              </w:tc>
              <w:tc>
                <w:tcPr>
                  <w:tcW w:w="2958" w:type="pct"/>
                  <w:tcBorders>
                    <w:tl2br w:val="nil"/>
                    <w:tr2bl w:val="nil"/>
                  </w:tcBorders>
                  <w:shd w:val="clear" w:color="auto" w:fill="auto"/>
                  <w:vAlign w:val="center"/>
                </w:tcPr>
                <w:p w14:paraId="67F017D5">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rPr>
                    <w:t>原料矿粉采用封闭式罐车运入厂区，</w:t>
                  </w:r>
                  <w:r>
                    <w:rPr>
                      <w:rFonts w:hint="default" w:ascii="Times New Roman" w:hAnsi="Times New Roman" w:cs="Times New Roman"/>
                      <w:color w:val="auto"/>
                      <w:spacing w:val="-1"/>
                      <w:sz w:val="21"/>
                      <w:szCs w:val="21"/>
                      <w:lang w:val="en-US" w:eastAsia="zh-CN"/>
                    </w:rPr>
                    <w:t>输送、计量、投料均为封闭式，</w:t>
                  </w:r>
                  <w:r>
                    <w:rPr>
                      <w:rFonts w:hint="default" w:ascii="Times New Roman" w:hAnsi="Times New Roman" w:eastAsia="宋体" w:cs="Times New Roman"/>
                      <w:color w:val="auto"/>
                      <w:spacing w:val="-1"/>
                      <w:sz w:val="21"/>
                      <w:szCs w:val="21"/>
                    </w:rPr>
                    <w:t>每个筒仓上方配备有布袋除尘器处理后无组织排放。</w:t>
                  </w:r>
                </w:p>
              </w:tc>
              <w:tc>
                <w:tcPr>
                  <w:tcW w:w="503" w:type="pct"/>
                  <w:vMerge w:val="continue"/>
                  <w:tcBorders>
                    <w:tl2br w:val="nil"/>
                    <w:tr2bl w:val="nil"/>
                  </w:tcBorders>
                  <w:shd w:val="clear" w:color="auto" w:fill="auto"/>
                  <w:vAlign w:val="center"/>
                </w:tcPr>
                <w:p w14:paraId="13713F07">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28C975C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0A28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47E5009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continue"/>
                  <w:tcBorders>
                    <w:tl2br w:val="nil"/>
                    <w:tr2bl w:val="nil"/>
                  </w:tcBorders>
                  <w:shd w:val="clear" w:color="auto" w:fill="auto"/>
                  <w:vAlign w:val="center"/>
                </w:tcPr>
                <w:p w14:paraId="4D2148B2">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sz w:val="21"/>
                      <w:szCs w:val="21"/>
                    </w:rPr>
                  </w:pPr>
                </w:p>
              </w:tc>
              <w:tc>
                <w:tcPr>
                  <w:tcW w:w="479" w:type="pct"/>
                  <w:tcBorders>
                    <w:tl2br w:val="nil"/>
                    <w:tr2bl w:val="nil"/>
                  </w:tcBorders>
                  <w:shd w:val="clear" w:color="auto" w:fill="auto"/>
                  <w:vAlign w:val="center"/>
                </w:tcPr>
                <w:p w14:paraId="61747A9C">
                  <w:pPr>
                    <w:pStyle w:val="8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沥青废气（沥青烟、苯并[a]芘、VOCs</w:t>
                  </w:r>
                  <w:r>
                    <w:rPr>
                      <w:rFonts w:hint="default" w:ascii="Times New Roman" w:hAnsi="Times New Roman" w:cs="Times New Roman"/>
                      <w:color w:val="auto"/>
                      <w:sz w:val="21"/>
                      <w:szCs w:val="21"/>
                      <w:lang w:val="en-US" w:eastAsia="zh-CN"/>
                    </w:rPr>
                    <w:t>（以非甲烷总烃计）</w:t>
                  </w:r>
                  <w:r>
                    <w:rPr>
                      <w:rFonts w:hint="default" w:ascii="Times New Roman" w:hAnsi="Times New Roman" w:eastAsia="宋体" w:cs="Times New Roman"/>
                      <w:b w:val="0"/>
                      <w:bCs/>
                      <w:color w:val="auto"/>
                      <w:kern w:val="0"/>
                      <w:sz w:val="21"/>
                      <w:szCs w:val="21"/>
                      <w:lang w:val="en-US" w:eastAsia="zh-CN"/>
                    </w:rPr>
                    <w:t>）</w:t>
                  </w:r>
                </w:p>
              </w:tc>
              <w:tc>
                <w:tcPr>
                  <w:tcW w:w="2958" w:type="pct"/>
                  <w:tcBorders>
                    <w:tl2br w:val="nil"/>
                    <w:tr2bl w:val="nil"/>
                  </w:tcBorders>
                  <w:shd w:val="clear" w:color="auto" w:fill="auto"/>
                  <w:vAlign w:val="center"/>
                </w:tcPr>
                <w:p w14:paraId="7EC3CFC2">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pacing w:val="-1"/>
                      <w:sz w:val="21"/>
                      <w:szCs w:val="21"/>
                      <w:lang w:val="en-US" w:eastAsia="zh-CN"/>
                    </w:rPr>
                  </w:pPr>
                  <w:r>
                    <w:rPr>
                      <w:rFonts w:hint="default" w:ascii="Times New Roman" w:hAnsi="Times New Roman" w:cs="Times New Roman"/>
                      <w:color w:val="auto"/>
                      <w:spacing w:val="-1"/>
                      <w:sz w:val="21"/>
                      <w:szCs w:val="21"/>
                      <w:lang w:val="en-US" w:eastAsia="zh-CN"/>
                    </w:rPr>
                    <w:t>主要为沥青搅拌、成品卸料、沥青储罐呼吸口废气。</w:t>
                  </w:r>
                </w:p>
                <w:p w14:paraId="2CCCF929">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pacing w:val="-1"/>
                      <w:sz w:val="21"/>
                      <w:szCs w:val="21"/>
                    </w:rPr>
                  </w:pPr>
                  <w:r>
                    <w:rPr>
                      <w:rFonts w:hint="default" w:ascii="Times New Roman" w:hAnsi="Times New Roman" w:cs="Times New Roman"/>
                      <w:color w:val="auto"/>
                      <w:spacing w:val="-1"/>
                      <w:sz w:val="21"/>
                      <w:szCs w:val="21"/>
                      <w:lang w:val="en-US" w:eastAsia="zh-CN"/>
                    </w:rPr>
                    <w:t>搅拌缸为密闭设备，沥青搅拌过程中产生的沥青废气通过管道收集；成品卸料口的沥青烟气采取</w:t>
                  </w:r>
                  <w:r>
                    <w:rPr>
                      <w:rFonts w:hint="default" w:ascii="Times New Roman" w:hAnsi="Times New Roman" w:eastAsia="宋体" w:cs="Times New Roman"/>
                      <w:color w:val="auto"/>
                      <w:spacing w:val="-1"/>
                      <w:sz w:val="21"/>
                      <w:szCs w:val="21"/>
                      <w:lang w:val="en-US" w:eastAsia="zh-CN"/>
                    </w:rPr>
                    <w:t>静电捕集，</w:t>
                  </w:r>
                  <w:r>
                    <w:rPr>
                      <w:rFonts w:hint="default" w:ascii="Times New Roman" w:hAnsi="Times New Roman" w:cs="Times New Roman"/>
                      <w:color w:val="auto"/>
                      <w:spacing w:val="-1"/>
                      <w:sz w:val="21"/>
                      <w:szCs w:val="21"/>
                      <w:lang w:val="en-US" w:eastAsia="zh-CN"/>
                    </w:rPr>
                    <w:t>与沥青搅拌缸废气</w:t>
                  </w:r>
                  <w:r>
                    <w:rPr>
                      <w:rFonts w:hint="default" w:ascii="Times New Roman" w:hAnsi="Times New Roman" w:eastAsia="宋体" w:cs="Times New Roman"/>
                      <w:color w:val="auto"/>
                      <w:spacing w:val="-1"/>
                      <w:sz w:val="21"/>
                      <w:szCs w:val="21"/>
                    </w:rPr>
                    <w:t>经管道一并引至烘干筒前端与燃烧器火焰进行高温燃烧后，同烘干</w:t>
                  </w:r>
                  <w:r>
                    <w:rPr>
                      <w:rFonts w:hint="default" w:ascii="Times New Roman" w:hAnsi="Times New Roman" w:cs="Times New Roman"/>
                      <w:color w:val="auto"/>
                      <w:spacing w:val="-1"/>
                      <w:sz w:val="21"/>
                      <w:szCs w:val="21"/>
                      <w:lang w:val="en-US" w:eastAsia="zh-CN"/>
                    </w:rPr>
                    <w:t>筛分</w:t>
                  </w:r>
                  <w:r>
                    <w:rPr>
                      <w:rFonts w:hint="default" w:ascii="Times New Roman" w:hAnsi="Times New Roman" w:eastAsia="宋体" w:cs="Times New Roman"/>
                      <w:color w:val="auto"/>
                      <w:spacing w:val="-1"/>
                      <w:sz w:val="21"/>
                      <w:szCs w:val="21"/>
                    </w:rPr>
                    <w:t>废气一起经</w:t>
                  </w:r>
                  <w:r>
                    <w:rPr>
                      <w:rFonts w:hint="default" w:ascii="Times New Roman" w:hAnsi="Times New Roman" w:eastAsia="宋体" w:cs="Times New Roman"/>
                      <w:color w:val="auto"/>
                      <w:spacing w:val="-1"/>
                      <w:sz w:val="21"/>
                      <w:szCs w:val="21"/>
                      <w:lang w:val="en-US" w:eastAsia="zh-CN"/>
                    </w:rPr>
                    <w:t>除尘系统</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1"/>
                      <w:sz w:val="21"/>
                      <w:szCs w:val="21"/>
                      <w:lang w:val="en-US" w:eastAsia="zh-CN"/>
                    </w:rPr>
                    <w:t>一级重力除尘+二级布袋除尘</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1"/>
                      <w:sz w:val="21"/>
                      <w:szCs w:val="21"/>
                    </w:rPr>
                    <w:t>处理后通过</w:t>
                  </w:r>
                  <w:r>
                    <w:rPr>
                      <w:rFonts w:hint="default" w:ascii="Times New Roman" w:hAnsi="Times New Roman" w:cs="Times New Roman"/>
                      <w:color w:val="auto"/>
                      <w:spacing w:val="-1"/>
                      <w:sz w:val="21"/>
                      <w:szCs w:val="21"/>
                      <w:lang w:val="en-US" w:eastAsia="zh-CN"/>
                    </w:rPr>
                    <w:t>20</w:t>
                  </w:r>
                  <w:r>
                    <w:rPr>
                      <w:rFonts w:hint="default" w:ascii="Times New Roman" w:hAnsi="Times New Roman" w:eastAsia="宋体" w:cs="Times New Roman"/>
                      <w:color w:val="auto"/>
                      <w:spacing w:val="-1"/>
                      <w:sz w:val="21"/>
                      <w:szCs w:val="21"/>
                    </w:rPr>
                    <w:t>m排气筒（</w:t>
                  </w:r>
                  <w:r>
                    <w:rPr>
                      <w:rFonts w:hint="default" w:ascii="Times New Roman" w:hAnsi="Times New Roman" w:cs="Times New Roman"/>
                      <w:color w:val="auto"/>
                      <w:spacing w:val="-1"/>
                      <w:sz w:val="21"/>
                      <w:szCs w:val="21"/>
                      <w:lang w:eastAsia="zh-CN"/>
                    </w:rPr>
                    <w:t>DA001</w:t>
                  </w:r>
                  <w:r>
                    <w:rPr>
                      <w:rFonts w:hint="default" w:ascii="Times New Roman" w:hAnsi="Times New Roman" w:eastAsia="宋体" w:cs="Times New Roman"/>
                      <w:color w:val="auto"/>
                      <w:spacing w:val="-1"/>
                      <w:sz w:val="21"/>
                      <w:szCs w:val="21"/>
                    </w:rPr>
                    <w:t>）排放。</w:t>
                  </w:r>
                </w:p>
                <w:p w14:paraId="6730B4A4">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cs="Times New Roman"/>
                      <w:color w:val="auto"/>
                      <w:spacing w:val="-1"/>
                      <w:sz w:val="21"/>
                      <w:szCs w:val="21"/>
                      <w:lang w:eastAsia="zh-CN"/>
                    </w:rPr>
                    <w:t>沥青罐密闭设置，设置储存呼吸口，呼吸口阀门关闭，储罐上方采用管道连通，沥青烟气通过管道密闭式收集，然后引至烘干筒燃烧器外焰高温燃烧</w:t>
                  </w:r>
                  <w:r>
                    <w:rPr>
                      <w:rFonts w:hint="default" w:ascii="Times New Roman" w:hAnsi="Times New Roman" w:cs="Times New Roman"/>
                      <w:color w:val="auto"/>
                      <w:spacing w:val="-1"/>
                      <w:sz w:val="21"/>
                      <w:szCs w:val="21"/>
                      <w:lang w:val="en-US" w:eastAsia="zh-CN"/>
                    </w:rPr>
                    <w:t>后，引至20</w:t>
                  </w:r>
                  <w:r>
                    <w:rPr>
                      <w:rFonts w:hint="default" w:ascii="Times New Roman" w:hAnsi="Times New Roman" w:eastAsia="宋体" w:cs="Times New Roman"/>
                      <w:color w:val="auto"/>
                      <w:spacing w:val="-1"/>
                      <w:sz w:val="21"/>
                      <w:szCs w:val="21"/>
                    </w:rPr>
                    <w:t>m排气筒（</w:t>
                  </w:r>
                  <w:r>
                    <w:rPr>
                      <w:rFonts w:hint="default" w:ascii="Times New Roman" w:hAnsi="Times New Roman" w:cs="Times New Roman"/>
                      <w:color w:val="auto"/>
                      <w:spacing w:val="-1"/>
                      <w:sz w:val="21"/>
                      <w:szCs w:val="21"/>
                      <w:lang w:eastAsia="zh-CN"/>
                    </w:rPr>
                    <w:t>DA001</w:t>
                  </w:r>
                  <w:r>
                    <w:rPr>
                      <w:rFonts w:hint="default" w:ascii="Times New Roman" w:hAnsi="Times New Roman" w:eastAsia="宋体" w:cs="Times New Roman"/>
                      <w:color w:val="auto"/>
                      <w:spacing w:val="-1"/>
                      <w:sz w:val="21"/>
                      <w:szCs w:val="21"/>
                    </w:rPr>
                    <w:t>）排放。</w:t>
                  </w:r>
                </w:p>
              </w:tc>
              <w:tc>
                <w:tcPr>
                  <w:tcW w:w="503" w:type="pct"/>
                  <w:vMerge w:val="continue"/>
                  <w:tcBorders>
                    <w:tl2br w:val="nil"/>
                    <w:tr2bl w:val="nil"/>
                  </w:tcBorders>
                  <w:shd w:val="clear" w:color="auto" w:fill="auto"/>
                  <w:vAlign w:val="center"/>
                </w:tcPr>
                <w:p w14:paraId="4975CCDB">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49E0379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401A7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552A76C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continue"/>
                  <w:tcBorders>
                    <w:tl2br w:val="nil"/>
                    <w:tr2bl w:val="nil"/>
                  </w:tcBorders>
                  <w:shd w:val="clear" w:color="auto" w:fill="auto"/>
                  <w:vAlign w:val="center"/>
                </w:tcPr>
                <w:p w14:paraId="546E8896">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sz w:val="21"/>
                      <w:szCs w:val="21"/>
                    </w:rPr>
                  </w:pPr>
                </w:p>
              </w:tc>
              <w:tc>
                <w:tcPr>
                  <w:tcW w:w="479" w:type="pct"/>
                  <w:tcBorders>
                    <w:tl2br w:val="nil"/>
                    <w:tr2bl w:val="nil"/>
                  </w:tcBorders>
                  <w:shd w:val="clear" w:color="auto" w:fill="auto"/>
                  <w:vAlign w:val="center"/>
                </w:tcPr>
                <w:p w14:paraId="5CEE9AAA">
                  <w:pPr>
                    <w:pStyle w:val="8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rPr>
                    <w:t>骨料烘干、筛分</w:t>
                  </w:r>
                  <w:r>
                    <w:rPr>
                      <w:rFonts w:hint="default" w:ascii="Times New Roman" w:hAnsi="Times New Roman" w:cs="Times New Roman"/>
                      <w:b w:val="0"/>
                      <w:bCs/>
                      <w:color w:val="auto"/>
                      <w:kern w:val="0"/>
                      <w:sz w:val="21"/>
                      <w:szCs w:val="21"/>
                      <w:lang w:val="en-US" w:eastAsia="zh-CN"/>
                    </w:rPr>
                    <w:t>废气</w:t>
                  </w:r>
                </w:p>
              </w:tc>
              <w:tc>
                <w:tcPr>
                  <w:tcW w:w="2958" w:type="pct"/>
                  <w:tcBorders>
                    <w:tl2br w:val="nil"/>
                    <w:tr2bl w:val="nil"/>
                  </w:tcBorders>
                  <w:shd w:val="clear" w:color="auto" w:fill="auto"/>
                  <w:vAlign w:val="center"/>
                </w:tcPr>
                <w:p w14:paraId="11C6D5EB">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骨料经</w:t>
                  </w:r>
                  <w:r>
                    <w:rPr>
                      <w:rFonts w:hint="default" w:ascii="Times New Roman" w:hAnsi="Times New Roman" w:eastAsia="宋体" w:cs="Times New Roman"/>
                      <w:color w:val="auto"/>
                      <w:spacing w:val="-1"/>
                      <w:sz w:val="21"/>
                      <w:szCs w:val="21"/>
                    </w:rPr>
                    <w:t>斗提提升机封闭提升至烘干筒，</w:t>
                  </w:r>
                  <w:r>
                    <w:rPr>
                      <w:rFonts w:hint="default" w:ascii="Times New Roman" w:hAnsi="Times New Roman" w:eastAsia="宋体" w:cs="Times New Roman"/>
                      <w:color w:val="auto"/>
                      <w:spacing w:val="-1"/>
                      <w:sz w:val="21"/>
                      <w:szCs w:val="21"/>
                      <w:lang w:val="en-US" w:eastAsia="zh-CN"/>
                    </w:rPr>
                    <w:t>骨料</w:t>
                  </w:r>
                  <w:r>
                    <w:rPr>
                      <w:rFonts w:hint="default" w:ascii="Times New Roman" w:hAnsi="Times New Roman" w:eastAsia="宋体" w:cs="Times New Roman"/>
                      <w:color w:val="auto"/>
                      <w:spacing w:val="-1"/>
                      <w:sz w:val="21"/>
                      <w:szCs w:val="21"/>
                    </w:rPr>
                    <w:t>在烘干筒采用轻质燃油点火直接加热烘干，烘干热料经斗提提升机密闭提升至筛分机，经密闭筛分后进入密闭料仓。</w:t>
                  </w:r>
                  <w:r>
                    <w:rPr>
                      <w:rFonts w:hint="default" w:ascii="Times New Roman" w:hAnsi="Times New Roman" w:eastAsia="宋体" w:cs="Times New Roman"/>
                      <w:color w:val="auto"/>
                      <w:spacing w:val="-1"/>
                      <w:sz w:val="21"/>
                      <w:szCs w:val="21"/>
                      <w:lang w:val="en-US" w:eastAsia="zh-CN"/>
                    </w:rPr>
                    <w:t>烘干、</w:t>
                  </w:r>
                  <w:r>
                    <w:rPr>
                      <w:rFonts w:hint="default" w:ascii="Times New Roman" w:hAnsi="Times New Roman" w:eastAsia="宋体" w:cs="Times New Roman"/>
                      <w:color w:val="auto"/>
                      <w:spacing w:val="-1"/>
                      <w:sz w:val="21"/>
                      <w:szCs w:val="21"/>
                    </w:rPr>
                    <w:t>筛分废气污染物经</w:t>
                  </w:r>
                  <w:r>
                    <w:rPr>
                      <w:rFonts w:hint="default" w:ascii="Times New Roman" w:hAnsi="Times New Roman" w:cs="Times New Roman"/>
                      <w:color w:val="auto"/>
                      <w:spacing w:val="-1"/>
                      <w:sz w:val="21"/>
                      <w:szCs w:val="21"/>
                      <w:lang w:val="en-US" w:eastAsia="zh-CN"/>
                    </w:rPr>
                    <w:t>密闭收集</w:t>
                  </w:r>
                  <w:r>
                    <w:rPr>
                      <w:rFonts w:hint="default" w:ascii="Times New Roman" w:hAnsi="Times New Roman" w:eastAsia="宋体" w:cs="Times New Roman"/>
                      <w:color w:val="auto"/>
                      <w:spacing w:val="-1"/>
                      <w:sz w:val="21"/>
                      <w:szCs w:val="21"/>
                    </w:rPr>
                    <w:t>管道引至</w:t>
                  </w:r>
                  <w:r>
                    <w:rPr>
                      <w:rFonts w:hint="default" w:ascii="Times New Roman" w:hAnsi="Times New Roman" w:eastAsia="宋体" w:cs="Times New Roman"/>
                      <w:color w:val="auto"/>
                      <w:spacing w:val="-1"/>
                      <w:sz w:val="21"/>
                      <w:szCs w:val="21"/>
                      <w:lang w:val="en-US" w:eastAsia="zh-CN"/>
                    </w:rPr>
                    <w:t>除尘系统</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1"/>
                      <w:sz w:val="21"/>
                      <w:szCs w:val="21"/>
                      <w:lang w:val="en-US" w:eastAsia="zh-CN"/>
                    </w:rPr>
                    <w:t>一级重力除尘+二级布袋除尘</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1"/>
                      <w:sz w:val="21"/>
                      <w:szCs w:val="21"/>
                      <w:lang w:val="en-US" w:eastAsia="zh-CN"/>
                    </w:rPr>
                    <w:t>处理</w:t>
                  </w:r>
                  <w:r>
                    <w:rPr>
                      <w:rFonts w:hint="default" w:ascii="Times New Roman" w:hAnsi="Times New Roman" w:eastAsia="宋体" w:cs="Times New Roman"/>
                      <w:color w:val="auto"/>
                      <w:spacing w:val="-1"/>
                      <w:sz w:val="21"/>
                      <w:szCs w:val="21"/>
                    </w:rPr>
                    <w:t>后通过</w:t>
                  </w:r>
                  <w:r>
                    <w:rPr>
                      <w:rFonts w:hint="default" w:ascii="Times New Roman" w:hAnsi="Times New Roman" w:cs="Times New Roman"/>
                      <w:color w:val="auto"/>
                      <w:spacing w:val="-1"/>
                      <w:sz w:val="21"/>
                      <w:szCs w:val="21"/>
                      <w:lang w:val="en-US" w:eastAsia="zh-CN"/>
                    </w:rPr>
                    <w:t>20</w:t>
                  </w:r>
                  <w:r>
                    <w:rPr>
                      <w:rFonts w:hint="default" w:ascii="Times New Roman" w:hAnsi="Times New Roman" w:eastAsia="宋体" w:cs="Times New Roman"/>
                      <w:color w:val="auto"/>
                      <w:spacing w:val="-1"/>
                      <w:sz w:val="21"/>
                      <w:szCs w:val="21"/>
                    </w:rPr>
                    <w:t>m排气筒（</w:t>
                  </w:r>
                  <w:r>
                    <w:rPr>
                      <w:rFonts w:hint="default" w:ascii="Times New Roman" w:hAnsi="Times New Roman" w:cs="Times New Roman"/>
                      <w:color w:val="auto"/>
                      <w:spacing w:val="-1"/>
                      <w:sz w:val="21"/>
                      <w:szCs w:val="21"/>
                      <w:lang w:eastAsia="zh-CN"/>
                    </w:rPr>
                    <w:t>DA001</w:t>
                  </w:r>
                  <w:r>
                    <w:rPr>
                      <w:rFonts w:hint="default" w:ascii="Times New Roman" w:hAnsi="Times New Roman" w:eastAsia="宋体" w:cs="Times New Roman"/>
                      <w:color w:val="auto"/>
                      <w:spacing w:val="-1"/>
                      <w:sz w:val="21"/>
                      <w:szCs w:val="21"/>
                    </w:rPr>
                    <w:t>）排放。</w:t>
                  </w:r>
                </w:p>
              </w:tc>
              <w:tc>
                <w:tcPr>
                  <w:tcW w:w="503" w:type="pct"/>
                  <w:vMerge w:val="continue"/>
                  <w:tcBorders>
                    <w:tl2br w:val="nil"/>
                    <w:tr2bl w:val="nil"/>
                  </w:tcBorders>
                  <w:shd w:val="clear" w:color="auto" w:fill="auto"/>
                  <w:vAlign w:val="center"/>
                </w:tcPr>
                <w:p w14:paraId="7C2205AB">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04C1C80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p>
              </w:tc>
            </w:tr>
            <w:tr w14:paraId="62952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40A8438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continue"/>
                  <w:tcBorders>
                    <w:tl2br w:val="nil"/>
                    <w:tr2bl w:val="nil"/>
                  </w:tcBorders>
                  <w:shd w:val="clear" w:color="auto" w:fill="auto"/>
                  <w:vAlign w:val="center"/>
                </w:tcPr>
                <w:p w14:paraId="17DFFA4F">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sz w:val="21"/>
                      <w:szCs w:val="21"/>
                    </w:rPr>
                  </w:pPr>
                </w:p>
              </w:tc>
              <w:tc>
                <w:tcPr>
                  <w:tcW w:w="479" w:type="pct"/>
                  <w:tcBorders>
                    <w:tl2br w:val="nil"/>
                    <w:tr2bl w:val="nil"/>
                  </w:tcBorders>
                  <w:shd w:val="clear" w:color="auto" w:fill="auto"/>
                  <w:vAlign w:val="center"/>
                </w:tcPr>
                <w:p w14:paraId="4D4D39D5">
                  <w:pPr>
                    <w:pStyle w:val="8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rPr>
                    <w:t>轻质油燃烧废气</w:t>
                  </w:r>
                </w:p>
              </w:tc>
              <w:tc>
                <w:tcPr>
                  <w:tcW w:w="2958" w:type="pct"/>
                  <w:tcBorders>
                    <w:tl2br w:val="nil"/>
                    <w:tr2bl w:val="nil"/>
                  </w:tcBorders>
                  <w:shd w:val="clear" w:color="auto" w:fill="auto"/>
                  <w:vAlign w:val="center"/>
                </w:tcPr>
                <w:p w14:paraId="0EC16CDF">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color w:val="auto"/>
                      <w:spacing w:val="-1"/>
                      <w:kern w:val="2"/>
                      <w:sz w:val="21"/>
                      <w:szCs w:val="21"/>
                      <w:lang w:val="en-US" w:eastAsia="zh-CN" w:bidi="ar-SA"/>
                    </w:rPr>
                    <w:t>骨料烘干燃烧器采用轻质油为燃料，</w:t>
                  </w:r>
                  <w:r>
                    <w:rPr>
                      <w:rFonts w:hint="default" w:ascii="Times New Roman" w:hAnsi="Times New Roman" w:cs="Times New Roman"/>
                      <w:color w:val="auto"/>
                      <w:spacing w:val="-1"/>
                      <w:kern w:val="2"/>
                      <w:sz w:val="21"/>
                      <w:szCs w:val="21"/>
                      <w:lang w:val="en-US" w:eastAsia="zh-CN" w:bidi="ar-SA"/>
                    </w:rPr>
                    <w:t>采用低氮燃烧技术，</w:t>
                  </w:r>
                  <w:r>
                    <w:rPr>
                      <w:rFonts w:hint="default" w:ascii="Times New Roman" w:hAnsi="Times New Roman" w:eastAsia="宋体" w:cs="Times New Roman"/>
                      <w:color w:val="auto"/>
                      <w:spacing w:val="-1"/>
                      <w:sz w:val="21"/>
                      <w:szCs w:val="21"/>
                    </w:rPr>
                    <w:t>经管道引至</w:t>
                  </w:r>
                  <w:r>
                    <w:rPr>
                      <w:rFonts w:hint="default" w:ascii="Times New Roman" w:hAnsi="Times New Roman" w:eastAsia="宋体" w:cs="Times New Roman"/>
                      <w:color w:val="auto"/>
                      <w:spacing w:val="-1"/>
                      <w:sz w:val="21"/>
                      <w:szCs w:val="21"/>
                      <w:lang w:val="en-US" w:eastAsia="zh-CN"/>
                    </w:rPr>
                    <w:t>除尘系统</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1"/>
                      <w:sz w:val="21"/>
                      <w:szCs w:val="21"/>
                      <w:lang w:val="en-US" w:eastAsia="zh-CN"/>
                    </w:rPr>
                    <w:t>一级重力除尘+二级布袋除尘</w:t>
                  </w:r>
                  <w:r>
                    <w:rPr>
                      <w:rFonts w:hint="default" w:ascii="Times New Roman" w:hAnsi="Times New Roman" w:eastAsia="宋体" w:cs="Times New Roman"/>
                      <w:color w:val="auto"/>
                      <w:spacing w:val="-1"/>
                      <w:sz w:val="21"/>
                      <w:szCs w:val="21"/>
                      <w:lang w:eastAsia="zh-CN"/>
                    </w:rPr>
                    <w:t>）</w:t>
                  </w:r>
                  <w:r>
                    <w:rPr>
                      <w:rFonts w:hint="default" w:ascii="Times New Roman" w:hAnsi="Times New Roman" w:eastAsia="宋体" w:cs="Times New Roman"/>
                      <w:color w:val="auto"/>
                      <w:spacing w:val="-1"/>
                      <w:sz w:val="21"/>
                      <w:szCs w:val="21"/>
                      <w:lang w:val="en-US" w:eastAsia="zh-CN"/>
                    </w:rPr>
                    <w:t>与</w:t>
                  </w:r>
                  <w:r>
                    <w:rPr>
                      <w:rFonts w:hint="default" w:ascii="Times New Roman" w:hAnsi="Times New Roman" w:eastAsia="宋体" w:cs="Times New Roman"/>
                      <w:b w:val="0"/>
                      <w:bCs/>
                      <w:color w:val="auto"/>
                      <w:kern w:val="0"/>
                      <w:sz w:val="21"/>
                      <w:szCs w:val="21"/>
                      <w:lang w:val="en-US" w:eastAsia="zh-CN"/>
                    </w:rPr>
                    <w:t>骨料烘干、筛分废气</w:t>
                  </w:r>
                  <w:r>
                    <w:rPr>
                      <w:rFonts w:hint="default" w:ascii="Times New Roman" w:hAnsi="Times New Roman" w:eastAsia="宋体" w:cs="Times New Roman"/>
                      <w:color w:val="auto"/>
                      <w:spacing w:val="-1"/>
                      <w:sz w:val="21"/>
                      <w:szCs w:val="21"/>
                    </w:rPr>
                    <w:t>一并</w:t>
                  </w:r>
                  <w:r>
                    <w:rPr>
                      <w:rFonts w:hint="default" w:ascii="Times New Roman" w:hAnsi="Times New Roman" w:eastAsia="宋体" w:cs="Times New Roman"/>
                      <w:color w:val="auto"/>
                      <w:spacing w:val="-1"/>
                      <w:sz w:val="21"/>
                      <w:szCs w:val="21"/>
                      <w:lang w:val="en-US" w:eastAsia="zh-CN"/>
                    </w:rPr>
                    <w:t>处理</w:t>
                  </w:r>
                  <w:r>
                    <w:rPr>
                      <w:rFonts w:hint="default" w:ascii="Times New Roman" w:hAnsi="Times New Roman" w:eastAsia="宋体" w:cs="Times New Roman"/>
                      <w:color w:val="auto"/>
                      <w:spacing w:val="-1"/>
                      <w:sz w:val="21"/>
                      <w:szCs w:val="21"/>
                    </w:rPr>
                    <w:t>后通过</w:t>
                  </w:r>
                  <w:r>
                    <w:rPr>
                      <w:rFonts w:hint="default" w:ascii="Times New Roman" w:hAnsi="Times New Roman" w:cs="Times New Roman"/>
                      <w:color w:val="auto"/>
                      <w:spacing w:val="-1"/>
                      <w:sz w:val="21"/>
                      <w:szCs w:val="21"/>
                      <w:lang w:val="en-US" w:eastAsia="zh-CN"/>
                    </w:rPr>
                    <w:t>20</w:t>
                  </w:r>
                  <w:r>
                    <w:rPr>
                      <w:rFonts w:hint="default" w:ascii="Times New Roman" w:hAnsi="Times New Roman" w:eastAsia="宋体" w:cs="Times New Roman"/>
                      <w:color w:val="auto"/>
                      <w:spacing w:val="-1"/>
                      <w:sz w:val="21"/>
                      <w:szCs w:val="21"/>
                    </w:rPr>
                    <w:t>m排气筒（</w:t>
                  </w:r>
                  <w:r>
                    <w:rPr>
                      <w:rFonts w:hint="default" w:ascii="Times New Roman" w:hAnsi="Times New Roman" w:cs="Times New Roman"/>
                      <w:color w:val="auto"/>
                      <w:spacing w:val="-1"/>
                      <w:sz w:val="21"/>
                      <w:szCs w:val="21"/>
                      <w:lang w:eastAsia="zh-CN"/>
                    </w:rPr>
                    <w:t>DA001</w:t>
                  </w:r>
                  <w:r>
                    <w:rPr>
                      <w:rFonts w:hint="default" w:ascii="Times New Roman" w:hAnsi="Times New Roman" w:eastAsia="宋体" w:cs="Times New Roman"/>
                      <w:color w:val="auto"/>
                      <w:spacing w:val="-1"/>
                      <w:sz w:val="21"/>
                      <w:szCs w:val="21"/>
                    </w:rPr>
                    <w:t>）排放</w:t>
                  </w:r>
                </w:p>
              </w:tc>
              <w:tc>
                <w:tcPr>
                  <w:tcW w:w="503" w:type="pct"/>
                  <w:vMerge w:val="continue"/>
                  <w:tcBorders>
                    <w:tl2br w:val="nil"/>
                    <w:tr2bl w:val="nil"/>
                  </w:tcBorders>
                  <w:shd w:val="clear" w:color="auto" w:fill="auto"/>
                  <w:vAlign w:val="center"/>
                </w:tcPr>
                <w:p w14:paraId="4CF48D39">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564F32A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p>
              </w:tc>
            </w:tr>
            <w:tr w14:paraId="01EBA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11E0D2F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continue"/>
                  <w:tcBorders>
                    <w:tl2br w:val="nil"/>
                    <w:tr2bl w:val="nil"/>
                  </w:tcBorders>
                  <w:shd w:val="clear" w:color="auto" w:fill="auto"/>
                  <w:vAlign w:val="center"/>
                </w:tcPr>
                <w:p w14:paraId="712CCAF4">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sz w:val="21"/>
                      <w:szCs w:val="21"/>
                    </w:rPr>
                  </w:pPr>
                </w:p>
              </w:tc>
              <w:tc>
                <w:tcPr>
                  <w:tcW w:w="479" w:type="pct"/>
                  <w:tcBorders>
                    <w:tl2br w:val="nil"/>
                    <w:tr2bl w:val="nil"/>
                  </w:tcBorders>
                  <w:shd w:val="clear" w:color="auto" w:fill="auto"/>
                  <w:vAlign w:val="center"/>
                </w:tcPr>
                <w:p w14:paraId="283163B3">
                  <w:pPr>
                    <w:pStyle w:val="8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骨料堆场及装卸扬尘</w:t>
                  </w:r>
                </w:p>
              </w:tc>
              <w:tc>
                <w:tcPr>
                  <w:tcW w:w="2958" w:type="pct"/>
                  <w:tcBorders>
                    <w:tl2br w:val="nil"/>
                    <w:tr2bl w:val="nil"/>
                  </w:tcBorders>
                  <w:shd w:val="clear" w:color="auto" w:fill="auto"/>
                  <w:vAlign w:val="center"/>
                </w:tcPr>
                <w:p w14:paraId="4A34F6E8">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骨料堆场均采取钢结构厂房（三面封闭+顶棚），料仓顶部安装多排喷雾降尘装置。</w:t>
                  </w:r>
                </w:p>
              </w:tc>
              <w:tc>
                <w:tcPr>
                  <w:tcW w:w="503" w:type="pct"/>
                  <w:vMerge w:val="continue"/>
                  <w:tcBorders>
                    <w:tl2br w:val="nil"/>
                    <w:tr2bl w:val="nil"/>
                  </w:tcBorders>
                  <w:shd w:val="clear" w:color="auto" w:fill="auto"/>
                  <w:vAlign w:val="center"/>
                </w:tcPr>
                <w:p w14:paraId="518D9227">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36BCF29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698CD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07DD19F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continue"/>
                  <w:tcBorders>
                    <w:tl2br w:val="nil"/>
                    <w:tr2bl w:val="nil"/>
                  </w:tcBorders>
                  <w:shd w:val="clear" w:color="auto" w:fill="auto"/>
                  <w:vAlign w:val="center"/>
                </w:tcPr>
                <w:p w14:paraId="7E5B7201">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sz w:val="21"/>
                      <w:szCs w:val="21"/>
                    </w:rPr>
                  </w:pPr>
                </w:p>
              </w:tc>
              <w:tc>
                <w:tcPr>
                  <w:tcW w:w="479" w:type="pct"/>
                  <w:tcBorders>
                    <w:tl2br w:val="nil"/>
                    <w:tr2bl w:val="nil"/>
                  </w:tcBorders>
                  <w:shd w:val="clear" w:color="auto" w:fill="auto"/>
                  <w:vAlign w:val="center"/>
                </w:tcPr>
                <w:p w14:paraId="64D660D0">
                  <w:pPr>
                    <w:pStyle w:val="8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运输道路扬尘</w:t>
                  </w:r>
                </w:p>
              </w:tc>
              <w:tc>
                <w:tcPr>
                  <w:tcW w:w="2958" w:type="pct"/>
                  <w:tcBorders>
                    <w:tl2br w:val="nil"/>
                    <w:tr2bl w:val="nil"/>
                  </w:tcBorders>
                  <w:shd w:val="clear" w:color="auto" w:fill="auto"/>
                  <w:vAlign w:val="center"/>
                </w:tcPr>
                <w:p w14:paraId="0952D406">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厂区路面硬化，设置雾炮机对路面洒水降尘，进出场口设置车辆冲洗平台。</w:t>
                  </w:r>
                </w:p>
              </w:tc>
              <w:tc>
                <w:tcPr>
                  <w:tcW w:w="503" w:type="pct"/>
                  <w:vMerge w:val="continue"/>
                  <w:tcBorders>
                    <w:tl2br w:val="nil"/>
                    <w:tr2bl w:val="nil"/>
                  </w:tcBorders>
                  <w:shd w:val="clear" w:color="auto" w:fill="auto"/>
                  <w:vAlign w:val="center"/>
                </w:tcPr>
                <w:p w14:paraId="179A4496">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3B8957B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B9FD3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19E2A12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continue"/>
                  <w:tcBorders>
                    <w:tl2br w:val="nil"/>
                    <w:tr2bl w:val="nil"/>
                  </w:tcBorders>
                  <w:shd w:val="clear" w:color="auto" w:fill="auto"/>
                  <w:vAlign w:val="center"/>
                </w:tcPr>
                <w:p w14:paraId="10458340">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sz w:val="21"/>
                      <w:szCs w:val="21"/>
                    </w:rPr>
                  </w:pPr>
                </w:p>
              </w:tc>
              <w:tc>
                <w:tcPr>
                  <w:tcW w:w="479" w:type="pct"/>
                  <w:tcBorders>
                    <w:tl2br w:val="nil"/>
                    <w:tr2bl w:val="nil"/>
                  </w:tcBorders>
                  <w:shd w:val="clear" w:color="auto" w:fill="auto"/>
                  <w:vAlign w:val="center"/>
                </w:tcPr>
                <w:p w14:paraId="72ADB90E">
                  <w:pPr>
                    <w:pStyle w:val="8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rPr>
                    <w:t>汽车尾气</w:t>
                  </w:r>
                </w:p>
              </w:tc>
              <w:tc>
                <w:tcPr>
                  <w:tcW w:w="2958" w:type="pct"/>
                  <w:tcBorders>
                    <w:tl2br w:val="nil"/>
                    <w:tr2bl w:val="nil"/>
                  </w:tcBorders>
                  <w:shd w:val="clear" w:color="auto" w:fill="auto"/>
                  <w:vAlign w:val="center"/>
                </w:tcPr>
                <w:p w14:paraId="3430737F">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color w:val="auto"/>
                      <w:spacing w:val="-1"/>
                      <w:sz w:val="21"/>
                      <w:szCs w:val="21"/>
                      <w:lang w:val="en-US" w:eastAsia="zh-CN"/>
                    </w:rPr>
                    <w:t>加强管理，减少怠速行驶。</w:t>
                  </w:r>
                </w:p>
              </w:tc>
              <w:tc>
                <w:tcPr>
                  <w:tcW w:w="503" w:type="pct"/>
                  <w:vMerge w:val="continue"/>
                  <w:tcBorders>
                    <w:tl2br w:val="nil"/>
                    <w:tr2bl w:val="nil"/>
                  </w:tcBorders>
                  <w:shd w:val="clear" w:color="auto" w:fill="auto"/>
                  <w:vAlign w:val="center"/>
                </w:tcPr>
                <w:p w14:paraId="1DB91CC8">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48718F7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50BE6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30DAA4A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continue"/>
                  <w:tcBorders>
                    <w:tl2br w:val="nil"/>
                    <w:tr2bl w:val="nil"/>
                  </w:tcBorders>
                  <w:shd w:val="clear" w:color="auto" w:fill="auto"/>
                  <w:vAlign w:val="center"/>
                </w:tcPr>
                <w:p w14:paraId="6A15FC73">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sz w:val="21"/>
                      <w:szCs w:val="21"/>
                    </w:rPr>
                  </w:pPr>
                </w:p>
              </w:tc>
              <w:tc>
                <w:tcPr>
                  <w:tcW w:w="479" w:type="pct"/>
                  <w:tcBorders>
                    <w:tl2br w:val="nil"/>
                    <w:tr2bl w:val="nil"/>
                  </w:tcBorders>
                  <w:shd w:val="clear" w:color="auto" w:fill="auto"/>
                  <w:vAlign w:val="center"/>
                </w:tcPr>
                <w:p w14:paraId="0FED2C9F">
                  <w:pPr>
                    <w:pStyle w:val="8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食堂油烟</w:t>
                  </w:r>
                </w:p>
              </w:tc>
              <w:tc>
                <w:tcPr>
                  <w:tcW w:w="2958" w:type="pct"/>
                  <w:tcBorders>
                    <w:tl2br w:val="nil"/>
                    <w:tr2bl w:val="nil"/>
                  </w:tcBorders>
                  <w:shd w:val="clear" w:color="auto" w:fill="auto"/>
                  <w:vAlign w:val="center"/>
                </w:tcPr>
                <w:p w14:paraId="2EE79D8E">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z w:val="21"/>
                      <w:szCs w:val="21"/>
                      <w:highlight w:val="none"/>
                      <w:lang w:val="en-US" w:eastAsia="zh-CN"/>
                    </w:rPr>
                    <w:t>安装抽油烟机，食堂油烟</w:t>
                  </w:r>
                  <w:r>
                    <w:rPr>
                      <w:rFonts w:hint="default" w:ascii="Times New Roman" w:hAnsi="Times New Roman" w:eastAsia="宋体" w:cs="Times New Roman"/>
                      <w:color w:val="auto"/>
                      <w:spacing w:val="-6"/>
                      <w:sz w:val="21"/>
                      <w:szCs w:val="21"/>
                      <w:highlight w:val="none"/>
                    </w:rPr>
                    <w:t>经自带过滤装置的抽油烟机处理后</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经烟管引至室外排放。</w:t>
                  </w:r>
                </w:p>
              </w:tc>
              <w:tc>
                <w:tcPr>
                  <w:tcW w:w="503" w:type="pct"/>
                  <w:vMerge w:val="continue"/>
                  <w:tcBorders>
                    <w:tl2br w:val="nil"/>
                    <w:tr2bl w:val="nil"/>
                  </w:tcBorders>
                  <w:shd w:val="clear" w:color="auto" w:fill="auto"/>
                  <w:vAlign w:val="center"/>
                </w:tcPr>
                <w:p w14:paraId="7F2DA28F">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1C15E16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2818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63AF2B7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restart"/>
                  <w:tcBorders>
                    <w:tl2br w:val="nil"/>
                    <w:tr2bl w:val="nil"/>
                  </w:tcBorders>
                  <w:shd w:val="clear" w:color="auto" w:fill="auto"/>
                  <w:vAlign w:val="center"/>
                </w:tcPr>
                <w:p w14:paraId="4334B1B3">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废水</w:t>
                  </w:r>
                </w:p>
              </w:tc>
              <w:tc>
                <w:tcPr>
                  <w:tcW w:w="479" w:type="pct"/>
                  <w:tcBorders>
                    <w:tl2br w:val="nil"/>
                    <w:tr2bl w:val="nil"/>
                  </w:tcBorders>
                  <w:shd w:val="clear" w:color="auto" w:fill="auto"/>
                  <w:vAlign w:val="center"/>
                </w:tcPr>
                <w:p w14:paraId="23252AB8">
                  <w:pPr>
                    <w:tabs>
                      <w:tab w:val="left" w:pos="993"/>
                      <w:tab w:val="left" w:pos="1134"/>
                    </w:tabs>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车辆冲洗废水</w:t>
                  </w:r>
                </w:p>
              </w:tc>
              <w:tc>
                <w:tcPr>
                  <w:tcW w:w="2958" w:type="pct"/>
                  <w:tcBorders>
                    <w:tl2br w:val="nil"/>
                    <w:tr2bl w:val="nil"/>
                  </w:tcBorders>
                  <w:shd w:val="clear" w:color="auto" w:fill="auto"/>
                  <w:vAlign w:val="center"/>
                </w:tcPr>
                <w:p w14:paraId="6FF5F3D8">
                  <w:pPr>
                    <w:tabs>
                      <w:tab w:val="left" w:pos="993"/>
                      <w:tab w:val="left" w:pos="1134"/>
                    </w:tabs>
                    <w:spacing w:line="240" w:lineRule="exact"/>
                    <w:jc w:val="left"/>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在</w:t>
                  </w:r>
                  <w:r>
                    <w:rPr>
                      <w:rFonts w:hint="default" w:ascii="Times New Roman" w:hAnsi="Times New Roman" w:eastAsia="宋体" w:cs="Times New Roman"/>
                      <w:bCs/>
                      <w:color w:val="auto"/>
                      <w:sz w:val="21"/>
                      <w:szCs w:val="21"/>
                      <w:lang w:val="en-US" w:eastAsia="zh-CN"/>
                    </w:rPr>
                    <w:t>项目西</w:t>
                  </w:r>
                  <w:r>
                    <w:rPr>
                      <w:rFonts w:hint="default" w:ascii="Times New Roman" w:hAnsi="Times New Roman" w:eastAsia="宋体" w:cs="Times New Roman"/>
                      <w:bCs/>
                      <w:color w:val="auto"/>
                      <w:sz w:val="21"/>
                      <w:szCs w:val="21"/>
                    </w:rPr>
                    <w:t>侧</w:t>
                  </w:r>
                  <w:r>
                    <w:rPr>
                      <w:rFonts w:hint="default" w:ascii="Times New Roman" w:hAnsi="Times New Roman" w:eastAsia="宋体" w:cs="Times New Roman"/>
                      <w:bCs/>
                      <w:color w:val="auto"/>
                      <w:sz w:val="21"/>
                      <w:szCs w:val="21"/>
                      <w:lang w:val="en-US" w:eastAsia="zh-CN"/>
                    </w:rPr>
                    <w:t>厂区入口处设置</w:t>
                  </w:r>
                  <w:r>
                    <w:rPr>
                      <w:rFonts w:hint="default" w:ascii="Times New Roman" w:hAnsi="Times New Roman" w:eastAsia="宋体" w:cs="Times New Roman"/>
                      <w:bCs/>
                      <w:color w:val="auto"/>
                      <w:sz w:val="21"/>
                      <w:szCs w:val="21"/>
                    </w:rPr>
                    <w:t>车辆冲洗平台</w:t>
                  </w:r>
                  <w:r>
                    <w:rPr>
                      <w:rFonts w:hint="default" w:ascii="Times New Roman" w:hAnsi="Times New Roman" w:eastAsia="宋体" w:cs="Times New Roman"/>
                      <w:bCs/>
                      <w:color w:val="auto"/>
                      <w:sz w:val="21"/>
                      <w:szCs w:val="21"/>
                      <w:lang w:val="en-US" w:eastAsia="zh-CN"/>
                    </w:rPr>
                    <w:t>，车辆冲洗废水进入三级沉淀池</w:t>
                  </w:r>
                  <w:r>
                    <w:rPr>
                      <w:rFonts w:hint="default" w:ascii="Times New Roman" w:hAnsi="Times New Roman" w:eastAsia="宋体" w:cs="Times New Roman"/>
                      <w:color w:val="auto"/>
                      <w:sz w:val="21"/>
                      <w:szCs w:val="21"/>
                    </w:rPr>
                    <w:t>（容积</w:t>
                  </w:r>
                  <w:r>
                    <w:rPr>
                      <w:rFonts w:hint="default"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bCs/>
                      <w:color w:val="auto"/>
                      <w:sz w:val="21"/>
                      <w:szCs w:val="21"/>
                    </w:rPr>
                    <w:t>，处理后回用于生产，不外排。</w:t>
                  </w:r>
                </w:p>
              </w:tc>
              <w:tc>
                <w:tcPr>
                  <w:tcW w:w="503" w:type="pct"/>
                  <w:vMerge w:val="continue"/>
                  <w:tcBorders>
                    <w:tl2br w:val="nil"/>
                    <w:tr2bl w:val="nil"/>
                  </w:tcBorders>
                  <w:shd w:val="clear" w:color="auto" w:fill="auto"/>
                  <w:vAlign w:val="center"/>
                </w:tcPr>
                <w:p w14:paraId="4582590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32A720D2">
                  <w:pPr>
                    <w:keepNext w:val="0"/>
                    <w:keepLines w:val="0"/>
                    <w:pageBreakBefore w:val="0"/>
                    <w:widowControl w:val="0"/>
                    <w:kinsoku/>
                    <w:wordWrap/>
                    <w:overflowPunct/>
                    <w:topLinePunct w:val="0"/>
                    <w:autoSpaceDE/>
                    <w:autoSpaceDN/>
                    <w:bidi w:val="0"/>
                    <w:adjustRightInd w:val="0"/>
                    <w:snapToGrid w:val="0"/>
                    <w:spacing w:line="240" w:lineRule="auto"/>
                    <w:ind w:left="-48" w:leftChars="-23" w:right="-36" w:rightChars="-17"/>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cs="Times New Roman"/>
                      <w:snapToGrid w:val="0"/>
                      <w:color w:val="auto"/>
                      <w:kern w:val="0"/>
                      <w:szCs w:val="21"/>
                      <w:lang w:val="en-US" w:eastAsia="zh-CN"/>
                    </w:rPr>
                    <w:t>污泥</w:t>
                  </w:r>
                </w:p>
              </w:tc>
            </w:tr>
            <w:tr w14:paraId="31D52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23739F3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continue"/>
                  <w:tcBorders>
                    <w:tl2br w:val="nil"/>
                    <w:tr2bl w:val="nil"/>
                  </w:tcBorders>
                  <w:shd w:val="clear" w:color="auto" w:fill="auto"/>
                  <w:vAlign w:val="center"/>
                </w:tcPr>
                <w:p w14:paraId="108B3F2F">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sz w:val="21"/>
                      <w:szCs w:val="21"/>
                    </w:rPr>
                  </w:pPr>
                </w:p>
              </w:tc>
              <w:tc>
                <w:tcPr>
                  <w:tcW w:w="479" w:type="pct"/>
                  <w:tcBorders>
                    <w:tl2br w:val="nil"/>
                    <w:tr2bl w:val="nil"/>
                  </w:tcBorders>
                  <w:shd w:val="clear" w:color="auto" w:fill="auto"/>
                  <w:vAlign w:val="center"/>
                </w:tcPr>
                <w:p w14:paraId="225A8B42">
                  <w:pPr>
                    <w:tabs>
                      <w:tab w:val="left" w:pos="993"/>
                      <w:tab w:val="left" w:pos="1134"/>
                    </w:tabs>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4"/>
                      <w:sz w:val="21"/>
                      <w:szCs w:val="21"/>
                    </w:rPr>
                    <w:t>地面冲洗废水</w:t>
                  </w:r>
                </w:p>
              </w:tc>
              <w:tc>
                <w:tcPr>
                  <w:tcW w:w="2958" w:type="pct"/>
                  <w:tcBorders>
                    <w:tl2br w:val="nil"/>
                    <w:tr2bl w:val="nil"/>
                  </w:tcBorders>
                  <w:shd w:val="clear" w:color="auto" w:fill="auto"/>
                  <w:vAlign w:val="center"/>
                </w:tcPr>
                <w:p w14:paraId="44354419">
                  <w:pPr>
                    <w:tabs>
                      <w:tab w:val="left" w:pos="993"/>
                      <w:tab w:val="left" w:pos="1134"/>
                    </w:tabs>
                    <w:spacing w:line="240" w:lineRule="exact"/>
                    <w:jc w:val="left"/>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在场地</w:t>
                  </w:r>
                  <w:r>
                    <w:rPr>
                      <w:rFonts w:hint="default" w:ascii="Times New Roman" w:hAnsi="Times New Roman" w:eastAsia="宋体" w:cs="Times New Roman"/>
                      <w:color w:val="auto"/>
                      <w:sz w:val="21"/>
                      <w:szCs w:val="21"/>
                      <w:lang w:val="en-US" w:eastAsia="zh-CN"/>
                    </w:rPr>
                    <w:t>东北侧地势低洼处</w:t>
                  </w:r>
                  <w:r>
                    <w:rPr>
                      <w:rFonts w:hint="default" w:ascii="Times New Roman" w:hAnsi="Times New Roman" w:eastAsia="宋体" w:cs="Times New Roman"/>
                      <w:color w:val="auto"/>
                      <w:sz w:val="21"/>
                      <w:szCs w:val="21"/>
                    </w:rPr>
                    <w:t>设置一个</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×3×</w:t>
                  </w: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rPr>
                    <w:t>m的</w:t>
                  </w:r>
                  <w:r>
                    <w:rPr>
                      <w:rFonts w:hint="default" w:ascii="Times New Roman" w:hAnsi="Times New Roman" w:eastAsia="宋体" w:cs="Times New Roman"/>
                      <w:color w:val="auto"/>
                      <w:sz w:val="21"/>
                      <w:szCs w:val="21"/>
                      <w:lang w:val="en-US" w:eastAsia="zh-CN"/>
                    </w:rPr>
                    <w:t>三</w:t>
                  </w:r>
                  <w:r>
                    <w:rPr>
                      <w:rFonts w:hint="default" w:ascii="Times New Roman" w:hAnsi="Times New Roman" w:eastAsia="宋体" w:cs="Times New Roman"/>
                      <w:color w:val="auto"/>
                      <w:sz w:val="21"/>
                      <w:szCs w:val="21"/>
                    </w:rPr>
                    <w:t>级沉淀池（容积</w:t>
                  </w:r>
                  <w:r>
                    <w:rPr>
                      <w:rFonts w:hint="default"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收集厂区的场地冲洗水，与车辆冲洗废水一起处理，不外排。</w:t>
                  </w:r>
                </w:p>
              </w:tc>
              <w:tc>
                <w:tcPr>
                  <w:tcW w:w="503" w:type="pct"/>
                  <w:vMerge w:val="continue"/>
                  <w:tcBorders>
                    <w:tl2br w:val="nil"/>
                    <w:tr2bl w:val="nil"/>
                  </w:tcBorders>
                  <w:shd w:val="clear" w:color="auto" w:fill="auto"/>
                  <w:vAlign w:val="center"/>
                </w:tcPr>
                <w:p w14:paraId="4FAA4BE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4BB2D72D">
                  <w:pPr>
                    <w:keepNext w:val="0"/>
                    <w:keepLines w:val="0"/>
                    <w:pageBreakBefore w:val="0"/>
                    <w:widowControl w:val="0"/>
                    <w:kinsoku/>
                    <w:wordWrap/>
                    <w:overflowPunct/>
                    <w:topLinePunct w:val="0"/>
                    <w:autoSpaceDE/>
                    <w:autoSpaceDN/>
                    <w:bidi w:val="0"/>
                    <w:adjustRightInd w:val="0"/>
                    <w:snapToGrid w:val="0"/>
                    <w:spacing w:line="240" w:lineRule="auto"/>
                    <w:ind w:left="-48" w:leftChars="-23" w:right="-36" w:rightChars="-17"/>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color w:val="auto"/>
                      <w:sz w:val="21"/>
                      <w:szCs w:val="21"/>
                      <w:lang w:val="en-US" w:eastAsia="zh-CN"/>
                    </w:rPr>
                    <w:t>/</w:t>
                  </w:r>
                </w:p>
              </w:tc>
            </w:tr>
            <w:tr w14:paraId="4A3084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7D17AE3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continue"/>
                  <w:tcBorders>
                    <w:tl2br w:val="nil"/>
                    <w:tr2bl w:val="nil"/>
                  </w:tcBorders>
                  <w:shd w:val="clear" w:color="auto" w:fill="auto"/>
                  <w:vAlign w:val="center"/>
                </w:tcPr>
                <w:p w14:paraId="71E69A09">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sz w:val="21"/>
                      <w:szCs w:val="21"/>
                    </w:rPr>
                  </w:pPr>
                </w:p>
              </w:tc>
              <w:tc>
                <w:tcPr>
                  <w:tcW w:w="479" w:type="pct"/>
                  <w:tcBorders>
                    <w:tl2br w:val="nil"/>
                    <w:tr2bl w:val="nil"/>
                  </w:tcBorders>
                  <w:shd w:val="clear" w:color="auto" w:fill="auto"/>
                  <w:vAlign w:val="center"/>
                </w:tcPr>
                <w:p w14:paraId="44CDE346">
                  <w:pPr>
                    <w:tabs>
                      <w:tab w:val="left" w:pos="993"/>
                      <w:tab w:val="left" w:pos="1134"/>
                    </w:tabs>
                    <w:spacing w:line="240" w:lineRule="exact"/>
                    <w:jc w:val="center"/>
                    <w:rPr>
                      <w:rFonts w:hint="default" w:ascii="Times New Roman" w:hAnsi="Times New Roman" w:eastAsia="宋体" w:cs="Times New Roman"/>
                      <w:color w:val="auto"/>
                      <w:kern w:val="2"/>
                      <w:sz w:val="21"/>
                      <w:szCs w:val="21"/>
                      <w:lang w:val="en-US" w:eastAsia="zh-CN" w:bidi="ar-SA"/>
                    </w:rPr>
                  </w:pPr>
                  <w:r>
                    <w:rPr>
                      <w:rStyle w:val="84"/>
                      <w:rFonts w:hint="default" w:ascii="Times New Roman" w:hAnsi="Times New Roman" w:eastAsia="宋体" w:cs="Times New Roman"/>
                      <w:color w:val="auto"/>
                      <w:sz w:val="21"/>
                      <w:szCs w:val="21"/>
                    </w:rPr>
                    <w:t>初期雨水</w:t>
                  </w:r>
                </w:p>
              </w:tc>
              <w:tc>
                <w:tcPr>
                  <w:tcW w:w="2958" w:type="pct"/>
                  <w:tcBorders>
                    <w:tl2br w:val="nil"/>
                    <w:tr2bl w:val="nil"/>
                  </w:tcBorders>
                  <w:shd w:val="clear" w:color="auto" w:fill="auto"/>
                  <w:vAlign w:val="center"/>
                </w:tcPr>
                <w:p w14:paraId="1BE369C5">
                  <w:pPr>
                    <w:tabs>
                      <w:tab w:val="left" w:pos="993"/>
                      <w:tab w:val="left" w:pos="1134"/>
                    </w:tabs>
                    <w:spacing w:line="240" w:lineRule="exact"/>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
                      <w:sz w:val="21"/>
                      <w:szCs w:val="21"/>
                      <w:lang w:val="en-US" w:eastAsia="zh-CN"/>
                    </w:rPr>
                    <w:t>厂区</w:t>
                  </w:r>
                  <w:r>
                    <w:rPr>
                      <w:rFonts w:hint="default" w:ascii="Times New Roman" w:hAnsi="Times New Roman" w:eastAsia="宋体" w:cs="Times New Roman"/>
                      <w:color w:val="auto"/>
                      <w:spacing w:val="-1"/>
                      <w:sz w:val="21"/>
                      <w:szCs w:val="21"/>
                    </w:rPr>
                    <w:t>周围建排水沟；场外雨水直接随雨水沟排放；场</w:t>
                  </w:r>
                  <w:r>
                    <w:rPr>
                      <w:rFonts w:hint="default" w:ascii="Times New Roman" w:hAnsi="Times New Roman" w:eastAsia="宋体" w:cs="Times New Roman"/>
                      <w:color w:val="auto"/>
                      <w:spacing w:val="-1"/>
                      <w:sz w:val="21"/>
                      <w:szCs w:val="21"/>
                      <w:lang w:val="en-US" w:eastAsia="zh-CN"/>
                    </w:rPr>
                    <w:t>地</w:t>
                  </w:r>
                  <w:r>
                    <w:rPr>
                      <w:rFonts w:hint="default" w:ascii="Times New Roman" w:hAnsi="Times New Roman" w:eastAsia="宋体" w:cs="Times New Roman"/>
                      <w:color w:val="auto"/>
                      <w:spacing w:val="-1"/>
                      <w:sz w:val="21"/>
                      <w:szCs w:val="21"/>
                    </w:rPr>
                    <w:t>内</w:t>
                  </w:r>
                  <w:r>
                    <w:rPr>
                      <w:rFonts w:hint="default" w:ascii="Times New Roman" w:hAnsi="Times New Roman" w:eastAsia="宋体" w:cs="Times New Roman"/>
                      <w:color w:val="auto"/>
                      <w:spacing w:val="-1"/>
                      <w:sz w:val="21"/>
                      <w:szCs w:val="21"/>
                      <w:lang w:val="en-US" w:eastAsia="zh-CN"/>
                    </w:rPr>
                    <w:t>设置截排水沟，</w:t>
                  </w:r>
                  <w:r>
                    <w:rPr>
                      <w:rFonts w:hint="default" w:ascii="Times New Roman" w:hAnsi="Times New Roman" w:eastAsia="宋体" w:cs="Times New Roman"/>
                      <w:color w:val="auto"/>
                      <w:spacing w:val="-1"/>
                      <w:sz w:val="21"/>
                      <w:szCs w:val="21"/>
                    </w:rPr>
                    <w:t>雨水及冲洗废水经收集</w:t>
                  </w:r>
                  <w:r>
                    <w:rPr>
                      <w:rFonts w:hint="default" w:ascii="Times New Roman" w:hAnsi="Times New Roman" w:eastAsia="宋体" w:cs="Times New Roman"/>
                      <w:color w:val="auto"/>
                      <w:spacing w:val="-1"/>
                      <w:sz w:val="21"/>
                      <w:szCs w:val="21"/>
                      <w:lang w:val="en-US" w:eastAsia="zh-CN"/>
                    </w:rPr>
                    <w:t>进入三级沉淀池</w:t>
                  </w:r>
                  <w:r>
                    <w:rPr>
                      <w:rFonts w:hint="default" w:ascii="Times New Roman" w:hAnsi="Times New Roman" w:eastAsia="宋体" w:cs="Times New Roman"/>
                      <w:color w:val="auto"/>
                      <w:sz w:val="21"/>
                      <w:szCs w:val="21"/>
                    </w:rPr>
                    <w:t>（容积</w:t>
                  </w:r>
                  <w:r>
                    <w:rPr>
                      <w:rFonts w:hint="default"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1"/>
                      <w:sz w:val="21"/>
                      <w:szCs w:val="21"/>
                    </w:rPr>
                    <w:t>处理后回用</w:t>
                  </w:r>
                </w:p>
              </w:tc>
              <w:tc>
                <w:tcPr>
                  <w:tcW w:w="503" w:type="pct"/>
                  <w:vMerge w:val="continue"/>
                  <w:tcBorders>
                    <w:tl2br w:val="nil"/>
                    <w:tr2bl w:val="nil"/>
                  </w:tcBorders>
                  <w:shd w:val="clear" w:color="auto" w:fill="auto"/>
                  <w:vAlign w:val="center"/>
                </w:tcPr>
                <w:p w14:paraId="67B4CB2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23585A2C">
                  <w:pPr>
                    <w:keepNext w:val="0"/>
                    <w:keepLines w:val="0"/>
                    <w:pageBreakBefore w:val="0"/>
                    <w:widowControl w:val="0"/>
                    <w:kinsoku/>
                    <w:wordWrap/>
                    <w:overflowPunct/>
                    <w:topLinePunct w:val="0"/>
                    <w:autoSpaceDE/>
                    <w:autoSpaceDN/>
                    <w:bidi w:val="0"/>
                    <w:adjustRightInd w:val="0"/>
                    <w:snapToGrid w:val="0"/>
                    <w:spacing w:line="240" w:lineRule="auto"/>
                    <w:ind w:left="-48" w:leftChars="-23" w:right="-36" w:rightChars="-17"/>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color w:val="auto"/>
                      <w:sz w:val="21"/>
                      <w:szCs w:val="21"/>
                      <w:lang w:val="en-US" w:eastAsia="zh-CN"/>
                    </w:rPr>
                    <w:t>/</w:t>
                  </w:r>
                </w:p>
              </w:tc>
            </w:tr>
            <w:tr w14:paraId="1B4C7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459B9E4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continue"/>
                  <w:tcBorders>
                    <w:tl2br w:val="nil"/>
                    <w:tr2bl w:val="nil"/>
                  </w:tcBorders>
                  <w:shd w:val="clear" w:color="auto" w:fill="auto"/>
                  <w:vAlign w:val="center"/>
                </w:tcPr>
                <w:p w14:paraId="40A6A909">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sz w:val="21"/>
                      <w:szCs w:val="21"/>
                    </w:rPr>
                  </w:pPr>
                </w:p>
              </w:tc>
              <w:tc>
                <w:tcPr>
                  <w:tcW w:w="479" w:type="pct"/>
                  <w:tcBorders>
                    <w:tl2br w:val="nil"/>
                    <w:tr2bl w:val="nil"/>
                  </w:tcBorders>
                  <w:shd w:val="clear" w:color="auto" w:fill="auto"/>
                  <w:vAlign w:val="center"/>
                </w:tcPr>
                <w:p w14:paraId="10AA7F74">
                  <w:pPr>
                    <w:tabs>
                      <w:tab w:val="left" w:pos="993"/>
                      <w:tab w:val="left" w:pos="1134"/>
                    </w:tabs>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生活污水</w:t>
                  </w:r>
                </w:p>
              </w:tc>
              <w:tc>
                <w:tcPr>
                  <w:tcW w:w="2958" w:type="pct"/>
                  <w:tcBorders>
                    <w:tl2br w:val="nil"/>
                    <w:tr2bl w:val="nil"/>
                  </w:tcBorders>
                  <w:shd w:val="clear" w:color="auto" w:fill="auto"/>
                  <w:vAlign w:val="center"/>
                </w:tcPr>
                <w:p w14:paraId="1AA73913">
                  <w:pPr>
                    <w:pStyle w:val="11"/>
                    <w:spacing w:line="24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
                      <w:sz w:val="21"/>
                      <w:szCs w:val="21"/>
                      <w:lang w:val="en-US" w:eastAsia="zh-CN"/>
                    </w:rPr>
                    <w:t>经化粪池</w:t>
                  </w:r>
                  <w:r>
                    <w:rPr>
                      <w:rFonts w:hint="default" w:ascii="Times New Roman" w:hAnsi="Times New Roman" w:cs="Times New Roman"/>
                      <w:color w:val="auto"/>
                      <w:spacing w:val="-1"/>
                      <w:sz w:val="21"/>
                      <w:szCs w:val="21"/>
                      <w:lang w:val="en-US" w:eastAsia="zh-CN"/>
                    </w:rPr>
                    <w:t>（5m</w:t>
                  </w:r>
                  <w:r>
                    <w:rPr>
                      <w:rFonts w:hint="default" w:ascii="Times New Roman" w:hAnsi="Times New Roman" w:cs="Times New Roman"/>
                      <w:color w:val="auto"/>
                      <w:spacing w:val="-1"/>
                      <w:sz w:val="21"/>
                      <w:szCs w:val="21"/>
                      <w:vertAlign w:val="superscript"/>
                      <w:lang w:val="en-US" w:eastAsia="zh-CN"/>
                    </w:rPr>
                    <w:t>3</w:t>
                  </w:r>
                  <w:r>
                    <w:rPr>
                      <w:rFonts w:hint="default" w:ascii="Times New Roman" w:hAnsi="Times New Roman" w:cs="Times New Roman"/>
                      <w:color w:val="auto"/>
                      <w:spacing w:val="-1"/>
                      <w:sz w:val="21"/>
                      <w:szCs w:val="21"/>
                      <w:lang w:val="en-US" w:eastAsia="zh-CN"/>
                    </w:rPr>
                    <w:t>）</w:t>
                  </w:r>
                  <w:r>
                    <w:rPr>
                      <w:rFonts w:hint="default" w:ascii="Times New Roman" w:hAnsi="Times New Roman" w:eastAsia="宋体" w:cs="Times New Roman"/>
                      <w:color w:val="auto"/>
                      <w:spacing w:val="-1"/>
                      <w:sz w:val="21"/>
                      <w:szCs w:val="21"/>
                      <w:lang w:val="en-US" w:eastAsia="zh-CN"/>
                    </w:rPr>
                    <w:t>处理后用于农肥</w:t>
                  </w:r>
                </w:p>
              </w:tc>
              <w:tc>
                <w:tcPr>
                  <w:tcW w:w="503" w:type="pct"/>
                  <w:vMerge w:val="continue"/>
                  <w:tcBorders>
                    <w:tl2br w:val="nil"/>
                    <w:tr2bl w:val="nil"/>
                  </w:tcBorders>
                  <w:shd w:val="clear" w:color="auto" w:fill="auto"/>
                  <w:vAlign w:val="center"/>
                </w:tcPr>
                <w:p w14:paraId="6D99552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61D8D9FF">
                  <w:pPr>
                    <w:keepNext w:val="0"/>
                    <w:keepLines w:val="0"/>
                    <w:pageBreakBefore w:val="0"/>
                    <w:widowControl w:val="0"/>
                    <w:kinsoku/>
                    <w:wordWrap/>
                    <w:overflowPunct/>
                    <w:topLinePunct w:val="0"/>
                    <w:autoSpaceDE/>
                    <w:autoSpaceDN/>
                    <w:bidi w:val="0"/>
                    <w:adjustRightInd w:val="0"/>
                    <w:snapToGrid w:val="0"/>
                    <w:spacing w:line="240" w:lineRule="auto"/>
                    <w:ind w:left="-48" w:leftChars="-23" w:right="-36" w:rightChars="-17"/>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color w:val="auto"/>
                      <w:sz w:val="21"/>
                      <w:szCs w:val="21"/>
                      <w:lang w:val="en-US" w:eastAsia="zh-CN"/>
                    </w:rPr>
                    <w:t>/</w:t>
                  </w:r>
                </w:p>
              </w:tc>
            </w:tr>
            <w:tr w14:paraId="1B4DC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449810D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770" w:type="pct"/>
                  <w:gridSpan w:val="2"/>
                  <w:tcBorders>
                    <w:tl2br w:val="nil"/>
                    <w:tr2bl w:val="nil"/>
                  </w:tcBorders>
                  <w:shd w:val="clear" w:color="auto" w:fill="auto"/>
                  <w:vAlign w:val="center"/>
                </w:tcPr>
                <w:p w14:paraId="7A614B2A">
                  <w:pPr>
                    <w:tabs>
                      <w:tab w:val="left" w:pos="993"/>
                      <w:tab w:val="left" w:pos="1134"/>
                    </w:tabs>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958" w:type="pct"/>
                  <w:tcBorders>
                    <w:tl2br w:val="nil"/>
                    <w:tr2bl w:val="nil"/>
                  </w:tcBorders>
                  <w:shd w:val="clear" w:color="auto" w:fill="auto"/>
                  <w:vAlign w:val="center"/>
                </w:tcPr>
                <w:p w14:paraId="28B0E8E4">
                  <w:pPr>
                    <w:pStyle w:val="11"/>
                    <w:spacing w:line="240" w:lineRule="exact"/>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z w:val="21"/>
                      <w:szCs w:val="21"/>
                    </w:rPr>
                    <w:t>选用低噪声设备，合理布局、对拌和楼、骨料</w:t>
                  </w:r>
                  <w:r>
                    <w:rPr>
                      <w:rFonts w:hint="default" w:ascii="Times New Roman" w:hAnsi="Times New Roman" w:eastAsia="宋体" w:cs="Times New Roman"/>
                      <w:bCs/>
                      <w:color w:val="auto"/>
                      <w:sz w:val="21"/>
                      <w:szCs w:val="21"/>
                    </w:rPr>
                    <w:t>堆场</w:t>
                  </w:r>
                  <w:r>
                    <w:rPr>
                      <w:rFonts w:hint="default" w:ascii="Times New Roman" w:hAnsi="Times New Roman" w:eastAsia="宋体" w:cs="Times New Roman"/>
                      <w:color w:val="auto"/>
                      <w:sz w:val="21"/>
                      <w:szCs w:val="21"/>
                    </w:rPr>
                    <w:t>采取封闭设置，利用建筑隔声，对产噪较大的设备设置基础减震、安装减震垫</w:t>
                  </w:r>
                  <w:r>
                    <w:rPr>
                      <w:rFonts w:hint="default" w:ascii="Times New Roman" w:hAnsi="Times New Roman" w:eastAsia="宋体" w:cs="Times New Roman"/>
                      <w:snapToGrid w:val="0"/>
                      <w:color w:val="auto"/>
                      <w:sz w:val="21"/>
                      <w:szCs w:val="21"/>
                    </w:rPr>
                    <w:t>，</w:t>
                  </w:r>
                  <w:r>
                    <w:rPr>
                      <w:rFonts w:hint="default" w:ascii="Times New Roman" w:hAnsi="Times New Roman" w:eastAsia="宋体" w:cs="Times New Roman"/>
                      <w:color w:val="auto"/>
                      <w:sz w:val="21"/>
                      <w:szCs w:val="21"/>
                    </w:rPr>
                    <w:t>并</w:t>
                  </w:r>
                  <w:r>
                    <w:rPr>
                      <w:rFonts w:hint="default" w:ascii="Times New Roman" w:hAnsi="Times New Roman" w:eastAsia="宋体" w:cs="Times New Roman"/>
                      <w:snapToGrid w:val="0"/>
                      <w:color w:val="auto"/>
                      <w:sz w:val="21"/>
                      <w:szCs w:val="21"/>
                    </w:rPr>
                    <w:t>加强设备日常维护和保养。</w:t>
                  </w:r>
                </w:p>
              </w:tc>
              <w:tc>
                <w:tcPr>
                  <w:tcW w:w="503" w:type="pct"/>
                  <w:vMerge w:val="continue"/>
                  <w:tcBorders>
                    <w:tl2br w:val="nil"/>
                    <w:tr2bl w:val="nil"/>
                  </w:tcBorders>
                  <w:shd w:val="clear" w:color="auto" w:fill="auto"/>
                  <w:vAlign w:val="center"/>
                </w:tcPr>
                <w:p w14:paraId="377F3A1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6D9DED72">
                  <w:pPr>
                    <w:keepNext w:val="0"/>
                    <w:keepLines w:val="0"/>
                    <w:pageBreakBefore w:val="0"/>
                    <w:widowControl w:val="0"/>
                    <w:kinsoku/>
                    <w:wordWrap/>
                    <w:overflowPunct/>
                    <w:topLinePunct w:val="0"/>
                    <w:autoSpaceDE/>
                    <w:autoSpaceDN/>
                    <w:bidi w:val="0"/>
                    <w:adjustRightInd w:val="0"/>
                    <w:snapToGrid w:val="0"/>
                    <w:spacing w:line="240" w:lineRule="auto"/>
                    <w:ind w:left="-48" w:leftChars="-23" w:right="-36" w:rightChars="-17"/>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9557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560A660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restart"/>
                  <w:tcBorders>
                    <w:tl2br w:val="nil"/>
                    <w:tr2bl w:val="nil"/>
                  </w:tcBorders>
                  <w:shd w:val="clear" w:color="auto" w:fill="auto"/>
                  <w:vAlign w:val="center"/>
                </w:tcPr>
                <w:p w14:paraId="15E931AE">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固废</w:t>
                  </w:r>
                </w:p>
              </w:tc>
              <w:tc>
                <w:tcPr>
                  <w:tcW w:w="479" w:type="pct"/>
                  <w:vMerge w:val="restart"/>
                  <w:tcBorders>
                    <w:tl2br w:val="nil"/>
                    <w:tr2bl w:val="nil"/>
                  </w:tcBorders>
                  <w:shd w:val="clear" w:color="auto" w:fill="auto"/>
                  <w:vAlign w:val="center"/>
                </w:tcPr>
                <w:p w14:paraId="04FD6B3D">
                  <w:pPr>
                    <w:tabs>
                      <w:tab w:val="left" w:pos="993"/>
                      <w:tab w:val="left" w:pos="1134"/>
                    </w:tabs>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rPr>
                    <w:t>除尘器收尘</w:t>
                  </w:r>
                </w:p>
              </w:tc>
              <w:tc>
                <w:tcPr>
                  <w:tcW w:w="2958" w:type="pct"/>
                  <w:vMerge w:val="restart"/>
                  <w:tcBorders>
                    <w:tl2br w:val="nil"/>
                    <w:tr2bl w:val="nil"/>
                  </w:tcBorders>
                  <w:shd w:val="clear" w:color="auto" w:fill="auto"/>
                  <w:vAlign w:val="center"/>
                </w:tcPr>
                <w:p w14:paraId="16BD08B5">
                  <w:pPr>
                    <w:tabs>
                      <w:tab w:val="left" w:pos="993"/>
                      <w:tab w:val="left" w:pos="1134"/>
                    </w:tabs>
                    <w:spacing w:line="240" w:lineRule="exac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搅拌主机粉尘经</w:t>
                  </w:r>
                  <w:r>
                    <w:rPr>
                      <w:rFonts w:hint="default" w:ascii="Times New Roman" w:hAnsi="Times New Roman" w:cs="Times New Roman"/>
                      <w:color w:val="auto"/>
                      <w:sz w:val="21"/>
                      <w:szCs w:val="21"/>
                      <w:lang w:val="en-US" w:eastAsia="zh-CN"/>
                    </w:rPr>
                    <w:t>二级除尘系统</w:t>
                  </w:r>
                  <w:r>
                    <w:rPr>
                      <w:rFonts w:hint="default" w:ascii="Times New Roman" w:hAnsi="Times New Roman" w:eastAsia="宋体" w:cs="Times New Roman"/>
                      <w:color w:val="auto"/>
                      <w:sz w:val="21"/>
                      <w:szCs w:val="21"/>
                    </w:rPr>
                    <w:t>收集处理后</w:t>
                  </w:r>
                  <w:r>
                    <w:rPr>
                      <w:rFonts w:hint="default" w:ascii="Times New Roman" w:hAnsi="Times New Roman" w:eastAsia="宋体" w:cs="Times New Roman"/>
                      <w:color w:val="auto"/>
                      <w:sz w:val="21"/>
                      <w:szCs w:val="21"/>
                      <w:lang w:val="en-US" w:eastAsia="zh-CN"/>
                    </w:rPr>
                    <w:t>无组织排放</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lang w:val="en-US" w:eastAsia="zh-CN"/>
                    </w:rPr>
                    <w:t>废矿粉</w:t>
                  </w:r>
                  <w:r>
                    <w:rPr>
                      <w:rFonts w:hint="default" w:ascii="Times New Roman" w:hAnsi="Times New Roman" w:eastAsia="宋体" w:cs="Times New Roman"/>
                      <w:color w:val="auto"/>
                      <w:sz w:val="21"/>
                      <w:szCs w:val="21"/>
                    </w:rPr>
                    <w:t>集中收集</w:t>
                  </w:r>
                  <w:r>
                    <w:rPr>
                      <w:rFonts w:hint="default" w:ascii="Times New Roman" w:hAnsi="Times New Roman" w:eastAsia="宋体" w:cs="Times New Roman"/>
                      <w:color w:val="auto"/>
                      <w:sz w:val="21"/>
                      <w:szCs w:val="21"/>
                      <w:lang w:val="en-US" w:eastAsia="zh-CN"/>
                    </w:rPr>
                    <w:t>暂存于搅拌楼东南角的废回收粉暂存场（面积3m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外售至水泥厂。</w:t>
                  </w:r>
                </w:p>
              </w:tc>
              <w:tc>
                <w:tcPr>
                  <w:tcW w:w="503" w:type="pct"/>
                  <w:vMerge w:val="continue"/>
                  <w:tcBorders>
                    <w:tl2br w:val="nil"/>
                    <w:tr2bl w:val="nil"/>
                  </w:tcBorders>
                  <w:shd w:val="clear" w:color="auto" w:fill="auto"/>
                  <w:vAlign w:val="center"/>
                </w:tcPr>
                <w:p w14:paraId="7B8ECBB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5D62F72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266A8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5D3B3E8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continue"/>
                  <w:tcBorders>
                    <w:tl2br w:val="nil"/>
                    <w:tr2bl w:val="nil"/>
                  </w:tcBorders>
                  <w:shd w:val="clear" w:color="auto" w:fill="auto"/>
                  <w:vAlign w:val="center"/>
                </w:tcPr>
                <w:p w14:paraId="7970C160">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79" w:type="pct"/>
                  <w:vMerge w:val="continue"/>
                  <w:tcBorders>
                    <w:tl2br w:val="nil"/>
                    <w:tr2bl w:val="nil"/>
                  </w:tcBorders>
                  <w:shd w:val="clear" w:color="auto" w:fill="auto"/>
                  <w:vAlign w:val="center"/>
                </w:tcPr>
                <w:p w14:paraId="08B9279A">
                  <w:pPr>
                    <w:tabs>
                      <w:tab w:val="left" w:pos="993"/>
                      <w:tab w:val="left" w:pos="1134"/>
                    </w:tabs>
                    <w:spacing w:line="240" w:lineRule="exact"/>
                    <w:jc w:val="center"/>
                    <w:rPr>
                      <w:rFonts w:hint="default" w:ascii="Times New Roman" w:hAnsi="Times New Roman" w:eastAsia="宋体" w:cs="Times New Roman"/>
                      <w:color w:val="auto"/>
                      <w:sz w:val="21"/>
                      <w:szCs w:val="21"/>
                      <w:highlight w:val="none"/>
                      <w:lang w:val="en-US" w:eastAsia="zh-CN"/>
                    </w:rPr>
                  </w:pPr>
                </w:p>
              </w:tc>
              <w:tc>
                <w:tcPr>
                  <w:tcW w:w="2958" w:type="pct"/>
                  <w:vMerge w:val="continue"/>
                  <w:tcBorders>
                    <w:tl2br w:val="nil"/>
                    <w:tr2bl w:val="nil"/>
                  </w:tcBorders>
                  <w:shd w:val="clear" w:color="auto" w:fill="auto"/>
                  <w:vAlign w:val="center"/>
                </w:tcPr>
                <w:p w14:paraId="36876844">
                  <w:pPr>
                    <w:tabs>
                      <w:tab w:val="left" w:pos="993"/>
                      <w:tab w:val="left" w:pos="1134"/>
                    </w:tabs>
                    <w:spacing w:line="240" w:lineRule="exact"/>
                    <w:jc w:val="left"/>
                    <w:rPr>
                      <w:rFonts w:hint="default" w:ascii="Times New Roman" w:hAnsi="Times New Roman" w:eastAsia="宋体" w:cs="Times New Roman"/>
                      <w:color w:val="auto"/>
                      <w:sz w:val="21"/>
                      <w:szCs w:val="21"/>
                    </w:rPr>
                  </w:pPr>
                </w:p>
              </w:tc>
              <w:tc>
                <w:tcPr>
                  <w:tcW w:w="503" w:type="pct"/>
                  <w:vMerge w:val="continue"/>
                  <w:tcBorders>
                    <w:tl2br w:val="nil"/>
                    <w:tr2bl w:val="nil"/>
                  </w:tcBorders>
                  <w:shd w:val="clear" w:color="auto" w:fill="auto"/>
                  <w:vAlign w:val="center"/>
                </w:tcPr>
                <w:p w14:paraId="064FDFF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244F9D0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r>
            <w:tr w14:paraId="2B89E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6996FE3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continue"/>
                  <w:tcBorders>
                    <w:tl2br w:val="nil"/>
                    <w:tr2bl w:val="nil"/>
                  </w:tcBorders>
                  <w:shd w:val="clear" w:color="auto" w:fill="auto"/>
                  <w:vAlign w:val="center"/>
                </w:tcPr>
                <w:p w14:paraId="46DA6C41">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79" w:type="pct"/>
                  <w:tcBorders>
                    <w:tl2br w:val="nil"/>
                    <w:tr2bl w:val="nil"/>
                  </w:tcBorders>
                  <w:shd w:val="clear" w:color="auto" w:fill="auto"/>
                  <w:vAlign w:val="center"/>
                </w:tcPr>
                <w:p w14:paraId="7F6E9D26">
                  <w:pPr>
                    <w:tabs>
                      <w:tab w:val="left" w:pos="993"/>
                      <w:tab w:val="left" w:pos="1134"/>
                    </w:tabs>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振筛分选的不合格碎石</w:t>
                  </w:r>
                </w:p>
              </w:tc>
              <w:tc>
                <w:tcPr>
                  <w:tcW w:w="2958" w:type="pct"/>
                  <w:tcBorders>
                    <w:tl2br w:val="nil"/>
                    <w:tr2bl w:val="nil"/>
                  </w:tcBorders>
                  <w:shd w:val="clear" w:color="auto" w:fill="auto"/>
                  <w:vAlign w:val="center"/>
                </w:tcPr>
                <w:p w14:paraId="48960BE7">
                  <w:pPr>
                    <w:spacing w:line="240" w:lineRule="exact"/>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集中收集</w:t>
                  </w:r>
                  <w:r>
                    <w:rPr>
                      <w:rFonts w:hint="default" w:ascii="Times New Roman" w:hAnsi="Times New Roman" w:eastAsia="宋体" w:cs="Times New Roman"/>
                      <w:color w:val="auto"/>
                      <w:sz w:val="21"/>
                      <w:szCs w:val="21"/>
                      <w:lang w:val="en-US" w:eastAsia="zh-CN"/>
                    </w:rPr>
                    <w:t>暂存于搅拌楼东南角的废骨料暂存场（面积2m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定期拉回骨料厂家回收</w:t>
                  </w:r>
                  <w:r>
                    <w:rPr>
                      <w:rFonts w:hint="default" w:ascii="Times New Roman" w:hAnsi="Times New Roman" w:eastAsia="宋体" w:cs="Times New Roman"/>
                      <w:color w:val="auto"/>
                      <w:sz w:val="21"/>
                      <w:szCs w:val="21"/>
                      <w:lang w:val="en-US" w:eastAsia="zh-CN"/>
                    </w:rPr>
                    <w:t>。</w:t>
                  </w:r>
                </w:p>
              </w:tc>
              <w:tc>
                <w:tcPr>
                  <w:tcW w:w="503" w:type="pct"/>
                  <w:vMerge w:val="continue"/>
                  <w:tcBorders>
                    <w:tl2br w:val="nil"/>
                    <w:tr2bl w:val="nil"/>
                  </w:tcBorders>
                  <w:shd w:val="clear" w:color="auto" w:fill="auto"/>
                  <w:vAlign w:val="center"/>
                </w:tcPr>
                <w:p w14:paraId="29E6F8D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02231F7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4AD03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226C13D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continue"/>
                  <w:tcBorders>
                    <w:tl2br w:val="nil"/>
                    <w:tr2bl w:val="nil"/>
                  </w:tcBorders>
                  <w:shd w:val="clear" w:color="auto" w:fill="auto"/>
                  <w:vAlign w:val="center"/>
                </w:tcPr>
                <w:p w14:paraId="4A1C4A25">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852" w:type="dxa"/>
                  <w:tcBorders>
                    <w:tl2br w:val="nil"/>
                    <w:tr2bl w:val="nil"/>
                  </w:tcBorders>
                  <w:shd w:val="clear" w:color="auto" w:fill="auto"/>
                  <w:vAlign w:val="center"/>
                </w:tcPr>
                <w:p w14:paraId="27AA3FC5">
                  <w:pPr>
                    <w:tabs>
                      <w:tab w:val="left" w:pos="993"/>
                      <w:tab w:val="left" w:pos="1134"/>
                    </w:tabs>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拌和残渣</w:t>
                  </w:r>
                </w:p>
              </w:tc>
              <w:tc>
                <w:tcPr>
                  <w:tcW w:w="5263" w:type="dxa"/>
                  <w:tcBorders>
                    <w:tl2br w:val="nil"/>
                    <w:tr2bl w:val="nil"/>
                  </w:tcBorders>
                  <w:shd w:val="clear" w:color="auto" w:fill="auto"/>
                  <w:vAlign w:val="center"/>
                </w:tcPr>
                <w:p w14:paraId="1DAABD77">
                  <w:pPr>
                    <w:spacing w:line="240" w:lineRule="exact"/>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及时使用骨料覆盖回收，暂存至堆料场内，定期拉运至再生料厂。</w:t>
                  </w:r>
                </w:p>
              </w:tc>
              <w:tc>
                <w:tcPr>
                  <w:tcW w:w="503" w:type="pct"/>
                  <w:vMerge w:val="continue"/>
                  <w:tcBorders>
                    <w:tl2br w:val="nil"/>
                    <w:tr2bl w:val="nil"/>
                  </w:tcBorders>
                  <w:shd w:val="clear" w:color="auto" w:fill="auto"/>
                  <w:vAlign w:val="center"/>
                </w:tcPr>
                <w:p w14:paraId="48D1339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7DE79DB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0126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6E1F4C9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continue"/>
                  <w:tcBorders>
                    <w:tl2br w:val="nil"/>
                    <w:tr2bl w:val="nil"/>
                  </w:tcBorders>
                  <w:shd w:val="clear" w:color="auto" w:fill="auto"/>
                  <w:vAlign w:val="center"/>
                </w:tcPr>
                <w:p w14:paraId="69E85029">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79" w:type="pct"/>
                  <w:tcBorders>
                    <w:tl2br w:val="nil"/>
                    <w:tr2bl w:val="nil"/>
                  </w:tcBorders>
                  <w:shd w:val="clear" w:color="auto" w:fill="auto"/>
                  <w:vAlign w:val="center"/>
                </w:tcPr>
                <w:p w14:paraId="0EE33F10">
                  <w:pPr>
                    <w:tabs>
                      <w:tab w:val="left" w:pos="993"/>
                      <w:tab w:val="left" w:pos="1134"/>
                    </w:tabs>
                    <w:spacing w:line="240" w:lineRule="exact"/>
                    <w:jc w:val="center"/>
                    <w:rPr>
                      <w:rFonts w:hint="default" w:ascii="Times New Roman" w:hAnsi="Times New Roman" w:eastAsia="宋体" w:cs="Times New Roman"/>
                      <w:color w:val="auto"/>
                      <w:kern w:val="2"/>
                      <w:sz w:val="21"/>
                      <w:szCs w:val="21"/>
                      <w:highlight w:val="green"/>
                      <w:lang w:val="en-US" w:eastAsia="zh-CN" w:bidi="ar-SA"/>
                    </w:rPr>
                  </w:pPr>
                  <w:r>
                    <w:rPr>
                      <w:rFonts w:hint="default" w:ascii="Times New Roman" w:hAnsi="Times New Roman" w:eastAsia="宋体" w:cs="Times New Roman"/>
                      <w:color w:val="auto"/>
                      <w:sz w:val="21"/>
                      <w:szCs w:val="21"/>
                      <w:highlight w:val="none"/>
                    </w:rPr>
                    <w:t>不合格产品</w:t>
                  </w:r>
                </w:p>
              </w:tc>
              <w:tc>
                <w:tcPr>
                  <w:tcW w:w="2958" w:type="pct"/>
                  <w:tcBorders>
                    <w:tl2br w:val="nil"/>
                    <w:tr2bl w:val="nil"/>
                  </w:tcBorders>
                  <w:shd w:val="clear" w:color="auto" w:fill="auto"/>
                  <w:vAlign w:val="center"/>
                </w:tcPr>
                <w:p w14:paraId="5EE2A077">
                  <w:pPr>
                    <w:tabs>
                      <w:tab w:val="left" w:pos="993"/>
                      <w:tab w:val="left" w:pos="1134"/>
                    </w:tabs>
                    <w:spacing w:line="240" w:lineRule="exact"/>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项目按需生产，不合格产品极少，如有少量产生</w:t>
                  </w:r>
                  <w:r>
                    <w:rPr>
                      <w:rFonts w:hint="default" w:ascii="Times New Roman" w:hAnsi="Times New Roman" w:eastAsia="宋体" w:cs="Times New Roman"/>
                      <w:color w:val="auto"/>
                      <w:sz w:val="21"/>
                      <w:szCs w:val="21"/>
                    </w:rPr>
                    <w:t>收集后</w:t>
                  </w:r>
                  <w:r>
                    <w:rPr>
                      <w:rFonts w:hint="default" w:ascii="Times New Roman" w:hAnsi="Times New Roman" w:cs="Times New Roman"/>
                      <w:color w:val="auto"/>
                      <w:sz w:val="21"/>
                      <w:szCs w:val="21"/>
                      <w:lang w:val="en-US" w:eastAsia="zh-CN"/>
                    </w:rPr>
                    <w:t>，定期拉运至再生料厂。</w:t>
                  </w:r>
                </w:p>
              </w:tc>
              <w:tc>
                <w:tcPr>
                  <w:tcW w:w="503" w:type="pct"/>
                  <w:vMerge w:val="continue"/>
                  <w:tcBorders>
                    <w:tl2br w:val="nil"/>
                    <w:tr2bl w:val="nil"/>
                  </w:tcBorders>
                  <w:shd w:val="clear" w:color="auto" w:fill="auto"/>
                  <w:vAlign w:val="center"/>
                </w:tcPr>
                <w:p w14:paraId="5D1CCBC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29C2701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143294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1E1E189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continue"/>
                  <w:tcBorders>
                    <w:tl2br w:val="nil"/>
                    <w:tr2bl w:val="nil"/>
                  </w:tcBorders>
                  <w:shd w:val="clear" w:color="auto" w:fill="auto"/>
                  <w:vAlign w:val="center"/>
                </w:tcPr>
                <w:p w14:paraId="3706364C">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79" w:type="pct"/>
                  <w:tcBorders>
                    <w:tl2br w:val="nil"/>
                    <w:tr2bl w:val="nil"/>
                  </w:tcBorders>
                  <w:shd w:val="clear" w:color="auto" w:fill="auto"/>
                  <w:vAlign w:val="center"/>
                </w:tcPr>
                <w:p w14:paraId="5AAF9601">
                  <w:pPr>
                    <w:tabs>
                      <w:tab w:val="left" w:pos="993"/>
                      <w:tab w:val="left" w:pos="1134"/>
                    </w:tabs>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沉淀池沉渣</w:t>
                  </w:r>
                </w:p>
              </w:tc>
              <w:tc>
                <w:tcPr>
                  <w:tcW w:w="2958" w:type="pct"/>
                  <w:tcBorders>
                    <w:tl2br w:val="nil"/>
                    <w:tr2bl w:val="nil"/>
                  </w:tcBorders>
                  <w:shd w:val="clear" w:color="auto" w:fill="auto"/>
                  <w:vAlign w:val="center"/>
                </w:tcPr>
                <w:p w14:paraId="67F98FFB">
                  <w:pPr>
                    <w:tabs>
                      <w:tab w:val="left" w:pos="993"/>
                      <w:tab w:val="left" w:pos="1134"/>
                    </w:tabs>
                    <w:spacing w:line="240" w:lineRule="exact"/>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定期清掏，</w:t>
                  </w:r>
                  <w:r>
                    <w:rPr>
                      <w:rFonts w:hint="default" w:ascii="Times New Roman" w:hAnsi="Times New Roman" w:eastAsia="宋体" w:cs="Times New Roman"/>
                      <w:color w:val="auto"/>
                      <w:sz w:val="21"/>
                      <w:szCs w:val="21"/>
                      <w:lang w:val="en-US" w:eastAsia="zh-CN"/>
                    </w:rPr>
                    <w:t>外卖至砖厂</w:t>
                  </w:r>
                  <w:r>
                    <w:rPr>
                      <w:rFonts w:hint="default" w:ascii="Times New Roman" w:hAnsi="Times New Roman" w:eastAsia="宋体" w:cs="Times New Roman"/>
                      <w:color w:val="auto"/>
                      <w:sz w:val="21"/>
                      <w:szCs w:val="21"/>
                    </w:rPr>
                    <w:t>。</w:t>
                  </w:r>
                </w:p>
              </w:tc>
              <w:tc>
                <w:tcPr>
                  <w:tcW w:w="503" w:type="pct"/>
                  <w:vMerge w:val="continue"/>
                  <w:tcBorders>
                    <w:tl2br w:val="nil"/>
                    <w:tr2bl w:val="nil"/>
                  </w:tcBorders>
                  <w:shd w:val="clear" w:color="auto" w:fill="auto"/>
                  <w:vAlign w:val="center"/>
                </w:tcPr>
                <w:p w14:paraId="61AC3BA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33D274A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393250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77DDCB1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continue"/>
                  <w:tcBorders>
                    <w:tl2br w:val="nil"/>
                    <w:tr2bl w:val="nil"/>
                  </w:tcBorders>
                  <w:shd w:val="clear" w:color="auto" w:fill="auto"/>
                  <w:vAlign w:val="center"/>
                </w:tcPr>
                <w:p w14:paraId="1CA5D3F1">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79" w:type="pct"/>
                  <w:tcBorders>
                    <w:tl2br w:val="nil"/>
                    <w:tr2bl w:val="nil"/>
                  </w:tcBorders>
                  <w:shd w:val="clear" w:color="auto" w:fill="auto"/>
                  <w:vAlign w:val="center"/>
                </w:tcPr>
                <w:p w14:paraId="5EA24EE7">
                  <w:pPr>
                    <w:tabs>
                      <w:tab w:val="left" w:pos="993"/>
                      <w:tab w:val="left" w:pos="1134"/>
                    </w:tabs>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废机油、废机油桶</w:t>
                  </w:r>
                </w:p>
              </w:tc>
              <w:tc>
                <w:tcPr>
                  <w:tcW w:w="2958" w:type="pct"/>
                  <w:tcBorders>
                    <w:tl2br w:val="nil"/>
                    <w:tr2bl w:val="nil"/>
                  </w:tcBorders>
                  <w:shd w:val="clear" w:color="auto" w:fill="auto"/>
                  <w:vAlign w:val="center"/>
                </w:tcPr>
                <w:p w14:paraId="5C864AF2">
                  <w:pPr>
                    <w:pStyle w:val="112"/>
                    <w:overflowPunct w:val="0"/>
                    <w:spacing w:line="240" w:lineRule="exact"/>
                    <w:ind w:right="-6" w:rightChars="0"/>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sz w:val="21"/>
                      <w:szCs w:val="21"/>
                    </w:rPr>
                    <w:t>设置1个</w:t>
                  </w:r>
                  <w:r>
                    <w:rPr>
                      <w:rFonts w:hint="default" w:ascii="Times New Roman" w:hAnsi="Times New Roman" w:eastAsia="宋体" w:cs="Times New Roman"/>
                      <w:color w:val="auto"/>
                      <w:spacing w:val="-3"/>
                      <w:sz w:val="21"/>
                      <w:szCs w:val="21"/>
                    </w:rPr>
                    <w:t>危</w:t>
                  </w:r>
                  <w:r>
                    <w:rPr>
                      <w:rFonts w:hint="default" w:ascii="Times New Roman" w:hAnsi="Times New Roman" w:eastAsia="宋体" w:cs="Times New Roman"/>
                      <w:color w:val="auto"/>
                      <w:sz w:val="21"/>
                      <w:szCs w:val="21"/>
                    </w:rPr>
                    <w:t>废</w:t>
                  </w:r>
                  <w:r>
                    <w:rPr>
                      <w:rFonts w:hint="default" w:ascii="Times New Roman" w:hAnsi="Times New Roman" w:eastAsia="宋体" w:cs="Times New Roman"/>
                      <w:color w:val="auto"/>
                      <w:spacing w:val="-3"/>
                      <w:sz w:val="21"/>
                      <w:szCs w:val="21"/>
                    </w:rPr>
                    <w:t>暂</w:t>
                  </w:r>
                  <w:r>
                    <w:rPr>
                      <w:rFonts w:hint="default" w:ascii="Times New Roman" w:hAnsi="Times New Roman" w:eastAsia="宋体" w:cs="Times New Roman"/>
                      <w:color w:val="auto"/>
                      <w:sz w:val="21"/>
                      <w:szCs w:val="21"/>
                    </w:rPr>
                    <w:t>存</w:t>
                  </w:r>
                  <w:r>
                    <w:rPr>
                      <w:rFonts w:hint="default" w:ascii="Times New Roman" w:hAnsi="Times New Roman" w:eastAsia="宋体" w:cs="Times New Roman"/>
                      <w:color w:val="auto"/>
                      <w:sz w:val="21"/>
                      <w:szCs w:val="21"/>
                      <w:lang w:val="en-US" w:eastAsia="zh-CN"/>
                    </w:rPr>
                    <w:t>间</w:t>
                  </w:r>
                  <w:r>
                    <w:rPr>
                      <w:rFonts w:hint="default" w:ascii="Times New Roman" w:hAnsi="Times New Roman" w:eastAsia="宋体" w:cs="Times New Roman"/>
                      <w:color w:val="auto"/>
                      <w:sz w:val="21"/>
                      <w:szCs w:val="21"/>
                    </w:rPr>
                    <w:t>，面积约5m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2"/>
                      <w:sz w:val="21"/>
                      <w:szCs w:val="21"/>
                    </w:rPr>
                    <w:t>委托有</w:t>
                  </w:r>
                  <w:r>
                    <w:rPr>
                      <w:rFonts w:hint="default" w:ascii="Times New Roman" w:hAnsi="Times New Roman" w:eastAsia="宋体" w:cs="Times New Roman"/>
                      <w:color w:val="auto"/>
                      <w:sz w:val="21"/>
                      <w:szCs w:val="21"/>
                      <w:lang w:bidi="ar"/>
                    </w:rPr>
                    <w:t>危废资质</w:t>
                  </w:r>
                  <w:r>
                    <w:rPr>
                      <w:rFonts w:hint="default" w:ascii="Times New Roman" w:hAnsi="Times New Roman" w:eastAsia="宋体" w:cs="Times New Roman"/>
                      <w:color w:val="auto"/>
                      <w:spacing w:val="-2"/>
                      <w:sz w:val="21"/>
                      <w:szCs w:val="21"/>
                    </w:rPr>
                    <w:t>的</w:t>
                  </w:r>
                  <w:r>
                    <w:rPr>
                      <w:rFonts w:hint="default" w:ascii="Times New Roman" w:hAnsi="Times New Roman" w:eastAsia="宋体" w:cs="Times New Roman"/>
                      <w:color w:val="auto"/>
                      <w:spacing w:val="-1"/>
                      <w:sz w:val="21"/>
                      <w:szCs w:val="21"/>
                    </w:rPr>
                    <w:t>单位回收处理。</w:t>
                  </w:r>
                </w:p>
              </w:tc>
              <w:tc>
                <w:tcPr>
                  <w:tcW w:w="503" w:type="pct"/>
                  <w:vMerge w:val="continue"/>
                  <w:tcBorders>
                    <w:tl2br w:val="nil"/>
                    <w:tr2bl w:val="nil"/>
                  </w:tcBorders>
                  <w:shd w:val="clear" w:color="auto" w:fill="auto"/>
                  <w:vAlign w:val="center"/>
                </w:tcPr>
                <w:p w14:paraId="0B1C1B8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67EE2B9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B671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7E5062E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continue"/>
                  <w:tcBorders>
                    <w:tl2br w:val="nil"/>
                    <w:tr2bl w:val="nil"/>
                  </w:tcBorders>
                  <w:shd w:val="clear" w:color="auto" w:fill="auto"/>
                  <w:vAlign w:val="center"/>
                </w:tcPr>
                <w:p w14:paraId="7A48D8DC">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79" w:type="pct"/>
                  <w:tcBorders>
                    <w:tl2br w:val="nil"/>
                    <w:tr2bl w:val="nil"/>
                  </w:tcBorders>
                  <w:shd w:val="clear" w:color="auto" w:fill="auto"/>
                  <w:vAlign w:val="center"/>
                </w:tcPr>
                <w:p w14:paraId="51FE5373">
                  <w:pPr>
                    <w:tabs>
                      <w:tab w:val="left" w:pos="993"/>
                      <w:tab w:val="left" w:pos="1134"/>
                    </w:tabs>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废导热油</w:t>
                  </w:r>
                </w:p>
              </w:tc>
              <w:tc>
                <w:tcPr>
                  <w:tcW w:w="2958" w:type="pct"/>
                  <w:tcBorders>
                    <w:tl2br w:val="nil"/>
                    <w:tr2bl w:val="nil"/>
                  </w:tcBorders>
                  <w:shd w:val="clear" w:color="auto" w:fill="auto"/>
                  <w:vAlign w:val="center"/>
                </w:tcPr>
                <w:p w14:paraId="09213DDE">
                  <w:pPr>
                    <w:pStyle w:val="112"/>
                    <w:overflowPunct w:val="0"/>
                    <w:spacing w:line="240" w:lineRule="exact"/>
                    <w:ind w:right="-6" w:right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更换频率较低，</w:t>
                  </w:r>
                  <w:r>
                    <w:rPr>
                      <w:rFonts w:hint="default" w:ascii="Times New Roman" w:hAnsi="Times New Roman" w:eastAsia="宋体" w:cs="Times New Roman"/>
                      <w:color w:val="auto"/>
                      <w:spacing w:val="-2"/>
                      <w:sz w:val="21"/>
                      <w:szCs w:val="21"/>
                    </w:rPr>
                    <w:t>委托有</w:t>
                  </w:r>
                  <w:r>
                    <w:rPr>
                      <w:rFonts w:hint="default" w:ascii="Times New Roman" w:hAnsi="Times New Roman" w:eastAsia="宋体" w:cs="Times New Roman"/>
                      <w:color w:val="auto"/>
                      <w:sz w:val="21"/>
                      <w:szCs w:val="21"/>
                      <w:lang w:bidi="ar"/>
                    </w:rPr>
                    <w:t>危废资质</w:t>
                  </w:r>
                  <w:r>
                    <w:rPr>
                      <w:rFonts w:hint="default" w:ascii="Times New Roman" w:hAnsi="Times New Roman" w:eastAsia="宋体" w:cs="Times New Roman"/>
                      <w:color w:val="auto"/>
                      <w:spacing w:val="-2"/>
                      <w:sz w:val="21"/>
                      <w:szCs w:val="21"/>
                    </w:rPr>
                    <w:t>的</w:t>
                  </w:r>
                  <w:r>
                    <w:rPr>
                      <w:rFonts w:hint="default" w:ascii="Times New Roman" w:hAnsi="Times New Roman" w:eastAsia="宋体" w:cs="Times New Roman"/>
                      <w:color w:val="auto"/>
                      <w:spacing w:val="-1"/>
                      <w:sz w:val="21"/>
                      <w:szCs w:val="21"/>
                    </w:rPr>
                    <w:t>单位回收处理</w:t>
                  </w:r>
                </w:p>
              </w:tc>
              <w:tc>
                <w:tcPr>
                  <w:tcW w:w="503" w:type="pct"/>
                  <w:vMerge w:val="continue"/>
                  <w:tcBorders>
                    <w:tl2br w:val="nil"/>
                    <w:tr2bl w:val="nil"/>
                  </w:tcBorders>
                  <w:shd w:val="clear" w:color="auto" w:fill="auto"/>
                  <w:vAlign w:val="center"/>
                </w:tcPr>
                <w:p w14:paraId="31356C0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6805A61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3BCC6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133D4BF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continue"/>
                  <w:tcBorders>
                    <w:tl2br w:val="nil"/>
                    <w:tr2bl w:val="nil"/>
                  </w:tcBorders>
                  <w:shd w:val="clear" w:color="auto" w:fill="auto"/>
                  <w:vAlign w:val="center"/>
                </w:tcPr>
                <w:p w14:paraId="5434718C">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79" w:type="pct"/>
                  <w:tcBorders>
                    <w:tl2br w:val="nil"/>
                    <w:tr2bl w:val="nil"/>
                  </w:tcBorders>
                  <w:shd w:val="clear" w:color="auto" w:fill="auto"/>
                  <w:vAlign w:val="center"/>
                </w:tcPr>
                <w:p w14:paraId="772FBA19">
                  <w:pPr>
                    <w:tabs>
                      <w:tab w:val="left" w:pos="993"/>
                      <w:tab w:val="left" w:pos="1134"/>
                    </w:tabs>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生活垃圾</w:t>
                  </w:r>
                </w:p>
              </w:tc>
              <w:tc>
                <w:tcPr>
                  <w:tcW w:w="2958" w:type="pct"/>
                  <w:tcBorders>
                    <w:tl2br w:val="nil"/>
                    <w:tr2bl w:val="nil"/>
                  </w:tcBorders>
                  <w:shd w:val="clear" w:color="auto" w:fill="auto"/>
                  <w:vAlign w:val="center"/>
                </w:tcPr>
                <w:p w14:paraId="5C12C482">
                  <w:pPr>
                    <w:tabs>
                      <w:tab w:val="left" w:pos="993"/>
                      <w:tab w:val="left" w:pos="1134"/>
                    </w:tabs>
                    <w:spacing w:line="240" w:lineRule="exact"/>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场内设垃圾桶收集，交由环卫部门清运处理。</w:t>
                  </w:r>
                </w:p>
              </w:tc>
              <w:tc>
                <w:tcPr>
                  <w:tcW w:w="503" w:type="pct"/>
                  <w:vMerge w:val="continue"/>
                  <w:tcBorders>
                    <w:tl2br w:val="nil"/>
                    <w:tr2bl w:val="nil"/>
                  </w:tcBorders>
                  <w:shd w:val="clear" w:color="auto" w:fill="auto"/>
                  <w:vAlign w:val="center"/>
                </w:tcPr>
                <w:p w14:paraId="7218216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51" w:type="pct"/>
                  <w:tcBorders>
                    <w:tl2br w:val="nil"/>
                    <w:tr2bl w:val="nil"/>
                  </w:tcBorders>
                  <w:shd w:val="clear" w:color="auto" w:fill="auto"/>
                  <w:vAlign w:val="center"/>
                </w:tcPr>
                <w:p w14:paraId="681B86E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1AEF8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71DB5C5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restart"/>
                  <w:tcBorders>
                    <w:tl2br w:val="nil"/>
                    <w:tr2bl w:val="nil"/>
                  </w:tcBorders>
                  <w:shd w:val="clear" w:color="auto" w:fill="auto"/>
                  <w:vAlign w:val="center"/>
                </w:tcPr>
                <w:p w14:paraId="60A7BE61">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地下水防渗</w:t>
                  </w:r>
                </w:p>
              </w:tc>
              <w:tc>
                <w:tcPr>
                  <w:tcW w:w="479" w:type="pct"/>
                  <w:vMerge w:val="restart"/>
                  <w:tcBorders>
                    <w:tl2br w:val="nil"/>
                    <w:tr2bl w:val="nil"/>
                  </w:tcBorders>
                  <w:shd w:val="clear" w:color="auto" w:fill="auto"/>
                  <w:vAlign w:val="center"/>
                </w:tcPr>
                <w:p w14:paraId="60764939">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重点防渗区</w:t>
                  </w:r>
                </w:p>
              </w:tc>
              <w:tc>
                <w:tcPr>
                  <w:tcW w:w="2958" w:type="pct"/>
                  <w:tcBorders>
                    <w:tl2br w:val="nil"/>
                    <w:tr2bl w:val="nil"/>
                  </w:tcBorders>
                  <w:shd w:val="clear" w:color="auto" w:fill="auto"/>
                  <w:vAlign w:val="center"/>
                </w:tcPr>
                <w:p w14:paraId="320F9AFA">
                  <w:pPr>
                    <w:keepNext w:val="0"/>
                    <w:keepLines w:val="0"/>
                    <w:pageBreakBefore w:val="0"/>
                    <w:widowControl w:val="0"/>
                    <w:tabs>
                      <w:tab w:val="left" w:pos="993"/>
                      <w:tab w:val="left" w:pos="1134"/>
                    </w:tabs>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危废暂存间地面采用15mm厚的防渗混凝土+高密度聚乙烯膜进行防渗、防腐处理，确保防渗性能与6m厚黏土防渗层等效，防渗系数K≤1×10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w:t>
                  </w:r>
                  <w:r>
                    <w:rPr>
                      <w:rFonts w:hint="default" w:ascii="Times New Roman" w:hAnsi="Times New Roman" w:eastAsia="宋体" w:cs="Times New Roman"/>
                      <w:color w:val="auto"/>
                      <w:sz w:val="21"/>
                      <w:szCs w:val="21"/>
                      <w:lang w:eastAsia="zh-CN"/>
                    </w:rPr>
                    <w:t>，</w:t>
                  </w:r>
                </w:p>
              </w:tc>
              <w:tc>
                <w:tcPr>
                  <w:tcW w:w="503" w:type="pct"/>
                  <w:vMerge w:val="continue"/>
                  <w:tcBorders>
                    <w:tl2br w:val="nil"/>
                    <w:tr2bl w:val="nil"/>
                  </w:tcBorders>
                  <w:shd w:val="clear" w:color="auto" w:fill="auto"/>
                  <w:vAlign w:val="center"/>
                </w:tcPr>
                <w:p w14:paraId="50CDA76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51" w:type="pct"/>
                  <w:vMerge w:val="restart"/>
                  <w:tcBorders>
                    <w:tl2br w:val="nil"/>
                    <w:tr2bl w:val="nil"/>
                  </w:tcBorders>
                  <w:shd w:val="clear" w:color="auto" w:fill="auto"/>
                  <w:vAlign w:val="center"/>
                </w:tcPr>
                <w:p w14:paraId="1A09CCD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r>
            <w:tr w14:paraId="07858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67D3AFD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continue"/>
                  <w:tcBorders>
                    <w:tl2br w:val="nil"/>
                    <w:tr2bl w:val="nil"/>
                  </w:tcBorders>
                  <w:shd w:val="clear" w:color="auto" w:fill="auto"/>
                  <w:vAlign w:val="center"/>
                </w:tcPr>
                <w:p w14:paraId="5A360B6C">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sz w:val="21"/>
                      <w:szCs w:val="21"/>
                    </w:rPr>
                  </w:pPr>
                </w:p>
              </w:tc>
              <w:tc>
                <w:tcPr>
                  <w:tcW w:w="479" w:type="pct"/>
                  <w:vMerge w:val="continue"/>
                  <w:tcBorders>
                    <w:tl2br w:val="nil"/>
                    <w:tr2bl w:val="nil"/>
                  </w:tcBorders>
                  <w:shd w:val="clear" w:color="auto" w:fill="auto"/>
                  <w:vAlign w:val="center"/>
                </w:tcPr>
                <w:p w14:paraId="77B2DD9C">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58" w:type="pct"/>
                  <w:tcBorders>
                    <w:tl2br w:val="nil"/>
                    <w:tr2bl w:val="nil"/>
                  </w:tcBorders>
                  <w:shd w:val="clear" w:color="auto" w:fill="auto"/>
                  <w:vAlign w:val="center"/>
                </w:tcPr>
                <w:p w14:paraId="60A1BA32">
                  <w:pPr>
                    <w:keepNext w:val="0"/>
                    <w:keepLines w:val="0"/>
                    <w:pageBreakBefore w:val="0"/>
                    <w:widowControl w:val="0"/>
                    <w:tabs>
                      <w:tab w:val="left" w:pos="993"/>
                      <w:tab w:val="left" w:pos="1134"/>
                    </w:tabs>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lang w:eastAsia="zh-CN" w:bidi="ar"/>
                    </w:rPr>
                  </w:pPr>
                  <w:r>
                    <w:rPr>
                      <w:rFonts w:hint="default" w:ascii="Times New Roman" w:hAnsi="Times New Roman" w:eastAsia="宋体" w:cs="Times New Roman"/>
                      <w:color w:val="auto"/>
                      <w:sz w:val="21"/>
                      <w:szCs w:val="21"/>
                      <w:lang w:val="en-US" w:eastAsia="zh-CN" w:bidi="ar"/>
                    </w:rPr>
                    <w:t>罐区</w:t>
                  </w:r>
                  <w:r>
                    <w:rPr>
                      <w:rFonts w:hint="default" w:ascii="Times New Roman" w:hAnsi="Times New Roman" w:eastAsia="宋体" w:cs="Times New Roman"/>
                      <w:color w:val="auto"/>
                      <w:sz w:val="21"/>
                      <w:szCs w:val="21"/>
                      <w:lang w:bidi="ar"/>
                    </w:rPr>
                    <w:t>采取防渗混凝土</w:t>
                  </w:r>
                  <w:r>
                    <w:rPr>
                      <w:rFonts w:hint="eastAsia" w:ascii="Times New Roman" w:hAnsi="Times New Roman" w:cs="Times New Roman"/>
                      <w:color w:val="auto"/>
                      <w:sz w:val="21"/>
                      <w:szCs w:val="21"/>
                      <w:lang w:val="en-US" w:eastAsia="zh-CN" w:bidi="ar"/>
                    </w:rPr>
                    <w:t xml:space="preserve">  </w:t>
                  </w:r>
                  <w:r>
                    <w:rPr>
                      <w:rFonts w:hint="default" w:ascii="Times New Roman" w:hAnsi="Times New Roman" w:eastAsia="宋体" w:cs="Times New Roman"/>
                      <w:color w:val="auto"/>
                      <w:sz w:val="21"/>
                      <w:szCs w:val="21"/>
                      <w:lang w:bidi="ar"/>
                    </w:rPr>
                    <w:t>+高密度聚乙烯材料进行重点防渗。</w:t>
                  </w:r>
                  <w:r>
                    <w:rPr>
                      <w:rFonts w:hint="default" w:ascii="Times New Roman" w:hAnsi="Times New Roman" w:eastAsia="宋体" w:cs="Times New Roman"/>
                      <w:snapToGrid w:val="0"/>
                      <w:color w:val="auto"/>
                      <w:kern w:val="0"/>
                      <w:sz w:val="21"/>
                      <w:szCs w:val="21"/>
                      <w:lang w:eastAsia="zh-CN"/>
                    </w:rPr>
                    <w:t>保防渗技术要求满足等效粘土防渗层Mb≥</w:t>
                  </w:r>
                  <w:r>
                    <w:rPr>
                      <w:rFonts w:hint="default" w:ascii="Times New Roman" w:hAnsi="Times New Roman" w:eastAsia="宋体" w:cs="Times New Roman"/>
                      <w:snapToGrid w:val="0"/>
                      <w:color w:val="auto"/>
                      <w:kern w:val="0"/>
                      <w:sz w:val="21"/>
                      <w:szCs w:val="21"/>
                      <w:lang w:val="en-US" w:eastAsia="zh-CN"/>
                    </w:rPr>
                    <w:t>6.0</w:t>
                  </w:r>
                  <w:r>
                    <w:rPr>
                      <w:rFonts w:hint="default" w:ascii="Times New Roman" w:hAnsi="Times New Roman" w:eastAsia="宋体" w:cs="Times New Roman"/>
                      <w:snapToGrid w:val="0"/>
                      <w:color w:val="auto"/>
                      <w:kern w:val="0"/>
                      <w:sz w:val="21"/>
                      <w:szCs w:val="21"/>
                      <w:lang w:eastAsia="zh-CN"/>
                    </w:rPr>
                    <w:t>m，K≤10</w:t>
                  </w:r>
                  <w:r>
                    <w:rPr>
                      <w:rFonts w:hint="default" w:ascii="Times New Roman" w:hAnsi="Times New Roman" w:eastAsia="宋体" w:cs="Times New Roman"/>
                      <w:snapToGrid w:val="0"/>
                      <w:color w:val="auto"/>
                      <w:kern w:val="0"/>
                      <w:sz w:val="21"/>
                      <w:szCs w:val="21"/>
                      <w:vertAlign w:val="superscript"/>
                      <w:lang w:eastAsia="zh-CN"/>
                    </w:rPr>
                    <w:t>-</w:t>
                  </w:r>
                  <w:r>
                    <w:rPr>
                      <w:rFonts w:hint="default" w:ascii="Times New Roman" w:hAnsi="Times New Roman" w:eastAsia="宋体" w:cs="Times New Roman"/>
                      <w:snapToGrid w:val="0"/>
                      <w:color w:val="auto"/>
                      <w:kern w:val="0"/>
                      <w:sz w:val="21"/>
                      <w:szCs w:val="21"/>
                      <w:vertAlign w:val="superscript"/>
                      <w:lang w:val="en-US" w:eastAsia="zh-CN"/>
                    </w:rPr>
                    <w:t>7</w:t>
                  </w:r>
                  <w:r>
                    <w:rPr>
                      <w:rFonts w:hint="default" w:ascii="Times New Roman" w:hAnsi="Times New Roman" w:eastAsia="宋体" w:cs="Times New Roman"/>
                      <w:snapToGrid w:val="0"/>
                      <w:color w:val="auto"/>
                      <w:kern w:val="0"/>
                      <w:sz w:val="21"/>
                      <w:szCs w:val="21"/>
                      <w:lang w:eastAsia="zh-CN"/>
                    </w:rPr>
                    <w:t>cm/s的要求</w:t>
                  </w:r>
                </w:p>
              </w:tc>
              <w:tc>
                <w:tcPr>
                  <w:tcW w:w="503" w:type="pct"/>
                  <w:vMerge w:val="continue"/>
                  <w:tcBorders>
                    <w:tl2br w:val="nil"/>
                    <w:tr2bl w:val="nil"/>
                  </w:tcBorders>
                  <w:shd w:val="clear" w:color="auto" w:fill="auto"/>
                  <w:vAlign w:val="center"/>
                </w:tcPr>
                <w:p w14:paraId="7D8AC4B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51" w:type="pct"/>
                  <w:vMerge w:val="continue"/>
                  <w:tcBorders>
                    <w:tl2br w:val="nil"/>
                    <w:tr2bl w:val="nil"/>
                  </w:tcBorders>
                  <w:shd w:val="clear" w:color="auto" w:fill="auto"/>
                  <w:vAlign w:val="center"/>
                </w:tcPr>
                <w:p w14:paraId="57158D9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r>
            <w:tr w14:paraId="711A9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0F065C1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continue"/>
                  <w:tcBorders>
                    <w:tl2br w:val="nil"/>
                    <w:tr2bl w:val="nil"/>
                  </w:tcBorders>
                  <w:shd w:val="clear" w:color="auto" w:fill="auto"/>
                  <w:vAlign w:val="center"/>
                </w:tcPr>
                <w:p w14:paraId="5E43894F">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sz w:val="21"/>
                      <w:szCs w:val="21"/>
                    </w:rPr>
                  </w:pPr>
                </w:p>
              </w:tc>
              <w:tc>
                <w:tcPr>
                  <w:tcW w:w="479" w:type="pct"/>
                  <w:tcBorders>
                    <w:tl2br w:val="nil"/>
                    <w:tr2bl w:val="nil"/>
                  </w:tcBorders>
                  <w:shd w:val="clear" w:color="auto" w:fill="auto"/>
                  <w:vAlign w:val="center"/>
                </w:tcPr>
                <w:p w14:paraId="5066F5AD">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一般防渗区</w:t>
                  </w:r>
                </w:p>
              </w:tc>
              <w:tc>
                <w:tcPr>
                  <w:tcW w:w="2958" w:type="pct"/>
                  <w:tcBorders>
                    <w:tl2br w:val="nil"/>
                    <w:tr2bl w:val="nil"/>
                  </w:tcBorders>
                  <w:shd w:val="clear" w:color="auto" w:fill="auto"/>
                  <w:vAlign w:val="center"/>
                </w:tcPr>
                <w:p w14:paraId="231AC270">
                  <w:pPr>
                    <w:keepNext w:val="0"/>
                    <w:keepLines w:val="0"/>
                    <w:pageBreakBefore w:val="0"/>
                    <w:widowControl w:val="0"/>
                    <w:tabs>
                      <w:tab w:val="left" w:pos="993"/>
                      <w:tab w:val="left" w:pos="1134"/>
                    </w:tabs>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主要为沥青拌合楼、筒仓地面、</w:t>
                  </w:r>
                  <w:r>
                    <w:rPr>
                      <w:rFonts w:hint="default" w:ascii="Times New Roman" w:hAnsi="Times New Roman" w:cs="Times New Roman"/>
                      <w:color w:val="auto"/>
                      <w:sz w:val="21"/>
                      <w:szCs w:val="21"/>
                      <w:lang w:eastAsia="zh-CN" w:bidi="ar"/>
                    </w:rPr>
                    <w:t>骨料堆场</w:t>
                  </w:r>
                  <w:r>
                    <w:rPr>
                      <w:rFonts w:hint="default" w:ascii="Times New Roman" w:hAnsi="Times New Roman" w:eastAsia="宋体" w:cs="Times New Roman"/>
                      <w:color w:val="auto"/>
                      <w:sz w:val="21"/>
                      <w:szCs w:val="21"/>
                      <w:lang w:bidi="ar"/>
                    </w:rPr>
                    <w:t>、配料区、沉淀池、化粪池等</w:t>
                  </w:r>
                  <w:r>
                    <w:rPr>
                      <w:rFonts w:hint="default" w:ascii="Times New Roman" w:hAnsi="Times New Roman" w:cs="Times New Roman"/>
                      <w:color w:val="auto"/>
                      <w:sz w:val="21"/>
                      <w:szCs w:val="21"/>
                      <w:lang w:eastAsia="zh-CN" w:bidi="ar"/>
                    </w:rPr>
                    <w:t>，</w:t>
                  </w:r>
                  <w:r>
                    <w:rPr>
                      <w:rFonts w:hint="default" w:ascii="Times New Roman" w:hAnsi="Times New Roman" w:eastAsia="宋体" w:cs="Times New Roman"/>
                      <w:color w:val="auto"/>
                      <w:sz w:val="21"/>
                      <w:szCs w:val="21"/>
                      <w:lang w:bidi="ar"/>
                    </w:rPr>
                    <w:t>采用防渗混凝土防渗，</w:t>
                  </w:r>
                  <w:r>
                    <w:rPr>
                      <w:rFonts w:hint="default" w:ascii="Times New Roman" w:hAnsi="Times New Roman" w:eastAsia="宋体" w:cs="Times New Roman"/>
                      <w:snapToGrid w:val="0"/>
                      <w:color w:val="auto"/>
                      <w:kern w:val="0"/>
                      <w:sz w:val="21"/>
                      <w:szCs w:val="21"/>
                      <w:lang w:eastAsia="zh-CN"/>
                    </w:rPr>
                    <w:t>确保防渗技术要求满足等效粘土防渗层Mb≥</w:t>
                  </w:r>
                  <w:r>
                    <w:rPr>
                      <w:rFonts w:hint="default" w:ascii="Times New Roman" w:hAnsi="Times New Roman" w:eastAsia="宋体" w:cs="Times New Roman"/>
                      <w:snapToGrid w:val="0"/>
                      <w:color w:val="auto"/>
                      <w:kern w:val="0"/>
                      <w:sz w:val="21"/>
                      <w:szCs w:val="21"/>
                      <w:lang w:val="en-US" w:eastAsia="zh-CN"/>
                    </w:rPr>
                    <w:t>1</w:t>
                  </w:r>
                  <w:r>
                    <w:rPr>
                      <w:rFonts w:hint="default" w:ascii="Times New Roman" w:hAnsi="Times New Roman" w:eastAsia="宋体" w:cs="Times New Roman"/>
                      <w:snapToGrid w:val="0"/>
                      <w:color w:val="auto"/>
                      <w:kern w:val="0"/>
                      <w:sz w:val="21"/>
                      <w:szCs w:val="21"/>
                      <w:lang w:eastAsia="zh-CN"/>
                    </w:rPr>
                    <w:t>.</w:t>
                  </w:r>
                  <w:r>
                    <w:rPr>
                      <w:rFonts w:hint="default" w:ascii="Times New Roman" w:hAnsi="Times New Roman" w:eastAsia="宋体" w:cs="Times New Roman"/>
                      <w:snapToGrid w:val="0"/>
                      <w:color w:val="auto"/>
                      <w:kern w:val="0"/>
                      <w:sz w:val="21"/>
                      <w:szCs w:val="21"/>
                      <w:lang w:val="en-US" w:eastAsia="zh-CN"/>
                    </w:rPr>
                    <w:t>5</w:t>
                  </w:r>
                  <w:r>
                    <w:rPr>
                      <w:rFonts w:hint="default" w:ascii="Times New Roman" w:hAnsi="Times New Roman" w:eastAsia="宋体" w:cs="Times New Roman"/>
                      <w:snapToGrid w:val="0"/>
                      <w:color w:val="auto"/>
                      <w:kern w:val="0"/>
                      <w:sz w:val="21"/>
                      <w:szCs w:val="21"/>
                      <w:lang w:eastAsia="zh-CN"/>
                    </w:rPr>
                    <w:t>m，K≤10</w:t>
                  </w:r>
                  <w:r>
                    <w:rPr>
                      <w:rFonts w:hint="default" w:ascii="Times New Roman" w:hAnsi="Times New Roman" w:eastAsia="宋体" w:cs="Times New Roman"/>
                      <w:snapToGrid w:val="0"/>
                      <w:color w:val="auto"/>
                      <w:kern w:val="0"/>
                      <w:sz w:val="21"/>
                      <w:szCs w:val="21"/>
                      <w:vertAlign w:val="superscript"/>
                      <w:lang w:eastAsia="zh-CN"/>
                    </w:rPr>
                    <w:t>-</w:t>
                  </w:r>
                  <w:r>
                    <w:rPr>
                      <w:rFonts w:hint="default" w:ascii="Times New Roman" w:hAnsi="Times New Roman" w:eastAsia="宋体" w:cs="Times New Roman"/>
                      <w:snapToGrid w:val="0"/>
                      <w:color w:val="auto"/>
                      <w:kern w:val="0"/>
                      <w:sz w:val="21"/>
                      <w:szCs w:val="21"/>
                      <w:vertAlign w:val="superscript"/>
                      <w:lang w:val="en-US" w:eastAsia="zh-CN"/>
                    </w:rPr>
                    <w:t>7</w:t>
                  </w:r>
                  <w:r>
                    <w:rPr>
                      <w:rFonts w:hint="default" w:ascii="Times New Roman" w:hAnsi="Times New Roman" w:eastAsia="宋体" w:cs="Times New Roman"/>
                      <w:snapToGrid w:val="0"/>
                      <w:color w:val="auto"/>
                      <w:kern w:val="0"/>
                      <w:sz w:val="21"/>
                      <w:szCs w:val="21"/>
                      <w:lang w:eastAsia="zh-CN"/>
                    </w:rPr>
                    <w:t>cm/s的要求。</w:t>
                  </w:r>
                </w:p>
              </w:tc>
              <w:tc>
                <w:tcPr>
                  <w:tcW w:w="503" w:type="pct"/>
                  <w:vMerge w:val="continue"/>
                  <w:tcBorders>
                    <w:tl2br w:val="nil"/>
                    <w:tr2bl w:val="nil"/>
                  </w:tcBorders>
                  <w:shd w:val="clear" w:color="auto" w:fill="auto"/>
                  <w:vAlign w:val="center"/>
                </w:tcPr>
                <w:p w14:paraId="0F283C8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51" w:type="pct"/>
                  <w:vMerge w:val="continue"/>
                  <w:tcBorders>
                    <w:tl2br w:val="nil"/>
                    <w:tr2bl w:val="nil"/>
                  </w:tcBorders>
                  <w:shd w:val="clear" w:color="auto" w:fill="auto"/>
                  <w:vAlign w:val="center"/>
                </w:tcPr>
                <w:p w14:paraId="29E9087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r>
            <w:tr w14:paraId="7F68B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0" w:hRule="atLeast"/>
                <w:jc w:val="center"/>
              </w:trPr>
              <w:tc>
                <w:tcPr>
                  <w:tcW w:w="316" w:type="pct"/>
                  <w:vMerge w:val="continue"/>
                  <w:tcBorders>
                    <w:tl2br w:val="nil"/>
                    <w:tr2bl w:val="nil"/>
                  </w:tcBorders>
                  <w:shd w:val="clear" w:color="auto" w:fill="auto"/>
                  <w:vAlign w:val="center"/>
                </w:tcPr>
                <w:p w14:paraId="19373D6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291" w:type="pct"/>
                  <w:vMerge w:val="continue"/>
                  <w:tcBorders>
                    <w:tl2br w:val="nil"/>
                    <w:tr2bl w:val="nil"/>
                  </w:tcBorders>
                  <w:shd w:val="clear" w:color="auto" w:fill="auto"/>
                  <w:vAlign w:val="center"/>
                </w:tcPr>
                <w:p w14:paraId="1F2793B5">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sz w:val="21"/>
                      <w:szCs w:val="21"/>
                    </w:rPr>
                  </w:pPr>
                </w:p>
              </w:tc>
              <w:tc>
                <w:tcPr>
                  <w:tcW w:w="479" w:type="pct"/>
                  <w:tcBorders>
                    <w:tl2br w:val="nil"/>
                    <w:tr2bl w:val="nil"/>
                  </w:tcBorders>
                  <w:shd w:val="clear" w:color="auto" w:fill="auto"/>
                  <w:vAlign w:val="center"/>
                </w:tcPr>
                <w:p w14:paraId="2BC175E6">
                  <w:pPr>
                    <w:keepNext w:val="0"/>
                    <w:keepLines w:val="0"/>
                    <w:pageBreakBefore w:val="0"/>
                    <w:widowControl w:val="0"/>
                    <w:tabs>
                      <w:tab w:val="left" w:pos="993"/>
                      <w:tab w:val="left" w:pos="1134"/>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简单防渗区</w:t>
                  </w:r>
                </w:p>
              </w:tc>
              <w:tc>
                <w:tcPr>
                  <w:tcW w:w="2958" w:type="pct"/>
                  <w:tcBorders>
                    <w:tl2br w:val="nil"/>
                    <w:tr2bl w:val="nil"/>
                  </w:tcBorders>
                  <w:shd w:val="clear" w:color="auto" w:fill="auto"/>
                  <w:vAlign w:val="center"/>
                </w:tcPr>
                <w:p w14:paraId="2A33444B">
                  <w:pPr>
                    <w:keepNext w:val="0"/>
                    <w:keepLines w:val="0"/>
                    <w:pageBreakBefore w:val="0"/>
                    <w:widowControl w:val="0"/>
                    <w:tabs>
                      <w:tab w:val="left" w:pos="993"/>
                      <w:tab w:val="left" w:pos="1134"/>
                    </w:tabs>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rPr>
                    <w:t>厂区道路、办公区域、门卫室等采取水泥地面硬化。</w:t>
                  </w:r>
                </w:p>
              </w:tc>
              <w:tc>
                <w:tcPr>
                  <w:tcW w:w="503" w:type="pct"/>
                  <w:vMerge w:val="continue"/>
                  <w:tcBorders>
                    <w:tl2br w:val="nil"/>
                    <w:tr2bl w:val="nil"/>
                  </w:tcBorders>
                  <w:shd w:val="clear" w:color="auto" w:fill="auto"/>
                  <w:vAlign w:val="center"/>
                </w:tcPr>
                <w:p w14:paraId="4A4DE82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451" w:type="pct"/>
                  <w:vMerge w:val="continue"/>
                  <w:tcBorders>
                    <w:tl2br w:val="nil"/>
                    <w:tr2bl w:val="nil"/>
                  </w:tcBorders>
                  <w:shd w:val="clear" w:color="auto" w:fill="auto"/>
                  <w:vAlign w:val="center"/>
                </w:tcPr>
                <w:p w14:paraId="44F228E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r>
          </w:tbl>
          <w:p w14:paraId="501A4324">
            <w:pPr>
              <w:spacing w:line="360" w:lineRule="auto"/>
              <w:ind w:firstLine="482" w:firstLineChars="200"/>
              <w:rPr>
                <w:rFonts w:hint="default" w:ascii="Times New Roman" w:hAnsi="Times New Roman" w:eastAsia="宋体" w:cs="Times New Roman"/>
                <w:b/>
                <w:bCs/>
                <w:color w:val="auto"/>
                <w:kern w:val="24"/>
                <w:sz w:val="24"/>
                <w:szCs w:val="24"/>
              </w:rPr>
            </w:pPr>
            <w:r>
              <w:rPr>
                <w:rFonts w:hint="default" w:ascii="Times New Roman" w:hAnsi="Times New Roman" w:eastAsia="宋体" w:cs="Times New Roman"/>
                <w:b/>
                <w:bCs/>
                <w:color w:val="auto"/>
                <w:kern w:val="24"/>
                <w:sz w:val="24"/>
                <w:szCs w:val="24"/>
                <w:lang w:val="en-US" w:eastAsia="zh-CN"/>
              </w:rPr>
              <w:t>4</w:t>
            </w:r>
            <w:r>
              <w:rPr>
                <w:rFonts w:hint="default" w:ascii="Times New Roman" w:hAnsi="Times New Roman" w:eastAsia="宋体" w:cs="Times New Roman"/>
                <w:b/>
                <w:bCs/>
                <w:color w:val="auto"/>
                <w:kern w:val="24"/>
                <w:sz w:val="24"/>
                <w:szCs w:val="24"/>
              </w:rPr>
              <w:t>、主要生产设施信息</w:t>
            </w:r>
          </w:p>
          <w:p w14:paraId="423F4560">
            <w:pPr>
              <w:spacing w:line="360" w:lineRule="auto"/>
              <w:ind w:firstLine="480" w:firstLineChars="200"/>
              <w:rPr>
                <w:rFonts w:hint="default" w:ascii="Times New Roman" w:hAnsi="Times New Roman" w:eastAsia="宋体" w:cs="Times New Roman"/>
                <w:b/>
                <w:bCs/>
                <w:color w:val="auto"/>
                <w:kern w:val="0"/>
                <w:sz w:val="20"/>
                <w:szCs w:val="20"/>
                <w:lang w:val="en-US" w:eastAsia="zh-CN" w:bidi="ar-SA"/>
              </w:rPr>
            </w:pPr>
            <w:r>
              <w:rPr>
                <w:rFonts w:hint="default" w:ascii="Times New Roman" w:hAnsi="Times New Roman" w:eastAsia="宋体" w:cs="Times New Roman"/>
                <w:color w:val="auto"/>
                <w:kern w:val="24"/>
                <w:sz w:val="24"/>
                <w:szCs w:val="24"/>
              </w:rPr>
              <w:t>本项目主要生产设施信息见表2-</w:t>
            </w:r>
            <w:r>
              <w:rPr>
                <w:rFonts w:hint="default" w:ascii="Times New Roman" w:hAnsi="Times New Roman" w:eastAsia="宋体" w:cs="Times New Roman"/>
                <w:color w:val="auto"/>
                <w:kern w:val="24"/>
                <w:sz w:val="24"/>
                <w:szCs w:val="24"/>
                <w:lang w:val="en-US" w:eastAsia="zh-CN"/>
              </w:rPr>
              <w:t>3</w:t>
            </w:r>
            <w:r>
              <w:rPr>
                <w:rFonts w:hint="default" w:ascii="Times New Roman" w:hAnsi="Times New Roman" w:eastAsia="宋体" w:cs="Times New Roman"/>
                <w:color w:val="auto"/>
                <w:kern w:val="24"/>
                <w:sz w:val="24"/>
                <w:szCs w:val="24"/>
              </w:rPr>
              <w:t>。</w:t>
            </w:r>
          </w:p>
          <w:p w14:paraId="294E14D3">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宋体" w:cs="Times New Roman"/>
                <w:b/>
                <w:bCs/>
                <w:color w:val="auto"/>
                <w:kern w:val="0"/>
                <w:sz w:val="20"/>
                <w:szCs w:val="20"/>
                <w:lang w:val="en-US" w:eastAsia="zh-CN" w:bidi="ar-SA"/>
              </w:rPr>
            </w:pPr>
            <w:r>
              <w:rPr>
                <w:rFonts w:hint="default" w:ascii="Times New Roman" w:hAnsi="Times New Roman" w:eastAsia="宋体" w:cs="Times New Roman"/>
                <w:b/>
                <w:bCs/>
                <w:color w:val="auto"/>
                <w:kern w:val="0"/>
                <w:sz w:val="20"/>
                <w:szCs w:val="20"/>
                <w:lang w:val="en-US" w:eastAsia="zh-CN" w:bidi="ar-SA"/>
              </w:rPr>
              <w:t>表2-3 主要生产设施信息表</w:t>
            </w:r>
          </w:p>
          <w:tbl>
            <w:tblPr>
              <w:tblStyle w:val="29"/>
              <w:tblW w:w="496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70"/>
              <w:gridCol w:w="1916"/>
              <w:gridCol w:w="5188"/>
              <w:gridCol w:w="962"/>
            </w:tblGrid>
            <w:tr w14:paraId="5A166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777" w:hRule="atLeast"/>
                <w:tblHeader/>
                <w:jc w:val="center"/>
              </w:trPr>
              <w:tc>
                <w:tcPr>
                  <w:tcW w:w="436" w:type="pct"/>
                  <w:shd w:val="clear" w:color="auto" w:fill="auto"/>
                  <w:tcMar>
                    <w:top w:w="15" w:type="dxa"/>
                    <w:left w:w="15" w:type="dxa"/>
                    <w:bottom w:w="0" w:type="dxa"/>
                    <w:right w:w="15" w:type="dxa"/>
                  </w:tcMar>
                  <w:vAlign w:val="center"/>
                </w:tcPr>
                <w:p w14:paraId="08F12482">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GB"/>
                    </w:rPr>
                  </w:pPr>
                  <w:r>
                    <w:rPr>
                      <w:rFonts w:hint="default" w:ascii="Times New Roman" w:hAnsi="Times New Roman" w:eastAsia="宋体" w:cs="Times New Roman"/>
                      <w:b/>
                      <w:bCs/>
                      <w:color w:val="auto"/>
                      <w:sz w:val="21"/>
                      <w:szCs w:val="21"/>
                      <w:lang w:val="en-GB"/>
                    </w:rPr>
                    <w:t>序号</w:t>
                  </w:r>
                </w:p>
              </w:tc>
              <w:tc>
                <w:tcPr>
                  <w:tcW w:w="1084" w:type="pct"/>
                  <w:shd w:val="clear" w:color="auto" w:fill="auto"/>
                  <w:tcMar>
                    <w:top w:w="15" w:type="dxa"/>
                    <w:left w:w="15" w:type="dxa"/>
                    <w:bottom w:w="0" w:type="dxa"/>
                    <w:right w:w="15" w:type="dxa"/>
                  </w:tcMar>
                  <w:vAlign w:val="center"/>
                </w:tcPr>
                <w:p w14:paraId="261235AB">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GB"/>
                    </w:rPr>
                  </w:pPr>
                  <w:r>
                    <w:rPr>
                      <w:rFonts w:hint="default" w:ascii="Times New Roman" w:hAnsi="Times New Roman" w:eastAsia="宋体" w:cs="Times New Roman"/>
                      <w:b/>
                      <w:bCs/>
                      <w:color w:val="auto"/>
                      <w:sz w:val="21"/>
                      <w:szCs w:val="21"/>
                      <w:lang w:val="en-GB"/>
                    </w:rPr>
                    <w:t>设备名称</w:t>
                  </w:r>
                </w:p>
              </w:tc>
              <w:tc>
                <w:tcPr>
                  <w:tcW w:w="2935" w:type="pct"/>
                  <w:shd w:val="clear" w:color="auto" w:fill="auto"/>
                  <w:tcMar>
                    <w:top w:w="15" w:type="dxa"/>
                    <w:left w:w="15" w:type="dxa"/>
                    <w:bottom w:w="0" w:type="dxa"/>
                    <w:right w:w="15" w:type="dxa"/>
                  </w:tcMar>
                  <w:vAlign w:val="center"/>
                </w:tcPr>
                <w:p w14:paraId="23A19B91">
                  <w:pPr>
                    <w:keepNext w:val="0"/>
                    <w:keepLines w:val="0"/>
                    <w:pageBreakBefore w:val="0"/>
                    <w:widowControl w:val="0"/>
                    <w:tabs>
                      <w:tab w:val="left" w:pos="655"/>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lang w:val="en-GB"/>
                    </w:rPr>
                  </w:pPr>
                  <w:r>
                    <w:rPr>
                      <w:rFonts w:hint="default" w:ascii="Times New Roman" w:hAnsi="Times New Roman" w:eastAsia="宋体" w:cs="Times New Roman"/>
                      <w:b/>
                      <w:bCs/>
                      <w:color w:val="auto"/>
                      <w:sz w:val="21"/>
                      <w:szCs w:val="21"/>
                      <w:lang w:val="en-GB"/>
                    </w:rPr>
                    <w:t>规格型号</w:t>
                  </w:r>
                </w:p>
              </w:tc>
              <w:tc>
                <w:tcPr>
                  <w:tcW w:w="543" w:type="pct"/>
                  <w:shd w:val="clear" w:color="auto" w:fill="auto"/>
                  <w:tcMar>
                    <w:top w:w="15" w:type="dxa"/>
                    <w:left w:w="15" w:type="dxa"/>
                    <w:bottom w:w="0" w:type="dxa"/>
                    <w:right w:w="15" w:type="dxa"/>
                  </w:tcMar>
                  <w:vAlign w:val="center"/>
                </w:tcPr>
                <w:p w14:paraId="09D9D73B">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GB"/>
                    </w:rPr>
                  </w:pPr>
                  <w:r>
                    <w:rPr>
                      <w:rFonts w:hint="default" w:ascii="Times New Roman" w:hAnsi="Times New Roman" w:eastAsia="宋体" w:cs="Times New Roman"/>
                      <w:b/>
                      <w:bCs/>
                      <w:color w:val="auto"/>
                      <w:sz w:val="21"/>
                      <w:szCs w:val="21"/>
                      <w:lang w:val="en-GB"/>
                    </w:rPr>
                    <w:t>数量</w:t>
                  </w:r>
                </w:p>
                <w:p w14:paraId="0522A5D7">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GB"/>
                    </w:rPr>
                  </w:pPr>
                  <w:r>
                    <w:rPr>
                      <w:rFonts w:hint="default" w:ascii="Times New Roman" w:hAnsi="Times New Roman" w:eastAsia="宋体" w:cs="Times New Roman"/>
                      <w:b/>
                      <w:bCs/>
                      <w:color w:val="auto"/>
                      <w:sz w:val="21"/>
                      <w:szCs w:val="21"/>
                      <w:lang w:val="en-GB"/>
                    </w:rPr>
                    <w:t>（台/套）</w:t>
                  </w:r>
                </w:p>
              </w:tc>
            </w:tr>
            <w:tr w14:paraId="716B0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tcMar>
                    <w:top w:w="15" w:type="dxa"/>
                    <w:left w:w="15" w:type="dxa"/>
                    <w:bottom w:w="0" w:type="dxa"/>
                    <w:right w:w="15" w:type="dxa"/>
                  </w:tcMar>
                  <w:vAlign w:val="center"/>
                </w:tcPr>
                <w:p w14:paraId="293730F3">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bookmarkStart w:id="0" w:name="OLE_LINK3" w:colFirst="3" w:colLast="3"/>
                  <w:bookmarkStart w:id="1" w:name="OLE_LINK2" w:colFirst="3" w:colLast="3"/>
                  <w:bookmarkStart w:id="2" w:name="OLE_LINK1" w:colFirst="3" w:colLast="3"/>
                  <w:r>
                    <w:rPr>
                      <w:rFonts w:hint="default" w:ascii="Times New Roman" w:hAnsi="Times New Roman" w:eastAsia="宋体" w:cs="Times New Roman"/>
                      <w:b/>
                      <w:bCs/>
                      <w:color w:val="auto"/>
                      <w:sz w:val="21"/>
                      <w:szCs w:val="21"/>
                    </w:rPr>
                    <w:t>一</w:t>
                  </w:r>
                </w:p>
              </w:tc>
              <w:tc>
                <w:tcPr>
                  <w:tcW w:w="4563" w:type="pct"/>
                  <w:gridSpan w:val="3"/>
                  <w:tcMar>
                    <w:top w:w="15" w:type="dxa"/>
                    <w:left w:w="15" w:type="dxa"/>
                    <w:bottom w:w="0" w:type="dxa"/>
                    <w:right w:w="15" w:type="dxa"/>
                  </w:tcMar>
                  <w:vAlign w:val="center"/>
                </w:tcPr>
                <w:p w14:paraId="455DA98D">
                  <w:pPr>
                    <w:keepNext w:val="0"/>
                    <w:keepLines w:val="0"/>
                    <w:pageBreakBefore w:val="0"/>
                    <w:widowControl w:val="0"/>
                    <w:tabs>
                      <w:tab w:val="left" w:pos="655"/>
                    </w:tabs>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lang w:val="en-GB"/>
                    </w:rPr>
                  </w:pPr>
                  <w:r>
                    <w:rPr>
                      <w:rFonts w:hint="default" w:ascii="Times New Roman" w:hAnsi="Times New Roman" w:eastAsia="宋体" w:cs="Times New Roman"/>
                      <w:b/>
                      <w:bCs/>
                      <w:color w:val="auto"/>
                      <w:sz w:val="21"/>
                      <w:szCs w:val="21"/>
                      <w:lang w:val="en-GB"/>
                    </w:rPr>
                    <w:t>冷料配给系统</w:t>
                  </w:r>
                </w:p>
              </w:tc>
            </w:tr>
            <w:tr w14:paraId="7ECD2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75" w:hRule="atLeast"/>
                <w:jc w:val="center"/>
              </w:trPr>
              <w:tc>
                <w:tcPr>
                  <w:tcW w:w="436" w:type="pct"/>
                  <w:shd w:val="clear" w:color="auto" w:fill="auto"/>
                  <w:tcMar>
                    <w:top w:w="15" w:type="dxa"/>
                    <w:left w:w="15" w:type="dxa"/>
                    <w:bottom w:w="0" w:type="dxa"/>
                    <w:right w:w="15" w:type="dxa"/>
                  </w:tcMar>
                  <w:vAlign w:val="center"/>
                </w:tcPr>
                <w:p w14:paraId="3175CE2A">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GB"/>
                    </w:rPr>
                  </w:pPr>
                  <w:r>
                    <w:rPr>
                      <w:rFonts w:hint="default" w:ascii="Times New Roman" w:hAnsi="Times New Roman" w:eastAsia="宋体" w:cs="Times New Roman"/>
                      <w:color w:val="auto"/>
                      <w:sz w:val="21"/>
                      <w:szCs w:val="21"/>
                      <w:lang w:val="en-GB"/>
                    </w:rPr>
                    <w:t>1</w:t>
                  </w:r>
                </w:p>
              </w:tc>
              <w:tc>
                <w:tcPr>
                  <w:tcW w:w="1084" w:type="pct"/>
                  <w:shd w:val="clear" w:color="auto" w:fill="auto"/>
                  <w:tcMar>
                    <w:top w:w="15" w:type="dxa"/>
                    <w:left w:w="15" w:type="dxa"/>
                    <w:bottom w:w="0" w:type="dxa"/>
                    <w:right w:w="15" w:type="dxa"/>
                  </w:tcMar>
                  <w:vAlign w:val="center"/>
                </w:tcPr>
                <w:p w14:paraId="0F72E320">
                  <w:pPr>
                    <w:keepNext w:val="0"/>
                    <w:keepLines w:val="0"/>
                    <w:pageBreakBefore w:val="0"/>
                    <w:widowControl w:val="0"/>
                    <w:tabs>
                      <w:tab w:val="left" w:pos="655"/>
                    </w:tabs>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GB"/>
                    </w:rPr>
                  </w:pPr>
                  <w:r>
                    <w:rPr>
                      <w:rFonts w:hint="default" w:ascii="Times New Roman" w:hAnsi="Times New Roman" w:eastAsia="宋体" w:cs="Times New Roman"/>
                      <w:color w:val="auto"/>
                      <w:sz w:val="21"/>
                      <w:szCs w:val="21"/>
                    </w:rPr>
                    <w:t>集料给料机</w:t>
                  </w:r>
                </w:p>
              </w:tc>
              <w:tc>
                <w:tcPr>
                  <w:tcW w:w="2935" w:type="pct"/>
                  <w:shd w:val="clear" w:color="auto" w:fill="auto"/>
                  <w:tcMar>
                    <w:top w:w="15" w:type="dxa"/>
                    <w:left w:w="15" w:type="dxa"/>
                    <w:bottom w:w="0" w:type="dxa"/>
                    <w:right w:w="15" w:type="dxa"/>
                  </w:tcMar>
                  <w:vAlign w:val="center"/>
                </w:tcPr>
                <w:p w14:paraId="51F7D37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lang w:val="en-GB" w:eastAsia="zh-CN" w:bidi="ar-SA"/>
                    </w:rPr>
                  </w:pPr>
                  <w:r>
                    <w:rPr>
                      <w:rFonts w:hint="default" w:ascii="Times New Roman" w:hAnsi="Times New Roman" w:eastAsia="宋体" w:cs="Times New Roman"/>
                      <w:color w:val="auto"/>
                      <w:sz w:val="21"/>
                      <w:szCs w:val="21"/>
                    </w:rPr>
                    <w:t>料斗容积</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5×10m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rPr>
                    <w:t>装料高度3.2m</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rPr>
                    <w:t>仓壁振动电机功率2×0.25kW</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rPr>
                    <w:t>级配单元电机功率5×2.2kW</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rPr>
                    <w:t>级配单元电机调速方式</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变频调速</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rPr>
                    <w:t>级配单元环形皮带带宽650mm</w:t>
                  </w:r>
                </w:p>
              </w:tc>
              <w:tc>
                <w:tcPr>
                  <w:tcW w:w="543" w:type="pct"/>
                  <w:shd w:val="clear" w:color="auto" w:fill="auto"/>
                  <w:tcMar>
                    <w:top w:w="15" w:type="dxa"/>
                    <w:left w:w="15" w:type="dxa"/>
                    <w:bottom w:w="0" w:type="dxa"/>
                    <w:right w:w="15" w:type="dxa"/>
                  </w:tcMar>
                  <w:vAlign w:val="center"/>
                </w:tcPr>
                <w:p w14:paraId="571FCB7D">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70DC0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420E9F8B">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084" w:type="pct"/>
                  <w:shd w:val="clear" w:color="auto" w:fill="auto"/>
                  <w:tcMar>
                    <w:top w:w="15" w:type="dxa"/>
                    <w:left w:w="15" w:type="dxa"/>
                    <w:bottom w:w="0" w:type="dxa"/>
                    <w:right w:w="15" w:type="dxa"/>
                  </w:tcMar>
                  <w:vAlign w:val="center"/>
                </w:tcPr>
                <w:p w14:paraId="708DC6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集料带总成</w:t>
                  </w:r>
                </w:p>
              </w:tc>
              <w:tc>
                <w:tcPr>
                  <w:tcW w:w="2935" w:type="pct"/>
                  <w:shd w:val="clear" w:color="auto" w:fill="auto"/>
                  <w:tcMar>
                    <w:top w:w="15" w:type="dxa"/>
                    <w:left w:w="15" w:type="dxa"/>
                    <w:bottom w:w="0" w:type="dxa"/>
                    <w:right w:w="15" w:type="dxa"/>
                  </w:tcMar>
                  <w:vAlign w:val="center"/>
                </w:tcPr>
                <w:p w14:paraId="29566E1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集料皮带带宽</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650mm</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rPr>
                    <w:t>电机功率</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1×5.5kW</w:t>
                  </w:r>
                </w:p>
              </w:tc>
              <w:tc>
                <w:tcPr>
                  <w:tcW w:w="543" w:type="pct"/>
                  <w:shd w:val="clear" w:color="auto" w:fill="auto"/>
                  <w:tcMar>
                    <w:top w:w="15" w:type="dxa"/>
                    <w:left w:w="15" w:type="dxa"/>
                    <w:bottom w:w="0" w:type="dxa"/>
                    <w:right w:w="15" w:type="dxa"/>
                  </w:tcMar>
                  <w:vAlign w:val="center"/>
                </w:tcPr>
                <w:p w14:paraId="13E14C76">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793E8F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46FAFD17">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084" w:type="pct"/>
                  <w:shd w:val="clear" w:color="auto" w:fill="auto"/>
                  <w:tcMar>
                    <w:top w:w="15" w:type="dxa"/>
                    <w:left w:w="15" w:type="dxa"/>
                    <w:bottom w:w="0" w:type="dxa"/>
                    <w:right w:w="15" w:type="dxa"/>
                  </w:tcMar>
                  <w:vAlign w:val="center"/>
                </w:tcPr>
                <w:p w14:paraId="0E682F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倾斜皮带输送机</w:t>
                  </w:r>
                </w:p>
              </w:tc>
              <w:tc>
                <w:tcPr>
                  <w:tcW w:w="2935" w:type="pct"/>
                  <w:shd w:val="clear" w:color="auto" w:fill="auto"/>
                  <w:tcMar>
                    <w:top w:w="15" w:type="dxa"/>
                    <w:left w:w="15" w:type="dxa"/>
                    <w:bottom w:w="0" w:type="dxa"/>
                    <w:right w:w="15" w:type="dxa"/>
                  </w:tcMar>
                  <w:vAlign w:val="center"/>
                </w:tcPr>
                <w:p w14:paraId="6F742BF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输送皮带带宽</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650mm</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rPr>
                    <w:t>电机功率</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1×5.5kW</w:t>
                  </w:r>
                </w:p>
              </w:tc>
              <w:tc>
                <w:tcPr>
                  <w:tcW w:w="543" w:type="pct"/>
                  <w:shd w:val="clear" w:color="auto" w:fill="auto"/>
                  <w:tcMar>
                    <w:top w:w="15" w:type="dxa"/>
                    <w:left w:w="15" w:type="dxa"/>
                    <w:bottom w:w="0" w:type="dxa"/>
                    <w:right w:w="15" w:type="dxa"/>
                  </w:tcMar>
                  <w:vAlign w:val="center"/>
                </w:tcPr>
                <w:p w14:paraId="7F9691F3">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1BD4DB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tcMar>
                    <w:top w:w="15" w:type="dxa"/>
                    <w:left w:w="15" w:type="dxa"/>
                    <w:bottom w:w="0" w:type="dxa"/>
                    <w:right w:w="15" w:type="dxa"/>
                  </w:tcMar>
                  <w:vAlign w:val="center"/>
                </w:tcPr>
                <w:p w14:paraId="1F5F252A">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GB" w:eastAsia="zh-CN"/>
                    </w:rPr>
                  </w:pPr>
                  <w:r>
                    <w:rPr>
                      <w:rFonts w:hint="default" w:ascii="Times New Roman" w:hAnsi="Times New Roman" w:eastAsia="宋体" w:cs="Times New Roman"/>
                      <w:color w:val="auto"/>
                      <w:sz w:val="21"/>
                      <w:szCs w:val="21"/>
                      <w:lang w:val="en-US" w:eastAsia="zh-CN"/>
                    </w:rPr>
                    <w:t>4</w:t>
                  </w:r>
                </w:p>
              </w:tc>
              <w:tc>
                <w:tcPr>
                  <w:tcW w:w="1084" w:type="pct"/>
                  <w:shd w:val="clear" w:color="auto" w:fill="auto"/>
                  <w:tcMar>
                    <w:top w:w="15" w:type="dxa"/>
                    <w:left w:w="15" w:type="dxa"/>
                    <w:bottom w:w="0" w:type="dxa"/>
                    <w:right w:w="15" w:type="dxa"/>
                  </w:tcMar>
                  <w:vAlign w:val="top"/>
                </w:tcPr>
                <w:p w14:paraId="20218C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GB" w:eastAsia="zh-CN" w:bidi="ar-SA"/>
                    </w:rPr>
                  </w:pPr>
                  <w:r>
                    <w:rPr>
                      <w:rFonts w:hint="default" w:ascii="Times New Roman" w:hAnsi="Times New Roman" w:eastAsia="宋体" w:cs="Times New Roman"/>
                      <w:color w:val="auto"/>
                      <w:sz w:val="21"/>
                      <w:szCs w:val="21"/>
                    </w:rPr>
                    <w:t>中间过滤筛</w:t>
                  </w:r>
                </w:p>
              </w:tc>
              <w:tc>
                <w:tcPr>
                  <w:tcW w:w="2935" w:type="pct"/>
                  <w:shd w:val="clear" w:color="auto" w:fill="auto"/>
                  <w:tcMar>
                    <w:top w:w="15" w:type="dxa"/>
                    <w:left w:w="15" w:type="dxa"/>
                    <w:bottom w:w="0" w:type="dxa"/>
                    <w:right w:w="15" w:type="dxa"/>
                  </w:tcMar>
                  <w:vAlign w:val="center"/>
                </w:tcPr>
                <w:p w14:paraId="420C9FD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倾斜自流式</w:t>
                  </w:r>
                </w:p>
              </w:tc>
              <w:tc>
                <w:tcPr>
                  <w:tcW w:w="543" w:type="pct"/>
                  <w:tcMar>
                    <w:top w:w="15" w:type="dxa"/>
                    <w:left w:w="15" w:type="dxa"/>
                    <w:bottom w:w="0" w:type="dxa"/>
                    <w:right w:w="15" w:type="dxa"/>
                  </w:tcMar>
                  <w:vAlign w:val="center"/>
                </w:tcPr>
                <w:p w14:paraId="795C41EF">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r>
            <w:tr w14:paraId="4B78B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7A3AE2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二</w:t>
                  </w:r>
                </w:p>
              </w:tc>
              <w:tc>
                <w:tcPr>
                  <w:tcW w:w="4563" w:type="pct"/>
                  <w:gridSpan w:val="3"/>
                  <w:shd w:val="clear" w:color="auto" w:fill="auto"/>
                  <w:tcMar>
                    <w:top w:w="15" w:type="dxa"/>
                    <w:left w:w="15" w:type="dxa"/>
                    <w:bottom w:w="0" w:type="dxa"/>
                    <w:right w:w="15" w:type="dxa"/>
                  </w:tcMar>
                  <w:vAlign w:val="center"/>
                </w:tcPr>
                <w:p w14:paraId="4000320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color w:val="auto"/>
                      <w:sz w:val="21"/>
                      <w:szCs w:val="21"/>
                      <w:lang w:val="en-GB"/>
                    </w:rPr>
                    <w:t xml:space="preserve">干燥加热系统                                 </w:t>
                  </w:r>
                </w:p>
              </w:tc>
            </w:tr>
            <w:bookmarkEnd w:id="0"/>
            <w:bookmarkEnd w:id="1"/>
            <w:bookmarkEnd w:id="2"/>
            <w:tr w14:paraId="286623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tcMar>
                    <w:top w:w="15" w:type="dxa"/>
                    <w:left w:w="15" w:type="dxa"/>
                    <w:bottom w:w="0" w:type="dxa"/>
                    <w:right w:w="15" w:type="dxa"/>
                  </w:tcMar>
                  <w:vAlign w:val="center"/>
                </w:tcPr>
                <w:p w14:paraId="7008A757">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084" w:type="pct"/>
                  <w:shd w:val="clear" w:color="auto" w:fill="auto"/>
                  <w:tcMar>
                    <w:top w:w="15" w:type="dxa"/>
                    <w:left w:w="15" w:type="dxa"/>
                    <w:bottom w:w="0" w:type="dxa"/>
                    <w:right w:w="15" w:type="dxa"/>
                  </w:tcMar>
                  <w:vAlign w:val="center"/>
                </w:tcPr>
                <w:p w14:paraId="1708A2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en-GB" w:eastAsia="zh-CN" w:bidi="ar-SA"/>
                    </w:rPr>
                  </w:pPr>
                  <w:r>
                    <w:rPr>
                      <w:rFonts w:hint="default" w:ascii="Times New Roman" w:hAnsi="Times New Roman" w:eastAsia="宋体" w:cs="Times New Roman"/>
                      <w:color w:val="auto"/>
                      <w:sz w:val="21"/>
                      <w:szCs w:val="21"/>
                    </w:rPr>
                    <w:t>干燥滚筒</w:t>
                  </w:r>
                </w:p>
              </w:tc>
              <w:tc>
                <w:tcPr>
                  <w:tcW w:w="2935" w:type="pct"/>
                  <w:shd w:val="clear" w:color="auto" w:fill="auto"/>
                  <w:tcMar>
                    <w:top w:w="15" w:type="dxa"/>
                    <w:left w:w="15" w:type="dxa"/>
                    <w:bottom w:w="0" w:type="dxa"/>
                    <w:right w:w="15" w:type="dxa"/>
                  </w:tcMar>
                  <w:vAlign w:val="center"/>
                </w:tcPr>
                <w:p w14:paraId="603D67D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color w:val="auto"/>
                      <w:kern w:val="2"/>
                      <w:sz w:val="21"/>
                      <w:szCs w:val="21"/>
                      <w:lang w:val="en-GB" w:eastAsia="zh-CN" w:bidi="ar-SA"/>
                    </w:rPr>
                  </w:pPr>
                  <w:r>
                    <w:rPr>
                      <w:rFonts w:hint="default" w:ascii="Times New Roman" w:hAnsi="Times New Roman" w:eastAsia="宋体" w:cs="Times New Roman"/>
                      <w:color w:val="auto"/>
                      <w:sz w:val="21"/>
                      <w:szCs w:val="21"/>
                    </w:rPr>
                    <w:t>滚筒直径Φ2.6m</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rPr>
                    <w:t>滚筒长度9.5m</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rPr>
                    <w:t>滚筒电机功率4×22kW</w:t>
                  </w:r>
                </w:p>
              </w:tc>
              <w:tc>
                <w:tcPr>
                  <w:tcW w:w="543" w:type="pct"/>
                  <w:tcMar>
                    <w:top w:w="15" w:type="dxa"/>
                    <w:left w:w="15" w:type="dxa"/>
                    <w:bottom w:w="0" w:type="dxa"/>
                    <w:right w:w="15" w:type="dxa"/>
                  </w:tcMar>
                  <w:vAlign w:val="center"/>
                </w:tcPr>
                <w:p w14:paraId="56DB7A88">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GB"/>
                    </w:rPr>
                  </w:pPr>
                  <w:r>
                    <w:rPr>
                      <w:rFonts w:hint="default" w:ascii="Times New Roman" w:hAnsi="Times New Roman" w:eastAsia="宋体" w:cs="Times New Roman"/>
                      <w:color w:val="auto"/>
                      <w:sz w:val="21"/>
                      <w:szCs w:val="21"/>
                      <w:lang w:val="en-GB"/>
                    </w:rPr>
                    <w:t>1</w:t>
                  </w:r>
                </w:p>
              </w:tc>
            </w:tr>
            <w:tr w14:paraId="3B0F6B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75" w:hRule="atLeast"/>
                <w:jc w:val="center"/>
              </w:trPr>
              <w:tc>
                <w:tcPr>
                  <w:tcW w:w="436" w:type="pct"/>
                  <w:tcMar>
                    <w:top w:w="15" w:type="dxa"/>
                    <w:left w:w="15" w:type="dxa"/>
                    <w:bottom w:w="0" w:type="dxa"/>
                    <w:right w:w="15" w:type="dxa"/>
                  </w:tcMar>
                  <w:vAlign w:val="center"/>
                </w:tcPr>
                <w:p w14:paraId="1FBD7930">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084" w:type="pct"/>
                  <w:shd w:val="clear" w:color="auto" w:fill="auto"/>
                  <w:tcMar>
                    <w:top w:w="15" w:type="dxa"/>
                    <w:left w:w="15" w:type="dxa"/>
                    <w:bottom w:w="0" w:type="dxa"/>
                    <w:right w:w="15" w:type="dxa"/>
                  </w:tcMar>
                  <w:vAlign w:val="center"/>
                </w:tcPr>
                <w:p w14:paraId="485E12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sz w:val="21"/>
                      <w:szCs w:val="21"/>
                    </w:rPr>
                    <w:t>燃烧器</w:t>
                  </w:r>
                </w:p>
              </w:tc>
              <w:tc>
                <w:tcPr>
                  <w:tcW w:w="2935" w:type="pct"/>
                  <w:shd w:val="clear" w:color="auto" w:fill="auto"/>
                  <w:tcMar>
                    <w:top w:w="15" w:type="dxa"/>
                    <w:left w:w="15" w:type="dxa"/>
                    <w:bottom w:w="0" w:type="dxa"/>
                    <w:right w:w="15" w:type="dxa"/>
                  </w:tcMar>
                  <w:vAlign w:val="center"/>
                </w:tcPr>
                <w:p w14:paraId="7A964DE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GB" w:eastAsia="zh-CN" w:bidi="ar-SA"/>
                    </w:rPr>
                  </w:pPr>
                  <w:r>
                    <w:rPr>
                      <w:rFonts w:hint="default" w:ascii="Times New Roman" w:hAnsi="Times New Roman" w:eastAsia="宋体" w:cs="Times New Roman"/>
                      <w:color w:val="auto"/>
                      <w:sz w:val="21"/>
                      <w:szCs w:val="21"/>
                    </w:rPr>
                    <w:t>额定燃油量1800kg/h</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rPr>
                    <w:t>风机功率1×37kW</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rPr>
                    <w:t>油泵功率1×2.2kW</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rPr>
                    <w:t>加压泵功率1×3kW</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rPr>
                    <w:t>调节比1 : 10</w:t>
                  </w:r>
                  <w:r>
                    <w:rPr>
                      <w:rFonts w:hint="default"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rPr>
                    <w:t>高压风机18.53kW</w:t>
                  </w:r>
                </w:p>
              </w:tc>
              <w:tc>
                <w:tcPr>
                  <w:tcW w:w="543" w:type="pct"/>
                  <w:tcMar>
                    <w:top w:w="15" w:type="dxa"/>
                    <w:left w:w="15" w:type="dxa"/>
                    <w:bottom w:w="0" w:type="dxa"/>
                    <w:right w:w="15" w:type="dxa"/>
                  </w:tcMar>
                  <w:vAlign w:val="center"/>
                </w:tcPr>
                <w:p w14:paraId="6BE0E694">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218CE4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tcMar>
                    <w:top w:w="15" w:type="dxa"/>
                    <w:left w:w="15" w:type="dxa"/>
                    <w:bottom w:w="0" w:type="dxa"/>
                    <w:right w:w="15" w:type="dxa"/>
                  </w:tcMar>
                  <w:vAlign w:val="center"/>
                </w:tcPr>
                <w:p w14:paraId="3AE05972">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084" w:type="pct"/>
                  <w:shd w:val="clear" w:color="auto" w:fill="auto"/>
                  <w:tcMar>
                    <w:top w:w="15" w:type="dxa"/>
                    <w:left w:w="15" w:type="dxa"/>
                    <w:bottom w:w="0" w:type="dxa"/>
                    <w:right w:w="15" w:type="dxa"/>
                  </w:tcMar>
                  <w:vAlign w:val="center"/>
                </w:tcPr>
                <w:p w14:paraId="404712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轻质</w:t>
                  </w:r>
                  <w:r>
                    <w:rPr>
                      <w:rFonts w:hint="default" w:ascii="Times New Roman" w:hAnsi="Times New Roman" w:eastAsia="宋体" w:cs="Times New Roman"/>
                      <w:color w:val="auto"/>
                      <w:sz w:val="21"/>
                      <w:szCs w:val="21"/>
                    </w:rPr>
                    <w:t>油罐</w:t>
                  </w:r>
                </w:p>
              </w:tc>
              <w:tc>
                <w:tcPr>
                  <w:tcW w:w="2935" w:type="pct"/>
                  <w:shd w:val="clear" w:color="auto" w:fill="auto"/>
                  <w:tcMar>
                    <w:top w:w="15" w:type="dxa"/>
                    <w:left w:w="15" w:type="dxa"/>
                    <w:bottom w:w="0" w:type="dxa"/>
                    <w:right w:w="15" w:type="dxa"/>
                  </w:tcMar>
                  <w:vAlign w:val="center"/>
                </w:tcPr>
                <w:p w14:paraId="71E864D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color w:val="auto"/>
                      <w:kern w:val="2"/>
                      <w:sz w:val="21"/>
                      <w:szCs w:val="21"/>
                      <w:lang w:val="en-GB" w:eastAsia="zh-CN" w:bidi="ar-SA"/>
                    </w:rPr>
                  </w:pPr>
                  <w:r>
                    <w:rPr>
                      <w:rFonts w:hint="default" w:ascii="Times New Roman" w:hAnsi="Times New Roman" w:eastAsia="宋体" w:cs="Times New Roman"/>
                      <w:color w:val="auto"/>
                      <w:sz w:val="21"/>
                      <w:szCs w:val="21"/>
                    </w:rPr>
                    <w:t>容积1×</w:t>
                  </w:r>
                  <w:r>
                    <w:rPr>
                      <w:rFonts w:hint="default"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vertAlign w:val="superscript"/>
                    </w:rPr>
                    <w:t>3</w:t>
                  </w:r>
                </w:p>
              </w:tc>
              <w:tc>
                <w:tcPr>
                  <w:tcW w:w="543" w:type="pct"/>
                  <w:tcMar>
                    <w:top w:w="15" w:type="dxa"/>
                    <w:left w:w="15" w:type="dxa"/>
                    <w:bottom w:w="0" w:type="dxa"/>
                    <w:right w:w="15" w:type="dxa"/>
                  </w:tcMar>
                  <w:vAlign w:val="center"/>
                </w:tcPr>
                <w:p w14:paraId="3FE3BA41">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6B4083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tcMar>
                    <w:top w:w="15" w:type="dxa"/>
                    <w:left w:w="15" w:type="dxa"/>
                    <w:bottom w:w="0" w:type="dxa"/>
                    <w:right w:w="15" w:type="dxa"/>
                  </w:tcMar>
                  <w:vAlign w:val="center"/>
                </w:tcPr>
                <w:p w14:paraId="1F6B3A65">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084" w:type="pct"/>
                  <w:shd w:val="clear" w:color="auto" w:fill="auto"/>
                  <w:tcMar>
                    <w:top w:w="15" w:type="dxa"/>
                    <w:left w:w="15" w:type="dxa"/>
                    <w:bottom w:w="0" w:type="dxa"/>
                    <w:right w:w="15" w:type="dxa"/>
                  </w:tcMar>
                  <w:vAlign w:val="center"/>
                </w:tcPr>
                <w:p w14:paraId="39C000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sz w:val="21"/>
                      <w:szCs w:val="21"/>
                    </w:rPr>
                    <w:t>空压机</w:t>
                  </w:r>
                </w:p>
              </w:tc>
              <w:tc>
                <w:tcPr>
                  <w:tcW w:w="2935" w:type="pct"/>
                  <w:shd w:val="clear" w:color="auto" w:fill="auto"/>
                  <w:tcMar>
                    <w:top w:w="15" w:type="dxa"/>
                    <w:left w:w="15" w:type="dxa"/>
                    <w:bottom w:w="0" w:type="dxa"/>
                    <w:right w:w="15" w:type="dxa"/>
                  </w:tcMar>
                  <w:vAlign w:val="center"/>
                </w:tcPr>
                <w:p w14:paraId="2BE5603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color w:val="auto"/>
                      <w:kern w:val="2"/>
                      <w:sz w:val="21"/>
                      <w:szCs w:val="21"/>
                      <w:lang w:val="en-GB" w:eastAsia="zh-CN" w:bidi="ar-SA"/>
                    </w:rPr>
                  </w:pPr>
                  <w:r>
                    <w:rPr>
                      <w:rFonts w:hint="default" w:ascii="Times New Roman" w:hAnsi="Times New Roman" w:eastAsia="宋体" w:cs="Times New Roman"/>
                      <w:color w:val="auto"/>
                      <w:sz w:val="21"/>
                      <w:szCs w:val="21"/>
                    </w:rPr>
                    <w:t>功率1×37kW</w:t>
                  </w:r>
                </w:p>
              </w:tc>
              <w:tc>
                <w:tcPr>
                  <w:tcW w:w="543" w:type="pct"/>
                  <w:tcMar>
                    <w:top w:w="15" w:type="dxa"/>
                    <w:left w:w="15" w:type="dxa"/>
                    <w:bottom w:w="0" w:type="dxa"/>
                    <w:right w:w="15" w:type="dxa"/>
                  </w:tcMar>
                  <w:vAlign w:val="center"/>
                </w:tcPr>
                <w:p w14:paraId="42FCF4ED">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2D2695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6B4F5B69">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三</w:t>
                  </w:r>
                </w:p>
              </w:tc>
              <w:tc>
                <w:tcPr>
                  <w:tcW w:w="4563" w:type="pct"/>
                  <w:gridSpan w:val="3"/>
                  <w:shd w:val="clear" w:color="auto" w:fill="auto"/>
                  <w:tcMar>
                    <w:top w:w="15" w:type="dxa"/>
                    <w:left w:w="15" w:type="dxa"/>
                    <w:bottom w:w="0" w:type="dxa"/>
                    <w:right w:w="15" w:type="dxa"/>
                  </w:tcMar>
                  <w:vAlign w:val="center"/>
                </w:tcPr>
                <w:p w14:paraId="5E72B4A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提升系统</w:t>
                  </w:r>
                </w:p>
              </w:tc>
            </w:tr>
            <w:tr w14:paraId="670BC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3C50CF0D">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084" w:type="pct"/>
                  <w:shd w:val="clear" w:color="auto" w:fill="auto"/>
                  <w:tcMar>
                    <w:top w:w="15" w:type="dxa"/>
                    <w:left w:w="15" w:type="dxa"/>
                    <w:bottom w:w="0" w:type="dxa"/>
                    <w:right w:w="15" w:type="dxa"/>
                  </w:tcMar>
                  <w:vAlign w:val="center"/>
                </w:tcPr>
                <w:p w14:paraId="0323F8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sz w:val="21"/>
                      <w:szCs w:val="21"/>
                    </w:rPr>
                    <w:t>热集料提升机</w:t>
                  </w:r>
                </w:p>
              </w:tc>
              <w:tc>
                <w:tcPr>
                  <w:tcW w:w="2935" w:type="pct"/>
                  <w:shd w:val="clear" w:color="auto" w:fill="auto"/>
                  <w:tcMar>
                    <w:top w:w="15" w:type="dxa"/>
                    <w:left w:w="15" w:type="dxa"/>
                    <w:bottom w:w="0" w:type="dxa"/>
                    <w:right w:w="15" w:type="dxa"/>
                  </w:tcMar>
                  <w:vAlign w:val="center"/>
                </w:tcPr>
                <w:p w14:paraId="15F9358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sz w:val="21"/>
                      <w:szCs w:val="21"/>
                    </w:rPr>
                    <w:t>驱动功率1×30kW</w:t>
                  </w:r>
                </w:p>
              </w:tc>
              <w:tc>
                <w:tcPr>
                  <w:tcW w:w="543" w:type="pct"/>
                  <w:shd w:val="clear" w:color="auto" w:fill="auto"/>
                  <w:tcMar>
                    <w:top w:w="15" w:type="dxa"/>
                    <w:left w:w="15" w:type="dxa"/>
                    <w:bottom w:w="0" w:type="dxa"/>
                    <w:right w:w="15" w:type="dxa"/>
                  </w:tcMar>
                  <w:vAlign w:val="center"/>
                </w:tcPr>
                <w:p w14:paraId="1487658C">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51100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07766D45">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084" w:type="pct"/>
                  <w:shd w:val="clear" w:color="auto" w:fill="auto"/>
                  <w:tcMar>
                    <w:top w:w="15" w:type="dxa"/>
                    <w:left w:w="15" w:type="dxa"/>
                    <w:bottom w:w="0" w:type="dxa"/>
                    <w:right w:w="15" w:type="dxa"/>
                  </w:tcMar>
                  <w:vAlign w:val="center"/>
                </w:tcPr>
                <w:p w14:paraId="6D49EB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sz w:val="21"/>
                      <w:szCs w:val="21"/>
                    </w:rPr>
                    <w:t>粉料提升机</w:t>
                  </w:r>
                </w:p>
              </w:tc>
              <w:tc>
                <w:tcPr>
                  <w:tcW w:w="2935" w:type="pct"/>
                  <w:shd w:val="clear" w:color="auto" w:fill="auto"/>
                  <w:tcMar>
                    <w:top w:w="15" w:type="dxa"/>
                    <w:left w:w="15" w:type="dxa"/>
                    <w:bottom w:w="0" w:type="dxa"/>
                    <w:right w:w="15" w:type="dxa"/>
                  </w:tcMar>
                  <w:vAlign w:val="center"/>
                </w:tcPr>
                <w:p w14:paraId="56645B6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sz w:val="21"/>
                      <w:szCs w:val="21"/>
                    </w:rPr>
                    <w:t>驱动功率1×5.5kW</w:t>
                  </w:r>
                </w:p>
              </w:tc>
              <w:tc>
                <w:tcPr>
                  <w:tcW w:w="543" w:type="pct"/>
                  <w:shd w:val="clear" w:color="auto" w:fill="auto"/>
                  <w:tcMar>
                    <w:top w:w="15" w:type="dxa"/>
                    <w:left w:w="15" w:type="dxa"/>
                    <w:bottom w:w="0" w:type="dxa"/>
                    <w:right w:w="15" w:type="dxa"/>
                  </w:tcMar>
                  <w:vAlign w:val="center"/>
                </w:tcPr>
                <w:p w14:paraId="4C42E04B">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6DF265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4C3319A2">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四</w:t>
                  </w:r>
                </w:p>
              </w:tc>
              <w:tc>
                <w:tcPr>
                  <w:tcW w:w="4563" w:type="pct"/>
                  <w:gridSpan w:val="3"/>
                  <w:shd w:val="clear" w:color="auto" w:fill="auto"/>
                  <w:tcMar>
                    <w:top w:w="15" w:type="dxa"/>
                    <w:left w:w="15" w:type="dxa"/>
                    <w:bottom w:w="0" w:type="dxa"/>
                    <w:right w:w="15" w:type="dxa"/>
                  </w:tcMar>
                  <w:vAlign w:val="center"/>
                </w:tcPr>
                <w:p w14:paraId="524B9B6D">
                  <w:pPr>
                    <w:keepNext w:val="0"/>
                    <w:keepLines w:val="0"/>
                    <w:pageBreakBefore w:val="0"/>
                    <w:widowControl w:val="0"/>
                    <w:tabs>
                      <w:tab w:val="left" w:pos="655"/>
                    </w:tabs>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筛分系统</w:t>
                  </w:r>
                </w:p>
              </w:tc>
            </w:tr>
            <w:tr w14:paraId="0F430F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5" w:hRule="atLeast"/>
                <w:jc w:val="center"/>
              </w:trPr>
              <w:tc>
                <w:tcPr>
                  <w:tcW w:w="436" w:type="pct"/>
                  <w:shd w:val="clear" w:color="auto" w:fill="auto"/>
                  <w:tcMar>
                    <w:top w:w="15" w:type="dxa"/>
                    <w:left w:w="15" w:type="dxa"/>
                    <w:bottom w:w="0" w:type="dxa"/>
                    <w:right w:w="15" w:type="dxa"/>
                  </w:tcMar>
                  <w:vAlign w:val="center"/>
                </w:tcPr>
                <w:p w14:paraId="3EEF1A74">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084" w:type="pct"/>
                  <w:shd w:val="clear" w:color="auto" w:fill="auto"/>
                  <w:tcMar>
                    <w:top w:w="15" w:type="dxa"/>
                    <w:left w:w="15" w:type="dxa"/>
                    <w:bottom w:w="0" w:type="dxa"/>
                    <w:right w:w="15" w:type="dxa"/>
                  </w:tcMar>
                  <w:vAlign w:val="center"/>
                </w:tcPr>
                <w:p w14:paraId="2B4065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sz w:val="21"/>
                      <w:szCs w:val="21"/>
                    </w:rPr>
                    <w:t>五层振动筛</w:t>
                  </w:r>
                </w:p>
              </w:tc>
              <w:tc>
                <w:tcPr>
                  <w:tcW w:w="2935" w:type="pct"/>
                  <w:shd w:val="clear" w:color="auto" w:fill="auto"/>
                  <w:tcMar>
                    <w:top w:w="15" w:type="dxa"/>
                    <w:left w:w="15" w:type="dxa"/>
                    <w:bottom w:w="0" w:type="dxa"/>
                    <w:right w:w="15" w:type="dxa"/>
                  </w:tcMar>
                  <w:vAlign w:val="center"/>
                </w:tcPr>
                <w:p w14:paraId="1BE68DD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sz w:val="21"/>
                      <w:szCs w:val="21"/>
                    </w:rPr>
                    <w:t>网孔尺寸（mm×mm）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5×5、11×11、16×16、22×22、27×27</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电机功率</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2×2.9kW</w:t>
                  </w:r>
                </w:p>
              </w:tc>
              <w:tc>
                <w:tcPr>
                  <w:tcW w:w="543" w:type="pct"/>
                  <w:shd w:val="clear" w:color="auto" w:fill="auto"/>
                  <w:tcMar>
                    <w:top w:w="15" w:type="dxa"/>
                    <w:left w:w="15" w:type="dxa"/>
                    <w:bottom w:w="0" w:type="dxa"/>
                    <w:right w:w="15" w:type="dxa"/>
                  </w:tcMar>
                  <w:vAlign w:val="center"/>
                </w:tcPr>
                <w:p w14:paraId="7F6A5EDA">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4E4F7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436" w:type="pct"/>
                  <w:shd w:val="clear" w:color="auto" w:fill="auto"/>
                  <w:tcMar>
                    <w:top w:w="15" w:type="dxa"/>
                    <w:left w:w="15" w:type="dxa"/>
                    <w:bottom w:w="0" w:type="dxa"/>
                    <w:right w:w="15" w:type="dxa"/>
                  </w:tcMar>
                  <w:vAlign w:val="center"/>
                </w:tcPr>
                <w:p w14:paraId="7E7681BF">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五</w:t>
                  </w:r>
                </w:p>
              </w:tc>
              <w:tc>
                <w:tcPr>
                  <w:tcW w:w="4563" w:type="pct"/>
                  <w:gridSpan w:val="3"/>
                  <w:shd w:val="clear" w:color="auto" w:fill="auto"/>
                  <w:tcMar>
                    <w:top w:w="15" w:type="dxa"/>
                    <w:left w:w="15" w:type="dxa"/>
                    <w:bottom w:w="0" w:type="dxa"/>
                    <w:right w:w="15" w:type="dxa"/>
                  </w:tcMar>
                  <w:vAlign w:val="center"/>
                </w:tcPr>
                <w:p w14:paraId="54B0F227">
                  <w:pPr>
                    <w:keepNext w:val="0"/>
                    <w:keepLines w:val="0"/>
                    <w:pageBreakBefore w:val="0"/>
                    <w:widowControl w:val="0"/>
                    <w:tabs>
                      <w:tab w:val="left" w:pos="655"/>
                    </w:tabs>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计量系统</w:t>
                  </w:r>
                </w:p>
              </w:tc>
            </w:tr>
            <w:tr w14:paraId="640D0D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29CF1917">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084" w:type="pct"/>
                  <w:shd w:val="clear" w:color="auto" w:fill="auto"/>
                  <w:tcMar>
                    <w:top w:w="15" w:type="dxa"/>
                    <w:left w:w="15" w:type="dxa"/>
                    <w:bottom w:w="0" w:type="dxa"/>
                    <w:right w:w="15" w:type="dxa"/>
                  </w:tcMar>
                  <w:vAlign w:val="center"/>
                </w:tcPr>
                <w:p w14:paraId="4FAB38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热集料计量装置</w:t>
                  </w:r>
                </w:p>
              </w:tc>
              <w:tc>
                <w:tcPr>
                  <w:tcW w:w="2935" w:type="pct"/>
                  <w:shd w:val="clear" w:color="auto" w:fill="auto"/>
                  <w:tcMar>
                    <w:top w:w="15" w:type="dxa"/>
                    <w:left w:w="15" w:type="dxa"/>
                    <w:bottom w:w="0" w:type="dxa"/>
                    <w:right w:w="15" w:type="dxa"/>
                  </w:tcMar>
                  <w:vAlign w:val="center"/>
                </w:tcPr>
                <w:p w14:paraId="686172C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传感器数量3个</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热集料计量仓容量3000kg</w:t>
                  </w:r>
                </w:p>
              </w:tc>
              <w:tc>
                <w:tcPr>
                  <w:tcW w:w="543" w:type="pct"/>
                  <w:shd w:val="clear" w:color="auto" w:fill="auto"/>
                  <w:tcMar>
                    <w:top w:w="15" w:type="dxa"/>
                    <w:left w:w="15" w:type="dxa"/>
                    <w:bottom w:w="0" w:type="dxa"/>
                    <w:right w:w="15" w:type="dxa"/>
                  </w:tcMar>
                  <w:vAlign w:val="center"/>
                </w:tcPr>
                <w:p w14:paraId="5BA9352D">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412E4A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4" w:hRule="atLeast"/>
                <w:jc w:val="center"/>
              </w:trPr>
              <w:tc>
                <w:tcPr>
                  <w:tcW w:w="436" w:type="pct"/>
                  <w:shd w:val="clear" w:color="auto" w:fill="auto"/>
                  <w:tcMar>
                    <w:top w:w="15" w:type="dxa"/>
                    <w:left w:w="15" w:type="dxa"/>
                    <w:bottom w:w="0" w:type="dxa"/>
                    <w:right w:w="15" w:type="dxa"/>
                  </w:tcMar>
                  <w:vAlign w:val="center"/>
                </w:tcPr>
                <w:p w14:paraId="361DBCE9">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084" w:type="pct"/>
                  <w:shd w:val="clear" w:color="auto" w:fill="auto"/>
                  <w:tcMar>
                    <w:top w:w="15" w:type="dxa"/>
                    <w:left w:w="15" w:type="dxa"/>
                    <w:bottom w:w="0" w:type="dxa"/>
                    <w:right w:w="15" w:type="dxa"/>
                  </w:tcMar>
                  <w:vAlign w:val="center"/>
                </w:tcPr>
                <w:p w14:paraId="733F5B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粉料计量装置</w:t>
                  </w:r>
                </w:p>
              </w:tc>
              <w:tc>
                <w:tcPr>
                  <w:tcW w:w="2935" w:type="pct"/>
                  <w:shd w:val="clear" w:color="auto" w:fill="auto"/>
                  <w:tcMar>
                    <w:top w:w="15" w:type="dxa"/>
                    <w:left w:w="15" w:type="dxa"/>
                    <w:bottom w:w="0" w:type="dxa"/>
                    <w:right w:w="15" w:type="dxa"/>
                  </w:tcMar>
                  <w:vAlign w:val="center"/>
                </w:tcPr>
                <w:p w14:paraId="2E3103A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传感器数量3个</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粉料计量斗容量600kg</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粉料输送螺旋功率1×11kW</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振动电机功率1× 0.12kW</w:t>
                  </w:r>
                </w:p>
              </w:tc>
              <w:tc>
                <w:tcPr>
                  <w:tcW w:w="543" w:type="pct"/>
                  <w:shd w:val="clear" w:color="auto" w:fill="auto"/>
                  <w:tcMar>
                    <w:top w:w="15" w:type="dxa"/>
                    <w:left w:w="15" w:type="dxa"/>
                    <w:bottom w:w="0" w:type="dxa"/>
                    <w:right w:w="15" w:type="dxa"/>
                  </w:tcMar>
                  <w:vAlign w:val="center"/>
                </w:tcPr>
                <w:p w14:paraId="393D29FB">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3F468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4" w:hRule="atLeast"/>
                <w:jc w:val="center"/>
              </w:trPr>
              <w:tc>
                <w:tcPr>
                  <w:tcW w:w="436" w:type="pct"/>
                  <w:shd w:val="clear" w:color="auto" w:fill="auto"/>
                  <w:tcMar>
                    <w:top w:w="15" w:type="dxa"/>
                    <w:left w:w="15" w:type="dxa"/>
                    <w:bottom w:w="0" w:type="dxa"/>
                    <w:right w:w="15" w:type="dxa"/>
                  </w:tcMar>
                  <w:vAlign w:val="center"/>
                </w:tcPr>
                <w:p w14:paraId="010B1C62">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084" w:type="pct"/>
                  <w:shd w:val="clear" w:color="auto" w:fill="auto"/>
                  <w:tcMar>
                    <w:top w:w="15" w:type="dxa"/>
                    <w:left w:w="15" w:type="dxa"/>
                    <w:bottom w:w="0" w:type="dxa"/>
                    <w:right w:w="15" w:type="dxa"/>
                  </w:tcMar>
                  <w:vAlign w:val="center"/>
                </w:tcPr>
                <w:p w14:paraId="3E2CCD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沥青计量及喷洒装置</w:t>
                  </w:r>
                </w:p>
              </w:tc>
              <w:tc>
                <w:tcPr>
                  <w:tcW w:w="2935" w:type="pct"/>
                  <w:shd w:val="clear" w:color="auto" w:fill="auto"/>
                  <w:tcMar>
                    <w:top w:w="15" w:type="dxa"/>
                    <w:left w:w="15" w:type="dxa"/>
                    <w:bottom w:w="0" w:type="dxa"/>
                    <w:right w:w="15" w:type="dxa"/>
                  </w:tcMar>
                  <w:vAlign w:val="center"/>
                </w:tcPr>
                <w:p w14:paraId="4F4CFF1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传感器数量3个</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沥青计量斗容量480kg</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沥青喷洒泵功率1×18.5kW</w:t>
                  </w:r>
                </w:p>
              </w:tc>
              <w:tc>
                <w:tcPr>
                  <w:tcW w:w="543" w:type="pct"/>
                  <w:shd w:val="clear" w:color="auto" w:fill="auto"/>
                  <w:tcMar>
                    <w:top w:w="15" w:type="dxa"/>
                    <w:left w:w="15" w:type="dxa"/>
                    <w:bottom w:w="0" w:type="dxa"/>
                    <w:right w:w="15" w:type="dxa"/>
                  </w:tcMar>
                  <w:vAlign w:val="center"/>
                </w:tcPr>
                <w:p w14:paraId="3C2DB4B5">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39CF32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156CED87">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六</w:t>
                  </w:r>
                </w:p>
              </w:tc>
              <w:tc>
                <w:tcPr>
                  <w:tcW w:w="4563" w:type="pct"/>
                  <w:gridSpan w:val="3"/>
                  <w:shd w:val="clear" w:color="auto" w:fill="auto"/>
                  <w:tcMar>
                    <w:top w:w="15" w:type="dxa"/>
                    <w:left w:w="15" w:type="dxa"/>
                    <w:bottom w:w="0" w:type="dxa"/>
                    <w:right w:w="15" w:type="dxa"/>
                  </w:tcMar>
                  <w:vAlign w:val="center"/>
                </w:tcPr>
                <w:p w14:paraId="41232758">
                  <w:pPr>
                    <w:keepNext w:val="0"/>
                    <w:keepLines w:val="0"/>
                    <w:pageBreakBefore w:val="0"/>
                    <w:widowControl w:val="0"/>
                    <w:tabs>
                      <w:tab w:val="left" w:pos="655"/>
                    </w:tabs>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拌和系统</w:t>
                  </w:r>
                </w:p>
              </w:tc>
            </w:tr>
            <w:tr w14:paraId="1C8C2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69AE60CF">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084" w:type="pct"/>
                  <w:shd w:val="clear" w:color="auto" w:fill="auto"/>
                  <w:tcMar>
                    <w:top w:w="15" w:type="dxa"/>
                    <w:left w:w="15" w:type="dxa"/>
                    <w:bottom w:w="0" w:type="dxa"/>
                    <w:right w:w="15" w:type="dxa"/>
                  </w:tcMar>
                  <w:vAlign w:val="top"/>
                </w:tcPr>
                <w:p w14:paraId="419E9A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双卧轴桨式搅拌器</w:t>
                  </w:r>
                </w:p>
              </w:tc>
              <w:tc>
                <w:tcPr>
                  <w:tcW w:w="2935" w:type="pct"/>
                  <w:shd w:val="clear" w:color="auto" w:fill="auto"/>
                  <w:tcMar>
                    <w:top w:w="15" w:type="dxa"/>
                    <w:left w:w="15" w:type="dxa"/>
                    <w:bottom w:w="0" w:type="dxa"/>
                    <w:right w:w="15" w:type="dxa"/>
                  </w:tcMar>
                  <w:vAlign w:val="center"/>
                </w:tcPr>
                <w:p w14:paraId="6A808B8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驱动功率2×45kW</w:t>
                  </w:r>
                </w:p>
              </w:tc>
              <w:tc>
                <w:tcPr>
                  <w:tcW w:w="543" w:type="pct"/>
                  <w:shd w:val="clear" w:color="auto" w:fill="auto"/>
                  <w:tcMar>
                    <w:top w:w="15" w:type="dxa"/>
                    <w:left w:w="15" w:type="dxa"/>
                    <w:bottom w:w="0" w:type="dxa"/>
                    <w:right w:w="15" w:type="dxa"/>
                  </w:tcMar>
                  <w:vAlign w:val="center"/>
                </w:tcPr>
                <w:p w14:paraId="7F44CC5E">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39EBFF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4BD73113">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084" w:type="pct"/>
                  <w:shd w:val="clear" w:color="auto" w:fill="auto"/>
                  <w:tcMar>
                    <w:top w:w="15" w:type="dxa"/>
                    <w:left w:w="15" w:type="dxa"/>
                    <w:bottom w:w="0" w:type="dxa"/>
                    <w:right w:w="15" w:type="dxa"/>
                  </w:tcMar>
                  <w:vAlign w:val="center"/>
                </w:tcPr>
                <w:p w14:paraId="5FCA6C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拌和楼主体</w:t>
                  </w:r>
                </w:p>
              </w:tc>
              <w:tc>
                <w:tcPr>
                  <w:tcW w:w="2935" w:type="pct"/>
                  <w:shd w:val="clear" w:color="auto" w:fill="auto"/>
                  <w:tcMar>
                    <w:top w:w="15" w:type="dxa"/>
                    <w:left w:w="15" w:type="dxa"/>
                    <w:bottom w:w="0" w:type="dxa"/>
                    <w:right w:w="15" w:type="dxa"/>
                  </w:tcMar>
                  <w:vAlign w:val="center"/>
                </w:tcPr>
                <w:p w14:paraId="78A35D6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行车高度4.0m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热料仓（直仓+锥仓）5个</w:t>
                  </w:r>
                </w:p>
              </w:tc>
              <w:tc>
                <w:tcPr>
                  <w:tcW w:w="543" w:type="pct"/>
                  <w:shd w:val="clear" w:color="auto" w:fill="auto"/>
                  <w:tcMar>
                    <w:top w:w="15" w:type="dxa"/>
                    <w:left w:w="15" w:type="dxa"/>
                    <w:bottom w:w="0" w:type="dxa"/>
                    <w:right w:w="15" w:type="dxa"/>
                  </w:tcMar>
                  <w:vAlign w:val="center"/>
                </w:tcPr>
                <w:p w14:paraId="3E2F6630">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67875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56D7C3C9">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七</w:t>
                  </w:r>
                </w:p>
              </w:tc>
              <w:tc>
                <w:tcPr>
                  <w:tcW w:w="4563" w:type="pct"/>
                  <w:gridSpan w:val="3"/>
                  <w:shd w:val="clear" w:color="auto" w:fill="auto"/>
                  <w:tcMar>
                    <w:top w:w="15" w:type="dxa"/>
                    <w:left w:w="15" w:type="dxa"/>
                    <w:bottom w:w="0" w:type="dxa"/>
                    <w:right w:w="15" w:type="dxa"/>
                  </w:tcMar>
                  <w:vAlign w:val="center"/>
                </w:tcPr>
                <w:p w14:paraId="4E6C9AD8">
                  <w:pPr>
                    <w:keepNext w:val="0"/>
                    <w:keepLines w:val="0"/>
                    <w:pageBreakBefore w:val="0"/>
                    <w:widowControl w:val="0"/>
                    <w:tabs>
                      <w:tab w:val="left" w:pos="655"/>
                    </w:tabs>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除尘系统</w:t>
                  </w:r>
                </w:p>
              </w:tc>
            </w:tr>
            <w:tr w14:paraId="10181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4" w:hRule="atLeast"/>
                <w:jc w:val="center"/>
              </w:trPr>
              <w:tc>
                <w:tcPr>
                  <w:tcW w:w="436" w:type="pct"/>
                  <w:shd w:val="clear" w:color="auto" w:fill="auto"/>
                  <w:tcMar>
                    <w:top w:w="15" w:type="dxa"/>
                    <w:left w:w="15" w:type="dxa"/>
                    <w:bottom w:w="0" w:type="dxa"/>
                    <w:right w:w="15" w:type="dxa"/>
                  </w:tcMar>
                  <w:vAlign w:val="center"/>
                </w:tcPr>
                <w:p w14:paraId="103DEE86">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084" w:type="pct"/>
                  <w:shd w:val="clear" w:color="auto" w:fill="auto"/>
                  <w:tcMar>
                    <w:top w:w="15" w:type="dxa"/>
                    <w:left w:w="15" w:type="dxa"/>
                    <w:bottom w:w="0" w:type="dxa"/>
                    <w:right w:w="15" w:type="dxa"/>
                  </w:tcMar>
                  <w:vAlign w:val="center"/>
                </w:tcPr>
                <w:p w14:paraId="3E5F53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sz w:val="21"/>
                      <w:szCs w:val="21"/>
                    </w:rPr>
                    <w:t>布袋除尘器</w:t>
                  </w:r>
                </w:p>
              </w:tc>
              <w:tc>
                <w:tcPr>
                  <w:tcW w:w="2935" w:type="pct"/>
                  <w:shd w:val="clear" w:color="auto" w:fill="auto"/>
                  <w:tcMar>
                    <w:top w:w="15" w:type="dxa"/>
                    <w:left w:w="15" w:type="dxa"/>
                    <w:bottom w:w="0" w:type="dxa"/>
                    <w:right w:w="15" w:type="dxa"/>
                  </w:tcMar>
                  <w:vAlign w:val="center"/>
                </w:tcPr>
                <w:p w14:paraId="1AAC35C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过滤面积860m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布袋除尘器回收螺旋输送器功率2×7.5kW</w:t>
                  </w:r>
                </w:p>
              </w:tc>
              <w:tc>
                <w:tcPr>
                  <w:tcW w:w="543" w:type="pct"/>
                  <w:shd w:val="clear" w:color="auto" w:fill="auto"/>
                  <w:tcMar>
                    <w:top w:w="15" w:type="dxa"/>
                    <w:left w:w="15" w:type="dxa"/>
                    <w:bottom w:w="0" w:type="dxa"/>
                    <w:right w:w="15" w:type="dxa"/>
                  </w:tcMar>
                  <w:vAlign w:val="center"/>
                </w:tcPr>
                <w:p w14:paraId="3FC4EA4A">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55A15D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6FFD1A82">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084" w:type="pct"/>
                  <w:shd w:val="clear" w:color="auto" w:fill="auto"/>
                  <w:tcMar>
                    <w:top w:w="15" w:type="dxa"/>
                    <w:left w:w="15" w:type="dxa"/>
                    <w:bottom w:w="0" w:type="dxa"/>
                    <w:right w:w="15" w:type="dxa"/>
                  </w:tcMar>
                  <w:vAlign w:val="center"/>
                </w:tcPr>
                <w:p w14:paraId="07A7EB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sz w:val="21"/>
                      <w:szCs w:val="21"/>
                    </w:rPr>
                    <w:t>引风系统</w:t>
                  </w:r>
                </w:p>
              </w:tc>
              <w:tc>
                <w:tcPr>
                  <w:tcW w:w="2935" w:type="pct"/>
                  <w:shd w:val="clear" w:color="auto" w:fill="auto"/>
                  <w:tcMar>
                    <w:top w:w="15" w:type="dxa"/>
                    <w:left w:w="15" w:type="dxa"/>
                    <w:bottom w:w="0" w:type="dxa"/>
                    <w:right w:w="15" w:type="dxa"/>
                  </w:tcMar>
                  <w:vAlign w:val="center"/>
                </w:tcPr>
                <w:p w14:paraId="61B6414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sz w:val="21"/>
                      <w:szCs w:val="21"/>
                    </w:rPr>
                    <w:t>功率150kW</w:t>
                  </w:r>
                </w:p>
              </w:tc>
              <w:tc>
                <w:tcPr>
                  <w:tcW w:w="543" w:type="pct"/>
                  <w:shd w:val="clear" w:color="auto" w:fill="auto"/>
                  <w:tcMar>
                    <w:top w:w="15" w:type="dxa"/>
                    <w:left w:w="15" w:type="dxa"/>
                    <w:bottom w:w="0" w:type="dxa"/>
                    <w:right w:w="15" w:type="dxa"/>
                  </w:tcMar>
                  <w:vAlign w:val="center"/>
                </w:tcPr>
                <w:p w14:paraId="29096A3D">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066CEC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1A6CEBE3">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八</w:t>
                  </w:r>
                </w:p>
              </w:tc>
              <w:tc>
                <w:tcPr>
                  <w:tcW w:w="4563" w:type="pct"/>
                  <w:gridSpan w:val="3"/>
                  <w:shd w:val="clear" w:color="auto" w:fill="auto"/>
                  <w:tcMar>
                    <w:top w:w="15" w:type="dxa"/>
                    <w:left w:w="15" w:type="dxa"/>
                    <w:bottom w:w="0" w:type="dxa"/>
                    <w:right w:w="15" w:type="dxa"/>
                  </w:tcMar>
                  <w:vAlign w:val="center"/>
                </w:tcPr>
                <w:p w14:paraId="2CEFA99D">
                  <w:pPr>
                    <w:keepNext w:val="0"/>
                    <w:keepLines w:val="0"/>
                    <w:pageBreakBefore w:val="0"/>
                    <w:widowControl w:val="0"/>
                    <w:tabs>
                      <w:tab w:val="left" w:pos="655"/>
                    </w:tabs>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粉料供给系统</w:t>
                  </w:r>
                </w:p>
              </w:tc>
            </w:tr>
            <w:tr w14:paraId="7DF9B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739BF72F">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084" w:type="pct"/>
                  <w:shd w:val="clear" w:color="auto" w:fill="auto"/>
                  <w:tcMar>
                    <w:top w:w="15" w:type="dxa"/>
                    <w:left w:w="15" w:type="dxa"/>
                    <w:bottom w:w="0" w:type="dxa"/>
                    <w:right w:w="15" w:type="dxa"/>
                  </w:tcMar>
                  <w:vAlign w:val="top"/>
                </w:tcPr>
                <w:p w14:paraId="5562DB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新粉仓</w:t>
                  </w:r>
                </w:p>
              </w:tc>
              <w:tc>
                <w:tcPr>
                  <w:tcW w:w="2935" w:type="pct"/>
                  <w:shd w:val="clear" w:color="auto" w:fill="auto"/>
                  <w:tcMar>
                    <w:top w:w="15" w:type="dxa"/>
                    <w:left w:w="15" w:type="dxa"/>
                    <w:bottom w:w="0" w:type="dxa"/>
                    <w:right w:w="15" w:type="dxa"/>
                  </w:tcMar>
                  <w:vAlign w:val="top"/>
                </w:tcPr>
                <w:p w14:paraId="2B7F212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新粉仓仓容1×45m</w:t>
                  </w:r>
                  <w:r>
                    <w:rPr>
                      <w:rFonts w:hint="default" w:ascii="Times New Roman" w:hAnsi="Times New Roman" w:eastAsia="宋体" w:cs="Times New Roman"/>
                      <w:color w:val="auto"/>
                      <w:sz w:val="21"/>
                      <w:szCs w:val="21"/>
                      <w:vertAlign w:val="superscript"/>
                    </w:rPr>
                    <w:t>3</w:t>
                  </w:r>
                </w:p>
              </w:tc>
              <w:tc>
                <w:tcPr>
                  <w:tcW w:w="543" w:type="pct"/>
                  <w:shd w:val="clear" w:color="auto" w:fill="auto"/>
                  <w:tcMar>
                    <w:top w:w="15" w:type="dxa"/>
                    <w:left w:w="15" w:type="dxa"/>
                    <w:bottom w:w="0" w:type="dxa"/>
                    <w:right w:w="15" w:type="dxa"/>
                  </w:tcMar>
                  <w:vAlign w:val="center"/>
                </w:tcPr>
                <w:p w14:paraId="1A78257F">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258C7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05D67C2F">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084" w:type="pct"/>
                  <w:shd w:val="clear" w:color="auto" w:fill="auto"/>
                  <w:tcMar>
                    <w:top w:w="15" w:type="dxa"/>
                    <w:left w:w="15" w:type="dxa"/>
                    <w:bottom w:w="0" w:type="dxa"/>
                    <w:right w:w="15" w:type="dxa"/>
                  </w:tcMar>
                  <w:vAlign w:val="top"/>
                </w:tcPr>
                <w:p w14:paraId="206E56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回收粉仓</w:t>
                  </w:r>
                </w:p>
              </w:tc>
              <w:tc>
                <w:tcPr>
                  <w:tcW w:w="2935" w:type="pct"/>
                  <w:shd w:val="clear" w:color="auto" w:fill="auto"/>
                  <w:tcMar>
                    <w:top w:w="15" w:type="dxa"/>
                    <w:left w:w="15" w:type="dxa"/>
                    <w:bottom w:w="0" w:type="dxa"/>
                    <w:right w:w="15" w:type="dxa"/>
                  </w:tcMar>
                  <w:vAlign w:val="top"/>
                </w:tcPr>
                <w:p w14:paraId="5C2EFA5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回收粉仓仓容1×</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5m</w:t>
                  </w:r>
                  <w:r>
                    <w:rPr>
                      <w:rFonts w:hint="default" w:ascii="Times New Roman" w:hAnsi="Times New Roman" w:eastAsia="宋体" w:cs="Times New Roman"/>
                      <w:color w:val="auto"/>
                      <w:sz w:val="21"/>
                      <w:szCs w:val="21"/>
                      <w:vertAlign w:val="superscript"/>
                    </w:rPr>
                    <w:t>3</w:t>
                  </w:r>
                </w:p>
              </w:tc>
              <w:tc>
                <w:tcPr>
                  <w:tcW w:w="543" w:type="pct"/>
                  <w:shd w:val="clear" w:color="auto" w:fill="auto"/>
                  <w:tcMar>
                    <w:top w:w="15" w:type="dxa"/>
                    <w:left w:w="15" w:type="dxa"/>
                    <w:bottom w:w="0" w:type="dxa"/>
                    <w:right w:w="15" w:type="dxa"/>
                  </w:tcMar>
                  <w:vAlign w:val="center"/>
                </w:tcPr>
                <w:p w14:paraId="099F6A32">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61AE0F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4" w:hRule="atLeast"/>
                <w:jc w:val="center"/>
              </w:trPr>
              <w:tc>
                <w:tcPr>
                  <w:tcW w:w="436" w:type="pct"/>
                  <w:shd w:val="clear" w:color="auto" w:fill="auto"/>
                  <w:tcMar>
                    <w:top w:w="15" w:type="dxa"/>
                    <w:left w:w="15" w:type="dxa"/>
                    <w:bottom w:w="0" w:type="dxa"/>
                    <w:right w:w="15" w:type="dxa"/>
                  </w:tcMar>
                  <w:vAlign w:val="center"/>
                </w:tcPr>
                <w:p w14:paraId="317AE6F4">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084" w:type="pct"/>
                  <w:shd w:val="clear" w:color="auto" w:fill="auto"/>
                  <w:tcMar>
                    <w:top w:w="15" w:type="dxa"/>
                    <w:left w:w="15" w:type="dxa"/>
                    <w:bottom w:w="0" w:type="dxa"/>
                    <w:right w:w="15" w:type="dxa"/>
                  </w:tcMar>
                  <w:vAlign w:val="center"/>
                </w:tcPr>
                <w:p w14:paraId="640253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矿粉螺旋输送器</w:t>
                  </w:r>
                </w:p>
              </w:tc>
              <w:tc>
                <w:tcPr>
                  <w:tcW w:w="2935" w:type="pct"/>
                  <w:shd w:val="clear" w:color="auto" w:fill="auto"/>
                  <w:tcMar>
                    <w:top w:w="15" w:type="dxa"/>
                    <w:left w:w="15" w:type="dxa"/>
                    <w:bottom w:w="0" w:type="dxa"/>
                    <w:right w:w="15" w:type="dxa"/>
                  </w:tcMar>
                  <w:vAlign w:val="center"/>
                </w:tcPr>
                <w:p w14:paraId="59D48AF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新粉螺旋功率1×5.5kW</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回收粉螺旋功率1×2.2kW</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回收粉外排螺旋功率1×4kW</w:t>
                  </w:r>
                </w:p>
              </w:tc>
              <w:tc>
                <w:tcPr>
                  <w:tcW w:w="543" w:type="pct"/>
                  <w:shd w:val="clear" w:color="auto" w:fill="auto"/>
                  <w:tcMar>
                    <w:top w:w="15" w:type="dxa"/>
                    <w:left w:w="15" w:type="dxa"/>
                    <w:bottom w:w="0" w:type="dxa"/>
                    <w:right w:w="15" w:type="dxa"/>
                  </w:tcMar>
                  <w:vAlign w:val="center"/>
                </w:tcPr>
                <w:p w14:paraId="67CFD79E">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665A5F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5F03C800">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九</w:t>
                  </w:r>
                </w:p>
              </w:tc>
              <w:tc>
                <w:tcPr>
                  <w:tcW w:w="4563" w:type="pct"/>
                  <w:gridSpan w:val="3"/>
                  <w:shd w:val="clear" w:color="auto" w:fill="auto"/>
                  <w:tcMar>
                    <w:top w:w="15" w:type="dxa"/>
                    <w:left w:w="15" w:type="dxa"/>
                    <w:bottom w:w="0" w:type="dxa"/>
                    <w:right w:w="15" w:type="dxa"/>
                  </w:tcMar>
                  <w:vAlign w:val="center"/>
                </w:tcPr>
                <w:p w14:paraId="6C3C972C">
                  <w:pPr>
                    <w:keepNext w:val="0"/>
                    <w:keepLines w:val="0"/>
                    <w:pageBreakBefore w:val="0"/>
                    <w:widowControl w:val="0"/>
                    <w:tabs>
                      <w:tab w:val="left" w:pos="655"/>
                    </w:tabs>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沥青供给系统</w:t>
                  </w:r>
                </w:p>
              </w:tc>
            </w:tr>
            <w:tr w14:paraId="5BE53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6345BC77">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084" w:type="pct"/>
                  <w:shd w:val="clear" w:color="auto" w:fill="auto"/>
                  <w:tcMar>
                    <w:top w:w="15" w:type="dxa"/>
                    <w:left w:w="15" w:type="dxa"/>
                    <w:bottom w:w="0" w:type="dxa"/>
                    <w:right w:w="15" w:type="dxa"/>
                  </w:tcMar>
                  <w:vAlign w:val="top"/>
                </w:tcPr>
                <w:p w14:paraId="38343A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沥青罐</w:t>
                  </w:r>
                </w:p>
              </w:tc>
              <w:tc>
                <w:tcPr>
                  <w:tcW w:w="2935" w:type="pct"/>
                  <w:shd w:val="clear" w:color="auto" w:fill="auto"/>
                  <w:tcMar>
                    <w:top w:w="15" w:type="dxa"/>
                    <w:left w:w="15" w:type="dxa"/>
                    <w:bottom w:w="0" w:type="dxa"/>
                    <w:right w:w="15" w:type="dxa"/>
                  </w:tcMar>
                  <w:vAlign w:val="center"/>
                </w:tcPr>
                <w:p w14:paraId="339FC90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沥青罐容积2×</w:t>
                  </w:r>
                  <w:r>
                    <w:rPr>
                      <w:rFonts w:hint="default"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rPr>
                    <w:t>0 m</w:t>
                  </w:r>
                  <w:r>
                    <w:rPr>
                      <w:rFonts w:hint="default" w:ascii="Times New Roman" w:hAnsi="Times New Roman" w:eastAsia="宋体" w:cs="Times New Roman"/>
                      <w:color w:val="auto"/>
                      <w:sz w:val="21"/>
                      <w:szCs w:val="21"/>
                      <w:vertAlign w:val="superscript"/>
                    </w:rPr>
                    <w:t>3</w:t>
                  </w:r>
                </w:p>
              </w:tc>
              <w:tc>
                <w:tcPr>
                  <w:tcW w:w="543" w:type="pct"/>
                  <w:shd w:val="clear" w:color="auto" w:fill="auto"/>
                  <w:tcMar>
                    <w:top w:w="15" w:type="dxa"/>
                    <w:left w:w="15" w:type="dxa"/>
                    <w:bottom w:w="0" w:type="dxa"/>
                    <w:right w:w="15" w:type="dxa"/>
                  </w:tcMar>
                  <w:vAlign w:val="center"/>
                </w:tcPr>
                <w:p w14:paraId="58438712">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2B877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5C8CB6A0">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084" w:type="pct"/>
                  <w:shd w:val="clear" w:color="auto" w:fill="auto"/>
                  <w:tcMar>
                    <w:top w:w="15" w:type="dxa"/>
                    <w:left w:w="15" w:type="dxa"/>
                    <w:bottom w:w="0" w:type="dxa"/>
                    <w:right w:w="15" w:type="dxa"/>
                  </w:tcMar>
                  <w:vAlign w:val="top"/>
                </w:tcPr>
                <w:p w14:paraId="0A256F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沥青卸油罐</w:t>
                  </w:r>
                </w:p>
              </w:tc>
              <w:tc>
                <w:tcPr>
                  <w:tcW w:w="2935" w:type="pct"/>
                  <w:shd w:val="clear" w:color="auto" w:fill="auto"/>
                  <w:tcMar>
                    <w:top w:w="15" w:type="dxa"/>
                    <w:left w:w="15" w:type="dxa"/>
                    <w:bottom w:w="0" w:type="dxa"/>
                    <w:right w:w="15" w:type="dxa"/>
                  </w:tcMar>
                  <w:vAlign w:val="top"/>
                </w:tcPr>
                <w:p w14:paraId="766E34C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卸油罐容积1×1 m</w:t>
                  </w:r>
                  <w:r>
                    <w:rPr>
                      <w:rFonts w:hint="default" w:ascii="Times New Roman" w:hAnsi="Times New Roman" w:eastAsia="宋体" w:cs="Times New Roman"/>
                      <w:color w:val="auto"/>
                      <w:sz w:val="21"/>
                      <w:szCs w:val="21"/>
                      <w:vertAlign w:val="superscript"/>
                    </w:rPr>
                    <w:t>3</w:t>
                  </w:r>
                </w:p>
              </w:tc>
              <w:tc>
                <w:tcPr>
                  <w:tcW w:w="543" w:type="pct"/>
                  <w:shd w:val="clear" w:color="auto" w:fill="auto"/>
                  <w:tcMar>
                    <w:top w:w="15" w:type="dxa"/>
                    <w:left w:w="15" w:type="dxa"/>
                    <w:bottom w:w="0" w:type="dxa"/>
                    <w:right w:w="15" w:type="dxa"/>
                  </w:tcMar>
                  <w:vAlign w:val="center"/>
                </w:tcPr>
                <w:p w14:paraId="684F9BD4">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4C576A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26CEA82F">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084" w:type="pct"/>
                  <w:shd w:val="clear" w:color="auto" w:fill="auto"/>
                  <w:tcMar>
                    <w:top w:w="15" w:type="dxa"/>
                    <w:left w:w="15" w:type="dxa"/>
                    <w:bottom w:w="0" w:type="dxa"/>
                    <w:right w:w="15" w:type="dxa"/>
                  </w:tcMar>
                  <w:vAlign w:val="center"/>
                </w:tcPr>
                <w:p w14:paraId="693D24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沥青泵</w:t>
                  </w:r>
                </w:p>
              </w:tc>
              <w:tc>
                <w:tcPr>
                  <w:tcW w:w="2935" w:type="pct"/>
                  <w:shd w:val="clear" w:color="auto" w:fill="auto"/>
                  <w:tcMar>
                    <w:top w:w="15" w:type="dxa"/>
                    <w:left w:w="15" w:type="dxa"/>
                    <w:bottom w:w="0" w:type="dxa"/>
                    <w:right w:w="15" w:type="dxa"/>
                  </w:tcMar>
                  <w:vAlign w:val="top"/>
                </w:tcPr>
                <w:p w14:paraId="77F6796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沥青循环泵功率1×11kW</w:t>
                  </w:r>
                </w:p>
              </w:tc>
              <w:tc>
                <w:tcPr>
                  <w:tcW w:w="543" w:type="pct"/>
                  <w:shd w:val="clear" w:color="auto" w:fill="auto"/>
                  <w:tcMar>
                    <w:top w:w="15" w:type="dxa"/>
                    <w:left w:w="15" w:type="dxa"/>
                    <w:bottom w:w="0" w:type="dxa"/>
                    <w:right w:w="15" w:type="dxa"/>
                  </w:tcMar>
                  <w:vAlign w:val="center"/>
                </w:tcPr>
                <w:p w14:paraId="28564C18">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1ABA1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14A60D9F">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084" w:type="pct"/>
                  <w:shd w:val="clear" w:color="auto" w:fill="auto"/>
                  <w:tcMar>
                    <w:top w:w="15" w:type="dxa"/>
                    <w:left w:w="15" w:type="dxa"/>
                    <w:bottom w:w="0" w:type="dxa"/>
                    <w:right w:w="15" w:type="dxa"/>
                  </w:tcMar>
                  <w:vAlign w:val="top"/>
                </w:tcPr>
                <w:p w14:paraId="6188CD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电加热</w:t>
                  </w:r>
                  <w:r>
                    <w:rPr>
                      <w:rFonts w:hint="default" w:ascii="Times New Roman" w:hAnsi="Times New Roman" w:eastAsia="宋体" w:cs="Times New Roman"/>
                      <w:color w:val="auto"/>
                      <w:sz w:val="21"/>
                      <w:szCs w:val="21"/>
                      <w:lang w:val="en-US" w:eastAsia="zh-CN"/>
                    </w:rPr>
                    <w:t>器</w:t>
                  </w:r>
                </w:p>
              </w:tc>
              <w:tc>
                <w:tcPr>
                  <w:tcW w:w="2935" w:type="pct"/>
                  <w:shd w:val="clear" w:color="auto" w:fill="auto"/>
                  <w:tcMar>
                    <w:top w:w="15" w:type="dxa"/>
                    <w:left w:w="15" w:type="dxa"/>
                    <w:bottom w:w="0" w:type="dxa"/>
                    <w:right w:w="15" w:type="dxa"/>
                  </w:tcMar>
                  <w:vAlign w:val="top"/>
                </w:tcPr>
                <w:p w14:paraId="1FDAECA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总功率360kW</w:t>
                  </w:r>
                </w:p>
              </w:tc>
              <w:tc>
                <w:tcPr>
                  <w:tcW w:w="543" w:type="pct"/>
                  <w:shd w:val="clear" w:color="auto" w:fill="auto"/>
                  <w:tcMar>
                    <w:top w:w="15" w:type="dxa"/>
                    <w:left w:w="15" w:type="dxa"/>
                    <w:bottom w:w="0" w:type="dxa"/>
                    <w:right w:w="15" w:type="dxa"/>
                  </w:tcMar>
                  <w:vAlign w:val="center"/>
                </w:tcPr>
                <w:p w14:paraId="42DCFADE">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60F532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297B22F4">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084" w:type="pct"/>
                  <w:shd w:val="clear" w:color="auto" w:fill="auto"/>
                  <w:tcMar>
                    <w:top w:w="15" w:type="dxa"/>
                    <w:left w:w="15" w:type="dxa"/>
                    <w:bottom w:w="0" w:type="dxa"/>
                    <w:right w:w="15" w:type="dxa"/>
                  </w:tcMar>
                  <w:vAlign w:val="top"/>
                </w:tcPr>
                <w:p w14:paraId="52DF3A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乳化沥青设备</w:t>
                  </w:r>
                </w:p>
              </w:tc>
              <w:tc>
                <w:tcPr>
                  <w:tcW w:w="2935" w:type="pct"/>
                  <w:shd w:val="clear" w:color="auto" w:fill="auto"/>
                  <w:tcMar>
                    <w:top w:w="15" w:type="dxa"/>
                    <w:left w:w="15" w:type="dxa"/>
                    <w:bottom w:w="0" w:type="dxa"/>
                    <w:right w:w="15" w:type="dxa"/>
                  </w:tcMar>
                  <w:vAlign w:val="top"/>
                </w:tcPr>
                <w:p w14:paraId="5EC7571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543" w:type="pct"/>
                  <w:shd w:val="clear" w:color="auto" w:fill="auto"/>
                  <w:tcMar>
                    <w:top w:w="15" w:type="dxa"/>
                    <w:left w:w="15" w:type="dxa"/>
                    <w:bottom w:w="0" w:type="dxa"/>
                    <w:right w:w="15" w:type="dxa"/>
                  </w:tcMar>
                  <w:vAlign w:val="center"/>
                </w:tcPr>
                <w:p w14:paraId="78CD3B0D">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593AE1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0A2A126A">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十</w:t>
                  </w:r>
                </w:p>
              </w:tc>
              <w:tc>
                <w:tcPr>
                  <w:tcW w:w="4563" w:type="pct"/>
                  <w:gridSpan w:val="3"/>
                  <w:shd w:val="clear" w:color="auto" w:fill="auto"/>
                  <w:tcMar>
                    <w:top w:w="15" w:type="dxa"/>
                    <w:left w:w="15" w:type="dxa"/>
                    <w:bottom w:w="0" w:type="dxa"/>
                    <w:right w:w="15" w:type="dxa"/>
                  </w:tcMar>
                  <w:vAlign w:val="center"/>
                </w:tcPr>
                <w:p w14:paraId="7403AB36">
                  <w:pPr>
                    <w:keepNext w:val="0"/>
                    <w:keepLines w:val="0"/>
                    <w:pageBreakBefore w:val="0"/>
                    <w:widowControl w:val="0"/>
                    <w:tabs>
                      <w:tab w:val="left" w:pos="655"/>
                    </w:tabs>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气路系统</w:t>
                  </w:r>
                </w:p>
              </w:tc>
            </w:tr>
            <w:tr w14:paraId="25D3A2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301715E2">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084" w:type="pct"/>
                  <w:shd w:val="clear" w:color="auto" w:fill="auto"/>
                  <w:tcMar>
                    <w:top w:w="15" w:type="dxa"/>
                    <w:left w:w="15" w:type="dxa"/>
                    <w:bottom w:w="0" w:type="dxa"/>
                    <w:right w:w="15" w:type="dxa"/>
                  </w:tcMar>
                  <w:vAlign w:val="center"/>
                </w:tcPr>
                <w:p w14:paraId="4FC4D0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空压机</w:t>
                  </w:r>
                </w:p>
              </w:tc>
              <w:tc>
                <w:tcPr>
                  <w:tcW w:w="2935" w:type="pct"/>
                  <w:shd w:val="clear" w:color="auto" w:fill="auto"/>
                  <w:tcMar>
                    <w:top w:w="15" w:type="dxa"/>
                    <w:left w:w="15" w:type="dxa"/>
                    <w:bottom w:w="0" w:type="dxa"/>
                    <w:right w:w="15" w:type="dxa"/>
                  </w:tcMar>
                  <w:vAlign w:val="center"/>
                </w:tcPr>
                <w:p w14:paraId="7D39F9E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空压机排气量3m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/min</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功率1×37kW</w:t>
                  </w:r>
                </w:p>
              </w:tc>
              <w:tc>
                <w:tcPr>
                  <w:tcW w:w="543" w:type="pct"/>
                  <w:shd w:val="clear" w:color="auto" w:fill="auto"/>
                  <w:tcMar>
                    <w:top w:w="15" w:type="dxa"/>
                    <w:left w:w="15" w:type="dxa"/>
                    <w:bottom w:w="0" w:type="dxa"/>
                    <w:right w:w="15" w:type="dxa"/>
                  </w:tcMar>
                  <w:vAlign w:val="center"/>
                </w:tcPr>
                <w:p w14:paraId="3A32E1EF">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53F35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062DA6F2">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084" w:type="pct"/>
                  <w:shd w:val="clear" w:color="auto" w:fill="auto"/>
                  <w:tcMar>
                    <w:top w:w="15" w:type="dxa"/>
                    <w:left w:w="15" w:type="dxa"/>
                    <w:bottom w:w="0" w:type="dxa"/>
                    <w:right w:w="15" w:type="dxa"/>
                  </w:tcMar>
                  <w:vAlign w:val="top"/>
                </w:tcPr>
                <w:p w14:paraId="6E6075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空气过滤器</w:t>
                  </w:r>
                </w:p>
              </w:tc>
              <w:tc>
                <w:tcPr>
                  <w:tcW w:w="2935" w:type="pct"/>
                  <w:shd w:val="clear" w:color="auto" w:fill="auto"/>
                  <w:tcMar>
                    <w:top w:w="15" w:type="dxa"/>
                    <w:left w:w="15" w:type="dxa"/>
                    <w:bottom w:w="0" w:type="dxa"/>
                    <w:right w:w="15" w:type="dxa"/>
                  </w:tcMar>
                  <w:vAlign w:val="center"/>
                </w:tcPr>
                <w:p w14:paraId="1BB57CB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处理气量3m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/min</w:t>
                  </w:r>
                </w:p>
              </w:tc>
              <w:tc>
                <w:tcPr>
                  <w:tcW w:w="543" w:type="pct"/>
                  <w:shd w:val="clear" w:color="auto" w:fill="auto"/>
                  <w:tcMar>
                    <w:top w:w="15" w:type="dxa"/>
                    <w:left w:w="15" w:type="dxa"/>
                    <w:bottom w:w="0" w:type="dxa"/>
                    <w:right w:w="15" w:type="dxa"/>
                  </w:tcMar>
                  <w:vAlign w:val="center"/>
                </w:tcPr>
                <w:p w14:paraId="5DE97C14">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71901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0A9B2040">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084" w:type="pct"/>
                  <w:shd w:val="clear" w:color="auto" w:fill="auto"/>
                  <w:tcMar>
                    <w:top w:w="15" w:type="dxa"/>
                    <w:left w:w="15" w:type="dxa"/>
                    <w:bottom w:w="0" w:type="dxa"/>
                    <w:right w:w="15" w:type="dxa"/>
                  </w:tcMar>
                  <w:vAlign w:val="top"/>
                </w:tcPr>
                <w:p w14:paraId="1F8D9E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气动元件</w:t>
                  </w:r>
                </w:p>
              </w:tc>
              <w:tc>
                <w:tcPr>
                  <w:tcW w:w="2935" w:type="pct"/>
                  <w:shd w:val="clear" w:color="auto" w:fill="auto"/>
                  <w:tcMar>
                    <w:top w:w="15" w:type="dxa"/>
                    <w:left w:w="15" w:type="dxa"/>
                    <w:bottom w:w="0" w:type="dxa"/>
                    <w:right w:w="15" w:type="dxa"/>
                  </w:tcMar>
                  <w:vAlign w:val="center"/>
                </w:tcPr>
                <w:p w14:paraId="3101E498">
                  <w:pPr>
                    <w:keepNext w:val="0"/>
                    <w:keepLines w:val="0"/>
                    <w:pageBreakBefore w:val="0"/>
                    <w:widowControl w:val="0"/>
                    <w:tabs>
                      <w:tab w:val="left" w:pos="655"/>
                    </w:tabs>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气缸、电磁阀及气管路</w:t>
                  </w:r>
                </w:p>
              </w:tc>
              <w:tc>
                <w:tcPr>
                  <w:tcW w:w="543" w:type="pct"/>
                  <w:shd w:val="clear" w:color="auto" w:fill="auto"/>
                  <w:tcMar>
                    <w:top w:w="15" w:type="dxa"/>
                    <w:left w:w="15" w:type="dxa"/>
                    <w:bottom w:w="0" w:type="dxa"/>
                    <w:right w:w="15" w:type="dxa"/>
                  </w:tcMar>
                  <w:vAlign w:val="center"/>
                </w:tcPr>
                <w:p w14:paraId="05DC98F9">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5F2DF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436" w:type="pct"/>
                  <w:shd w:val="clear" w:color="auto" w:fill="auto"/>
                  <w:tcMar>
                    <w:top w:w="15" w:type="dxa"/>
                    <w:left w:w="15" w:type="dxa"/>
                    <w:bottom w:w="0" w:type="dxa"/>
                    <w:right w:w="15" w:type="dxa"/>
                  </w:tcMar>
                  <w:vAlign w:val="center"/>
                </w:tcPr>
                <w:p w14:paraId="6F776DB4">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十一</w:t>
                  </w:r>
                </w:p>
              </w:tc>
              <w:tc>
                <w:tcPr>
                  <w:tcW w:w="4563" w:type="pct"/>
                  <w:gridSpan w:val="3"/>
                  <w:shd w:val="clear" w:color="auto" w:fill="auto"/>
                  <w:tcMar>
                    <w:top w:w="15" w:type="dxa"/>
                    <w:left w:w="15" w:type="dxa"/>
                    <w:bottom w:w="0" w:type="dxa"/>
                    <w:right w:w="15" w:type="dxa"/>
                  </w:tcMar>
                  <w:vAlign w:val="center"/>
                </w:tcPr>
                <w:p w14:paraId="61277C0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电气控制系统</w:t>
                  </w:r>
                </w:p>
              </w:tc>
            </w:tr>
            <w:tr w14:paraId="7FEDA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97" w:hRule="atLeast"/>
                <w:jc w:val="center"/>
              </w:trPr>
              <w:tc>
                <w:tcPr>
                  <w:tcW w:w="436" w:type="pct"/>
                  <w:shd w:val="clear" w:color="auto" w:fill="auto"/>
                  <w:tcMar>
                    <w:top w:w="15" w:type="dxa"/>
                    <w:left w:w="15" w:type="dxa"/>
                    <w:bottom w:w="0" w:type="dxa"/>
                    <w:right w:w="15" w:type="dxa"/>
                  </w:tcMar>
                  <w:vAlign w:val="center"/>
                </w:tcPr>
                <w:p w14:paraId="53252B3B">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084" w:type="pct"/>
                  <w:shd w:val="clear" w:color="auto" w:fill="auto"/>
                  <w:tcMar>
                    <w:top w:w="15" w:type="dxa"/>
                    <w:left w:w="15" w:type="dxa"/>
                    <w:bottom w:w="0" w:type="dxa"/>
                    <w:right w:w="15" w:type="dxa"/>
                  </w:tcMar>
                  <w:vAlign w:val="center"/>
                </w:tcPr>
                <w:p w14:paraId="6ACA99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组成</w:t>
                  </w:r>
                </w:p>
              </w:tc>
              <w:tc>
                <w:tcPr>
                  <w:tcW w:w="2935" w:type="pct"/>
                  <w:shd w:val="clear" w:color="auto" w:fill="auto"/>
                  <w:tcMar>
                    <w:top w:w="15" w:type="dxa"/>
                    <w:left w:w="15" w:type="dxa"/>
                    <w:bottom w:w="0" w:type="dxa"/>
                    <w:right w:w="15" w:type="dxa"/>
                  </w:tcMar>
                  <w:vAlign w:val="center"/>
                </w:tcPr>
                <w:p w14:paraId="302BE680">
                  <w:pPr>
                    <w:keepNext w:val="0"/>
                    <w:keepLines w:val="0"/>
                    <w:pageBreakBefore w:val="0"/>
                    <w:widowControl w:val="0"/>
                    <w:tabs>
                      <w:tab w:val="left" w:pos="655"/>
                    </w:tabs>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6m×2.5m×2.5m</w:t>
                  </w:r>
                  <w:r>
                    <w:rPr>
                      <w:rFonts w:hint="default" w:ascii="Times New Roman" w:hAnsi="Times New Roman" w:cs="Times New Roman"/>
                      <w:color w:val="auto"/>
                      <w:sz w:val="21"/>
                      <w:szCs w:val="21"/>
                      <w:lang w:eastAsia="zh-CN"/>
                    </w:rPr>
                    <w:t>控制柜</w:t>
                  </w:r>
                  <w:r>
                    <w:rPr>
                      <w:rFonts w:hint="default" w:ascii="Times New Roman" w:hAnsi="Times New Roman" w:eastAsia="宋体" w:cs="Times New Roman"/>
                      <w:color w:val="auto"/>
                      <w:sz w:val="21"/>
                      <w:szCs w:val="21"/>
                    </w:rPr>
                    <w:t>、桌面型组合操控台、箱式控制柜、高级商用计算机、柜式双温空调机。</w:t>
                  </w:r>
                </w:p>
              </w:tc>
              <w:tc>
                <w:tcPr>
                  <w:tcW w:w="543" w:type="pct"/>
                  <w:shd w:val="clear" w:color="auto" w:fill="auto"/>
                  <w:tcMar>
                    <w:top w:w="15" w:type="dxa"/>
                    <w:left w:w="15" w:type="dxa"/>
                    <w:bottom w:w="0" w:type="dxa"/>
                    <w:right w:w="15" w:type="dxa"/>
                  </w:tcMar>
                  <w:vAlign w:val="center"/>
                </w:tcPr>
                <w:p w14:paraId="0F5DDAE8">
                  <w:pPr>
                    <w:keepNext w:val="0"/>
                    <w:keepLines w:val="0"/>
                    <w:pageBreakBefore w:val="0"/>
                    <w:widowControl w:val="0"/>
                    <w:tabs>
                      <w:tab w:val="left" w:pos="6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bl>
          <w:p w14:paraId="08CD2DD5">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、主要原辅材料及燃料</w:t>
            </w:r>
          </w:p>
          <w:p w14:paraId="339A6865">
            <w:pPr>
              <w:spacing w:line="360" w:lineRule="auto"/>
              <w:ind w:firstLine="480" w:firstLineChars="200"/>
              <w:rPr>
                <w:rFonts w:hint="default" w:ascii="Times New Roman" w:hAnsi="Times New Roman" w:eastAsia="宋体" w:cs="Times New Roman"/>
                <w:b/>
                <w:bCs/>
                <w:color w:val="auto"/>
                <w:kern w:val="0"/>
                <w:sz w:val="20"/>
                <w:szCs w:val="20"/>
                <w:lang w:val="en-US" w:eastAsia="zh-CN" w:bidi="ar-SA"/>
              </w:rPr>
            </w:pPr>
            <w:r>
              <w:rPr>
                <w:rFonts w:hint="default" w:ascii="Times New Roman" w:hAnsi="Times New Roman" w:eastAsia="宋体" w:cs="Times New Roman"/>
                <w:color w:val="auto"/>
                <w:kern w:val="24"/>
                <w:sz w:val="24"/>
                <w:szCs w:val="24"/>
              </w:rPr>
              <w:t>本项目主要原辅材料及燃料种类和用量见表2-</w:t>
            </w:r>
            <w:r>
              <w:rPr>
                <w:rFonts w:hint="default" w:ascii="Times New Roman" w:hAnsi="Times New Roman" w:eastAsia="宋体" w:cs="Times New Roman"/>
                <w:color w:val="auto"/>
                <w:kern w:val="24"/>
                <w:sz w:val="24"/>
                <w:szCs w:val="24"/>
                <w:lang w:val="en-US" w:eastAsia="zh-CN"/>
              </w:rPr>
              <w:t>4</w:t>
            </w:r>
            <w:r>
              <w:rPr>
                <w:rFonts w:hint="default" w:ascii="Times New Roman" w:hAnsi="Times New Roman" w:eastAsia="宋体" w:cs="Times New Roman"/>
                <w:color w:val="auto"/>
                <w:kern w:val="24"/>
                <w:sz w:val="24"/>
                <w:szCs w:val="24"/>
              </w:rPr>
              <w:t>。</w:t>
            </w:r>
          </w:p>
          <w:p w14:paraId="414825F0">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宋体" w:cs="Times New Roman"/>
                <w:b/>
                <w:bCs/>
                <w:color w:val="auto"/>
                <w:kern w:val="0"/>
                <w:sz w:val="20"/>
                <w:szCs w:val="20"/>
                <w:highlight w:val="none"/>
                <w:lang w:val="en-US" w:eastAsia="zh-CN" w:bidi="ar-SA"/>
              </w:rPr>
            </w:pPr>
            <w:r>
              <w:rPr>
                <w:rFonts w:hint="default" w:ascii="Times New Roman" w:hAnsi="Times New Roman" w:eastAsia="宋体" w:cs="Times New Roman"/>
                <w:b/>
                <w:bCs/>
                <w:color w:val="auto"/>
                <w:kern w:val="0"/>
                <w:sz w:val="20"/>
                <w:szCs w:val="20"/>
                <w:highlight w:val="none"/>
                <w:lang w:val="en-US" w:eastAsia="zh-CN" w:bidi="ar-SA"/>
              </w:rPr>
              <w:t>表2-4  主要原辅材料及能耗表</w:t>
            </w:r>
          </w:p>
          <w:tbl>
            <w:tblPr>
              <w:tblStyle w:val="29"/>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73"/>
              <w:gridCol w:w="1197"/>
              <w:gridCol w:w="781"/>
              <w:gridCol w:w="1213"/>
              <w:gridCol w:w="943"/>
              <w:gridCol w:w="787"/>
              <w:gridCol w:w="1223"/>
              <w:gridCol w:w="1018"/>
              <w:gridCol w:w="1051"/>
            </w:tblGrid>
            <w:tr w14:paraId="05262B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blHeader/>
                <w:jc w:val="center"/>
              </w:trPr>
              <w:tc>
                <w:tcPr>
                  <w:tcW w:w="674" w:type="dxa"/>
                  <w:tcBorders>
                    <w:tl2br w:val="nil"/>
                    <w:tr2bl w:val="nil"/>
                  </w:tcBorders>
                  <w:vAlign w:val="center"/>
                </w:tcPr>
                <w:p w14:paraId="6B2D24A2">
                  <w:pPr>
                    <w:jc w:val="center"/>
                    <w:rPr>
                      <w:rFonts w:hint="default" w:ascii="Times New Roman" w:hAnsi="Times New Roman" w:eastAsia="宋体" w:cs="Times New Roman"/>
                      <w:b/>
                      <w:color w:val="auto"/>
                      <w:szCs w:val="21"/>
                      <w:highlight w:val="none"/>
                    </w:rPr>
                  </w:pPr>
                  <w:r>
                    <w:rPr>
                      <w:rFonts w:hint="default" w:ascii="Times New Roman" w:hAnsi="Times New Roman" w:cs="Times New Roman"/>
                      <w:b/>
                      <w:color w:val="auto"/>
                      <w:szCs w:val="21"/>
                      <w:highlight w:val="none"/>
                    </w:rPr>
                    <w:t>序号</w:t>
                  </w:r>
                </w:p>
              </w:tc>
              <w:tc>
                <w:tcPr>
                  <w:tcW w:w="1197" w:type="dxa"/>
                  <w:tcBorders>
                    <w:tl2br w:val="nil"/>
                    <w:tr2bl w:val="nil"/>
                  </w:tcBorders>
                  <w:vAlign w:val="center"/>
                </w:tcPr>
                <w:p w14:paraId="22B4FC25">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名称</w:t>
                  </w:r>
                </w:p>
              </w:tc>
              <w:tc>
                <w:tcPr>
                  <w:tcW w:w="781" w:type="dxa"/>
                  <w:tcBorders>
                    <w:tl2br w:val="nil"/>
                    <w:tr2bl w:val="nil"/>
                  </w:tcBorders>
                  <w:vAlign w:val="center"/>
                </w:tcPr>
                <w:p w14:paraId="41BF3B7E">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单位</w:t>
                  </w:r>
                </w:p>
              </w:tc>
              <w:tc>
                <w:tcPr>
                  <w:tcW w:w="1213" w:type="dxa"/>
                  <w:tcBorders>
                    <w:tl2br w:val="nil"/>
                    <w:tr2bl w:val="nil"/>
                  </w:tcBorders>
                  <w:vAlign w:val="center"/>
                </w:tcPr>
                <w:p w14:paraId="5CE2F4E7">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年用量</w:t>
                  </w:r>
                </w:p>
              </w:tc>
              <w:tc>
                <w:tcPr>
                  <w:tcW w:w="943" w:type="dxa"/>
                  <w:tcBorders>
                    <w:tl2br w:val="nil"/>
                    <w:tr2bl w:val="nil"/>
                  </w:tcBorders>
                  <w:vAlign w:val="center"/>
                </w:tcPr>
                <w:p w14:paraId="298D2933">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最大储存量</w:t>
                  </w:r>
                </w:p>
              </w:tc>
              <w:tc>
                <w:tcPr>
                  <w:tcW w:w="787" w:type="dxa"/>
                  <w:tcBorders>
                    <w:tl2br w:val="nil"/>
                    <w:tr2bl w:val="nil"/>
                  </w:tcBorders>
                  <w:vAlign w:val="center"/>
                </w:tcPr>
                <w:p w14:paraId="68610060">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形态</w:t>
                  </w:r>
                </w:p>
              </w:tc>
              <w:tc>
                <w:tcPr>
                  <w:tcW w:w="1223" w:type="dxa"/>
                  <w:tcBorders>
                    <w:tl2br w:val="nil"/>
                    <w:tr2bl w:val="nil"/>
                  </w:tcBorders>
                  <w:vAlign w:val="center"/>
                </w:tcPr>
                <w:p w14:paraId="717109AF">
                  <w:pPr>
                    <w:jc w:val="center"/>
                    <w:rPr>
                      <w:rFonts w:hint="default" w:ascii="Times New Roman" w:hAnsi="Times New Roman" w:eastAsia="宋体" w:cs="Times New Roman"/>
                      <w:b/>
                      <w:color w:val="auto"/>
                      <w:szCs w:val="21"/>
                      <w:highlight w:val="none"/>
                    </w:rPr>
                  </w:pPr>
                  <w:r>
                    <w:rPr>
                      <w:rFonts w:hint="default" w:ascii="Times New Roman" w:hAnsi="Times New Roman" w:cs="Times New Roman"/>
                      <w:b/>
                      <w:color w:val="auto"/>
                      <w:szCs w:val="21"/>
                      <w:highlight w:val="none"/>
                    </w:rPr>
                    <w:t>来源</w:t>
                  </w:r>
                </w:p>
              </w:tc>
              <w:tc>
                <w:tcPr>
                  <w:tcW w:w="1018" w:type="dxa"/>
                  <w:tcBorders>
                    <w:tl2br w:val="nil"/>
                    <w:tr2bl w:val="nil"/>
                  </w:tcBorders>
                  <w:vAlign w:val="center"/>
                </w:tcPr>
                <w:p w14:paraId="1BAB2B0C">
                  <w:pPr>
                    <w:jc w:val="center"/>
                    <w:rPr>
                      <w:rFonts w:hint="default" w:ascii="Times New Roman" w:hAnsi="Times New Roman" w:eastAsia="宋体" w:cs="Times New Roman"/>
                      <w:b/>
                      <w:color w:val="auto"/>
                      <w:szCs w:val="21"/>
                      <w:highlight w:val="none"/>
                    </w:rPr>
                  </w:pPr>
                  <w:r>
                    <w:rPr>
                      <w:rFonts w:hint="default" w:ascii="Times New Roman" w:hAnsi="Times New Roman" w:cs="Times New Roman"/>
                      <w:b/>
                      <w:color w:val="auto"/>
                      <w:szCs w:val="21"/>
                      <w:highlight w:val="none"/>
                    </w:rPr>
                    <w:t>储存位置</w:t>
                  </w:r>
                </w:p>
              </w:tc>
              <w:tc>
                <w:tcPr>
                  <w:tcW w:w="1051" w:type="dxa"/>
                  <w:tcBorders>
                    <w:tl2br w:val="nil"/>
                    <w:tr2bl w:val="nil"/>
                  </w:tcBorders>
                  <w:vAlign w:val="center"/>
                </w:tcPr>
                <w:p w14:paraId="0DCBF6C6">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备注</w:t>
                  </w:r>
                </w:p>
              </w:tc>
            </w:tr>
            <w:tr w14:paraId="00E4C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blHeader/>
                <w:jc w:val="center"/>
              </w:trPr>
              <w:tc>
                <w:tcPr>
                  <w:tcW w:w="8887" w:type="dxa"/>
                  <w:gridSpan w:val="9"/>
                  <w:tcBorders>
                    <w:tl2br w:val="nil"/>
                    <w:tr2bl w:val="nil"/>
                  </w:tcBorders>
                  <w:vAlign w:val="center"/>
                </w:tcPr>
                <w:p w14:paraId="50507F7D">
                  <w:pPr>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沥青混凝土生产线（50000t）</w:t>
                  </w:r>
                </w:p>
              </w:tc>
            </w:tr>
            <w:tr w14:paraId="58EA31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74" w:type="dxa"/>
                  <w:tcBorders>
                    <w:tl2br w:val="nil"/>
                    <w:tr2bl w:val="nil"/>
                  </w:tcBorders>
                  <w:vAlign w:val="center"/>
                </w:tcPr>
                <w:p w14:paraId="156E0616">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p>
              </w:tc>
              <w:tc>
                <w:tcPr>
                  <w:tcW w:w="1197" w:type="dxa"/>
                  <w:tcBorders>
                    <w:tl2br w:val="nil"/>
                    <w:tr2bl w:val="nil"/>
                  </w:tcBorders>
                  <w:vAlign w:val="center"/>
                </w:tcPr>
                <w:p w14:paraId="2832396C">
                  <w:pPr>
                    <w:widowControl/>
                    <w:jc w:val="center"/>
                    <w:textAlignment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kern w:val="0"/>
                      <w:szCs w:val="21"/>
                      <w:highlight w:val="none"/>
                    </w:rPr>
                    <w:t>矿粉</w:t>
                  </w:r>
                </w:p>
              </w:tc>
              <w:tc>
                <w:tcPr>
                  <w:tcW w:w="781" w:type="dxa"/>
                  <w:vMerge w:val="restart"/>
                  <w:tcBorders>
                    <w:tl2br w:val="nil"/>
                    <w:tr2bl w:val="nil"/>
                  </w:tcBorders>
                  <w:vAlign w:val="center"/>
                </w:tcPr>
                <w:p w14:paraId="3DB80285">
                  <w:pPr>
                    <w:jc w:val="center"/>
                    <w:rPr>
                      <w:rFonts w:hint="default" w:ascii="Times New Roman" w:hAnsi="Times New Roman" w:eastAsia="宋体" w:cs="Times New Roman"/>
                      <w:bCs/>
                      <w:color w:val="auto"/>
                      <w:szCs w:val="21"/>
                      <w:highlight w:val="none"/>
                    </w:rPr>
                  </w:pPr>
                  <w:r>
                    <w:rPr>
                      <w:rFonts w:hint="default" w:ascii="Times New Roman" w:hAnsi="Times New Roman" w:cs="Times New Roman"/>
                      <w:bCs/>
                      <w:color w:val="auto"/>
                      <w:szCs w:val="21"/>
                      <w:highlight w:val="none"/>
                    </w:rPr>
                    <w:t>t</w:t>
                  </w:r>
                </w:p>
              </w:tc>
              <w:tc>
                <w:tcPr>
                  <w:tcW w:w="1213" w:type="dxa"/>
                  <w:tcBorders>
                    <w:tl2br w:val="nil"/>
                    <w:tr2bl w:val="nil"/>
                  </w:tcBorders>
                  <w:vAlign w:val="center"/>
                </w:tcPr>
                <w:p w14:paraId="79FE9350">
                  <w:pPr>
                    <w:widowControl/>
                    <w:jc w:val="center"/>
                    <w:textAlignment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3000</w:t>
                  </w:r>
                </w:p>
              </w:tc>
              <w:tc>
                <w:tcPr>
                  <w:tcW w:w="943" w:type="dxa"/>
                  <w:tcBorders>
                    <w:tl2br w:val="nil"/>
                    <w:tr2bl w:val="nil"/>
                  </w:tcBorders>
                  <w:vAlign w:val="center"/>
                </w:tcPr>
                <w:p w14:paraId="28C5F124">
                  <w:pP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2000</w:t>
                  </w:r>
                </w:p>
              </w:tc>
              <w:tc>
                <w:tcPr>
                  <w:tcW w:w="787" w:type="dxa"/>
                  <w:tcBorders>
                    <w:tl2br w:val="nil"/>
                    <w:tr2bl w:val="nil"/>
                  </w:tcBorders>
                  <w:vAlign w:val="center"/>
                </w:tcPr>
                <w:p w14:paraId="59D203BE">
                  <w:pPr>
                    <w:widowControl/>
                    <w:jc w:val="center"/>
                    <w:textAlignment w:val="center"/>
                    <w:rPr>
                      <w:rFonts w:hint="default" w:ascii="Times New Roman" w:hAnsi="Times New Roman" w:cs="Times New Roman"/>
                      <w:bCs/>
                      <w:color w:val="auto"/>
                      <w:szCs w:val="21"/>
                      <w:highlight w:val="none"/>
                    </w:rPr>
                  </w:pPr>
                  <w:r>
                    <w:rPr>
                      <w:rFonts w:hint="default" w:ascii="Times New Roman" w:hAnsi="Times New Roman" w:eastAsia="宋体" w:cs="Times New Roman"/>
                      <w:color w:val="auto"/>
                      <w:kern w:val="0"/>
                      <w:szCs w:val="21"/>
                      <w:highlight w:val="none"/>
                    </w:rPr>
                    <w:t>粉末</w:t>
                  </w:r>
                </w:p>
              </w:tc>
              <w:tc>
                <w:tcPr>
                  <w:tcW w:w="1223" w:type="dxa"/>
                  <w:tcBorders>
                    <w:tl2br w:val="nil"/>
                    <w:tr2bl w:val="nil"/>
                  </w:tcBorders>
                  <w:vAlign w:val="center"/>
                </w:tcPr>
                <w:p w14:paraId="77388037">
                  <w:pPr>
                    <w:widowControl/>
                    <w:jc w:val="center"/>
                    <w:textAlignment w:val="center"/>
                    <w:rPr>
                      <w:rFonts w:hint="default" w:ascii="Times New Roman" w:hAnsi="Times New Roman" w:cs="Times New Roman"/>
                      <w:bCs/>
                      <w:color w:val="auto"/>
                      <w:szCs w:val="21"/>
                      <w:highlight w:val="none"/>
                    </w:rPr>
                  </w:pPr>
                  <w:r>
                    <w:rPr>
                      <w:rFonts w:hint="default" w:ascii="Times New Roman" w:hAnsi="Times New Roman" w:eastAsia="宋体" w:cs="Times New Roman"/>
                      <w:color w:val="auto"/>
                      <w:kern w:val="0"/>
                      <w:szCs w:val="21"/>
                      <w:highlight w:val="none"/>
                    </w:rPr>
                    <w:t>外购</w:t>
                  </w:r>
                </w:p>
              </w:tc>
              <w:tc>
                <w:tcPr>
                  <w:tcW w:w="1018" w:type="dxa"/>
                  <w:tcBorders>
                    <w:tl2br w:val="nil"/>
                    <w:tr2bl w:val="nil"/>
                  </w:tcBorders>
                  <w:vAlign w:val="center"/>
                </w:tcPr>
                <w:p w14:paraId="32999547">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储存在矿粉筒仓内</w:t>
                  </w:r>
                </w:p>
              </w:tc>
              <w:tc>
                <w:tcPr>
                  <w:tcW w:w="1051" w:type="dxa"/>
                  <w:tcBorders>
                    <w:tl2br w:val="nil"/>
                    <w:tr2bl w:val="nil"/>
                  </w:tcBorders>
                  <w:vAlign w:val="center"/>
                </w:tcPr>
                <w:p w14:paraId="18F5B7FF">
                  <w:pPr>
                    <w:jc w:val="center"/>
                    <w:rPr>
                      <w:rFonts w:hint="default" w:ascii="Times New Roman" w:hAnsi="Times New Roman" w:cs="Times New Roman"/>
                      <w:bCs/>
                      <w:color w:val="auto"/>
                      <w:szCs w:val="21"/>
                      <w:highlight w:val="none"/>
                    </w:rPr>
                  </w:pPr>
                </w:p>
              </w:tc>
            </w:tr>
            <w:tr w14:paraId="5191E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74" w:type="dxa"/>
                  <w:tcBorders>
                    <w:tl2br w:val="nil"/>
                    <w:tr2bl w:val="nil"/>
                  </w:tcBorders>
                  <w:vAlign w:val="center"/>
                </w:tcPr>
                <w:p w14:paraId="71C8AB26">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w:t>
                  </w:r>
                </w:p>
              </w:tc>
              <w:tc>
                <w:tcPr>
                  <w:tcW w:w="1197" w:type="dxa"/>
                  <w:tcBorders>
                    <w:tl2br w:val="nil"/>
                    <w:tr2bl w:val="nil"/>
                  </w:tcBorders>
                  <w:vAlign w:val="center"/>
                </w:tcPr>
                <w:p w14:paraId="13088C15">
                  <w:pPr>
                    <w:widowControl/>
                    <w:jc w:val="center"/>
                    <w:textAlignment w:val="center"/>
                    <w:rPr>
                      <w:rFonts w:hint="default" w:ascii="Times New Roman" w:hAnsi="Times New Roman" w:cs="Times New Roman"/>
                      <w:bCs/>
                      <w:color w:val="auto"/>
                      <w:szCs w:val="21"/>
                      <w:highlight w:val="none"/>
                    </w:rPr>
                  </w:pPr>
                  <w:r>
                    <w:rPr>
                      <w:rFonts w:hint="default" w:ascii="Times New Roman" w:hAnsi="Times New Roman" w:eastAsia="宋体" w:cs="Times New Roman"/>
                      <w:color w:val="auto"/>
                      <w:kern w:val="0"/>
                      <w:szCs w:val="21"/>
                      <w:highlight w:val="none"/>
                    </w:rPr>
                    <w:t>石油沥青</w:t>
                  </w:r>
                </w:p>
              </w:tc>
              <w:tc>
                <w:tcPr>
                  <w:tcW w:w="781" w:type="dxa"/>
                  <w:vMerge w:val="continue"/>
                  <w:tcBorders>
                    <w:tl2br w:val="nil"/>
                    <w:tr2bl w:val="nil"/>
                  </w:tcBorders>
                  <w:vAlign w:val="center"/>
                </w:tcPr>
                <w:p w14:paraId="1B397E20">
                  <w:pPr>
                    <w:jc w:val="center"/>
                    <w:rPr>
                      <w:rFonts w:hint="default" w:ascii="Times New Roman" w:hAnsi="Times New Roman" w:cs="Times New Roman"/>
                      <w:bCs/>
                      <w:color w:val="auto"/>
                      <w:szCs w:val="21"/>
                      <w:highlight w:val="none"/>
                    </w:rPr>
                  </w:pPr>
                </w:p>
              </w:tc>
              <w:tc>
                <w:tcPr>
                  <w:tcW w:w="1213" w:type="dxa"/>
                  <w:tcBorders>
                    <w:tl2br w:val="nil"/>
                    <w:tr2bl w:val="nil"/>
                  </w:tcBorders>
                  <w:vAlign w:val="center"/>
                </w:tcPr>
                <w:p w14:paraId="182E8C97">
                  <w:pPr>
                    <w:widowControl/>
                    <w:jc w:val="center"/>
                    <w:textAlignment w:val="center"/>
                    <w:rPr>
                      <w:rFonts w:hint="default" w:ascii="Times New Roman" w:hAnsi="Times New Roman" w:eastAsia="宋体" w:cs="Times New Roman"/>
                      <w:color w:val="auto"/>
                      <w:kern w:val="0"/>
                      <w:sz w:val="22"/>
                      <w:highlight w:val="none"/>
                      <w:lang w:val="en-US" w:eastAsia="zh-CN"/>
                    </w:rPr>
                  </w:pPr>
                  <w:r>
                    <w:rPr>
                      <w:rFonts w:hint="default" w:ascii="Times New Roman" w:hAnsi="Times New Roman" w:cs="Times New Roman"/>
                      <w:color w:val="auto"/>
                      <w:kern w:val="0"/>
                      <w:sz w:val="22"/>
                      <w:highlight w:val="none"/>
                      <w:lang w:val="en-US" w:eastAsia="zh-CN"/>
                    </w:rPr>
                    <w:t>2000</w:t>
                  </w:r>
                </w:p>
              </w:tc>
              <w:tc>
                <w:tcPr>
                  <w:tcW w:w="943" w:type="dxa"/>
                  <w:tcBorders>
                    <w:tl2br w:val="nil"/>
                    <w:tr2bl w:val="nil"/>
                  </w:tcBorders>
                  <w:vAlign w:val="center"/>
                </w:tcPr>
                <w:p w14:paraId="1C6F7327">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60</w:t>
                  </w:r>
                </w:p>
              </w:tc>
              <w:tc>
                <w:tcPr>
                  <w:tcW w:w="787" w:type="dxa"/>
                  <w:tcBorders>
                    <w:tl2br w:val="nil"/>
                    <w:tr2bl w:val="nil"/>
                  </w:tcBorders>
                  <w:vAlign w:val="center"/>
                </w:tcPr>
                <w:p w14:paraId="0FF4B014">
                  <w:pPr>
                    <w:widowControl/>
                    <w:jc w:val="center"/>
                    <w:textAlignment w:val="center"/>
                    <w:rPr>
                      <w:rFonts w:hint="default" w:ascii="Times New Roman" w:hAnsi="Times New Roman" w:cs="Times New Roman"/>
                      <w:bCs/>
                      <w:color w:val="auto"/>
                      <w:szCs w:val="21"/>
                      <w:highlight w:val="none"/>
                    </w:rPr>
                  </w:pPr>
                  <w:r>
                    <w:rPr>
                      <w:rFonts w:hint="default" w:ascii="Times New Roman" w:hAnsi="Times New Roman" w:eastAsia="宋体" w:cs="Times New Roman"/>
                      <w:color w:val="auto"/>
                      <w:kern w:val="0"/>
                      <w:szCs w:val="21"/>
                      <w:highlight w:val="none"/>
                    </w:rPr>
                    <w:t>半固态</w:t>
                  </w:r>
                </w:p>
              </w:tc>
              <w:tc>
                <w:tcPr>
                  <w:tcW w:w="1223" w:type="dxa"/>
                  <w:tcBorders>
                    <w:tl2br w:val="nil"/>
                    <w:tr2bl w:val="nil"/>
                  </w:tcBorders>
                  <w:vAlign w:val="center"/>
                </w:tcPr>
                <w:p w14:paraId="4A773A37">
                  <w:pPr>
                    <w:widowControl/>
                    <w:jc w:val="center"/>
                    <w:textAlignment w:val="center"/>
                    <w:rPr>
                      <w:rFonts w:hint="default" w:ascii="Times New Roman" w:hAnsi="Times New Roman" w:cs="Times New Roman"/>
                      <w:bCs/>
                      <w:color w:val="auto"/>
                      <w:szCs w:val="21"/>
                      <w:highlight w:val="none"/>
                    </w:rPr>
                  </w:pPr>
                  <w:r>
                    <w:rPr>
                      <w:rFonts w:hint="default" w:ascii="Times New Roman" w:hAnsi="Times New Roman" w:eastAsia="宋体" w:cs="Times New Roman"/>
                      <w:color w:val="auto"/>
                      <w:kern w:val="0"/>
                      <w:szCs w:val="21"/>
                      <w:highlight w:val="none"/>
                    </w:rPr>
                    <w:t>外购</w:t>
                  </w:r>
                </w:p>
              </w:tc>
              <w:tc>
                <w:tcPr>
                  <w:tcW w:w="1018" w:type="dxa"/>
                  <w:tcBorders>
                    <w:tl2br w:val="nil"/>
                    <w:tr2bl w:val="nil"/>
                  </w:tcBorders>
                  <w:vAlign w:val="center"/>
                </w:tcPr>
                <w:p w14:paraId="351ACF10">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储存在沥青储罐内</w:t>
                  </w:r>
                </w:p>
              </w:tc>
              <w:tc>
                <w:tcPr>
                  <w:tcW w:w="1051" w:type="dxa"/>
                  <w:tcBorders>
                    <w:tl2br w:val="nil"/>
                    <w:tr2bl w:val="nil"/>
                  </w:tcBorders>
                  <w:vAlign w:val="center"/>
                </w:tcPr>
                <w:p w14:paraId="48B1E54A">
                  <w:pPr>
                    <w:jc w:val="center"/>
                    <w:rPr>
                      <w:rFonts w:hint="default" w:ascii="Times New Roman" w:hAnsi="Times New Roman" w:cs="Times New Roman"/>
                      <w:bCs/>
                      <w:color w:val="auto"/>
                      <w:szCs w:val="21"/>
                      <w:highlight w:val="none"/>
                    </w:rPr>
                  </w:pPr>
                </w:p>
              </w:tc>
            </w:tr>
            <w:tr w14:paraId="3DFE9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6" w:hRule="atLeast"/>
                <w:jc w:val="center"/>
              </w:trPr>
              <w:tc>
                <w:tcPr>
                  <w:tcW w:w="674" w:type="dxa"/>
                  <w:tcBorders>
                    <w:tl2br w:val="nil"/>
                    <w:tr2bl w:val="nil"/>
                  </w:tcBorders>
                  <w:vAlign w:val="center"/>
                </w:tcPr>
                <w:p w14:paraId="6E08040C">
                  <w:pPr>
                    <w:jc w:val="center"/>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lang w:val="en-US" w:eastAsia="zh-CN"/>
                    </w:rPr>
                    <w:t>3</w:t>
                  </w:r>
                </w:p>
              </w:tc>
              <w:tc>
                <w:tcPr>
                  <w:tcW w:w="1197" w:type="dxa"/>
                  <w:tcBorders>
                    <w:tl2br w:val="nil"/>
                    <w:tr2bl w:val="nil"/>
                  </w:tcBorders>
                  <w:vAlign w:val="center"/>
                </w:tcPr>
                <w:p w14:paraId="68C1D70D">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lang w:bidi="ar"/>
                    </w:rPr>
                    <w:t>骨料（砂、碎石）</w:t>
                  </w:r>
                </w:p>
              </w:tc>
              <w:tc>
                <w:tcPr>
                  <w:tcW w:w="781" w:type="dxa"/>
                  <w:vMerge w:val="continue"/>
                  <w:tcBorders>
                    <w:tl2br w:val="nil"/>
                    <w:tr2bl w:val="nil"/>
                  </w:tcBorders>
                  <w:vAlign w:val="center"/>
                </w:tcPr>
                <w:p w14:paraId="0BA80C4A">
                  <w:pPr>
                    <w:jc w:val="center"/>
                    <w:rPr>
                      <w:rFonts w:hint="default" w:ascii="Times New Roman" w:hAnsi="Times New Roman" w:cs="Times New Roman"/>
                      <w:bCs/>
                      <w:color w:val="auto"/>
                      <w:szCs w:val="21"/>
                      <w:highlight w:val="none"/>
                    </w:rPr>
                  </w:pPr>
                </w:p>
              </w:tc>
              <w:tc>
                <w:tcPr>
                  <w:tcW w:w="1213" w:type="dxa"/>
                  <w:tcBorders>
                    <w:tl2br w:val="nil"/>
                    <w:tr2bl w:val="nil"/>
                  </w:tcBorders>
                  <w:vAlign w:val="center"/>
                </w:tcPr>
                <w:p w14:paraId="52D3A384">
                  <w:pPr>
                    <w:widowControl/>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46000</w:t>
                  </w:r>
                </w:p>
              </w:tc>
              <w:tc>
                <w:tcPr>
                  <w:tcW w:w="943" w:type="dxa"/>
                  <w:tcBorders>
                    <w:tl2br w:val="nil"/>
                    <w:tr2bl w:val="nil"/>
                  </w:tcBorders>
                  <w:vAlign w:val="center"/>
                </w:tcPr>
                <w:p w14:paraId="3E1EA41B">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80</w:t>
                  </w:r>
                  <w:r>
                    <w:rPr>
                      <w:rFonts w:hint="default" w:ascii="Times New Roman" w:hAnsi="Times New Roman" w:cs="Times New Roman"/>
                      <w:bCs/>
                      <w:color w:val="auto"/>
                      <w:szCs w:val="21"/>
                      <w:highlight w:val="none"/>
                    </w:rPr>
                    <w:t>00</w:t>
                  </w:r>
                </w:p>
              </w:tc>
              <w:tc>
                <w:tcPr>
                  <w:tcW w:w="787" w:type="dxa"/>
                  <w:tcBorders>
                    <w:tl2br w:val="nil"/>
                    <w:tr2bl w:val="nil"/>
                  </w:tcBorders>
                  <w:vAlign w:val="center"/>
                </w:tcPr>
                <w:p w14:paraId="2F2E5C31">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lang w:bidi="ar"/>
                    </w:rPr>
                    <w:t>颗粒、块状</w:t>
                  </w:r>
                </w:p>
              </w:tc>
              <w:tc>
                <w:tcPr>
                  <w:tcW w:w="1223" w:type="dxa"/>
                  <w:tcBorders>
                    <w:tl2br w:val="nil"/>
                    <w:tr2bl w:val="nil"/>
                  </w:tcBorders>
                  <w:vAlign w:val="center"/>
                </w:tcPr>
                <w:p w14:paraId="4119EEC1">
                  <w:pPr>
                    <w:widowControl/>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外购</w:t>
                  </w:r>
                </w:p>
              </w:tc>
              <w:tc>
                <w:tcPr>
                  <w:tcW w:w="1018" w:type="dxa"/>
                  <w:tcBorders>
                    <w:tl2br w:val="nil"/>
                    <w:tr2bl w:val="nil"/>
                  </w:tcBorders>
                  <w:vAlign w:val="center"/>
                </w:tcPr>
                <w:p w14:paraId="4347A034">
                  <w:pPr>
                    <w:jc w:val="center"/>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lang w:eastAsia="zh-CN"/>
                    </w:rPr>
                    <w:t>骨料堆场</w:t>
                  </w:r>
                </w:p>
              </w:tc>
              <w:tc>
                <w:tcPr>
                  <w:tcW w:w="1051" w:type="dxa"/>
                  <w:tcBorders>
                    <w:tl2br w:val="nil"/>
                    <w:tr2bl w:val="nil"/>
                  </w:tcBorders>
                  <w:vAlign w:val="center"/>
                </w:tcPr>
                <w:p w14:paraId="29559EB1">
                  <w:pPr>
                    <w:jc w:val="center"/>
                    <w:rPr>
                      <w:rFonts w:hint="default" w:ascii="Times New Roman" w:hAnsi="Times New Roman" w:cs="Times New Roman"/>
                      <w:bCs/>
                      <w:color w:val="auto"/>
                      <w:szCs w:val="21"/>
                      <w:highlight w:val="none"/>
                    </w:rPr>
                  </w:pPr>
                </w:p>
              </w:tc>
            </w:tr>
            <w:tr w14:paraId="7B377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6" w:hRule="atLeast"/>
                <w:jc w:val="center"/>
              </w:trPr>
              <w:tc>
                <w:tcPr>
                  <w:tcW w:w="674" w:type="dxa"/>
                  <w:tcBorders>
                    <w:tl2br w:val="nil"/>
                    <w:tr2bl w:val="nil"/>
                  </w:tcBorders>
                  <w:vAlign w:val="center"/>
                </w:tcPr>
                <w:p w14:paraId="7D192BE6">
                  <w:pPr>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4</w:t>
                  </w:r>
                </w:p>
              </w:tc>
              <w:tc>
                <w:tcPr>
                  <w:tcW w:w="1197" w:type="dxa"/>
                  <w:tcBorders>
                    <w:tl2br w:val="nil"/>
                    <w:tr2bl w:val="nil"/>
                  </w:tcBorders>
                  <w:vAlign w:val="center"/>
                </w:tcPr>
                <w:p w14:paraId="1CEA5ED5">
                  <w:pPr>
                    <w:widowControl/>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轻质燃油</w:t>
                  </w:r>
                </w:p>
              </w:tc>
              <w:tc>
                <w:tcPr>
                  <w:tcW w:w="781" w:type="dxa"/>
                  <w:vMerge w:val="continue"/>
                  <w:tcBorders>
                    <w:tl2br w:val="nil"/>
                    <w:tr2bl w:val="nil"/>
                  </w:tcBorders>
                  <w:vAlign w:val="center"/>
                </w:tcPr>
                <w:p w14:paraId="47290943">
                  <w:pPr>
                    <w:jc w:val="center"/>
                    <w:rPr>
                      <w:rFonts w:hint="default" w:ascii="Times New Roman" w:hAnsi="Times New Roman" w:cs="Times New Roman"/>
                      <w:bCs/>
                      <w:color w:val="auto"/>
                      <w:szCs w:val="21"/>
                      <w:highlight w:val="none"/>
                    </w:rPr>
                  </w:pPr>
                </w:p>
              </w:tc>
              <w:tc>
                <w:tcPr>
                  <w:tcW w:w="1213" w:type="dxa"/>
                  <w:tcBorders>
                    <w:tl2br w:val="nil"/>
                    <w:tr2bl w:val="nil"/>
                  </w:tcBorders>
                  <w:vAlign w:val="center"/>
                </w:tcPr>
                <w:p w14:paraId="1021D03E">
                  <w:pPr>
                    <w:widowControl/>
                    <w:jc w:val="center"/>
                    <w:textAlignment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200</w:t>
                  </w:r>
                </w:p>
              </w:tc>
              <w:tc>
                <w:tcPr>
                  <w:tcW w:w="943" w:type="dxa"/>
                  <w:tcBorders>
                    <w:tl2br w:val="nil"/>
                    <w:tr2bl w:val="nil"/>
                  </w:tcBorders>
                  <w:vAlign w:val="center"/>
                </w:tcPr>
                <w:p w14:paraId="49688C19">
                  <w:pPr>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30</w:t>
                  </w:r>
                </w:p>
              </w:tc>
              <w:tc>
                <w:tcPr>
                  <w:tcW w:w="787" w:type="dxa"/>
                  <w:tcBorders>
                    <w:tl2br w:val="nil"/>
                    <w:tr2bl w:val="nil"/>
                  </w:tcBorders>
                  <w:shd w:val="clear" w:color="auto" w:fill="auto"/>
                  <w:vAlign w:val="center"/>
                </w:tcPr>
                <w:p w14:paraId="648D996C">
                  <w:pPr>
                    <w:widowControl/>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rPr>
                    <w:t>液态</w:t>
                  </w:r>
                </w:p>
              </w:tc>
              <w:tc>
                <w:tcPr>
                  <w:tcW w:w="1223" w:type="dxa"/>
                  <w:tcBorders>
                    <w:tl2br w:val="nil"/>
                    <w:tr2bl w:val="nil"/>
                  </w:tcBorders>
                  <w:shd w:val="clear" w:color="auto" w:fill="auto"/>
                  <w:vAlign w:val="center"/>
                </w:tcPr>
                <w:p w14:paraId="775A1FBC">
                  <w:pPr>
                    <w:widowControl/>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rPr>
                    <w:t>外购</w:t>
                  </w:r>
                </w:p>
              </w:tc>
              <w:tc>
                <w:tcPr>
                  <w:tcW w:w="1018" w:type="dxa"/>
                  <w:tcBorders>
                    <w:tl2br w:val="nil"/>
                    <w:tr2bl w:val="nil"/>
                  </w:tcBorders>
                  <w:vAlign w:val="center"/>
                </w:tcPr>
                <w:p w14:paraId="74DDF5EB">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储存在</w:t>
                  </w:r>
                  <w:r>
                    <w:rPr>
                      <w:rFonts w:hint="default" w:ascii="Times New Roman" w:hAnsi="Times New Roman" w:cs="Times New Roman"/>
                      <w:bCs/>
                      <w:color w:val="auto"/>
                      <w:szCs w:val="21"/>
                    </w:rPr>
                    <w:t>轻质燃油罐</w:t>
                  </w:r>
                  <w:r>
                    <w:rPr>
                      <w:rFonts w:hint="default" w:ascii="Times New Roman" w:hAnsi="Times New Roman" w:cs="Times New Roman"/>
                      <w:bCs/>
                      <w:color w:val="auto"/>
                      <w:szCs w:val="21"/>
                      <w:highlight w:val="none"/>
                    </w:rPr>
                    <w:t>内</w:t>
                  </w:r>
                </w:p>
              </w:tc>
              <w:tc>
                <w:tcPr>
                  <w:tcW w:w="1051" w:type="dxa"/>
                  <w:tcBorders>
                    <w:tl2br w:val="nil"/>
                    <w:tr2bl w:val="nil"/>
                  </w:tcBorders>
                  <w:vAlign w:val="center"/>
                </w:tcPr>
                <w:p w14:paraId="5DB376EA">
                  <w:pPr>
                    <w:jc w:val="center"/>
                    <w:rPr>
                      <w:rFonts w:hint="default" w:ascii="Times New Roman" w:hAnsi="Times New Roman" w:cs="Times New Roman"/>
                      <w:bCs/>
                      <w:color w:val="auto"/>
                      <w:szCs w:val="21"/>
                      <w:highlight w:val="none"/>
                    </w:rPr>
                  </w:pPr>
                </w:p>
              </w:tc>
            </w:tr>
            <w:tr w14:paraId="519EA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74" w:type="dxa"/>
                  <w:tcBorders>
                    <w:tl2br w:val="nil"/>
                    <w:tr2bl w:val="nil"/>
                  </w:tcBorders>
                  <w:vAlign w:val="center"/>
                </w:tcPr>
                <w:p w14:paraId="680C4983">
                  <w:pPr>
                    <w:jc w:val="center"/>
                    <w:rPr>
                      <w:rFonts w:hint="default" w:ascii="Times New Roman" w:hAnsi="Times New Roman" w:cs="Times New Roman" w:eastAsiaTheme="minorEastAsia"/>
                      <w:bCs/>
                      <w:color w:val="auto"/>
                      <w:szCs w:val="21"/>
                      <w:highlight w:val="none"/>
                      <w:lang w:val="en-US" w:eastAsia="zh-CN"/>
                    </w:rPr>
                  </w:pPr>
                  <w:r>
                    <w:rPr>
                      <w:rFonts w:hint="default" w:ascii="Times New Roman" w:hAnsi="Times New Roman" w:cs="Times New Roman" w:eastAsiaTheme="minorEastAsia"/>
                      <w:bCs/>
                      <w:color w:val="auto"/>
                      <w:szCs w:val="21"/>
                      <w:highlight w:val="none"/>
                      <w:lang w:val="en-US" w:eastAsia="zh-CN"/>
                    </w:rPr>
                    <w:t>5</w:t>
                  </w:r>
                </w:p>
              </w:tc>
              <w:tc>
                <w:tcPr>
                  <w:tcW w:w="1197" w:type="dxa"/>
                  <w:tcBorders>
                    <w:tl2br w:val="nil"/>
                    <w:tr2bl w:val="nil"/>
                  </w:tcBorders>
                  <w:vAlign w:val="center"/>
                </w:tcPr>
                <w:p w14:paraId="1881ED3F">
                  <w:pPr>
                    <w:widowControl/>
                    <w:jc w:val="center"/>
                    <w:textAlignment w:val="center"/>
                    <w:rPr>
                      <w:rFonts w:hint="default" w:ascii="Times New Roman" w:hAnsi="Times New Roman" w:cs="Times New Roman"/>
                      <w:bCs/>
                      <w:color w:val="auto"/>
                      <w:szCs w:val="21"/>
                      <w:highlight w:val="none"/>
                    </w:rPr>
                  </w:pPr>
                  <w:r>
                    <w:rPr>
                      <w:rFonts w:hint="default" w:ascii="Times New Roman" w:hAnsi="Times New Roman" w:eastAsia="宋体" w:cs="Times New Roman"/>
                      <w:color w:val="auto"/>
                      <w:kern w:val="0"/>
                      <w:szCs w:val="21"/>
                      <w:highlight w:val="none"/>
                    </w:rPr>
                    <w:t>导热油</w:t>
                  </w:r>
                </w:p>
              </w:tc>
              <w:tc>
                <w:tcPr>
                  <w:tcW w:w="781" w:type="dxa"/>
                  <w:vMerge w:val="continue"/>
                  <w:tcBorders>
                    <w:tl2br w:val="nil"/>
                    <w:tr2bl w:val="nil"/>
                  </w:tcBorders>
                  <w:vAlign w:val="center"/>
                </w:tcPr>
                <w:p w14:paraId="0A534974">
                  <w:pPr>
                    <w:jc w:val="center"/>
                    <w:rPr>
                      <w:rFonts w:hint="default" w:ascii="Times New Roman" w:hAnsi="Times New Roman" w:eastAsia="宋体" w:cs="Times New Roman"/>
                      <w:bCs/>
                      <w:color w:val="auto"/>
                      <w:szCs w:val="21"/>
                      <w:highlight w:val="none"/>
                    </w:rPr>
                  </w:pPr>
                </w:p>
              </w:tc>
              <w:tc>
                <w:tcPr>
                  <w:tcW w:w="1213" w:type="dxa"/>
                  <w:tcBorders>
                    <w:tl2br w:val="nil"/>
                    <w:tr2bl w:val="nil"/>
                  </w:tcBorders>
                  <w:vAlign w:val="center"/>
                </w:tcPr>
                <w:p w14:paraId="0B007D7B">
                  <w:pPr>
                    <w:widowControl/>
                    <w:jc w:val="center"/>
                    <w:textAlignment w:val="center"/>
                    <w:rPr>
                      <w:rFonts w:hint="default" w:ascii="Times New Roman" w:hAnsi="Times New Roman" w:cs="Times New Roman" w:eastAsiaTheme="minorEastAsia"/>
                      <w:color w:val="auto"/>
                      <w:kern w:val="0"/>
                      <w:sz w:val="22"/>
                      <w:highlight w:val="none"/>
                      <w:lang w:val="en-US" w:eastAsia="zh-CN"/>
                    </w:rPr>
                  </w:pPr>
                  <w:r>
                    <w:rPr>
                      <w:rFonts w:hint="default" w:ascii="Times New Roman" w:hAnsi="Times New Roman" w:cs="Times New Roman" w:eastAsiaTheme="minorEastAsia"/>
                      <w:color w:val="auto"/>
                      <w:kern w:val="0"/>
                      <w:sz w:val="22"/>
                      <w:highlight w:val="none"/>
                      <w:lang w:val="en-US" w:eastAsia="zh-CN"/>
                    </w:rPr>
                    <w:t>0.3</w:t>
                  </w:r>
                </w:p>
              </w:tc>
              <w:tc>
                <w:tcPr>
                  <w:tcW w:w="943" w:type="dxa"/>
                  <w:tcBorders>
                    <w:tl2br w:val="nil"/>
                    <w:tr2bl w:val="nil"/>
                  </w:tcBorders>
                  <w:vAlign w:val="center"/>
                </w:tcPr>
                <w:p w14:paraId="37B285A5">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1.5</w:t>
                  </w:r>
                </w:p>
              </w:tc>
              <w:tc>
                <w:tcPr>
                  <w:tcW w:w="787" w:type="dxa"/>
                  <w:tcBorders>
                    <w:tl2br w:val="nil"/>
                    <w:tr2bl w:val="nil"/>
                  </w:tcBorders>
                  <w:vAlign w:val="center"/>
                </w:tcPr>
                <w:p w14:paraId="05A5B82F">
                  <w:pPr>
                    <w:widowControl/>
                    <w:jc w:val="center"/>
                    <w:textAlignment w:val="center"/>
                    <w:rPr>
                      <w:rFonts w:hint="default" w:ascii="Times New Roman" w:hAnsi="Times New Roman" w:cs="Times New Roman"/>
                      <w:bCs/>
                      <w:color w:val="auto"/>
                      <w:szCs w:val="21"/>
                      <w:highlight w:val="none"/>
                    </w:rPr>
                  </w:pPr>
                  <w:r>
                    <w:rPr>
                      <w:rFonts w:hint="default" w:ascii="Times New Roman" w:hAnsi="Times New Roman" w:eastAsia="宋体" w:cs="Times New Roman"/>
                      <w:color w:val="auto"/>
                      <w:kern w:val="0"/>
                      <w:szCs w:val="21"/>
                      <w:highlight w:val="none"/>
                    </w:rPr>
                    <w:t>液态</w:t>
                  </w:r>
                </w:p>
              </w:tc>
              <w:tc>
                <w:tcPr>
                  <w:tcW w:w="1223" w:type="dxa"/>
                  <w:tcBorders>
                    <w:tl2br w:val="nil"/>
                    <w:tr2bl w:val="nil"/>
                  </w:tcBorders>
                  <w:vAlign w:val="center"/>
                </w:tcPr>
                <w:p w14:paraId="37F250B4">
                  <w:pPr>
                    <w:widowControl/>
                    <w:jc w:val="center"/>
                    <w:textAlignment w:val="center"/>
                    <w:rPr>
                      <w:rFonts w:hint="default" w:ascii="Times New Roman" w:hAnsi="Times New Roman" w:cs="Times New Roman"/>
                      <w:bCs/>
                      <w:color w:val="auto"/>
                      <w:szCs w:val="21"/>
                      <w:highlight w:val="none"/>
                    </w:rPr>
                  </w:pPr>
                  <w:r>
                    <w:rPr>
                      <w:rFonts w:hint="default" w:ascii="Times New Roman" w:hAnsi="Times New Roman" w:eastAsia="宋体" w:cs="Times New Roman"/>
                      <w:color w:val="auto"/>
                      <w:kern w:val="0"/>
                      <w:szCs w:val="21"/>
                      <w:highlight w:val="none"/>
                    </w:rPr>
                    <w:t>外购</w:t>
                  </w:r>
                </w:p>
              </w:tc>
              <w:tc>
                <w:tcPr>
                  <w:tcW w:w="1018" w:type="dxa"/>
                  <w:tcBorders>
                    <w:tl2br w:val="nil"/>
                    <w:tr2bl w:val="nil"/>
                  </w:tcBorders>
                  <w:vAlign w:val="center"/>
                </w:tcPr>
                <w:p w14:paraId="23AD450A">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储存在导热油罐内</w:t>
                  </w:r>
                </w:p>
              </w:tc>
              <w:tc>
                <w:tcPr>
                  <w:tcW w:w="1051" w:type="dxa"/>
                  <w:tcBorders>
                    <w:tl2br w:val="nil"/>
                    <w:tr2bl w:val="nil"/>
                  </w:tcBorders>
                  <w:vAlign w:val="center"/>
                </w:tcPr>
                <w:p w14:paraId="5E477741">
                  <w:pPr>
                    <w:jc w:val="center"/>
                    <w:rPr>
                      <w:rFonts w:hint="default" w:ascii="Times New Roman" w:hAnsi="Times New Roman" w:cs="Times New Roman"/>
                      <w:bCs/>
                      <w:color w:val="auto"/>
                      <w:szCs w:val="21"/>
                      <w:highlight w:val="none"/>
                    </w:rPr>
                  </w:pPr>
                </w:p>
              </w:tc>
            </w:tr>
            <w:tr w14:paraId="1C7FC0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887" w:type="dxa"/>
                  <w:gridSpan w:val="9"/>
                  <w:tcBorders>
                    <w:tl2br w:val="nil"/>
                    <w:tr2bl w:val="nil"/>
                  </w:tcBorders>
                  <w:vAlign w:val="center"/>
                </w:tcPr>
                <w:p w14:paraId="079BB77D">
                  <w:pPr>
                    <w:jc w:val="center"/>
                    <w:rPr>
                      <w:rFonts w:hint="default" w:ascii="Times New Roman" w:hAnsi="Times New Roman" w:cs="Times New Roman"/>
                      <w:bCs/>
                      <w:color w:val="auto"/>
                      <w:szCs w:val="21"/>
                      <w:highlight w:val="none"/>
                    </w:rPr>
                  </w:pPr>
                  <w:r>
                    <w:rPr>
                      <w:rFonts w:hint="default" w:ascii="Times New Roman" w:hAnsi="Times New Roman" w:cs="Times New Roman"/>
                      <w:b/>
                      <w:color w:val="auto"/>
                      <w:szCs w:val="21"/>
                      <w:highlight w:val="none"/>
                    </w:rPr>
                    <w:t>乳化沥青生产线（</w:t>
                  </w:r>
                  <w:r>
                    <w:rPr>
                      <w:rFonts w:hint="default" w:ascii="Times New Roman" w:hAnsi="Times New Roman" w:cs="Times New Roman"/>
                      <w:b/>
                      <w:color w:val="auto"/>
                      <w:szCs w:val="21"/>
                      <w:highlight w:val="none"/>
                      <w:lang w:val="en-US" w:eastAsia="zh-CN"/>
                    </w:rPr>
                    <w:t>10</w:t>
                  </w:r>
                  <w:r>
                    <w:rPr>
                      <w:rFonts w:hint="default" w:ascii="Times New Roman" w:hAnsi="Times New Roman" w:cs="Times New Roman"/>
                      <w:b/>
                      <w:color w:val="auto"/>
                      <w:szCs w:val="21"/>
                      <w:highlight w:val="none"/>
                    </w:rPr>
                    <w:t>00吨）</w:t>
                  </w:r>
                </w:p>
              </w:tc>
            </w:tr>
            <w:tr w14:paraId="5AC8CB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74" w:type="dxa"/>
                  <w:vAlign w:val="center"/>
                </w:tcPr>
                <w:p w14:paraId="03F41D4D">
                  <w:pPr>
                    <w:widowControl/>
                    <w:jc w:val="center"/>
                    <w:textAlignment w:val="center"/>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color w:val="auto"/>
                      <w:kern w:val="0"/>
                      <w:szCs w:val="21"/>
                      <w:highlight w:val="none"/>
                      <w:lang w:val="en-US" w:eastAsia="zh-CN"/>
                    </w:rPr>
                    <w:t>1</w:t>
                  </w:r>
                </w:p>
              </w:tc>
              <w:tc>
                <w:tcPr>
                  <w:tcW w:w="1197" w:type="dxa"/>
                  <w:vAlign w:val="center"/>
                </w:tcPr>
                <w:p w14:paraId="0C1BF03F">
                  <w:pPr>
                    <w:widowControl/>
                    <w:jc w:val="center"/>
                    <w:textAlignment w:val="center"/>
                    <w:rPr>
                      <w:rFonts w:hint="default" w:ascii="Times New Roman" w:hAnsi="Times New Roman" w:cs="Times New Roman"/>
                      <w:bCs/>
                      <w:color w:val="auto"/>
                      <w:szCs w:val="21"/>
                      <w:highlight w:val="none"/>
                    </w:rPr>
                  </w:pPr>
                  <w:r>
                    <w:rPr>
                      <w:rFonts w:hint="default" w:ascii="Times New Roman" w:hAnsi="Times New Roman" w:eastAsia="宋体" w:cs="Times New Roman"/>
                      <w:color w:val="auto"/>
                      <w:kern w:val="0"/>
                      <w:szCs w:val="21"/>
                      <w:highlight w:val="none"/>
                    </w:rPr>
                    <w:t>石油沥青</w:t>
                  </w:r>
                </w:p>
              </w:tc>
              <w:tc>
                <w:tcPr>
                  <w:tcW w:w="781" w:type="dxa"/>
                  <w:vMerge w:val="restart"/>
                  <w:vAlign w:val="center"/>
                </w:tcPr>
                <w:p w14:paraId="722072BD">
                  <w:pPr>
                    <w:jc w:val="center"/>
                    <w:rPr>
                      <w:rFonts w:hint="default" w:ascii="Times New Roman" w:hAnsi="Times New Roman" w:eastAsia="宋体" w:cs="Times New Roman"/>
                      <w:bCs/>
                      <w:color w:val="auto"/>
                      <w:szCs w:val="21"/>
                      <w:highlight w:val="none"/>
                    </w:rPr>
                  </w:pPr>
                  <w:r>
                    <w:rPr>
                      <w:rFonts w:hint="default" w:ascii="Times New Roman" w:hAnsi="Times New Roman" w:cs="Times New Roman"/>
                      <w:bCs/>
                      <w:color w:val="auto"/>
                      <w:szCs w:val="21"/>
                      <w:highlight w:val="none"/>
                    </w:rPr>
                    <w:t>t</w:t>
                  </w:r>
                </w:p>
              </w:tc>
              <w:tc>
                <w:tcPr>
                  <w:tcW w:w="1213" w:type="dxa"/>
                  <w:vAlign w:val="center"/>
                </w:tcPr>
                <w:p w14:paraId="2BE6092A">
                  <w:pPr>
                    <w:widowControl/>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20</w:t>
                  </w:r>
                </w:p>
              </w:tc>
              <w:tc>
                <w:tcPr>
                  <w:tcW w:w="943" w:type="dxa"/>
                  <w:vAlign w:val="center"/>
                </w:tcPr>
                <w:p w14:paraId="1EA17461">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60</w:t>
                  </w:r>
                </w:p>
              </w:tc>
              <w:tc>
                <w:tcPr>
                  <w:tcW w:w="787" w:type="dxa"/>
                  <w:vAlign w:val="center"/>
                </w:tcPr>
                <w:p w14:paraId="353EBAB8">
                  <w:pPr>
                    <w:jc w:val="center"/>
                    <w:rPr>
                      <w:rFonts w:hint="default" w:ascii="Times New Roman" w:hAnsi="Times New Roman" w:eastAsia="宋体" w:cs="Times New Roman"/>
                      <w:bCs/>
                      <w:color w:val="auto"/>
                      <w:szCs w:val="21"/>
                      <w:highlight w:val="none"/>
                    </w:rPr>
                  </w:pPr>
                  <w:r>
                    <w:rPr>
                      <w:rFonts w:hint="default" w:ascii="Times New Roman" w:hAnsi="Times New Roman" w:cs="Times New Roman"/>
                      <w:bCs/>
                      <w:color w:val="auto"/>
                      <w:szCs w:val="21"/>
                      <w:highlight w:val="none"/>
                    </w:rPr>
                    <w:t>液体</w:t>
                  </w:r>
                </w:p>
              </w:tc>
              <w:tc>
                <w:tcPr>
                  <w:tcW w:w="1223" w:type="dxa"/>
                  <w:vAlign w:val="center"/>
                </w:tcPr>
                <w:p w14:paraId="1E448EFE">
                  <w:pPr>
                    <w:jc w:val="center"/>
                    <w:rPr>
                      <w:rFonts w:hint="default" w:ascii="Times New Roman" w:hAnsi="Times New Roman" w:cs="Times New Roman"/>
                      <w:bCs/>
                      <w:color w:val="auto"/>
                      <w:szCs w:val="21"/>
                      <w:highlight w:val="none"/>
                    </w:rPr>
                  </w:pPr>
                  <w:r>
                    <w:rPr>
                      <w:rFonts w:hint="default" w:ascii="Times New Roman" w:hAnsi="Times New Roman" w:eastAsia="宋体" w:cs="Times New Roman"/>
                      <w:color w:val="auto"/>
                      <w:kern w:val="0"/>
                      <w:szCs w:val="21"/>
                      <w:highlight w:val="none"/>
                    </w:rPr>
                    <w:t>外购</w:t>
                  </w:r>
                </w:p>
              </w:tc>
              <w:tc>
                <w:tcPr>
                  <w:tcW w:w="1018" w:type="dxa"/>
                  <w:vAlign w:val="center"/>
                </w:tcPr>
                <w:p w14:paraId="25581C5F">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储存在沥青储罐内</w:t>
                  </w:r>
                </w:p>
              </w:tc>
              <w:tc>
                <w:tcPr>
                  <w:tcW w:w="1051" w:type="dxa"/>
                  <w:vAlign w:val="center"/>
                </w:tcPr>
                <w:p w14:paraId="2D8F80F6">
                  <w:pPr>
                    <w:jc w:val="center"/>
                    <w:rPr>
                      <w:rFonts w:hint="default" w:ascii="Times New Roman" w:hAnsi="Times New Roman" w:cs="Times New Roman"/>
                      <w:bCs/>
                      <w:color w:val="auto"/>
                      <w:szCs w:val="21"/>
                      <w:highlight w:val="none"/>
                    </w:rPr>
                  </w:pPr>
                </w:p>
              </w:tc>
            </w:tr>
            <w:tr w14:paraId="022C00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74" w:type="dxa"/>
                  <w:vAlign w:val="center"/>
                </w:tcPr>
                <w:p w14:paraId="76B32BC6">
                  <w:pPr>
                    <w:widowControl/>
                    <w:jc w:val="center"/>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2</w:t>
                  </w:r>
                </w:p>
              </w:tc>
              <w:tc>
                <w:tcPr>
                  <w:tcW w:w="1197" w:type="dxa"/>
                  <w:vAlign w:val="center"/>
                </w:tcPr>
                <w:p w14:paraId="7BDB6848">
                  <w:pPr>
                    <w:widowControl/>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color w:val="auto"/>
                      <w:kern w:val="0"/>
                      <w:szCs w:val="21"/>
                      <w:highlight w:val="none"/>
                    </w:rPr>
                    <w:t>水</w:t>
                  </w:r>
                </w:p>
              </w:tc>
              <w:tc>
                <w:tcPr>
                  <w:tcW w:w="781" w:type="dxa"/>
                  <w:vMerge w:val="continue"/>
                  <w:vAlign w:val="center"/>
                </w:tcPr>
                <w:p w14:paraId="4432E482">
                  <w:pPr>
                    <w:jc w:val="center"/>
                    <w:rPr>
                      <w:rFonts w:hint="default" w:ascii="Times New Roman" w:hAnsi="Times New Roman" w:eastAsia="宋体" w:cs="Times New Roman"/>
                      <w:bCs/>
                      <w:color w:val="auto"/>
                      <w:szCs w:val="21"/>
                      <w:highlight w:val="none"/>
                    </w:rPr>
                  </w:pPr>
                </w:p>
              </w:tc>
              <w:tc>
                <w:tcPr>
                  <w:tcW w:w="1213" w:type="dxa"/>
                  <w:vAlign w:val="center"/>
                </w:tcPr>
                <w:p w14:paraId="5F998ED0">
                  <w:pPr>
                    <w:widowControl/>
                    <w:jc w:val="center"/>
                    <w:textAlignment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lang w:val="en-US" w:eastAsia="zh-CN"/>
                    </w:rPr>
                    <w:t>8</w:t>
                  </w:r>
                  <w:r>
                    <w:rPr>
                      <w:rFonts w:hint="default" w:ascii="Times New Roman" w:hAnsi="Times New Roman" w:cs="Times New Roman"/>
                      <w:snapToGrid w:val="0"/>
                      <w:color w:val="auto"/>
                      <w:kern w:val="0"/>
                      <w:szCs w:val="21"/>
                      <w:highlight w:val="none"/>
                    </w:rPr>
                    <w:t>00</w:t>
                  </w:r>
                </w:p>
              </w:tc>
              <w:tc>
                <w:tcPr>
                  <w:tcW w:w="943" w:type="dxa"/>
                  <w:vAlign w:val="center"/>
                </w:tcPr>
                <w:p w14:paraId="39D482BD">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100</w:t>
                  </w:r>
                </w:p>
              </w:tc>
              <w:tc>
                <w:tcPr>
                  <w:tcW w:w="787" w:type="dxa"/>
                  <w:vAlign w:val="center"/>
                </w:tcPr>
                <w:p w14:paraId="0BB9DF5A">
                  <w:pPr>
                    <w:jc w:val="center"/>
                    <w:rPr>
                      <w:rFonts w:hint="default" w:ascii="Times New Roman" w:hAnsi="Times New Roman" w:eastAsia="宋体" w:cs="Times New Roman"/>
                      <w:bCs/>
                      <w:color w:val="auto"/>
                      <w:szCs w:val="21"/>
                      <w:highlight w:val="none"/>
                    </w:rPr>
                  </w:pPr>
                  <w:r>
                    <w:rPr>
                      <w:rFonts w:hint="default" w:ascii="Times New Roman" w:hAnsi="Times New Roman" w:cs="Times New Roman"/>
                      <w:bCs/>
                      <w:color w:val="auto"/>
                      <w:szCs w:val="21"/>
                      <w:highlight w:val="none"/>
                    </w:rPr>
                    <w:t>液体</w:t>
                  </w:r>
                </w:p>
              </w:tc>
              <w:tc>
                <w:tcPr>
                  <w:tcW w:w="1223" w:type="dxa"/>
                  <w:vAlign w:val="center"/>
                </w:tcPr>
                <w:p w14:paraId="132209CE">
                  <w:pPr>
                    <w:jc w:val="center"/>
                    <w:rPr>
                      <w:rFonts w:hint="default" w:ascii="Times New Roman" w:hAnsi="Times New Roman" w:cs="Times New Roman"/>
                      <w:bCs/>
                      <w:color w:val="auto"/>
                      <w:szCs w:val="21"/>
                      <w:highlight w:val="none"/>
                    </w:rPr>
                  </w:pPr>
                  <w:r>
                    <w:rPr>
                      <w:rFonts w:hint="default" w:ascii="Times New Roman" w:hAnsi="Times New Roman" w:cs="Times New Roman"/>
                      <w:color w:val="auto"/>
                      <w:kern w:val="0"/>
                      <w:szCs w:val="21"/>
                      <w:highlight w:val="none"/>
                    </w:rPr>
                    <w:t>市政</w:t>
                  </w:r>
                </w:p>
              </w:tc>
              <w:tc>
                <w:tcPr>
                  <w:tcW w:w="1018" w:type="dxa"/>
                  <w:vAlign w:val="center"/>
                </w:tcPr>
                <w:p w14:paraId="7A86FF9E">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蓄水池</w:t>
                  </w:r>
                </w:p>
              </w:tc>
              <w:tc>
                <w:tcPr>
                  <w:tcW w:w="1051" w:type="dxa"/>
                  <w:vAlign w:val="center"/>
                </w:tcPr>
                <w:p w14:paraId="31F2DD28">
                  <w:pPr>
                    <w:jc w:val="center"/>
                    <w:rPr>
                      <w:rFonts w:hint="default" w:ascii="Times New Roman" w:hAnsi="Times New Roman" w:cs="Times New Roman"/>
                      <w:bCs/>
                      <w:color w:val="auto"/>
                      <w:szCs w:val="21"/>
                      <w:highlight w:val="none"/>
                    </w:rPr>
                  </w:pPr>
                </w:p>
              </w:tc>
            </w:tr>
            <w:tr w14:paraId="0C3360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74" w:type="dxa"/>
                  <w:shd w:val="clear" w:color="auto" w:fill="auto"/>
                  <w:vAlign w:val="center"/>
                </w:tcPr>
                <w:p w14:paraId="3913ED55">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3</w:t>
                  </w:r>
                </w:p>
              </w:tc>
              <w:tc>
                <w:tcPr>
                  <w:tcW w:w="1197" w:type="dxa"/>
                  <w:shd w:val="clear" w:color="auto" w:fill="auto"/>
                  <w:vAlign w:val="center"/>
                </w:tcPr>
                <w:p w14:paraId="4523E4F5">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rPr>
                    <w:t>乳化剂等添加剂</w:t>
                  </w:r>
                </w:p>
              </w:tc>
              <w:tc>
                <w:tcPr>
                  <w:tcW w:w="781" w:type="dxa"/>
                  <w:vMerge w:val="continue"/>
                  <w:vAlign w:val="center"/>
                </w:tcPr>
                <w:p w14:paraId="690D434C">
                  <w:pPr>
                    <w:jc w:val="center"/>
                    <w:rPr>
                      <w:rFonts w:hint="default" w:ascii="Times New Roman" w:hAnsi="Times New Roman" w:eastAsia="宋体" w:cs="Times New Roman"/>
                      <w:bCs/>
                      <w:color w:val="auto"/>
                      <w:szCs w:val="21"/>
                      <w:highlight w:val="none"/>
                    </w:rPr>
                  </w:pPr>
                </w:p>
              </w:tc>
              <w:tc>
                <w:tcPr>
                  <w:tcW w:w="1213" w:type="dxa"/>
                  <w:shd w:val="clear" w:color="auto" w:fill="auto"/>
                  <w:vAlign w:val="center"/>
                </w:tcPr>
                <w:p w14:paraId="2429DDF4">
                  <w:pPr>
                    <w:widowControl/>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14</w:t>
                  </w:r>
                </w:p>
              </w:tc>
              <w:tc>
                <w:tcPr>
                  <w:tcW w:w="943" w:type="dxa"/>
                  <w:shd w:val="clear" w:color="auto" w:fill="auto"/>
                  <w:vAlign w:val="center"/>
                </w:tcPr>
                <w:p w14:paraId="04B3873A">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2</w:t>
                  </w:r>
                </w:p>
              </w:tc>
              <w:tc>
                <w:tcPr>
                  <w:tcW w:w="787" w:type="dxa"/>
                  <w:shd w:val="clear" w:color="auto" w:fill="auto"/>
                  <w:vAlign w:val="center"/>
                </w:tcPr>
                <w:p w14:paraId="4292FCBF">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液体</w:t>
                  </w:r>
                </w:p>
              </w:tc>
              <w:tc>
                <w:tcPr>
                  <w:tcW w:w="1223" w:type="dxa"/>
                  <w:shd w:val="clear" w:color="auto" w:fill="auto"/>
                  <w:vAlign w:val="center"/>
                </w:tcPr>
                <w:p w14:paraId="6F91D6A9">
                  <w:pP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外购</w:t>
                  </w:r>
                </w:p>
              </w:tc>
              <w:tc>
                <w:tcPr>
                  <w:tcW w:w="1018" w:type="dxa"/>
                  <w:shd w:val="clear" w:color="auto" w:fill="auto"/>
                  <w:vAlign w:val="center"/>
                </w:tcPr>
                <w:p w14:paraId="230E1B3E">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桶装储存在</w:t>
                  </w:r>
                  <w:r>
                    <w:rPr>
                      <w:rFonts w:hint="default" w:ascii="Times New Roman" w:hAnsi="Times New Roman" w:cs="Times New Roman"/>
                      <w:bCs/>
                      <w:color w:val="auto"/>
                      <w:szCs w:val="21"/>
                      <w:highlight w:val="none"/>
                      <w:lang w:val="en-US" w:eastAsia="zh-CN"/>
                    </w:rPr>
                    <w:t>库房</w:t>
                  </w:r>
                </w:p>
              </w:tc>
              <w:tc>
                <w:tcPr>
                  <w:tcW w:w="1051" w:type="dxa"/>
                  <w:vAlign w:val="center"/>
                </w:tcPr>
                <w:p w14:paraId="7A08022B">
                  <w:pPr>
                    <w:jc w:val="center"/>
                    <w:rPr>
                      <w:rFonts w:hint="default" w:ascii="Times New Roman" w:hAnsi="Times New Roman" w:cs="Times New Roman"/>
                      <w:bCs/>
                      <w:color w:val="auto"/>
                      <w:szCs w:val="21"/>
                      <w:highlight w:val="none"/>
                    </w:rPr>
                  </w:pPr>
                </w:p>
              </w:tc>
            </w:tr>
            <w:tr w14:paraId="236E7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74" w:type="dxa"/>
                  <w:vAlign w:val="center"/>
                </w:tcPr>
                <w:p w14:paraId="12DA8D15">
                  <w:pPr>
                    <w:widowControl/>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4</w:t>
                  </w:r>
                </w:p>
              </w:tc>
              <w:tc>
                <w:tcPr>
                  <w:tcW w:w="1197" w:type="dxa"/>
                  <w:vAlign w:val="center"/>
                </w:tcPr>
                <w:p w14:paraId="21E76D16">
                  <w:pPr>
                    <w:widowControl/>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导热油</w:t>
                  </w:r>
                </w:p>
              </w:tc>
              <w:tc>
                <w:tcPr>
                  <w:tcW w:w="781" w:type="dxa"/>
                  <w:vMerge w:val="continue"/>
                  <w:vAlign w:val="center"/>
                </w:tcPr>
                <w:p w14:paraId="7AE17CD4">
                  <w:pPr>
                    <w:jc w:val="center"/>
                    <w:rPr>
                      <w:rFonts w:hint="default" w:ascii="Times New Roman" w:hAnsi="Times New Roman" w:eastAsia="宋体" w:cs="Times New Roman"/>
                      <w:bCs/>
                      <w:color w:val="auto"/>
                      <w:szCs w:val="21"/>
                      <w:highlight w:val="none"/>
                    </w:rPr>
                  </w:pPr>
                </w:p>
              </w:tc>
              <w:tc>
                <w:tcPr>
                  <w:tcW w:w="1213" w:type="dxa"/>
                  <w:shd w:val="clear" w:color="auto" w:fill="auto"/>
                  <w:vAlign w:val="center"/>
                </w:tcPr>
                <w:p w14:paraId="02250266">
                  <w:pPr>
                    <w:widowControl/>
                    <w:jc w:val="center"/>
                    <w:textAlignment w:val="center"/>
                    <w:rPr>
                      <w:rFonts w:hint="default" w:ascii="Times New Roman" w:hAnsi="Times New Roman" w:cs="Times New Roman" w:eastAsiaTheme="minorEastAsia"/>
                      <w:color w:val="auto"/>
                      <w:kern w:val="0"/>
                      <w:sz w:val="22"/>
                      <w:szCs w:val="22"/>
                      <w:highlight w:val="none"/>
                      <w:lang w:val="en-US" w:eastAsia="zh-CN" w:bidi="ar-SA"/>
                    </w:rPr>
                  </w:pPr>
                  <w:r>
                    <w:rPr>
                      <w:rFonts w:hint="default" w:ascii="Times New Roman" w:hAnsi="Times New Roman" w:cs="Times New Roman" w:eastAsiaTheme="minorEastAsia"/>
                      <w:color w:val="auto"/>
                      <w:kern w:val="0"/>
                      <w:sz w:val="22"/>
                      <w:szCs w:val="22"/>
                      <w:highlight w:val="none"/>
                      <w:lang w:val="en-US" w:eastAsia="zh-CN" w:bidi="ar-SA"/>
                    </w:rPr>
                    <w:t>0.2</w:t>
                  </w:r>
                </w:p>
              </w:tc>
              <w:tc>
                <w:tcPr>
                  <w:tcW w:w="943" w:type="dxa"/>
                  <w:shd w:val="clear" w:color="auto" w:fill="auto"/>
                  <w:vAlign w:val="center"/>
                </w:tcPr>
                <w:p w14:paraId="7F6AB173">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1.5</w:t>
                  </w:r>
                </w:p>
              </w:tc>
              <w:tc>
                <w:tcPr>
                  <w:tcW w:w="787" w:type="dxa"/>
                  <w:shd w:val="clear" w:color="auto" w:fill="auto"/>
                  <w:vAlign w:val="center"/>
                </w:tcPr>
                <w:p w14:paraId="48C588B2">
                  <w:pPr>
                    <w:widowControl/>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rPr>
                    <w:t>液态</w:t>
                  </w:r>
                </w:p>
              </w:tc>
              <w:tc>
                <w:tcPr>
                  <w:tcW w:w="1223" w:type="dxa"/>
                  <w:shd w:val="clear" w:color="auto" w:fill="auto"/>
                  <w:vAlign w:val="center"/>
                </w:tcPr>
                <w:p w14:paraId="00F13352">
                  <w:pPr>
                    <w:widowControl/>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rPr>
                    <w:t>外购</w:t>
                  </w:r>
                </w:p>
              </w:tc>
              <w:tc>
                <w:tcPr>
                  <w:tcW w:w="1018" w:type="dxa"/>
                  <w:shd w:val="clear" w:color="auto" w:fill="auto"/>
                  <w:vAlign w:val="center"/>
                </w:tcPr>
                <w:p w14:paraId="27A7D136">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rPr>
                    <w:t>储存在导热油罐内</w:t>
                  </w:r>
                </w:p>
              </w:tc>
              <w:tc>
                <w:tcPr>
                  <w:tcW w:w="1051" w:type="dxa"/>
                  <w:vAlign w:val="center"/>
                </w:tcPr>
                <w:p w14:paraId="2A4FEAF7">
                  <w:pPr>
                    <w:jc w:val="center"/>
                    <w:rPr>
                      <w:rFonts w:hint="default" w:ascii="Times New Roman" w:hAnsi="Times New Roman" w:cs="Times New Roman"/>
                      <w:bCs/>
                      <w:color w:val="auto"/>
                      <w:szCs w:val="21"/>
                      <w:highlight w:val="none"/>
                    </w:rPr>
                  </w:pPr>
                </w:p>
              </w:tc>
            </w:tr>
            <w:tr w14:paraId="75B4FB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887" w:type="dxa"/>
                  <w:gridSpan w:val="9"/>
                  <w:vAlign w:val="center"/>
                </w:tcPr>
                <w:p w14:paraId="4B5C68F2">
                  <w:pPr>
                    <w:jc w:val="center"/>
                    <w:rPr>
                      <w:rFonts w:hint="default" w:ascii="Times New Roman" w:hAnsi="Times New Roman" w:cs="Times New Roman"/>
                      <w:bCs/>
                      <w:color w:val="auto"/>
                      <w:szCs w:val="21"/>
                      <w:highlight w:val="none"/>
                    </w:rPr>
                  </w:pPr>
                  <w:r>
                    <w:rPr>
                      <w:rFonts w:hint="default" w:ascii="Times New Roman" w:hAnsi="Times New Roman" w:cs="Times New Roman"/>
                      <w:b/>
                      <w:color w:val="auto"/>
                      <w:szCs w:val="21"/>
                      <w:highlight w:val="none"/>
                    </w:rPr>
                    <w:t>能耗</w:t>
                  </w:r>
                </w:p>
              </w:tc>
            </w:tr>
            <w:tr w14:paraId="7F18D0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74" w:type="dxa"/>
                  <w:vAlign w:val="center"/>
                </w:tcPr>
                <w:p w14:paraId="2867E3E6">
                  <w:pPr>
                    <w:widowControl/>
                    <w:jc w:val="center"/>
                    <w:textAlignment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p>
              </w:tc>
              <w:tc>
                <w:tcPr>
                  <w:tcW w:w="1197" w:type="dxa"/>
                  <w:shd w:val="clear" w:color="auto" w:fill="auto"/>
                  <w:vAlign w:val="center"/>
                </w:tcPr>
                <w:p w14:paraId="4D30EEA2">
                  <w:pPr>
                    <w:widowControl/>
                    <w:jc w:val="center"/>
                    <w:textAlignment w:val="center"/>
                    <w:rPr>
                      <w:rFonts w:hint="default" w:ascii="Times New Roman" w:hAnsi="Times New Roman" w:cs="Times New Roman"/>
                      <w:bCs/>
                      <w:color w:val="auto"/>
                      <w:szCs w:val="21"/>
                      <w:highlight w:val="none"/>
                    </w:rPr>
                  </w:pPr>
                  <w:r>
                    <w:rPr>
                      <w:rFonts w:hint="default" w:ascii="Times New Roman" w:hAnsi="Times New Roman" w:eastAsia="宋体" w:cs="Times New Roman"/>
                      <w:color w:val="auto"/>
                      <w:kern w:val="0"/>
                      <w:szCs w:val="21"/>
                      <w:highlight w:val="none"/>
                    </w:rPr>
                    <w:t>生活用水</w:t>
                  </w:r>
                </w:p>
              </w:tc>
              <w:tc>
                <w:tcPr>
                  <w:tcW w:w="781" w:type="dxa"/>
                  <w:shd w:val="clear" w:color="auto" w:fill="auto"/>
                  <w:vAlign w:val="center"/>
                </w:tcPr>
                <w:p w14:paraId="470C665F">
                  <w:pPr>
                    <w:jc w:val="center"/>
                    <w:rPr>
                      <w:rFonts w:hint="default" w:ascii="Times New Roman" w:hAnsi="Times New Roman" w:eastAsia="宋体" w:cs="Times New Roman"/>
                      <w:bCs/>
                      <w:color w:val="auto"/>
                      <w:szCs w:val="21"/>
                      <w:highlight w:val="none"/>
                    </w:rPr>
                  </w:pPr>
                  <w:r>
                    <w:rPr>
                      <w:rFonts w:hint="default" w:ascii="Times New Roman" w:hAnsi="Times New Roman" w:cs="Times New Roman"/>
                      <w:bCs/>
                      <w:color w:val="auto"/>
                      <w:szCs w:val="21"/>
                      <w:highlight w:val="none"/>
                    </w:rPr>
                    <w:t>m</w:t>
                  </w:r>
                  <w:r>
                    <w:rPr>
                      <w:rFonts w:hint="default" w:ascii="Times New Roman" w:hAnsi="Times New Roman" w:cs="Times New Roman"/>
                      <w:bCs/>
                      <w:color w:val="auto"/>
                      <w:szCs w:val="21"/>
                      <w:highlight w:val="none"/>
                      <w:vertAlign w:val="superscript"/>
                    </w:rPr>
                    <w:t>3</w:t>
                  </w:r>
                </w:p>
              </w:tc>
              <w:tc>
                <w:tcPr>
                  <w:tcW w:w="1213" w:type="dxa"/>
                  <w:shd w:val="clear" w:color="auto" w:fill="auto"/>
                  <w:vAlign w:val="center"/>
                </w:tcPr>
                <w:p w14:paraId="30D9E8A8">
                  <w:pPr>
                    <w:widowControl/>
                    <w:jc w:val="center"/>
                    <w:textAlignment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2000</w:t>
                  </w:r>
                </w:p>
              </w:tc>
              <w:tc>
                <w:tcPr>
                  <w:tcW w:w="943" w:type="dxa"/>
                  <w:shd w:val="clear" w:color="auto" w:fill="auto"/>
                  <w:vAlign w:val="center"/>
                </w:tcPr>
                <w:p w14:paraId="6DC5F40A">
                  <w:pPr>
                    <w:jc w:val="center"/>
                    <w:rPr>
                      <w:rFonts w:hint="default" w:ascii="Times New Roman" w:hAnsi="Times New Roman" w:eastAsia="宋体" w:cs="Times New Roman"/>
                      <w:bCs/>
                      <w:color w:val="auto"/>
                      <w:szCs w:val="21"/>
                      <w:highlight w:val="none"/>
                    </w:rPr>
                  </w:pPr>
                  <w:r>
                    <w:rPr>
                      <w:rFonts w:hint="default" w:ascii="Times New Roman" w:hAnsi="Times New Roman" w:cs="Times New Roman"/>
                      <w:bCs/>
                      <w:color w:val="auto"/>
                      <w:szCs w:val="21"/>
                      <w:highlight w:val="none"/>
                    </w:rPr>
                    <w:t>/</w:t>
                  </w:r>
                </w:p>
              </w:tc>
              <w:tc>
                <w:tcPr>
                  <w:tcW w:w="787" w:type="dxa"/>
                  <w:shd w:val="clear" w:color="auto" w:fill="auto"/>
                  <w:vAlign w:val="center"/>
                </w:tcPr>
                <w:p w14:paraId="4E38ECDB">
                  <w:pPr>
                    <w:jc w:val="center"/>
                    <w:rPr>
                      <w:rFonts w:hint="default" w:ascii="Times New Roman" w:hAnsi="Times New Roman" w:eastAsia="宋体" w:cs="Times New Roman"/>
                      <w:bCs/>
                      <w:color w:val="auto"/>
                      <w:szCs w:val="21"/>
                      <w:highlight w:val="none"/>
                    </w:rPr>
                  </w:pPr>
                  <w:r>
                    <w:rPr>
                      <w:rFonts w:hint="default" w:ascii="Times New Roman" w:hAnsi="Times New Roman" w:cs="Times New Roman"/>
                      <w:bCs/>
                      <w:color w:val="auto"/>
                      <w:szCs w:val="21"/>
                      <w:highlight w:val="none"/>
                    </w:rPr>
                    <w:t>/</w:t>
                  </w:r>
                </w:p>
              </w:tc>
              <w:tc>
                <w:tcPr>
                  <w:tcW w:w="1223" w:type="dxa"/>
                  <w:shd w:val="clear" w:color="auto" w:fill="auto"/>
                  <w:vAlign w:val="center"/>
                </w:tcPr>
                <w:p w14:paraId="62CB3C2B">
                  <w:pPr>
                    <w:jc w:val="center"/>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lang w:val="en-US" w:eastAsia="zh-CN"/>
                    </w:rPr>
                    <w:t>井水</w:t>
                  </w:r>
                </w:p>
              </w:tc>
              <w:tc>
                <w:tcPr>
                  <w:tcW w:w="1018" w:type="dxa"/>
                  <w:vAlign w:val="center"/>
                </w:tcPr>
                <w:p w14:paraId="38AC4165">
                  <w:pPr>
                    <w:jc w:val="center"/>
                    <w:rPr>
                      <w:rFonts w:hint="default" w:ascii="Times New Roman" w:hAnsi="Times New Roman" w:eastAsia="宋体" w:cs="Times New Roman"/>
                      <w:bCs/>
                      <w:color w:val="auto"/>
                      <w:szCs w:val="21"/>
                      <w:highlight w:val="none"/>
                    </w:rPr>
                  </w:pPr>
                  <w:r>
                    <w:rPr>
                      <w:rFonts w:hint="default" w:ascii="Times New Roman" w:hAnsi="Times New Roman" w:cs="Times New Roman"/>
                      <w:bCs/>
                      <w:color w:val="auto"/>
                      <w:szCs w:val="21"/>
                      <w:highlight w:val="none"/>
                    </w:rPr>
                    <w:t>/</w:t>
                  </w:r>
                </w:p>
              </w:tc>
              <w:tc>
                <w:tcPr>
                  <w:tcW w:w="1051" w:type="dxa"/>
                  <w:vAlign w:val="center"/>
                </w:tcPr>
                <w:p w14:paraId="6A5565FE">
                  <w:pPr>
                    <w:jc w:val="center"/>
                    <w:rPr>
                      <w:rFonts w:hint="default" w:ascii="Times New Roman" w:hAnsi="Times New Roman" w:cs="Times New Roman"/>
                      <w:bCs/>
                      <w:color w:val="auto"/>
                      <w:szCs w:val="21"/>
                      <w:highlight w:val="none"/>
                    </w:rPr>
                  </w:pPr>
                </w:p>
              </w:tc>
            </w:tr>
            <w:tr w14:paraId="255C4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74" w:type="dxa"/>
                  <w:vAlign w:val="center"/>
                </w:tcPr>
                <w:p w14:paraId="399A5ED3">
                  <w:pPr>
                    <w:widowControl/>
                    <w:jc w:val="center"/>
                    <w:textAlignment w:val="center"/>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color w:val="auto"/>
                      <w:kern w:val="0"/>
                      <w:szCs w:val="21"/>
                      <w:highlight w:val="none"/>
                      <w:lang w:val="en-US" w:eastAsia="zh-CN"/>
                    </w:rPr>
                    <w:t>2</w:t>
                  </w:r>
                </w:p>
              </w:tc>
              <w:tc>
                <w:tcPr>
                  <w:tcW w:w="1197" w:type="dxa"/>
                  <w:vAlign w:val="center"/>
                </w:tcPr>
                <w:p w14:paraId="49FCC642">
                  <w:pPr>
                    <w:widowControl/>
                    <w:jc w:val="center"/>
                    <w:textAlignment w:val="center"/>
                    <w:rPr>
                      <w:rFonts w:hint="default" w:ascii="Times New Roman" w:hAnsi="Times New Roman" w:cs="Times New Roman"/>
                      <w:bCs/>
                      <w:color w:val="auto"/>
                      <w:szCs w:val="21"/>
                      <w:highlight w:val="none"/>
                    </w:rPr>
                  </w:pPr>
                  <w:r>
                    <w:rPr>
                      <w:rFonts w:hint="default" w:ascii="Times New Roman" w:hAnsi="Times New Roman" w:eastAsia="宋体" w:cs="Times New Roman"/>
                      <w:color w:val="auto"/>
                      <w:kern w:val="0"/>
                      <w:szCs w:val="21"/>
                      <w:highlight w:val="none"/>
                    </w:rPr>
                    <w:t>电</w:t>
                  </w:r>
                </w:p>
              </w:tc>
              <w:tc>
                <w:tcPr>
                  <w:tcW w:w="781" w:type="dxa"/>
                  <w:vAlign w:val="center"/>
                </w:tcPr>
                <w:p w14:paraId="0E94A1E3">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万kWh</w:t>
                  </w:r>
                </w:p>
              </w:tc>
              <w:tc>
                <w:tcPr>
                  <w:tcW w:w="1213" w:type="dxa"/>
                  <w:vAlign w:val="center"/>
                </w:tcPr>
                <w:p w14:paraId="6A065B97">
                  <w:pPr>
                    <w:widowControl/>
                    <w:jc w:val="center"/>
                    <w:textAlignment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20</w:t>
                  </w:r>
                </w:p>
              </w:tc>
              <w:tc>
                <w:tcPr>
                  <w:tcW w:w="943" w:type="dxa"/>
                  <w:vAlign w:val="center"/>
                </w:tcPr>
                <w:p w14:paraId="4A282389">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p>
              </w:tc>
              <w:tc>
                <w:tcPr>
                  <w:tcW w:w="787" w:type="dxa"/>
                  <w:vAlign w:val="center"/>
                </w:tcPr>
                <w:p w14:paraId="29F9CA8F">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p>
              </w:tc>
              <w:tc>
                <w:tcPr>
                  <w:tcW w:w="1223" w:type="dxa"/>
                  <w:vAlign w:val="center"/>
                </w:tcPr>
                <w:p w14:paraId="0E9E158A">
                  <w:pPr>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val="en-US" w:eastAsia="zh-CN"/>
                    </w:rPr>
                    <w:t>乡镇</w:t>
                  </w:r>
                  <w:r>
                    <w:rPr>
                      <w:rFonts w:hint="default" w:ascii="Times New Roman" w:hAnsi="Times New Roman" w:cs="Times New Roman"/>
                      <w:bCs/>
                      <w:color w:val="auto"/>
                      <w:szCs w:val="21"/>
                      <w:highlight w:val="none"/>
                    </w:rPr>
                    <w:t>提供</w:t>
                  </w:r>
                </w:p>
              </w:tc>
              <w:tc>
                <w:tcPr>
                  <w:tcW w:w="1018" w:type="dxa"/>
                  <w:vAlign w:val="center"/>
                </w:tcPr>
                <w:p w14:paraId="19E5D1A6">
                  <w:pPr>
                    <w:jc w:val="center"/>
                    <w:rPr>
                      <w:rFonts w:hint="default" w:ascii="Times New Roman" w:hAnsi="Times New Roman" w:eastAsia="宋体" w:cs="Times New Roman"/>
                      <w:bCs/>
                      <w:color w:val="auto"/>
                      <w:szCs w:val="21"/>
                      <w:highlight w:val="none"/>
                    </w:rPr>
                  </w:pPr>
                  <w:r>
                    <w:rPr>
                      <w:rFonts w:hint="default" w:ascii="Times New Roman" w:hAnsi="Times New Roman" w:cs="Times New Roman"/>
                      <w:bCs/>
                      <w:color w:val="auto"/>
                      <w:szCs w:val="21"/>
                      <w:highlight w:val="none"/>
                    </w:rPr>
                    <w:t>/</w:t>
                  </w:r>
                </w:p>
              </w:tc>
              <w:tc>
                <w:tcPr>
                  <w:tcW w:w="1051" w:type="dxa"/>
                  <w:vAlign w:val="center"/>
                </w:tcPr>
                <w:p w14:paraId="54641CB8">
                  <w:pPr>
                    <w:jc w:val="center"/>
                    <w:rPr>
                      <w:rFonts w:hint="default" w:ascii="Times New Roman" w:hAnsi="Times New Roman" w:cs="Times New Roman"/>
                      <w:bCs/>
                      <w:color w:val="auto"/>
                      <w:szCs w:val="21"/>
                      <w:highlight w:val="none"/>
                    </w:rPr>
                  </w:pPr>
                </w:p>
              </w:tc>
            </w:tr>
            <w:tr w14:paraId="6A842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74" w:type="dxa"/>
                  <w:vAlign w:val="center"/>
                </w:tcPr>
                <w:p w14:paraId="121C0FDA">
                  <w:pPr>
                    <w:widowControl/>
                    <w:jc w:val="center"/>
                    <w:textAlignment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3</w:t>
                  </w:r>
                </w:p>
              </w:tc>
              <w:tc>
                <w:tcPr>
                  <w:tcW w:w="1197" w:type="dxa"/>
                  <w:shd w:val="clear" w:color="auto" w:fill="auto"/>
                  <w:vAlign w:val="center"/>
                </w:tcPr>
                <w:p w14:paraId="0A274BAD">
                  <w:pPr>
                    <w:widowControl/>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color w:val="auto"/>
                      <w:kern w:val="0"/>
                      <w:szCs w:val="21"/>
                      <w:lang w:bidi="ar"/>
                    </w:rPr>
                    <w:t>机油</w:t>
                  </w:r>
                </w:p>
              </w:tc>
              <w:tc>
                <w:tcPr>
                  <w:tcW w:w="781" w:type="dxa"/>
                  <w:shd w:val="clear" w:color="auto" w:fill="auto"/>
                  <w:vAlign w:val="center"/>
                </w:tcPr>
                <w:p w14:paraId="394F9CE2">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t</w:t>
                  </w:r>
                </w:p>
              </w:tc>
              <w:tc>
                <w:tcPr>
                  <w:tcW w:w="1213" w:type="dxa"/>
                  <w:shd w:val="clear" w:color="auto" w:fill="auto"/>
                  <w:vAlign w:val="center"/>
                </w:tcPr>
                <w:p w14:paraId="5FDC7C77">
                  <w:pPr>
                    <w:widowControl/>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color w:val="auto"/>
                      <w:kern w:val="0"/>
                      <w:szCs w:val="21"/>
                      <w:lang w:val="en-US" w:eastAsia="zh-CN" w:bidi="ar"/>
                    </w:rPr>
                    <w:t>0.5</w:t>
                  </w:r>
                </w:p>
              </w:tc>
              <w:tc>
                <w:tcPr>
                  <w:tcW w:w="943" w:type="dxa"/>
                  <w:shd w:val="clear" w:color="auto" w:fill="auto"/>
                  <w:vAlign w:val="center"/>
                </w:tcPr>
                <w:p w14:paraId="58B5E2F4">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w:t>
                  </w:r>
                </w:p>
              </w:tc>
              <w:tc>
                <w:tcPr>
                  <w:tcW w:w="787" w:type="dxa"/>
                  <w:shd w:val="clear" w:color="auto" w:fill="auto"/>
                  <w:vAlign w:val="center"/>
                </w:tcPr>
                <w:p w14:paraId="3F0C2EF4">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液体</w:t>
                  </w:r>
                </w:p>
              </w:tc>
              <w:tc>
                <w:tcPr>
                  <w:tcW w:w="1223" w:type="dxa"/>
                  <w:shd w:val="clear" w:color="auto" w:fill="auto"/>
                  <w:vAlign w:val="center"/>
                </w:tcPr>
                <w:p w14:paraId="2B49346D">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kern w:val="0"/>
                      <w:szCs w:val="21"/>
                      <w:lang w:bidi="ar"/>
                    </w:rPr>
                    <w:t>外购</w:t>
                  </w:r>
                </w:p>
              </w:tc>
              <w:tc>
                <w:tcPr>
                  <w:tcW w:w="1018" w:type="dxa"/>
                  <w:shd w:val="clear" w:color="auto" w:fill="auto"/>
                  <w:vAlign w:val="center"/>
                </w:tcPr>
                <w:p w14:paraId="276A3EE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厂区内不存储</w:t>
                  </w:r>
                </w:p>
              </w:tc>
              <w:tc>
                <w:tcPr>
                  <w:tcW w:w="1051" w:type="dxa"/>
                  <w:shd w:val="clear" w:color="auto" w:fill="auto"/>
                  <w:vAlign w:val="center"/>
                </w:tcPr>
                <w:p w14:paraId="591B1025">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现用现买</w:t>
                  </w:r>
                </w:p>
              </w:tc>
            </w:tr>
          </w:tbl>
          <w:p w14:paraId="17AE1159">
            <w:pPr>
              <w:tabs>
                <w:tab w:val="left" w:pos="1260"/>
              </w:tabs>
              <w:adjustRightInd w:val="0"/>
              <w:spacing w:line="360" w:lineRule="auto"/>
              <w:ind w:firstLine="482" w:firstLineChars="200"/>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主要原辅料理化性质：</w:t>
            </w:r>
          </w:p>
          <w:p w14:paraId="4BC5A091">
            <w:pPr>
              <w:spacing w:line="360" w:lineRule="auto"/>
              <w:ind w:firstLine="482" w:firstLineChars="200"/>
              <w:rPr>
                <w:rFonts w:hint="default" w:ascii="Times New Roman" w:hAnsi="Times New Roman" w:eastAsia="宋体" w:cs="Times New Roman"/>
                <w:color w:val="auto"/>
                <w:kern w:val="24"/>
                <w:sz w:val="24"/>
                <w:szCs w:val="24"/>
              </w:rPr>
            </w:pPr>
            <w:r>
              <w:rPr>
                <w:rFonts w:hint="default" w:ascii="Times New Roman" w:hAnsi="Times New Roman" w:eastAsia="宋体" w:cs="Times New Roman"/>
                <w:b/>
                <w:bCs/>
                <w:color w:val="auto"/>
                <w:kern w:val="24"/>
                <w:sz w:val="24"/>
                <w:szCs w:val="24"/>
              </w:rPr>
              <w:t>①沥青：</w:t>
            </w:r>
            <w:r>
              <w:rPr>
                <w:rFonts w:hint="default" w:ascii="Times New Roman" w:hAnsi="Times New Roman" w:eastAsia="宋体" w:cs="Times New Roman"/>
                <w:color w:val="auto"/>
                <w:kern w:val="24"/>
                <w:sz w:val="24"/>
                <w:szCs w:val="24"/>
              </w:rPr>
              <w:t>又称柏油。按其来源有天然沥青和人造沥青两大类，后者又有石油沥青和煤焦油沥青两类。主要成分的黑色液体、半固体或固体物质。常见的为深棕色至黑色有光泽的无定形固体。密度1.15～1.25g/cm</w:t>
            </w:r>
            <w:r>
              <w:rPr>
                <w:rFonts w:hint="default" w:ascii="Times New Roman" w:hAnsi="Times New Roman" w:eastAsia="宋体" w:cs="Times New Roman"/>
                <w:color w:val="auto"/>
                <w:kern w:val="24"/>
                <w:sz w:val="24"/>
                <w:szCs w:val="24"/>
                <w:vertAlign w:val="superscript"/>
              </w:rPr>
              <w:t>3</w:t>
            </w:r>
            <w:r>
              <w:rPr>
                <w:rFonts w:hint="default" w:ascii="Times New Roman" w:hAnsi="Times New Roman" w:eastAsia="宋体" w:cs="Times New Roman"/>
                <w:color w:val="auto"/>
                <w:kern w:val="24"/>
                <w:sz w:val="24"/>
                <w:szCs w:val="24"/>
                <w:vertAlign w:val="baseline"/>
                <w:lang w:eastAsia="zh-CN"/>
              </w:rPr>
              <w:t>（</w:t>
            </w:r>
            <w:r>
              <w:rPr>
                <w:rFonts w:hint="default" w:ascii="Times New Roman" w:hAnsi="Times New Roman" w:eastAsia="宋体" w:cs="Times New Roman"/>
                <w:color w:val="auto"/>
                <w:kern w:val="24"/>
                <w:sz w:val="24"/>
                <w:szCs w:val="24"/>
                <w:vertAlign w:val="baseline"/>
                <w:lang w:val="en-US" w:eastAsia="zh-CN"/>
              </w:rPr>
              <w:t>本项目取1.2g</w:t>
            </w:r>
            <w:r>
              <w:rPr>
                <w:rFonts w:hint="default" w:ascii="Times New Roman" w:hAnsi="Times New Roman" w:eastAsia="宋体" w:cs="Times New Roman"/>
                <w:color w:val="auto"/>
                <w:kern w:val="24"/>
                <w:sz w:val="24"/>
                <w:szCs w:val="24"/>
              </w:rPr>
              <w:t>/cm</w:t>
            </w:r>
            <w:r>
              <w:rPr>
                <w:rFonts w:hint="default" w:ascii="Times New Roman" w:hAnsi="Times New Roman" w:eastAsia="宋体" w:cs="Times New Roman"/>
                <w:color w:val="auto"/>
                <w:kern w:val="24"/>
                <w:sz w:val="24"/>
                <w:szCs w:val="24"/>
                <w:vertAlign w:val="superscript"/>
              </w:rPr>
              <w:t>3</w:t>
            </w:r>
            <w:r>
              <w:rPr>
                <w:rFonts w:hint="default" w:ascii="Times New Roman" w:hAnsi="Times New Roman" w:eastAsia="宋体" w:cs="Times New Roman"/>
                <w:color w:val="auto"/>
                <w:kern w:val="24"/>
                <w:sz w:val="24"/>
                <w:szCs w:val="24"/>
                <w:vertAlign w:val="baseline"/>
                <w:lang w:eastAsia="zh-CN"/>
              </w:rPr>
              <w:t>）</w:t>
            </w:r>
            <w:r>
              <w:rPr>
                <w:rFonts w:hint="default" w:ascii="Times New Roman" w:hAnsi="Times New Roman" w:eastAsia="宋体" w:cs="Times New Roman"/>
                <w:color w:val="auto"/>
                <w:kern w:val="24"/>
                <w:sz w:val="24"/>
                <w:szCs w:val="24"/>
              </w:rPr>
              <w:t>。温度足够低时呈脆性，断面平整。几乎全部由多核（三环以上）芳香族化合物组成。有毒，不溶于水，黏结性、抗水性和防腐性良好。可按其软化点、针入度、延度等规定其标号。软化点中等的称作中（温）沥青，其软化点为65℃。电极沥青软化点为110～115℃。沥青可分为两大组成部分，即沥青质（asphalttene）和树脂。此外，还含有高沸点矿物油及少量含氧、硫或氮的化合物。沥青质为硬而脆的棕至黑色粉末，不溶于低沸点烷烃、丙酮、乙醚、稀乙醇等；溶于二硫化碳、四氯化碳、吡啶等。树脂是深色的半固体或固体物质，有极高的胶黏性，溶于二硫化碳、四氯化碳、吡啶等。皮肤接触导致皮炎、结膜炎。人造沥青常是炼油或煤高温炼焦时的副产物。用作煤球和电极的黏结剂，木材防腐涂料，铺路材料，炼制沥青焦和制取铵沥青炸药、炭黑油毡和石墨等。</w:t>
            </w:r>
          </w:p>
          <w:p w14:paraId="2A0B6069">
            <w:pPr>
              <w:spacing w:line="360" w:lineRule="auto"/>
              <w:ind w:firstLine="482" w:firstLineChars="200"/>
              <w:rPr>
                <w:rFonts w:hint="default" w:ascii="Times New Roman" w:hAnsi="Times New Roman" w:eastAsia="宋体" w:cs="Times New Roman"/>
                <w:color w:val="auto"/>
                <w:kern w:val="24"/>
                <w:sz w:val="24"/>
                <w:szCs w:val="24"/>
              </w:rPr>
            </w:pPr>
            <w:r>
              <w:rPr>
                <w:rFonts w:hint="default" w:ascii="Times New Roman" w:hAnsi="Times New Roman" w:eastAsia="宋体" w:cs="Times New Roman"/>
                <w:b/>
                <w:bCs/>
                <w:color w:val="auto"/>
                <w:kern w:val="24"/>
                <w:sz w:val="24"/>
                <w:szCs w:val="24"/>
                <w:lang w:val="en-US" w:eastAsia="zh-CN"/>
              </w:rPr>
              <w:t>②</w:t>
            </w:r>
            <w:r>
              <w:rPr>
                <w:rFonts w:hint="default" w:ascii="Times New Roman" w:hAnsi="Times New Roman" w:eastAsia="宋体" w:cs="Times New Roman"/>
                <w:b/>
                <w:bCs/>
                <w:color w:val="auto"/>
                <w:kern w:val="24"/>
                <w:sz w:val="24"/>
                <w:szCs w:val="24"/>
              </w:rPr>
              <w:t>矿粉：</w:t>
            </w:r>
            <w:r>
              <w:rPr>
                <w:rFonts w:hint="default" w:ascii="Times New Roman" w:hAnsi="Times New Roman" w:eastAsia="宋体" w:cs="Times New Roman"/>
                <w:color w:val="auto"/>
                <w:kern w:val="24"/>
                <w:sz w:val="24"/>
                <w:szCs w:val="24"/>
              </w:rPr>
              <w:t>矿粉是符合工程要求的石粉及其代用品的统称，是将矿石粉碎加工后的产物。在沥青混合料中加入矿粉，能够改善产品的工作性、提高抗压强度和耐久性能。矿粉中含有较多的活性SiO</w:t>
            </w:r>
            <w:r>
              <w:rPr>
                <w:rFonts w:hint="default" w:ascii="Times New Roman" w:hAnsi="Times New Roman" w:eastAsia="宋体" w:cs="Times New Roman"/>
                <w:color w:val="auto"/>
                <w:kern w:val="24"/>
                <w:sz w:val="24"/>
                <w:szCs w:val="24"/>
                <w:vertAlign w:val="subscript"/>
              </w:rPr>
              <w:t>2</w:t>
            </w:r>
            <w:r>
              <w:rPr>
                <w:rFonts w:hint="default" w:ascii="Times New Roman" w:hAnsi="Times New Roman" w:eastAsia="宋体" w:cs="Times New Roman"/>
                <w:color w:val="auto"/>
                <w:kern w:val="24"/>
                <w:sz w:val="24"/>
                <w:szCs w:val="24"/>
              </w:rPr>
              <w:t>、活性Al</w:t>
            </w:r>
            <w:r>
              <w:rPr>
                <w:rFonts w:hint="default" w:ascii="Times New Roman" w:hAnsi="Times New Roman" w:eastAsia="宋体" w:cs="Times New Roman"/>
                <w:color w:val="auto"/>
                <w:kern w:val="24"/>
                <w:sz w:val="24"/>
                <w:szCs w:val="24"/>
                <w:vertAlign w:val="subscript"/>
              </w:rPr>
              <w:t>2</w:t>
            </w:r>
            <w:r>
              <w:rPr>
                <w:rFonts w:hint="default" w:ascii="Times New Roman" w:hAnsi="Times New Roman" w:eastAsia="宋体" w:cs="Times New Roman"/>
                <w:color w:val="auto"/>
                <w:kern w:val="24"/>
                <w:sz w:val="24"/>
                <w:szCs w:val="24"/>
              </w:rPr>
              <w:t>O</w:t>
            </w:r>
            <w:r>
              <w:rPr>
                <w:rFonts w:hint="default" w:ascii="Times New Roman" w:hAnsi="Times New Roman" w:eastAsia="宋体" w:cs="Times New Roman"/>
                <w:color w:val="auto"/>
                <w:kern w:val="24"/>
                <w:sz w:val="24"/>
                <w:szCs w:val="24"/>
                <w:vertAlign w:val="subscript"/>
              </w:rPr>
              <w:t>3</w:t>
            </w:r>
            <w:r>
              <w:rPr>
                <w:rFonts w:hint="default" w:ascii="Times New Roman" w:hAnsi="Times New Roman" w:eastAsia="宋体" w:cs="Times New Roman"/>
                <w:color w:val="auto"/>
                <w:kern w:val="24"/>
                <w:sz w:val="24"/>
                <w:szCs w:val="24"/>
              </w:rPr>
              <w:t>，能与Ca（OH）</w:t>
            </w:r>
            <w:r>
              <w:rPr>
                <w:rFonts w:hint="default" w:ascii="Times New Roman" w:hAnsi="Times New Roman" w:eastAsia="宋体" w:cs="Times New Roman"/>
                <w:color w:val="auto"/>
                <w:kern w:val="24"/>
                <w:sz w:val="24"/>
                <w:szCs w:val="24"/>
                <w:vertAlign w:val="subscript"/>
              </w:rPr>
              <w:t>2</w:t>
            </w:r>
            <w:r>
              <w:rPr>
                <w:rFonts w:hint="default" w:ascii="Times New Roman" w:hAnsi="Times New Roman" w:eastAsia="宋体" w:cs="Times New Roman"/>
                <w:color w:val="auto"/>
                <w:kern w:val="24"/>
                <w:sz w:val="24"/>
                <w:szCs w:val="24"/>
              </w:rPr>
              <w:t>在常温下起化学反应生成稳定的水化硅酸钙和水化铝酸钙，有助于混合料的硬化，增加强度。此外，矿粉中存在大量球形玻璃状颗粒，这些颗粒是拌和物和易性得以改善的主要原因。同时矿粉的粒度比水泥颗粒的小，能够</w:t>
            </w:r>
            <w:r>
              <w:rPr>
                <w:rFonts w:hint="default" w:ascii="Times New Roman" w:hAnsi="Times New Roman" w:eastAsia="宋体" w:cs="Times New Roman"/>
                <w:color w:val="auto"/>
                <w:kern w:val="24"/>
                <w:sz w:val="24"/>
                <w:szCs w:val="24"/>
                <w:lang w:eastAsia="zh-CN"/>
              </w:rPr>
              <w:t>填充</w:t>
            </w:r>
            <w:r>
              <w:rPr>
                <w:rFonts w:hint="default" w:ascii="Times New Roman" w:hAnsi="Times New Roman" w:eastAsia="宋体" w:cs="Times New Roman"/>
                <w:color w:val="auto"/>
                <w:kern w:val="24"/>
                <w:sz w:val="24"/>
                <w:szCs w:val="24"/>
              </w:rPr>
              <w:t>水泥颗粒的空隙，构成</w:t>
            </w:r>
            <w:r>
              <w:rPr>
                <w:rFonts w:hint="default" w:ascii="Times New Roman" w:hAnsi="Times New Roman" w:eastAsia="宋体" w:cs="Times New Roman"/>
                <w:color w:val="auto"/>
                <w:kern w:val="24"/>
                <w:sz w:val="24"/>
                <w:szCs w:val="24"/>
                <w:lang w:eastAsia="zh-CN"/>
              </w:rPr>
              <w:t>致密</w:t>
            </w:r>
            <w:r>
              <w:rPr>
                <w:rFonts w:hint="default" w:ascii="Times New Roman" w:hAnsi="Times New Roman" w:eastAsia="宋体" w:cs="Times New Roman"/>
                <w:color w:val="auto"/>
                <w:kern w:val="24"/>
                <w:sz w:val="24"/>
                <w:szCs w:val="24"/>
              </w:rPr>
              <w:t>堆积，有利于强度的发展。</w:t>
            </w:r>
          </w:p>
          <w:p w14:paraId="3C7E6CA2">
            <w:pPr>
              <w:spacing w:line="360" w:lineRule="auto"/>
              <w:ind w:firstLine="480" w:firstLineChars="200"/>
              <w:rPr>
                <w:rFonts w:hint="default" w:ascii="Times New Roman" w:hAnsi="Times New Roman" w:eastAsia="宋体" w:cs="Times New Roman"/>
                <w:color w:val="auto"/>
                <w:kern w:val="24"/>
                <w:sz w:val="24"/>
                <w:szCs w:val="24"/>
              </w:rPr>
            </w:pPr>
            <w:r>
              <w:rPr>
                <w:rFonts w:hint="default" w:ascii="Times New Roman" w:hAnsi="Times New Roman" w:eastAsia="宋体" w:cs="Times New Roman"/>
                <w:color w:val="auto"/>
                <w:kern w:val="24"/>
                <w:sz w:val="24"/>
                <w:szCs w:val="24"/>
                <w:lang w:val="en-US" w:eastAsia="zh-CN"/>
              </w:rPr>
              <w:t>③</w:t>
            </w:r>
            <w:r>
              <w:rPr>
                <w:rFonts w:hint="default" w:ascii="Times New Roman" w:hAnsi="Times New Roman" w:cs="Times New Roman"/>
                <w:b/>
                <w:bCs/>
                <w:color w:val="auto"/>
                <w:kern w:val="24"/>
                <w:sz w:val="24"/>
                <w:szCs w:val="24"/>
              </w:rPr>
              <w:t>骨料：</w:t>
            </w:r>
            <w:r>
              <w:rPr>
                <w:rFonts w:hint="default" w:ascii="Times New Roman" w:hAnsi="Times New Roman" w:cs="Times New Roman"/>
                <w:color w:val="auto"/>
                <w:kern w:val="24"/>
                <w:sz w:val="24"/>
                <w:szCs w:val="24"/>
              </w:rPr>
              <w:t>本工程生产用骨料均直接外购符合沥青混凝土生产所需粒径要求的碎石，不在厂内进行破碎及清洗。来源于周边各砂石加工场，是生产沥青混凝土的主要原料，采购后直接由供货厂家运进厂区。</w:t>
            </w:r>
          </w:p>
          <w:p w14:paraId="29B960BC">
            <w:pPr>
              <w:spacing w:line="360" w:lineRule="auto"/>
              <w:ind w:firstLine="482" w:firstLineChars="200"/>
              <w:rPr>
                <w:rFonts w:hint="default" w:ascii="Times New Roman" w:hAnsi="Times New Roman" w:eastAsia="宋体" w:cs="Times New Roman"/>
                <w:color w:val="auto"/>
                <w:kern w:val="24"/>
                <w:sz w:val="24"/>
                <w:szCs w:val="24"/>
              </w:rPr>
            </w:pPr>
            <w:r>
              <w:rPr>
                <w:rFonts w:hint="default" w:ascii="Times New Roman" w:hAnsi="Times New Roman" w:eastAsia="宋体" w:cs="Times New Roman"/>
                <w:b/>
                <w:bCs/>
                <w:color w:val="auto"/>
                <w:kern w:val="24"/>
                <w:sz w:val="24"/>
                <w:szCs w:val="24"/>
                <w:lang w:val="en-US" w:eastAsia="zh-CN"/>
              </w:rPr>
              <w:t>④</w:t>
            </w:r>
            <w:r>
              <w:rPr>
                <w:rFonts w:hint="default" w:ascii="Times New Roman" w:hAnsi="Times New Roman" w:eastAsia="宋体" w:cs="Times New Roman"/>
                <w:b/>
                <w:bCs/>
                <w:color w:val="auto"/>
                <w:kern w:val="24"/>
                <w:sz w:val="24"/>
                <w:szCs w:val="24"/>
              </w:rPr>
              <w:t>导热油：</w:t>
            </w:r>
            <w:r>
              <w:rPr>
                <w:rFonts w:hint="default" w:ascii="Times New Roman" w:hAnsi="Times New Roman" w:eastAsia="宋体" w:cs="Times New Roman"/>
                <w:color w:val="auto"/>
                <w:kern w:val="24"/>
                <w:sz w:val="24"/>
                <w:szCs w:val="24"/>
              </w:rPr>
              <w:t>项目所用导热油外购于导热油厂家，为罐装储存，由运输车辆运输进场，通过油泵输送至导热油炉，导热油每5年更换一次</w:t>
            </w:r>
            <w:r>
              <w:rPr>
                <w:rFonts w:hint="default" w:ascii="Times New Roman" w:hAnsi="Times New Roman" w:eastAsia="宋体" w:cs="Times New Roman"/>
                <w:color w:val="auto"/>
                <w:kern w:val="24"/>
                <w:sz w:val="24"/>
                <w:szCs w:val="24"/>
                <w:lang w:eastAsia="zh-CN"/>
              </w:rPr>
              <w:t>。</w:t>
            </w:r>
            <w:r>
              <w:rPr>
                <w:rFonts w:hint="default" w:ascii="Times New Roman" w:hAnsi="Times New Roman" w:eastAsia="宋体" w:cs="Times New Roman"/>
                <w:color w:val="auto"/>
                <w:kern w:val="24"/>
                <w:sz w:val="24"/>
                <w:szCs w:val="24"/>
              </w:rPr>
              <w:t>导热油清澈透明液体，最高允许使用温度为310℃</w:t>
            </w:r>
            <w:r>
              <w:rPr>
                <w:rFonts w:hint="default" w:ascii="Times New Roman" w:hAnsi="Times New Roman" w:eastAsia="宋体" w:cs="Times New Roman"/>
                <w:color w:val="auto"/>
                <w:kern w:val="24"/>
                <w:sz w:val="24"/>
                <w:szCs w:val="24"/>
                <w:lang w:eastAsia="zh-CN"/>
              </w:rPr>
              <w:t>，</w:t>
            </w:r>
            <w:r>
              <w:rPr>
                <w:rFonts w:hint="default" w:ascii="Times New Roman" w:hAnsi="Times New Roman" w:eastAsia="宋体" w:cs="Times New Roman"/>
                <w:color w:val="auto"/>
                <w:kern w:val="24"/>
                <w:sz w:val="24"/>
                <w:szCs w:val="24"/>
              </w:rPr>
              <w:t>自然点330℃</w:t>
            </w:r>
            <w:r>
              <w:rPr>
                <w:rFonts w:hint="default" w:ascii="Times New Roman" w:hAnsi="Times New Roman" w:eastAsia="宋体" w:cs="Times New Roman"/>
                <w:color w:val="auto"/>
                <w:kern w:val="24"/>
                <w:sz w:val="24"/>
                <w:szCs w:val="24"/>
                <w:lang w:eastAsia="zh-CN"/>
              </w:rPr>
              <w:t>，</w:t>
            </w:r>
            <w:r>
              <w:rPr>
                <w:rFonts w:hint="default" w:ascii="Times New Roman" w:hAnsi="Times New Roman" w:eastAsia="宋体" w:cs="Times New Roman"/>
                <w:color w:val="auto"/>
                <w:kern w:val="24"/>
                <w:sz w:val="24"/>
                <w:szCs w:val="24"/>
              </w:rPr>
              <w:t>闪点（闭口）214℃</w:t>
            </w:r>
            <w:r>
              <w:rPr>
                <w:rFonts w:hint="default" w:ascii="Times New Roman" w:hAnsi="Times New Roman" w:eastAsia="宋体" w:cs="Times New Roman"/>
                <w:color w:val="auto"/>
                <w:kern w:val="24"/>
                <w:sz w:val="24"/>
                <w:szCs w:val="24"/>
                <w:lang w:eastAsia="zh-CN"/>
              </w:rPr>
              <w:t>，</w:t>
            </w:r>
            <w:r>
              <w:rPr>
                <w:rFonts w:hint="default" w:ascii="Times New Roman" w:hAnsi="Times New Roman" w:eastAsia="宋体" w:cs="Times New Roman"/>
                <w:color w:val="auto"/>
                <w:kern w:val="24"/>
                <w:sz w:val="24"/>
                <w:szCs w:val="24"/>
              </w:rPr>
              <w:t>闪点（开口）239℃。具有良好热稳定性，长期使用不变质，在合适的温度和操作条件下使用寿命可达10年以上，一般在6年以上；具有合适的导热性质（比热、导热系数、蒸发热等）；凝点低，一般在</w:t>
            </w:r>
            <w:r>
              <w:rPr>
                <w:rFonts w:hint="default" w:ascii="Times New Roman" w:hAnsi="Times New Roman" w:eastAsia="宋体" w:cs="Times New Roman"/>
                <w:color w:val="auto"/>
                <w:kern w:val="24"/>
                <w:sz w:val="24"/>
                <w:szCs w:val="24"/>
                <w:lang w:val="en-US" w:eastAsia="zh-CN"/>
              </w:rPr>
              <w:t>-</w:t>
            </w:r>
            <w:r>
              <w:rPr>
                <w:rFonts w:hint="default" w:ascii="Times New Roman" w:hAnsi="Times New Roman" w:eastAsia="宋体" w:cs="Times New Roman"/>
                <w:color w:val="auto"/>
                <w:kern w:val="24"/>
                <w:sz w:val="24"/>
                <w:szCs w:val="24"/>
              </w:rPr>
              <w:t>10℃以下；粘度低，便于输送和生产循环；蒸气压低，便于高温操作和输送，不易形成蒸汽包，阻碍导热油的正常循环；对金属和密封用废金属的腐蚀性小，不易造成泄漏；对操作人员毒性和腐蚀性小，在使用时不需要特殊防护，对人体具有安全性，而且气味小，具有良好的操作环境。</w:t>
            </w:r>
          </w:p>
          <w:p w14:paraId="181FF462">
            <w:pPr>
              <w:spacing w:line="360" w:lineRule="auto"/>
              <w:ind w:firstLine="482" w:firstLineChars="200"/>
              <w:rPr>
                <w:rFonts w:hint="default" w:ascii="Times New Roman" w:hAnsi="Times New Roman" w:eastAsia="宋体" w:cs="Times New Roman"/>
                <w:color w:val="auto"/>
                <w:kern w:val="24"/>
                <w:sz w:val="24"/>
                <w:szCs w:val="24"/>
              </w:rPr>
            </w:pPr>
            <w:r>
              <w:rPr>
                <w:rFonts w:hint="default" w:ascii="Times New Roman" w:hAnsi="Times New Roman" w:eastAsia="宋体" w:cs="Times New Roman"/>
                <w:b/>
                <w:bCs/>
                <w:color w:val="auto"/>
                <w:kern w:val="24"/>
                <w:sz w:val="24"/>
                <w:szCs w:val="24"/>
                <w:lang w:val="en-US" w:eastAsia="zh-CN"/>
              </w:rPr>
              <w:t>⑤</w:t>
            </w:r>
            <w:r>
              <w:rPr>
                <w:rFonts w:hint="default" w:ascii="Times New Roman" w:hAnsi="Times New Roman" w:eastAsia="宋体" w:cs="Times New Roman"/>
                <w:b/>
                <w:bCs/>
                <w:color w:val="auto"/>
                <w:kern w:val="24"/>
                <w:sz w:val="24"/>
                <w:szCs w:val="24"/>
              </w:rPr>
              <w:t>沥青乳化剂</w:t>
            </w:r>
            <w:r>
              <w:rPr>
                <w:rFonts w:hint="default" w:ascii="Times New Roman" w:hAnsi="Times New Roman" w:eastAsia="宋体" w:cs="Times New Roman"/>
                <w:b/>
                <w:bCs/>
                <w:color w:val="auto"/>
                <w:kern w:val="24"/>
                <w:sz w:val="24"/>
                <w:szCs w:val="24"/>
                <w:lang w:eastAsia="zh-CN"/>
              </w:rPr>
              <w:t>：</w:t>
            </w:r>
            <w:r>
              <w:rPr>
                <w:rFonts w:hint="default" w:ascii="Times New Roman" w:hAnsi="Times New Roman" w:eastAsia="宋体" w:cs="Times New Roman"/>
                <w:color w:val="auto"/>
                <w:kern w:val="24"/>
                <w:sz w:val="24"/>
                <w:szCs w:val="24"/>
              </w:rPr>
              <w:t>是用于沥青乳化的</w:t>
            </w:r>
            <w:r>
              <w:rPr>
                <w:rFonts w:hint="default" w:ascii="Times New Roman" w:hAnsi="Times New Roman" w:eastAsia="宋体" w:cs="Times New Roman"/>
                <w:color w:val="auto"/>
                <w:kern w:val="24"/>
                <w:sz w:val="24"/>
                <w:szCs w:val="24"/>
              </w:rPr>
              <w:fldChar w:fldCharType="begin"/>
            </w:r>
            <w:r>
              <w:rPr>
                <w:rFonts w:hint="default" w:ascii="Times New Roman" w:hAnsi="Times New Roman" w:eastAsia="宋体" w:cs="Times New Roman"/>
                <w:color w:val="auto"/>
                <w:kern w:val="24"/>
                <w:sz w:val="24"/>
                <w:szCs w:val="24"/>
              </w:rPr>
              <w:instrText xml:space="preserve"> HYPERLINK "https://upimg.baike.so.com/doc/5368890-5604728.html" \t "https://upimg.baike.so.com/doc/_blank" </w:instrText>
            </w:r>
            <w:r>
              <w:rPr>
                <w:rFonts w:hint="default" w:ascii="Times New Roman" w:hAnsi="Times New Roman" w:eastAsia="宋体" w:cs="Times New Roman"/>
                <w:color w:val="auto"/>
                <w:kern w:val="24"/>
                <w:sz w:val="24"/>
                <w:szCs w:val="24"/>
              </w:rPr>
              <w:fldChar w:fldCharType="separate"/>
            </w:r>
            <w:r>
              <w:rPr>
                <w:rFonts w:hint="default" w:ascii="Times New Roman" w:hAnsi="Times New Roman" w:eastAsia="宋体" w:cs="Times New Roman"/>
                <w:color w:val="auto"/>
                <w:kern w:val="24"/>
                <w:sz w:val="24"/>
                <w:szCs w:val="24"/>
              </w:rPr>
              <w:t>表面活性剂</w:t>
            </w:r>
            <w:r>
              <w:rPr>
                <w:rFonts w:hint="default" w:ascii="Times New Roman" w:hAnsi="Times New Roman" w:eastAsia="宋体" w:cs="Times New Roman"/>
                <w:color w:val="auto"/>
                <w:kern w:val="24"/>
                <w:sz w:val="24"/>
                <w:szCs w:val="24"/>
              </w:rPr>
              <w:fldChar w:fldCharType="end"/>
            </w:r>
            <w:r>
              <w:rPr>
                <w:rFonts w:hint="default" w:ascii="Times New Roman" w:hAnsi="Times New Roman" w:eastAsia="宋体" w:cs="Times New Roman"/>
                <w:color w:val="auto"/>
                <w:kern w:val="24"/>
                <w:sz w:val="24"/>
                <w:szCs w:val="24"/>
              </w:rPr>
              <w:t>。在加入很少量时就能使水的</w:t>
            </w:r>
            <w:r>
              <w:rPr>
                <w:rFonts w:hint="default" w:ascii="Times New Roman" w:hAnsi="Times New Roman" w:eastAsia="宋体" w:cs="Times New Roman"/>
                <w:color w:val="auto"/>
                <w:kern w:val="24"/>
                <w:sz w:val="24"/>
                <w:szCs w:val="24"/>
              </w:rPr>
              <w:fldChar w:fldCharType="begin"/>
            </w:r>
            <w:r>
              <w:rPr>
                <w:rFonts w:hint="default" w:ascii="Times New Roman" w:hAnsi="Times New Roman" w:eastAsia="宋体" w:cs="Times New Roman"/>
                <w:color w:val="auto"/>
                <w:kern w:val="24"/>
                <w:sz w:val="24"/>
                <w:szCs w:val="24"/>
              </w:rPr>
              <w:instrText xml:space="preserve"> HYPERLINK "https://upimg.baike.so.com/doc/2534749-2677722.html" \t "https://upimg.baike.so.com/doc/_blank" </w:instrText>
            </w:r>
            <w:r>
              <w:rPr>
                <w:rFonts w:hint="default" w:ascii="Times New Roman" w:hAnsi="Times New Roman" w:eastAsia="宋体" w:cs="Times New Roman"/>
                <w:color w:val="auto"/>
                <w:kern w:val="24"/>
                <w:sz w:val="24"/>
                <w:szCs w:val="24"/>
              </w:rPr>
              <w:fldChar w:fldCharType="separate"/>
            </w:r>
            <w:r>
              <w:rPr>
                <w:rFonts w:hint="default" w:ascii="Times New Roman" w:hAnsi="Times New Roman" w:eastAsia="宋体" w:cs="Times New Roman"/>
                <w:color w:val="auto"/>
                <w:kern w:val="24"/>
                <w:sz w:val="24"/>
                <w:szCs w:val="24"/>
              </w:rPr>
              <w:t>表面张力</w:t>
            </w:r>
            <w:r>
              <w:rPr>
                <w:rFonts w:hint="default" w:ascii="Times New Roman" w:hAnsi="Times New Roman" w:eastAsia="宋体" w:cs="Times New Roman"/>
                <w:color w:val="auto"/>
                <w:kern w:val="24"/>
                <w:sz w:val="24"/>
                <w:szCs w:val="24"/>
              </w:rPr>
              <w:fldChar w:fldCharType="end"/>
            </w:r>
            <w:r>
              <w:rPr>
                <w:rFonts w:hint="default" w:ascii="Times New Roman" w:hAnsi="Times New Roman" w:eastAsia="宋体" w:cs="Times New Roman"/>
                <w:color w:val="auto"/>
                <w:kern w:val="24"/>
                <w:sz w:val="24"/>
                <w:szCs w:val="24"/>
              </w:rPr>
              <w:t>大幅度的降低，能明显改变体系的界面性质和状态，从而产生润湿、乳化、起泡、洗涤、分散、抗静电、润滑、加溶等一系列作用，以达到实际应用的要求。</w:t>
            </w:r>
          </w:p>
          <w:p w14:paraId="5613EB00">
            <w:pPr>
              <w:spacing w:line="360" w:lineRule="auto"/>
              <w:ind w:firstLine="482" w:firstLineChars="200"/>
              <w:rPr>
                <w:rFonts w:hint="default" w:ascii="Times New Roman" w:hAnsi="Times New Roman" w:eastAsia="宋体" w:cs="Times New Roman"/>
                <w:color w:val="auto"/>
                <w:kern w:val="24"/>
                <w:sz w:val="24"/>
                <w:szCs w:val="24"/>
                <w:lang w:val="en-US" w:eastAsia="zh-CN"/>
              </w:rPr>
            </w:pPr>
            <w:r>
              <w:rPr>
                <w:rFonts w:hint="default" w:ascii="Times New Roman" w:hAnsi="Times New Roman" w:cs="Times New Roman"/>
                <w:b/>
                <w:bCs/>
                <w:color w:val="auto"/>
                <w:kern w:val="24"/>
                <w:sz w:val="24"/>
                <w:szCs w:val="24"/>
                <w:lang w:val="en-US" w:eastAsia="zh-CN"/>
              </w:rPr>
              <w:t>⑥</w:t>
            </w:r>
            <w:r>
              <w:rPr>
                <w:rFonts w:hint="default" w:ascii="Times New Roman" w:hAnsi="Times New Roman" w:cs="Times New Roman"/>
                <w:b/>
                <w:bCs/>
                <w:color w:val="auto"/>
                <w:kern w:val="24"/>
                <w:sz w:val="24"/>
                <w:szCs w:val="24"/>
              </w:rPr>
              <w:t>轻质油：</w:t>
            </w:r>
            <w:r>
              <w:rPr>
                <w:rFonts w:hint="default" w:ascii="Times New Roman" w:hAnsi="Times New Roman" w:cs="Times New Roman"/>
                <w:color w:val="auto"/>
                <w:kern w:val="24"/>
                <w:sz w:val="24"/>
                <w:szCs w:val="24"/>
              </w:rPr>
              <w:t>为石油开采和加工过程中的副产品，属于烃类物质，是一种洁净、价廉的新型液体燃料，不含苯、甲醇、烯烃等成分，轻烃作为燃料可替代燃煤和燃油，对我国的环境保护和能源可持续发展有着战略意义。本工程使用轻质油均直接购自附近加油站，产品满足国Ⅴ标准</w:t>
            </w:r>
            <w:r>
              <w:rPr>
                <w:rFonts w:hint="default" w:ascii="Times New Roman" w:hAnsi="Times New Roman" w:eastAsia="宋体" w:cs="Times New Roman"/>
                <w:color w:val="auto"/>
                <w:kern w:val="24"/>
                <w:sz w:val="24"/>
                <w:szCs w:val="24"/>
                <w:lang w:val="en-US" w:eastAsia="zh-CN"/>
              </w:rPr>
              <w:t>。</w:t>
            </w:r>
          </w:p>
          <w:p w14:paraId="0C7F3A91">
            <w:pPr>
              <w:pStyle w:val="5"/>
              <w:numPr>
                <w:ilvl w:val="0"/>
                <w:numId w:val="3"/>
              </w:numPr>
              <w:spacing w:before="48" w:after="48"/>
              <w:ind w:firstLine="482"/>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物料平衡分析</w:t>
            </w:r>
          </w:p>
          <w:p w14:paraId="3FDB66D8">
            <w:pPr>
              <w:pStyle w:val="5"/>
              <w:spacing w:before="48" w:after="48"/>
              <w:ind w:firstLine="482"/>
              <w:rPr>
                <w:rFonts w:hint="default" w:ascii="Times New Roman" w:hAnsi="Times New Roman" w:eastAsia="宋体" w:cs="Times New Roman"/>
                <w:b/>
                <w:bCs/>
                <w:color w:val="auto"/>
                <w:kern w:val="0"/>
                <w:sz w:val="20"/>
                <w:szCs w:val="20"/>
                <w:highlight w:val="none"/>
                <w:lang w:val="en-US" w:eastAsia="zh-CN" w:bidi="ar-SA"/>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w:t>
            </w:r>
            <w:r>
              <w:rPr>
                <w:rFonts w:hint="default" w:ascii="Times New Roman" w:hAnsi="Times New Roman" w:cs="Times New Roman"/>
                <w:color w:val="auto"/>
                <w:highlight w:val="none"/>
                <w:lang w:eastAsia="zh-CN"/>
              </w:rPr>
              <w:t>沥青混凝土</w:t>
            </w:r>
            <w:r>
              <w:rPr>
                <w:rFonts w:hint="default" w:ascii="Times New Roman" w:hAnsi="Times New Roman" w:eastAsia="宋体" w:cs="Times New Roman"/>
                <w:color w:val="auto"/>
                <w:highlight w:val="none"/>
                <w:lang w:val="en-US" w:eastAsia="zh-CN"/>
              </w:rPr>
              <w:t>生产线</w:t>
            </w:r>
          </w:p>
          <w:p w14:paraId="1E9C355C">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宋体" w:cs="Times New Roman"/>
                <w:b/>
                <w:bCs/>
                <w:color w:val="auto"/>
                <w:kern w:val="0"/>
                <w:sz w:val="20"/>
                <w:szCs w:val="20"/>
                <w:highlight w:val="none"/>
                <w:lang w:val="en-US" w:eastAsia="zh-CN" w:bidi="ar-SA"/>
              </w:rPr>
            </w:pPr>
            <w:r>
              <w:rPr>
                <w:rFonts w:hint="default" w:ascii="Times New Roman" w:hAnsi="Times New Roman" w:eastAsia="宋体" w:cs="Times New Roman"/>
                <w:b/>
                <w:bCs/>
                <w:color w:val="auto"/>
                <w:kern w:val="0"/>
                <w:sz w:val="20"/>
                <w:szCs w:val="20"/>
                <w:highlight w:val="none"/>
                <w:lang w:val="en-US" w:eastAsia="zh-CN" w:bidi="ar-SA"/>
              </w:rPr>
              <w:t>表2-5  项目</w:t>
            </w:r>
            <w:r>
              <w:rPr>
                <w:rFonts w:hint="default" w:ascii="Times New Roman" w:hAnsi="Times New Roman" w:cs="Times New Roman"/>
                <w:b/>
                <w:bCs/>
                <w:color w:val="auto"/>
                <w:kern w:val="0"/>
                <w:sz w:val="20"/>
                <w:szCs w:val="20"/>
                <w:highlight w:val="none"/>
                <w:lang w:val="en-US" w:eastAsia="zh-CN" w:bidi="ar-SA"/>
              </w:rPr>
              <w:t>沥青混凝土</w:t>
            </w:r>
            <w:r>
              <w:rPr>
                <w:rFonts w:hint="default" w:ascii="Times New Roman" w:hAnsi="Times New Roman" w:eastAsia="宋体" w:cs="Times New Roman"/>
                <w:b/>
                <w:bCs/>
                <w:color w:val="auto"/>
                <w:kern w:val="0"/>
                <w:sz w:val="20"/>
                <w:szCs w:val="20"/>
                <w:highlight w:val="none"/>
                <w:lang w:val="en-US" w:eastAsia="zh-CN" w:bidi="ar-SA"/>
              </w:rPr>
              <w:t>生产线物料平衡表</w:t>
            </w:r>
          </w:p>
          <w:tbl>
            <w:tblPr>
              <w:tblStyle w:val="29"/>
              <w:tblW w:w="497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432"/>
              <w:gridCol w:w="1803"/>
              <w:gridCol w:w="3135"/>
              <w:gridCol w:w="1484"/>
            </w:tblGrid>
            <w:tr w14:paraId="6BEC4C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2391" w:type="pct"/>
                  <w:gridSpan w:val="2"/>
                  <w:tcBorders>
                    <w:tl2br w:val="nil"/>
                    <w:tr2bl w:val="nil"/>
                  </w:tcBorders>
                </w:tcPr>
                <w:p w14:paraId="30A77BB1">
                  <w:pPr>
                    <w:pStyle w:val="112"/>
                    <w:overflowPunct w:val="0"/>
                    <w:ind w:left="2"/>
                    <w:jc w:val="center"/>
                    <w:rPr>
                      <w:rFonts w:hint="default" w:ascii="Times New Roman" w:hAnsi="Times New Roman" w:eastAsia="Times New Roman" w:cs="Times New Roman"/>
                      <w:color w:val="auto"/>
                      <w:szCs w:val="21"/>
                    </w:rPr>
                  </w:pPr>
                  <w:r>
                    <w:rPr>
                      <w:rFonts w:hint="default" w:ascii="Times New Roman" w:hAnsi="Times New Roman" w:cs="Times New Roman"/>
                      <w:b/>
                      <w:color w:val="auto"/>
                      <w:szCs w:val="21"/>
                    </w:rPr>
                    <w:t>投入物料</w:t>
                  </w:r>
                </w:p>
              </w:tc>
              <w:tc>
                <w:tcPr>
                  <w:tcW w:w="2608" w:type="pct"/>
                  <w:gridSpan w:val="2"/>
                  <w:tcBorders>
                    <w:tl2br w:val="nil"/>
                    <w:tr2bl w:val="nil"/>
                  </w:tcBorders>
                </w:tcPr>
                <w:p w14:paraId="2440FB10">
                  <w:pPr>
                    <w:pStyle w:val="112"/>
                    <w:overflowPunct w:val="0"/>
                    <w:jc w:val="center"/>
                    <w:rPr>
                      <w:rFonts w:hint="default" w:ascii="Times New Roman" w:hAnsi="Times New Roman" w:eastAsia="Times New Roman" w:cs="Times New Roman"/>
                      <w:color w:val="auto"/>
                      <w:szCs w:val="21"/>
                    </w:rPr>
                  </w:pPr>
                  <w:r>
                    <w:rPr>
                      <w:rFonts w:hint="default" w:ascii="Times New Roman" w:hAnsi="Times New Roman" w:cs="Times New Roman"/>
                      <w:b/>
                      <w:color w:val="auto"/>
                      <w:szCs w:val="21"/>
                    </w:rPr>
                    <w:t>产出物料</w:t>
                  </w:r>
                </w:p>
              </w:tc>
            </w:tr>
            <w:tr w14:paraId="49C1E9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1373" w:type="pct"/>
                  <w:tcBorders>
                    <w:tl2br w:val="nil"/>
                    <w:tr2bl w:val="nil"/>
                  </w:tcBorders>
                </w:tcPr>
                <w:p w14:paraId="633C2971">
                  <w:pPr>
                    <w:pStyle w:val="80"/>
                    <w:rPr>
                      <w:rFonts w:hint="default" w:ascii="Times New Roman" w:hAnsi="Times New Roman" w:cs="Times New Roman"/>
                      <w:color w:val="auto"/>
                    </w:rPr>
                  </w:pPr>
                  <w:r>
                    <w:rPr>
                      <w:rFonts w:hint="default" w:ascii="Times New Roman" w:hAnsi="Times New Roman" w:cs="Times New Roman"/>
                      <w:color w:val="auto"/>
                    </w:rPr>
                    <w:t>项目</w:t>
                  </w:r>
                </w:p>
              </w:tc>
              <w:tc>
                <w:tcPr>
                  <w:tcW w:w="1018" w:type="pct"/>
                  <w:tcBorders>
                    <w:tl2br w:val="nil"/>
                    <w:tr2bl w:val="nil"/>
                  </w:tcBorders>
                </w:tcPr>
                <w:p w14:paraId="160EB10A">
                  <w:pPr>
                    <w:pStyle w:val="80"/>
                    <w:rPr>
                      <w:rFonts w:hint="default" w:ascii="Times New Roman" w:hAnsi="Times New Roman" w:cs="Times New Roman"/>
                      <w:color w:val="auto"/>
                    </w:rPr>
                  </w:pPr>
                  <w:r>
                    <w:rPr>
                      <w:rFonts w:hint="default" w:ascii="Times New Roman" w:hAnsi="Times New Roman" w:cs="Times New Roman"/>
                      <w:color w:val="auto"/>
                    </w:rPr>
                    <w:t>数量（t/a）</w:t>
                  </w:r>
                </w:p>
              </w:tc>
              <w:tc>
                <w:tcPr>
                  <w:tcW w:w="1770" w:type="pct"/>
                  <w:tcBorders>
                    <w:tl2br w:val="nil"/>
                    <w:tr2bl w:val="nil"/>
                  </w:tcBorders>
                </w:tcPr>
                <w:p w14:paraId="4CAA9011">
                  <w:pPr>
                    <w:pStyle w:val="80"/>
                    <w:rPr>
                      <w:rFonts w:hint="default" w:ascii="Times New Roman" w:hAnsi="Times New Roman" w:cs="Times New Roman"/>
                      <w:color w:val="auto"/>
                    </w:rPr>
                  </w:pPr>
                  <w:r>
                    <w:rPr>
                      <w:rFonts w:hint="default" w:ascii="Times New Roman" w:hAnsi="Times New Roman" w:cs="Times New Roman"/>
                      <w:color w:val="auto"/>
                    </w:rPr>
                    <w:t>项目</w:t>
                  </w:r>
                </w:p>
              </w:tc>
              <w:tc>
                <w:tcPr>
                  <w:tcW w:w="838" w:type="pct"/>
                  <w:tcBorders>
                    <w:tl2br w:val="nil"/>
                    <w:tr2bl w:val="nil"/>
                  </w:tcBorders>
                </w:tcPr>
                <w:p w14:paraId="4665C84C">
                  <w:pPr>
                    <w:pStyle w:val="80"/>
                    <w:rPr>
                      <w:rFonts w:hint="default" w:ascii="Times New Roman" w:hAnsi="Times New Roman" w:cs="Times New Roman"/>
                      <w:color w:val="auto"/>
                    </w:rPr>
                  </w:pPr>
                  <w:r>
                    <w:rPr>
                      <w:rFonts w:hint="default" w:ascii="Times New Roman" w:hAnsi="Times New Roman" w:cs="Times New Roman"/>
                      <w:color w:val="auto"/>
                    </w:rPr>
                    <w:t>数量（t/a）</w:t>
                  </w:r>
                </w:p>
              </w:tc>
            </w:tr>
            <w:tr w14:paraId="3F8034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1" w:hRule="atLeast"/>
                <w:jc w:val="center"/>
              </w:trPr>
              <w:tc>
                <w:tcPr>
                  <w:tcW w:w="1373" w:type="pct"/>
                  <w:tcBorders>
                    <w:tl2br w:val="nil"/>
                    <w:tr2bl w:val="nil"/>
                  </w:tcBorders>
                  <w:vAlign w:val="center"/>
                </w:tcPr>
                <w:p w14:paraId="2F2A5756">
                  <w:pPr>
                    <w:pStyle w:val="80"/>
                    <w:ind w:left="0" w:leftChars="0" w:right="0" w:rightChars="0" w:firstLine="0" w:firstLineChars="0"/>
                    <w:rPr>
                      <w:rFonts w:hint="default" w:ascii="Times New Roman" w:hAnsi="Times New Roman" w:cs="Times New Roman"/>
                      <w:color w:val="auto"/>
                    </w:rPr>
                  </w:pPr>
                  <w:r>
                    <w:rPr>
                      <w:rFonts w:hint="default" w:ascii="Times New Roman" w:hAnsi="Times New Roman" w:cs="Times New Roman"/>
                      <w:color w:val="auto"/>
                    </w:rPr>
                    <w:t>骨料</w:t>
                  </w:r>
                </w:p>
              </w:tc>
              <w:tc>
                <w:tcPr>
                  <w:tcW w:w="1018" w:type="pct"/>
                  <w:tcBorders>
                    <w:tl2br w:val="nil"/>
                    <w:tr2bl w:val="nil"/>
                  </w:tcBorders>
                  <w:vAlign w:val="center"/>
                </w:tcPr>
                <w:p w14:paraId="06655B28">
                  <w:pPr>
                    <w:pStyle w:val="80"/>
                    <w:ind w:left="0" w:leftChars="0" w:right="0" w:rightChars="0" w:firstLine="0" w:firstLineChars="0"/>
                    <w:rPr>
                      <w:rFonts w:hint="default" w:ascii="Times New Roman" w:hAnsi="Times New Roman" w:cs="Times New Roman"/>
                      <w:color w:val="auto"/>
                    </w:rPr>
                  </w:pPr>
                  <w:r>
                    <w:rPr>
                      <w:rFonts w:hint="default" w:ascii="Times New Roman" w:hAnsi="Times New Roman" w:cs="Times New Roman"/>
                      <w:color w:val="auto"/>
                    </w:rPr>
                    <w:t>46000</w:t>
                  </w:r>
                </w:p>
              </w:tc>
              <w:tc>
                <w:tcPr>
                  <w:tcW w:w="1770" w:type="pct"/>
                  <w:tcBorders>
                    <w:tl2br w:val="nil"/>
                    <w:tr2bl w:val="nil"/>
                  </w:tcBorders>
                </w:tcPr>
                <w:p w14:paraId="7966C9FF">
                  <w:pPr>
                    <w:pStyle w:val="80"/>
                    <w:rPr>
                      <w:rFonts w:hint="default" w:ascii="Times New Roman" w:hAnsi="Times New Roman" w:cs="Times New Roman"/>
                      <w:color w:val="auto"/>
                    </w:rPr>
                  </w:pPr>
                  <w:r>
                    <w:rPr>
                      <w:rFonts w:hint="default" w:ascii="Times New Roman" w:hAnsi="Times New Roman" w:cs="Times New Roman"/>
                      <w:color w:val="auto"/>
                    </w:rPr>
                    <w:t>沥青混凝土</w:t>
                  </w:r>
                </w:p>
              </w:tc>
              <w:tc>
                <w:tcPr>
                  <w:tcW w:w="838" w:type="pct"/>
                  <w:tcBorders>
                    <w:tl2br w:val="nil"/>
                    <w:tr2bl w:val="nil"/>
                  </w:tcBorders>
                </w:tcPr>
                <w:p w14:paraId="77602BE0">
                  <w:pPr>
                    <w:widowControl/>
                    <w:jc w:val="center"/>
                    <w:textAlignment w:val="top"/>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0"/>
                      <w:szCs w:val="21"/>
                      <w:lang w:val="en-US" w:eastAsia="zh-CN" w:bidi="ar"/>
                    </w:rPr>
                    <w:t>50909.17</w:t>
                  </w:r>
                </w:p>
              </w:tc>
            </w:tr>
            <w:tr w14:paraId="1EB40C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1373" w:type="pct"/>
                  <w:tcBorders>
                    <w:tl2br w:val="nil"/>
                    <w:tr2bl w:val="nil"/>
                  </w:tcBorders>
                  <w:vAlign w:val="center"/>
                </w:tcPr>
                <w:p w14:paraId="3469E8CA">
                  <w:pPr>
                    <w:pStyle w:val="80"/>
                    <w:rPr>
                      <w:rFonts w:hint="default" w:ascii="Times New Roman" w:hAnsi="Times New Roman" w:cs="Times New Roman"/>
                      <w:color w:val="auto"/>
                    </w:rPr>
                  </w:pPr>
                  <w:r>
                    <w:rPr>
                      <w:rFonts w:hint="default" w:ascii="Times New Roman" w:hAnsi="Times New Roman" w:cs="Times New Roman"/>
                      <w:color w:val="auto"/>
                    </w:rPr>
                    <w:t>矿粉</w:t>
                  </w:r>
                </w:p>
              </w:tc>
              <w:tc>
                <w:tcPr>
                  <w:tcW w:w="1018" w:type="pct"/>
                  <w:tcBorders>
                    <w:tl2br w:val="nil"/>
                    <w:tr2bl w:val="nil"/>
                  </w:tcBorders>
                  <w:vAlign w:val="center"/>
                </w:tcPr>
                <w:p w14:paraId="5E145743">
                  <w:pPr>
                    <w:pStyle w:val="80"/>
                    <w:rPr>
                      <w:rFonts w:hint="default" w:ascii="Times New Roman" w:hAnsi="Times New Roman" w:cs="Times New Roman"/>
                      <w:color w:val="auto"/>
                    </w:rPr>
                  </w:pPr>
                  <w:r>
                    <w:rPr>
                      <w:rFonts w:hint="default" w:ascii="Times New Roman" w:hAnsi="Times New Roman" w:cs="Times New Roman"/>
                      <w:color w:val="auto"/>
                    </w:rPr>
                    <w:t>3000</w:t>
                  </w:r>
                </w:p>
              </w:tc>
              <w:tc>
                <w:tcPr>
                  <w:tcW w:w="1770" w:type="pct"/>
                  <w:tcBorders>
                    <w:tl2br w:val="nil"/>
                    <w:tr2bl w:val="nil"/>
                  </w:tcBorders>
                  <w:shd w:val="clear" w:color="auto" w:fill="auto"/>
                  <w:vAlign w:val="center"/>
                </w:tcPr>
                <w:p w14:paraId="4D6482E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颗粒物</w:t>
                  </w:r>
                </w:p>
              </w:tc>
              <w:tc>
                <w:tcPr>
                  <w:tcW w:w="838" w:type="pct"/>
                  <w:tcBorders>
                    <w:tl2br w:val="nil"/>
                    <w:tr2bl w:val="nil"/>
                  </w:tcBorders>
                  <w:vAlign w:val="center"/>
                </w:tcPr>
                <w:p w14:paraId="23FF92EB">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0.7</w:t>
                  </w:r>
                </w:p>
              </w:tc>
            </w:tr>
            <w:tr w14:paraId="13F82D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1373" w:type="pct"/>
                  <w:tcBorders>
                    <w:tl2br w:val="nil"/>
                    <w:tr2bl w:val="nil"/>
                  </w:tcBorders>
                  <w:shd w:val="clear" w:color="auto" w:fill="auto"/>
                  <w:vAlign w:val="center"/>
                </w:tcPr>
                <w:p w14:paraId="53F29E85">
                  <w:pPr>
                    <w:pStyle w:val="8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石油沥青</w:t>
                  </w:r>
                </w:p>
              </w:tc>
              <w:tc>
                <w:tcPr>
                  <w:tcW w:w="1018" w:type="pct"/>
                  <w:tcBorders>
                    <w:tl2br w:val="nil"/>
                    <w:tr2bl w:val="nil"/>
                  </w:tcBorders>
                  <w:shd w:val="clear" w:color="auto" w:fill="auto"/>
                  <w:vAlign w:val="center"/>
                </w:tcPr>
                <w:p w14:paraId="5C5A1573">
                  <w:pPr>
                    <w:pStyle w:val="8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2000</w:t>
                  </w:r>
                </w:p>
              </w:tc>
              <w:tc>
                <w:tcPr>
                  <w:tcW w:w="1770" w:type="pct"/>
                  <w:tcBorders>
                    <w:tl2br w:val="nil"/>
                    <w:tr2bl w:val="nil"/>
                  </w:tcBorders>
                  <w:shd w:val="clear" w:color="auto" w:fill="auto"/>
                  <w:vAlign w:val="center"/>
                </w:tcPr>
                <w:p w14:paraId="5E1F2DD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838" w:type="pct"/>
                  <w:tcBorders>
                    <w:tl2br w:val="nil"/>
                    <w:tr2bl w:val="nil"/>
                  </w:tcBorders>
                  <w:vAlign w:val="center"/>
                </w:tcPr>
                <w:p w14:paraId="2E9E4A39">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0.2</w:t>
                  </w:r>
                </w:p>
              </w:tc>
            </w:tr>
            <w:tr w14:paraId="242EA3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1373" w:type="pct"/>
                  <w:tcBorders>
                    <w:tl2br w:val="nil"/>
                    <w:tr2bl w:val="nil"/>
                  </w:tcBorders>
                  <w:vAlign w:val="center"/>
                </w:tcPr>
                <w:p w14:paraId="3956B4B2">
                  <w:pPr>
                    <w:pStyle w:val="80"/>
                    <w:rPr>
                      <w:rFonts w:hint="default" w:ascii="Times New Roman" w:hAnsi="Times New Roman" w:cs="Times New Roman"/>
                      <w:color w:val="auto"/>
                    </w:rPr>
                  </w:pPr>
                </w:p>
              </w:tc>
              <w:tc>
                <w:tcPr>
                  <w:tcW w:w="1018" w:type="pct"/>
                  <w:tcBorders>
                    <w:tl2br w:val="nil"/>
                    <w:tr2bl w:val="nil"/>
                  </w:tcBorders>
                  <w:vAlign w:val="center"/>
                </w:tcPr>
                <w:p w14:paraId="51DE03EA">
                  <w:pPr>
                    <w:pStyle w:val="80"/>
                    <w:rPr>
                      <w:rFonts w:hint="default" w:ascii="Times New Roman" w:hAnsi="Times New Roman" w:cs="Times New Roman"/>
                      <w:color w:val="auto"/>
                    </w:rPr>
                  </w:pPr>
                </w:p>
              </w:tc>
              <w:tc>
                <w:tcPr>
                  <w:tcW w:w="1770" w:type="pct"/>
                  <w:tcBorders>
                    <w:tl2br w:val="nil"/>
                    <w:tr2bl w:val="nil"/>
                  </w:tcBorders>
                  <w:shd w:val="clear" w:color="auto" w:fill="auto"/>
                  <w:vAlign w:val="center"/>
                </w:tcPr>
                <w:p w14:paraId="081794A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NOx</w:t>
                  </w:r>
                </w:p>
              </w:tc>
              <w:tc>
                <w:tcPr>
                  <w:tcW w:w="838" w:type="pct"/>
                  <w:tcBorders>
                    <w:tl2br w:val="nil"/>
                    <w:tr2bl w:val="nil"/>
                  </w:tcBorders>
                  <w:vAlign w:val="center"/>
                </w:tcPr>
                <w:p w14:paraId="6744338C">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0.4</w:t>
                  </w:r>
                </w:p>
              </w:tc>
            </w:tr>
            <w:tr w14:paraId="742824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1373" w:type="pct"/>
                  <w:tcBorders>
                    <w:tl2br w:val="nil"/>
                    <w:tr2bl w:val="nil"/>
                  </w:tcBorders>
                  <w:vAlign w:val="center"/>
                </w:tcPr>
                <w:p w14:paraId="3AFECDD3">
                  <w:pPr>
                    <w:pStyle w:val="80"/>
                    <w:rPr>
                      <w:rFonts w:hint="default" w:ascii="Times New Roman" w:hAnsi="Times New Roman" w:cs="Times New Roman"/>
                      <w:color w:val="auto"/>
                    </w:rPr>
                  </w:pPr>
                </w:p>
              </w:tc>
              <w:tc>
                <w:tcPr>
                  <w:tcW w:w="1018" w:type="pct"/>
                  <w:tcBorders>
                    <w:tl2br w:val="nil"/>
                    <w:tr2bl w:val="nil"/>
                  </w:tcBorders>
                  <w:vAlign w:val="center"/>
                </w:tcPr>
                <w:p w14:paraId="5274A7D5">
                  <w:pPr>
                    <w:pStyle w:val="80"/>
                    <w:rPr>
                      <w:rFonts w:hint="default" w:ascii="Times New Roman" w:hAnsi="Times New Roman" w:cs="Times New Roman"/>
                      <w:color w:val="auto"/>
                    </w:rPr>
                  </w:pPr>
                </w:p>
              </w:tc>
              <w:tc>
                <w:tcPr>
                  <w:tcW w:w="1770" w:type="pct"/>
                  <w:tcBorders>
                    <w:tl2br w:val="nil"/>
                    <w:tr2bl w:val="nil"/>
                  </w:tcBorders>
                  <w:shd w:val="clear" w:color="auto" w:fill="auto"/>
                  <w:vAlign w:val="center"/>
                </w:tcPr>
                <w:p w14:paraId="14ED035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沥青烟</w:t>
                  </w:r>
                </w:p>
              </w:tc>
              <w:tc>
                <w:tcPr>
                  <w:tcW w:w="838" w:type="pct"/>
                  <w:tcBorders>
                    <w:tl2br w:val="nil"/>
                    <w:tr2bl w:val="nil"/>
                  </w:tcBorders>
                  <w:vAlign w:val="center"/>
                </w:tcPr>
                <w:p w14:paraId="13D49C84">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0.02</w:t>
                  </w:r>
                </w:p>
              </w:tc>
            </w:tr>
            <w:tr w14:paraId="2D6505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1373" w:type="pct"/>
                  <w:tcBorders>
                    <w:tl2br w:val="nil"/>
                    <w:tr2bl w:val="nil"/>
                  </w:tcBorders>
                  <w:vAlign w:val="center"/>
                </w:tcPr>
                <w:p w14:paraId="0E385DE3">
                  <w:pPr>
                    <w:pStyle w:val="80"/>
                    <w:rPr>
                      <w:rFonts w:hint="default" w:ascii="Times New Roman" w:hAnsi="Times New Roman" w:cs="Times New Roman"/>
                      <w:color w:val="auto"/>
                    </w:rPr>
                  </w:pPr>
                </w:p>
              </w:tc>
              <w:tc>
                <w:tcPr>
                  <w:tcW w:w="1018" w:type="pct"/>
                  <w:tcBorders>
                    <w:tl2br w:val="nil"/>
                    <w:tr2bl w:val="nil"/>
                  </w:tcBorders>
                  <w:vAlign w:val="center"/>
                </w:tcPr>
                <w:p w14:paraId="5C3608D2">
                  <w:pPr>
                    <w:pStyle w:val="80"/>
                    <w:rPr>
                      <w:rFonts w:hint="default" w:ascii="Times New Roman" w:hAnsi="Times New Roman" w:cs="Times New Roman"/>
                      <w:color w:val="auto"/>
                    </w:rPr>
                  </w:pPr>
                </w:p>
              </w:tc>
              <w:tc>
                <w:tcPr>
                  <w:tcW w:w="1770" w:type="pct"/>
                  <w:tcBorders>
                    <w:tl2br w:val="nil"/>
                    <w:tr2bl w:val="nil"/>
                  </w:tcBorders>
                  <w:shd w:val="clear" w:color="auto" w:fill="auto"/>
                  <w:vAlign w:val="center"/>
                </w:tcPr>
                <w:p w14:paraId="1FFC8AC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苯并[a]芘</w:t>
                  </w:r>
                </w:p>
              </w:tc>
              <w:tc>
                <w:tcPr>
                  <w:tcW w:w="838" w:type="pct"/>
                  <w:tcBorders>
                    <w:tl2br w:val="nil"/>
                    <w:tr2bl w:val="nil"/>
                  </w:tcBorders>
                  <w:vAlign w:val="center"/>
                </w:tcPr>
                <w:p w14:paraId="4945F10B">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3.067</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w:t>
                  </w:r>
                  <w:r>
                    <w:rPr>
                      <w:rFonts w:hint="default" w:ascii="Times New Roman" w:hAnsi="Times New Roman" w:eastAsia="宋体" w:cs="Times New Roman"/>
                      <w:i w:val="0"/>
                      <w:iCs w:val="0"/>
                      <w:color w:val="auto"/>
                      <w:kern w:val="0"/>
                      <w:sz w:val="21"/>
                      <w:szCs w:val="21"/>
                      <w:u w:val="none"/>
                      <w:vertAlign w:val="superscript"/>
                      <w:lang w:val="en-US" w:eastAsia="zh-CN" w:bidi="ar"/>
                    </w:rPr>
                    <w:t>7</w:t>
                  </w:r>
                </w:p>
              </w:tc>
            </w:tr>
            <w:tr w14:paraId="38A00A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1373" w:type="pct"/>
                  <w:tcBorders>
                    <w:tl2br w:val="nil"/>
                    <w:tr2bl w:val="nil"/>
                  </w:tcBorders>
                  <w:vAlign w:val="center"/>
                </w:tcPr>
                <w:p w14:paraId="24470D85">
                  <w:pPr>
                    <w:pStyle w:val="80"/>
                    <w:rPr>
                      <w:rFonts w:hint="default" w:ascii="Times New Roman" w:hAnsi="Times New Roman" w:cs="Times New Roman"/>
                      <w:color w:val="auto"/>
                    </w:rPr>
                  </w:pPr>
                </w:p>
              </w:tc>
              <w:tc>
                <w:tcPr>
                  <w:tcW w:w="1018" w:type="pct"/>
                  <w:tcBorders>
                    <w:tl2br w:val="nil"/>
                    <w:tr2bl w:val="nil"/>
                  </w:tcBorders>
                  <w:vAlign w:val="center"/>
                </w:tcPr>
                <w:p w14:paraId="48B95752">
                  <w:pPr>
                    <w:pStyle w:val="80"/>
                    <w:rPr>
                      <w:rFonts w:hint="default" w:ascii="Times New Roman" w:hAnsi="Times New Roman" w:cs="Times New Roman"/>
                      <w:color w:val="auto"/>
                    </w:rPr>
                  </w:pPr>
                </w:p>
              </w:tc>
              <w:tc>
                <w:tcPr>
                  <w:tcW w:w="1770" w:type="pct"/>
                  <w:tcBorders>
                    <w:tl2br w:val="nil"/>
                    <w:tr2bl w:val="nil"/>
                  </w:tcBorders>
                  <w:shd w:val="clear" w:color="auto" w:fill="auto"/>
                  <w:vAlign w:val="center"/>
                </w:tcPr>
                <w:p w14:paraId="715CCA0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VOCs（以非甲烷总烃计）</w:t>
                  </w:r>
                </w:p>
              </w:tc>
              <w:tc>
                <w:tcPr>
                  <w:tcW w:w="838" w:type="pct"/>
                  <w:tcBorders>
                    <w:tl2br w:val="nil"/>
                    <w:tr2bl w:val="nil"/>
                  </w:tcBorders>
                  <w:vAlign w:val="center"/>
                </w:tcPr>
                <w:p w14:paraId="79B6A729">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0.01</w:t>
                  </w:r>
                </w:p>
              </w:tc>
            </w:tr>
            <w:tr w14:paraId="42C3FE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1373" w:type="pct"/>
                  <w:tcBorders>
                    <w:tl2br w:val="nil"/>
                    <w:tr2bl w:val="nil"/>
                  </w:tcBorders>
                  <w:vAlign w:val="center"/>
                </w:tcPr>
                <w:p w14:paraId="7C5151A2">
                  <w:pPr>
                    <w:pStyle w:val="80"/>
                    <w:rPr>
                      <w:rFonts w:hint="default" w:ascii="Times New Roman" w:hAnsi="Times New Roman" w:cs="Times New Roman"/>
                      <w:color w:val="auto"/>
                    </w:rPr>
                  </w:pPr>
                </w:p>
              </w:tc>
              <w:tc>
                <w:tcPr>
                  <w:tcW w:w="1018" w:type="pct"/>
                  <w:tcBorders>
                    <w:tl2br w:val="nil"/>
                    <w:tr2bl w:val="nil"/>
                  </w:tcBorders>
                  <w:vAlign w:val="center"/>
                </w:tcPr>
                <w:p w14:paraId="56B5B5B4">
                  <w:pPr>
                    <w:pStyle w:val="80"/>
                    <w:rPr>
                      <w:rFonts w:hint="default" w:ascii="Times New Roman" w:hAnsi="Times New Roman" w:cs="Times New Roman"/>
                      <w:color w:val="auto"/>
                    </w:rPr>
                  </w:pPr>
                </w:p>
              </w:tc>
              <w:tc>
                <w:tcPr>
                  <w:tcW w:w="1770" w:type="pct"/>
                  <w:tcBorders>
                    <w:tl2br w:val="nil"/>
                    <w:tr2bl w:val="nil"/>
                  </w:tcBorders>
                  <w:vAlign w:val="center"/>
                </w:tcPr>
                <w:p w14:paraId="14088BFE">
                  <w:pPr>
                    <w:pStyle w:val="80"/>
                    <w:rPr>
                      <w:rFonts w:hint="default" w:ascii="Times New Roman" w:hAnsi="Times New Roman" w:cs="Times New Roman"/>
                      <w:color w:val="auto"/>
                    </w:rPr>
                  </w:pPr>
                  <w:r>
                    <w:rPr>
                      <w:rFonts w:hint="default" w:ascii="Times New Roman" w:hAnsi="Times New Roman" w:cs="Times New Roman"/>
                      <w:color w:val="auto"/>
                    </w:rPr>
                    <w:t>除尘器收尘</w:t>
                  </w:r>
                </w:p>
              </w:tc>
              <w:tc>
                <w:tcPr>
                  <w:tcW w:w="838" w:type="pct"/>
                  <w:tcBorders>
                    <w:tl2br w:val="nil"/>
                    <w:tr2bl w:val="nil"/>
                  </w:tcBorders>
                  <w:vAlign w:val="center"/>
                </w:tcPr>
                <w:p w14:paraId="26EF3B55">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28.5</w:t>
                  </w:r>
                </w:p>
              </w:tc>
            </w:tr>
            <w:tr w14:paraId="626CA7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1" w:hRule="atLeast"/>
                <w:jc w:val="center"/>
              </w:trPr>
              <w:tc>
                <w:tcPr>
                  <w:tcW w:w="1373" w:type="pct"/>
                  <w:tcBorders>
                    <w:tl2br w:val="nil"/>
                    <w:tr2bl w:val="nil"/>
                  </w:tcBorders>
                  <w:vAlign w:val="center"/>
                </w:tcPr>
                <w:p w14:paraId="73FCC272">
                  <w:pPr>
                    <w:pStyle w:val="80"/>
                    <w:rPr>
                      <w:rFonts w:hint="default" w:ascii="Times New Roman" w:hAnsi="Times New Roman" w:cs="Times New Roman"/>
                      <w:color w:val="auto"/>
                    </w:rPr>
                  </w:pPr>
                </w:p>
              </w:tc>
              <w:tc>
                <w:tcPr>
                  <w:tcW w:w="1018" w:type="pct"/>
                  <w:tcBorders>
                    <w:tl2br w:val="nil"/>
                    <w:tr2bl w:val="nil"/>
                  </w:tcBorders>
                  <w:vAlign w:val="center"/>
                </w:tcPr>
                <w:p w14:paraId="42BC8547">
                  <w:pPr>
                    <w:tabs>
                      <w:tab w:val="left" w:pos="1134"/>
                    </w:tabs>
                    <w:jc w:val="center"/>
                    <w:rPr>
                      <w:rFonts w:hint="default" w:ascii="Times New Roman" w:hAnsi="Times New Roman" w:cs="Times New Roman"/>
                      <w:color w:val="auto"/>
                      <w:szCs w:val="21"/>
                    </w:rPr>
                  </w:pPr>
                </w:p>
              </w:tc>
              <w:tc>
                <w:tcPr>
                  <w:tcW w:w="1770" w:type="pct"/>
                  <w:tcBorders>
                    <w:tl2br w:val="nil"/>
                    <w:tr2bl w:val="nil"/>
                  </w:tcBorders>
                  <w:vAlign w:val="center"/>
                </w:tcPr>
                <w:p w14:paraId="5551C3FE">
                  <w:pPr>
                    <w:pStyle w:val="80"/>
                    <w:rPr>
                      <w:rFonts w:hint="default" w:ascii="Times New Roman" w:hAnsi="Times New Roman" w:cs="Times New Roman"/>
                      <w:color w:val="auto"/>
                    </w:rPr>
                  </w:pPr>
                  <w:r>
                    <w:rPr>
                      <w:rFonts w:hint="default" w:ascii="Times New Roman" w:hAnsi="Times New Roman" w:cs="Times New Roman"/>
                      <w:color w:val="auto"/>
                    </w:rPr>
                    <w:t>沉淀池沉渣</w:t>
                  </w:r>
                </w:p>
              </w:tc>
              <w:tc>
                <w:tcPr>
                  <w:tcW w:w="838" w:type="pct"/>
                  <w:tcBorders>
                    <w:tl2br w:val="nil"/>
                    <w:tr2bl w:val="nil"/>
                  </w:tcBorders>
                  <w:vAlign w:val="center"/>
                </w:tcPr>
                <w:p w14:paraId="3CD8C0E3">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10</w:t>
                  </w:r>
                </w:p>
              </w:tc>
            </w:tr>
            <w:tr w14:paraId="26FE9D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1" w:hRule="atLeast"/>
                <w:jc w:val="center"/>
              </w:trPr>
              <w:tc>
                <w:tcPr>
                  <w:tcW w:w="1373" w:type="pct"/>
                  <w:tcBorders>
                    <w:tl2br w:val="nil"/>
                    <w:tr2bl w:val="nil"/>
                  </w:tcBorders>
                  <w:vAlign w:val="center"/>
                </w:tcPr>
                <w:p w14:paraId="7D6657F8">
                  <w:pPr>
                    <w:pStyle w:val="80"/>
                    <w:rPr>
                      <w:rFonts w:hint="default" w:ascii="Times New Roman" w:hAnsi="Times New Roman" w:cs="Times New Roman"/>
                      <w:color w:val="auto"/>
                    </w:rPr>
                  </w:pPr>
                </w:p>
              </w:tc>
              <w:tc>
                <w:tcPr>
                  <w:tcW w:w="1018" w:type="pct"/>
                  <w:tcBorders>
                    <w:tl2br w:val="nil"/>
                    <w:tr2bl w:val="nil"/>
                  </w:tcBorders>
                  <w:vAlign w:val="center"/>
                </w:tcPr>
                <w:p w14:paraId="5A49B88F">
                  <w:pPr>
                    <w:tabs>
                      <w:tab w:val="left" w:pos="1134"/>
                    </w:tabs>
                    <w:jc w:val="center"/>
                    <w:rPr>
                      <w:rFonts w:hint="default" w:ascii="Times New Roman" w:hAnsi="Times New Roman" w:cs="Times New Roman"/>
                      <w:color w:val="auto"/>
                      <w:szCs w:val="21"/>
                    </w:rPr>
                  </w:pPr>
                </w:p>
              </w:tc>
              <w:tc>
                <w:tcPr>
                  <w:tcW w:w="1770" w:type="pct"/>
                  <w:tcBorders>
                    <w:tl2br w:val="nil"/>
                    <w:tr2bl w:val="nil"/>
                  </w:tcBorders>
                  <w:vAlign w:val="center"/>
                </w:tcPr>
                <w:p w14:paraId="593A1C57">
                  <w:pPr>
                    <w:pStyle w:val="80"/>
                    <w:rPr>
                      <w:rFonts w:hint="default" w:ascii="Times New Roman" w:hAnsi="Times New Roman" w:cs="Times New Roman"/>
                      <w:color w:val="auto"/>
                    </w:rPr>
                  </w:pPr>
                  <w:r>
                    <w:rPr>
                      <w:rFonts w:hint="default" w:ascii="Times New Roman" w:hAnsi="Times New Roman" w:cs="Times New Roman"/>
                      <w:color w:val="auto"/>
                    </w:rPr>
                    <w:t>振筛分选的不合格碎石</w:t>
                  </w:r>
                </w:p>
              </w:tc>
              <w:tc>
                <w:tcPr>
                  <w:tcW w:w="838" w:type="pct"/>
                  <w:tcBorders>
                    <w:tl2br w:val="nil"/>
                    <w:tr2bl w:val="nil"/>
                  </w:tcBorders>
                  <w:vAlign w:val="center"/>
                </w:tcPr>
                <w:p w14:paraId="255E2001">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46</w:t>
                  </w:r>
                </w:p>
              </w:tc>
            </w:tr>
            <w:tr w14:paraId="5DB30C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1" w:hRule="atLeast"/>
                <w:jc w:val="center"/>
              </w:trPr>
              <w:tc>
                <w:tcPr>
                  <w:tcW w:w="1373" w:type="pct"/>
                  <w:tcBorders>
                    <w:tl2br w:val="nil"/>
                    <w:tr2bl w:val="nil"/>
                  </w:tcBorders>
                  <w:vAlign w:val="center"/>
                </w:tcPr>
                <w:p w14:paraId="10ED4139">
                  <w:pPr>
                    <w:pStyle w:val="80"/>
                    <w:rPr>
                      <w:rFonts w:hint="default" w:ascii="Times New Roman" w:hAnsi="Times New Roman" w:cs="Times New Roman"/>
                      <w:color w:val="auto"/>
                    </w:rPr>
                  </w:pPr>
                </w:p>
              </w:tc>
              <w:tc>
                <w:tcPr>
                  <w:tcW w:w="1018" w:type="pct"/>
                  <w:tcBorders>
                    <w:tl2br w:val="nil"/>
                    <w:tr2bl w:val="nil"/>
                  </w:tcBorders>
                  <w:vAlign w:val="center"/>
                </w:tcPr>
                <w:p w14:paraId="78EBD5A3">
                  <w:pPr>
                    <w:tabs>
                      <w:tab w:val="left" w:pos="1134"/>
                    </w:tabs>
                    <w:jc w:val="center"/>
                    <w:rPr>
                      <w:rFonts w:hint="default" w:ascii="Times New Roman" w:hAnsi="Times New Roman" w:cs="Times New Roman"/>
                      <w:color w:val="auto"/>
                      <w:szCs w:val="21"/>
                    </w:rPr>
                  </w:pPr>
                </w:p>
              </w:tc>
              <w:tc>
                <w:tcPr>
                  <w:tcW w:w="1770" w:type="pct"/>
                  <w:tcBorders>
                    <w:tl2br w:val="nil"/>
                    <w:tr2bl w:val="nil"/>
                  </w:tcBorders>
                  <w:shd w:val="clear" w:color="auto" w:fill="auto"/>
                  <w:vAlign w:val="center"/>
                </w:tcPr>
                <w:p w14:paraId="0A6FB552">
                  <w:pPr>
                    <w:pStyle w:val="8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不合格产品</w:t>
                  </w:r>
                </w:p>
              </w:tc>
              <w:tc>
                <w:tcPr>
                  <w:tcW w:w="838" w:type="pct"/>
                  <w:tcBorders>
                    <w:tl2br w:val="nil"/>
                    <w:tr2bl w:val="nil"/>
                  </w:tcBorders>
                  <w:shd w:val="clear" w:color="auto" w:fill="auto"/>
                  <w:vAlign w:val="center"/>
                </w:tcPr>
                <w:p w14:paraId="7A8BBBD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r>
            <w:tr w14:paraId="59850E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1373" w:type="pct"/>
                  <w:tcBorders>
                    <w:tl2br w:val="nil"/>
                    <w:tr2bl w:val="nil"/>
                  </w:tcBorders>
                  <w:vAlign w:val="center"/>
                </w:tcPr>
                <w:p w14:paraId="3DFFD5B9">
                  <w:pPr>
                    <w:pStyle w:val="80"/>
                    <w:rPr>
                      <w:rFonts w:hint="default" w:ascii="Times New Roman" w:hAnsi="Times New Roman" w:cs="Times New Roman"/>
                      <w:color w:val="auto"/>
                    </w:rPr>
                  </w:pPr>
                  <w:r>
                    <w:rPr>
                      <w:rFonts w:hint="default" w:ascii="Times New Roman" w:hAnsi="Times New Roman" w:cs="Times New Roman"/>
                      <w:color w:val="auto"/>
                    </w:rPr>
                    <w:t>合计</w:t>
                  </w:r>
                </w:p>
              </w:tc>
              <w:tc>
                <w:tcPr>
                  <w:tcW w:w="1018" w:type="pct"/>
                  <w:tcBorders>
                    <w:tl2br w:val="nil"/>
                    <w:tr2bl w:val="nil"/>
                  </w:tcBorders>
                  <w:vAlign w:val="center"/>
                </w:tcPr>
                <w:p w14:paraId="1AB6E789">
                  <w:pPr>
                    <w:pStyle w:val="80"/>
                    <w:rPr>
                      <w:rFonts w:hint="default" w:ascii="Times New Roman" w:hAnsi="Times New Roman" w:cs="Times New Roman"/>
                      <w:color w:val="auto"/>
                    </w:rPr>
                  </w:pPr>
                  <w:r>
                    <w:rPr>
                      <w:rFonts w:hint="default" w:ascii="Times New Roman" w:hAnsi="Times New Roman" w:cs="Times New Roman"/>
                      <w:color w:val="auto"/>
                    </w:rPr>
                    <w:t>51000</w:t>
                  </w:r>
                </w:p>
              </w:tc>
              <w:tc>
                <w:tcPr>
                  <w:tcW w:w="1770" w:type="pct"/>
                  <w:tcBorders>
                    <w:tl2br w:val="nil"/>
                    <w:tr2bl w:val="nil"/>
                  </w:tcBorders>
                  <w:vAlign w:val="center"/>
                </w:tcPr>
                <w:p w14:paraId="75DD37A0">
                  <w:pPr>
                    <w:pStyle w:val="80"/>
                    <w:rPr>
                      <w:rFonts w:hint="default" w:ascii="Times New Roman" w:hAnsi="Times New Roman" w:cs="Times New Roman"/>
                      <w:color w:val="auto"/>
                    </w:rPr>
                  </w:pPr>
                  <w:r>
                    <w:rPr>
                      <w:rFonts w:hint="default" w:ascii="Times New Roman" w:hAnsi="Times New Roman" w:cs="Times New Roman"/>
                      <w:color w:val="auto"/>
                    </w:rPr>
                    <w:t>合计</w:t>
                  </w:r>
                </w:p>
              </w:tc>
              <w:tc>
                <w:tcPr>
                  <w:tcW w:w="838" w:type="pct"/>
                  <w:tcBorders>
                    <w:tl2br w:val="nil"/>
                    <w:tr2bl w:val="nil"/>
                  </w:tcBorders>
                  <w:vAlign w:val="center"/>
                </w:tcPr>
                <w:p w14:paraId="42ABF28E">
                  <w:pPr>
                    <w:pStyle w:val="80"/>
                    <w:rPr>
                      <w:rFonts w:hint="default" w:ascii="Times New Roman" w:hAnsi="Times New Roman" w:cs="Times New Roman"/>
                      <w:color w:val="auto"/>
                    </w:rPr>
                  </w:pPr>
                  <w:r>
                    <w:rPr>
                      <w:rFonts w:hint="default" w:ascii="Times New Roman" w:hAnsi="Times New Roman" w:cs="Times New Roman"/>
                      <w:color w:val="auto"/>
                    </w:rPr>
                    <w:t>51000</w:t>
                  </w:r>
                </w:p>
              </w:tc>
            </w:tr>
          </w:tbl>
          <w:p w14:paraId="719DDDCF">
            <w:pPr>
              <w:pStyle w:val="5"/>
              <w:spacing w:before="48" w:after="48"/>
              <w:ind w:firstLine="482"/>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r>
              <w:rPr>
                <w:rFonts w:hint="default" w:ascii="Times New Roman" w:hAnsi="Times New Roman" w:cs="Times New Roman"/>
                <w:color w:val="auto"/>
                <w:lang w:val="en-US" w:eastAsia="zh-CN"/>
              </w:rPr>
              <w:t>2</w:t>
            </w:r>
            <w:r>
              <w:rPr>
                <w:rFonts w:hint="default" w:ascii="Times New Roman" w:hAnsi="Times New Roman" w:eastAsia="宋体" w:cs="Times New Roman"/>
                <w:color w:val="auto"/>
              </w:rPr>
              <w:t>）乳化沥青</w:t>
            </w:r>
            <w:r>
              <w:rPr>
                <w:rFonts w:hint="default" w:ascii="Times New Roman" w:hAnsi="Times New Roman" w:eastAsia="宋体" w:cs="Times New Roman"/>
                <w:color w:val="auto"/>
                <w:lang w:val="en-US" w:eastAsia="zh-CN"/>
              </w:rPr>
              <w:t>生产线</w:t>
            </w:r>
          </w:p>
          <w:p w14:paraId="6A590B30">
            <w:pPr>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0"/>
                <w:szCs w:val="20"/>
                <w:lang w:val="en-US" w:eastAsia="zh-CN" w:bidi="ar-SA"/>
              </w:rPr>
              <w:t>表2-6 项目乳化沥青物料平衡表</w:t>
            </w:r>
          </w:p>
          <w:tbl>
            <w:tblPr>
              <w:tblStyle w:val="29"/>
              <w:tblW w:w="498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432"/>
              <w:gridCol w:w="1809"/>
              <w:gridCol w:w="3146"/>
              <w:gridCol w:w="1488"/>
            </w:tblGrid>
            <w:tr w14:paraId="2DCA53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6" w:hRule="atLeast"/>
                <w:jc w:val="center"/>
              </w:trPr>
              <w:tc>
                <w:tcPr>
                  <w:tcW w:w="2389" w:type="pct"/>
                  <w:gridSpan w:val="2"/>
                  <w:tcBorders>
                    <w:tl2br w:val="nil"/>
                    <w:tr2bl w:val="nil"/>
                  </w:tcBorders>
                  <w:shd w:val="clear" w:color="auto" w:fill="auto"/>
                  <w:noWrap w:val="0"/>
                  <w:vAlign w:val="top"/>
                </w:tcPr>
                <w:p w14:paraId="242FA27A">
                  <w:pPr>
                    <w:pStyle w:val="112"/>
                    <w:overflowPunct w:val="0"/>
                    <w:spacing w:beforeLines="0" w:afterLines="0"/>
                    <w:ind w:left="2" w:leftChars="0"/>
                    <w:jc w:val="center"/>
                    <w:rPr>
                      <w:rFonts w:hint="default" w:ascii="Times New Roman" w:hAnsi="Times New Roman" w:eastAsia="Times New Roman" w:cs="Times New Roman"/>
                      <w:color w:val="auto"/>
                      <w:kern w:val="2"/>
                      <w:sz w:val="21"/>
                      <w:szCs w:val="22"/>
                      <w:lang w:val="zh-CN" w:eastAsia="zh-CN" w:bidi="zh-CN"/>
                    </w:rPr>
                  </w:pPr>
                  <w:r>
                    <w:rPr>
                      <w:rFonts w:hint="default" w:ascii="Times New Roman" w:hAnsi="Times New Roman" w:eastAsia="宋体" w:cs="Times New Roman"/>
                      <w:b/>
                      <w:color w:val="auto"/>
                      <w:sz w:val="21"/>
                    </w:rPr>
                    <w:t>投入物料</w:t>
                  </w:r>
                </w:p>
              </w:tc>
              <w:tc>
                <w:tcPr>
                  <w:tcW w:w="2610" w:type="pct"/>
                  <w:gridSpan w:val="2"/>
                  <w:tcBorders>
                    <w:tl2br w:val="nil"/>
                    <w:tr2bl w:val="nil"/>
                  </w:tcBorders>
                  <w:shd w:val="clear" w:color="auto" w:fill="auto"/>
                  <w:noWrap w:val="0"/>
                  <w:vAlign w:val="top"/>
                </w:tcPr>
                <w:p w14:paraId="387FE1A3">
                  <w:pPr>
                    <w:pStyle w:val="112"/>
                    <w:overflowPunct w:val="0"/>
                    <w:spacing w:beforeLines="0" w:afterLines="0"/>
                    <w:jc w:val="center"/>
                    <w:rPr>
                      <w:rFonts w:hint="default" w:ascii="Times New Roman" w:hAnsi="Times New Roman" w:eastAsia="Times New Roman" w:cs="Times New Roman"/>
                      <w:color w:val="auto"/>
                      <w:kern w:val="2"/>
                      <w:sz w:val="21"/>
                      <w:szCs w:val="22"/>
                      <w:lang w:val="zh-CN" w:eastAsia="zh-CN" w:bidi="zh-CN"/>
                    </w:rPr>
                  </w:pPr>
                  <w:r>
                    <w:rPr>
                      <w:rFonts w:hint="default" w:ascii="Times New Roman" w:hAnsi="Times New Roman" w:eastAsia="宋体" w:cs="Times New Roman"/>
                      <w:b/>
                      <w:color w:val="auto"/>
                      <w:sz w:val="21"/>
                    </w:rPr>
                    <w:t>产出物料</w:t>
                  </w:r>
                </w:p>
              </w:tc>
            </w:tr>
            <w:tr w14:paraId="604032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1370" w:type="pct"/>
                  <w:tcBorders>
                    <w:tl2br w:val="nil"/>
                    <w:tr2bl w:val="nil"/>
                  </w:tcBorders>
                  <w:noWrap w:val="0"/>
                  <w:vAlign w:val="top"/>
                </w:tcPr>
                <w:p w14:paraId="24222162">
                  <w:pPr>
                    <w:pStyle w:val="80"/>
                    <w:rPr>
                      <w:rFonts w:hint="default" w:ascii="Times New Roman" w:hAnsi="Times New Roman" w:eastAsia="宋体" w:cs="Times New Roman"/>
                      <w:color w:val="auto"/>
                    </w:rPr>
                  </w:pPr>
                  <w:r>
                    <w:rPr>
                      <w:rFonts w:hint="default" w:ascii="Times New Roman" w:hAnsi="Times New Roman" w:eastAsia="宋体" w:cs="Times New Roman"/>
                      <w:color w:val="auto"/>
                    </w:rPr>
                    <w:t>项目</w:t>
                  </w:r>
                </w:p>
              </w:tc>
              <w:tc>
                <w:tcPr>
                  <w:tcW w:w="1019" w:type="pct"/>
                  <w:tcBorders>
                    <w:tl2br w:val="nil"/>
                    <w:tr2bl w:val="nil"/>
                  </w:tcBorders>
                  <w:noWrap w:val="0"/>
                  <w:vAlign w:val="top"/>
                </w:tcPr>
                <w:p w14:paraId="23A53F76">
                  <w:pPr>
                    <w:pStyle w:val="80"/>
                    <w:rPr>
                      <w:rFonts w:hint="default" w:ascii="Times New Roman" w:hAnsi="Times New Roman" w:eastAsia="宋体" w:cs="Times New Roman"/>
                      <w:color w:val="auto"/>
                    </w:rPr>
                  </w:pPr>
                  <w:r>
                    <w:rPr>
                      <w:rFonts w:hint="default" w:ascii="Times New Roman" w:hAnsi="Times New Roman" w:eastAsia="宋体" w:cs="Times New Roman"/>
                      <w:color w:val="auto"/>
                    </w:rPr>
                    <w:t>数量（t/a）</w:t>
                  </w:r>
                </w:p>
              </w:tc>
              <w:tc>
                <w:tcPr>
                  <w:tcW w:w="1772" w:type="pct"/>
                  <w:tcBorders>
                    <w:tl2br w:val="nil"/>
                    <w:tr2bl w:val="nil"/>
                  </w:tcBorders>
                  <w:noWrap w:val="0"/>
                  <w:vAlign w:val="top"/>
                </w:tcPr>
                <w:p w14:paraId="68379CE0">
                  <w:pPr>
                    <w:pStyle w:val="80"/>
                    <w:rPr>
                      <w:rFonts w:hint="default" w:ascii="Times New Roman" w:hAnsi="Times New Roman" w:eastAsia="宋体" w:cs="Times New Roman"/>
                      <w:color w:val="auto"/>
                    </w:rPr>
                  </w:pPr>
                  <w:r>
                    <w:rPr>
                      <w:rFonts w:hint="default" w:ascii="Times New Roman" w:hAnsi="Times New Roman" w:eastAsia="宋体" w:cs="Times New Roman"/>
                      <w:color w:val="auto"/>
                    </w:rPr>
                    <w:t>项目</w:t>
                  </w:r>
                </w:p>
              </w:tc>
              <w:tc>
                <w:tcPr>
                  <w:tcW w:w="838" w:type="pct"/>
                  <w:tcBorders>
                    <w:tl2br w:val="nil"/>
                    <w:tr2bl w:val="nil"/>
                  </w:tcBorders>
                  <w:noWrap w:val="0"/>
                  <w:vAlign w:val="top"/>
                </w:tcPr>
                <w:p w14:paraId="2C5A4653">
                  <w:pPr>
                    <w:pStyle w:val="80"/>
                    <w:rPr>
                      <w:rFonts w:hint="default" w:ascii="Times New Roman" w:hAnsi="Times New Roman" w:eastAsia="宋体" w:cs="Times New Roman"/>
                      <w:color w:val="auto"/>
                    </w:rPr>
                  </w:pPr>
                  <w:r>
                    <w:rPr>
                      <w:rFonts w:hint="default" w:ascii="Times New Roman" w:hAnsi="Times New Roman" w:eastAsia="宋体" w:cs="Times New Roman"/>
                      <w:color w:val="auto"/>
                    </w:rPr>
                    <w:t>数量（t/a）</w:t>
                  </w:r>
                </w:p>
              </w:tc>
            </w:tr>
            <w:tr w14:paraId="13C38E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1370" w:type="pct"/>
                  <w:tcBorders>
                    <w:tl2br w:val="nil"/>
                    <w:tr2bl w:val="nil"/>
                  </w:tcBorders>
                  <w:noWrap w:val="0"/>
                  <w:vAlign w:val="top"/>
                </w:tcPr>
                <w:p w14:paraId="5FD24C9A">
                  <w:pPr>
                    <w:pStyle w:val="80"/>
                    <w:rPr>
                      <w:rFonts w:hint="default" w:ascii="Times New Roman" w:hAnsi="Times New Roman" w:eastAsia="宋体" w:cs="Times New Roman"/>
                      <w:color w:val="auto"/>
                    </w:rPr>
                  </w:pPr>
                  <w:r>
                    <w:rPr>
                      <w:rFonts w:hint="default" w:ascii="Times New Roman" w:hAnsi="Times New Roman" w:eastAsia="宋体" w:cs="Times New Roman"/>
                      <w:color w:val="auto"/>
                    </w:rPr>
                    <w:t>沥青</w:t>
                  </w:r>
                </w:p>
              </w:tc>
              <w:tc>
                <w:tcPr>
                  <w:tcW w:w="1019" w:type="pct"/>
                  <w:tcBorders>
                    <w:tl2br w:val="nil"/>
                    <w:tr2bl w:val="nil"/>
                  </w:tcBorders>
                  <w:noWrap w:val="0"/>
                  <w:vAlign w:val="top"/>
                </w:tcPr>
                <w:p w14:paraId="41F816F3">
                  <w:pPr>
                    <w:pStyle w:val="8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185</w:t>
                  </w:r>
                </w:p>
              </w:tc>
              <w:tc>
                <w:tcPr>
                  <w:tcW w:w="1772" w:type="pct"/>
                  <w:tcBorders>
                    <w:tl2br w:val="nil"/>
                    <w:tr2bl w:val="nil"/>
                  </w:tcBorders>
                  <w:shd w:val="clear" w:color="auto" w:fill="auto"/>
                  <w:noWrap w:val="0"/>
                  <w:vAlign w:val="top"/>
                </w:tcPr>
                <w:p w14:paraId="4D410FC7">
                  <w:pPr>
                    <w:pStyle w:val="8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rPr>
                    <w:t>乳化沥青</w:t>
                  </w:r>
                </w:p>
              </w:tc>
              <w:tc>
                <w:tcPr>
                  <w:tcW w:w="838" w:type="pct"/>
                  <w:tcBorders>
                    <w:tl2br w:val="nil"/>
                    <w:tr2bl w:val="nil"/>
                  </w:tcBorders>
                  <w:shd w:val="clear" w:color="auto" w:fill="auto"/>
                  <w:noWrap w:val="0"/>
                  <w:vAlign w:val="top"/>
                </w:tcPr>
                <w:p w14:paraId="4D170252">
                  <w:pPr>
                    <w:pStyle w:val="8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1000</w:t>
                  </w:r>
                </w:p>
              </w:tc>
            </w:tr>
            <w:tr w14:paraId="070204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1370" w:type="pct"/>
                  <w:tcBorders>
                    <w:tl2br w:val="nil"/>
                    <w:tr2bl w:val="nil"/>
                  </w:tcBorders>
                  <w:noWrap w:val="0"/>
                  <w:vAlign w:val="top"/>
                </w:tcPr>
                <w:p w14:paraId="01B63487">
                  <w:pPr>
                    <w:pStyle w:val="80"/>
                    <w:rPr>
                      <w:rFonts w:hint="default" w:ascii="Times New Roman" w:hAnsi="Times New Roman" w:eastAsia="宋体" w:cs="Times New Roman"/>
                      <w:color w:val="auto"/>
                    </w:rPr>
                  </w:pPr>
                  <w:r>
                    <w:rPr>
                      <w:rFonts w:hint="default" w:ascii="Times New Roman" w:hAnsi="Times New Roman" w:eastAsia="宋体" w:cs="Times New Roman"/>
                      <w:color w:val="auto"/>
                    </w:rPr>
                    <w:t>乳化剂</w:t>
                  </w:r>
                </w:p>
              </w:tc>
              <w:tc>
                <w:tcPr>
                  <w:tcW w:w="1019" w:type="pct"/>
                  <w:tcBorders>
                    <w:tl2br w:val="nil"/>
                    <w:tr2bl w:val="nil"/>
                  </w:tcBorders>
                  <w:noWrap w:val="0"/>
                  <w:vAlign w:val="top"/>
                </w:tcPr>
                <w:p w14:paraId="086A4B60">
                  <w:pPr>
                    <w:pStyle w:val="8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15</w:t>
                  </w:r>
                </w:p>
              </w:tc>
              <w:tc>
                <w:tcPr>
                  <w:tcW w:w="1772" w:type="pct"/>
                  <w:tcBorders>
                    <w:tl2br w:val="nil"/>
                    <w:tr2bl w:val="nil"/>
                  </w:tcBorders>
                  <w:noWrap w:val="0"/>
                  <w:vAlign w:val="top"/>
                </w:tcPr>
                <w:p w14:paraId="54102D38">
                  <w:pPr>
                    <w:pStyle w:val="80"/>
                    <w:rPr>
                      <w:rFonts w:hint="default" w:ascii="Times New Roman" w:hAnsi="Times New Roman" w:eastAsia="宋体" w:cs="Times New Roman"/>
                      <w:color w:val="auto"/>
                      <w:lang w:val="en-US" w:eastAsia="zh-CN"/>
                    </w:rPr>
                  </w:pPr>
                </w:p>
              </w:tc>
              <w:tc>
                <w:tcPr>
                  <w:tcW w:w="838" w:type="pct"/>
                  <w:tcBorders>
                    <w:tl2br w:val="nil"/>
                    <w:tr2bl w:val="nil"/>
                  </w:tcBorders>
                  <w:noWrap w:val="0"/>
                  <w:vAlign w:val="top"/>
                </w:tcPr>
                <w:p w14:paraId="665BED3F">
                  <w:pPr>
                    <w:pStyle w:val="80"/>
                    <w:rPr>
                      <w:rFonts w:hint="default" w:ascii="Times New Roman" w:hAnsi="Times New Roman" w:eastAsia="宋体" w:cs="Times New Roman"/>
                      <w:color w:val="auto"/>
                      <w:lang w:eastAsia="zh-CN"/>
                    </w:rPr>
                  </w:pPr>
                </w:p>
              </w:tc>
            </w:tr>
            <w:tr w14:paraId="565828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1370" w:type="pct"/>
                  <w:tcBorders>
                    <w:tl2br w:val="nil"/>
                    <w:tr2bl w:val="nil"/>
                  </w:tcBorders>
                  <w:noWrap w:val="0"/>
                  <w:vAlign w:val="top"/>
                </w:tcPr>
                <w:p w14:paraId="5212E5FD">
                  <w:pPr>
                    <w:pStyle w:val="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水</w:t>
                  </w:r>
                </w:p>
              </w:tc>
              <w:tc>
                <w:tcPr>
                  <w:tcW w:w="1019" w:type="pct"/>
                  <w:tcBorders>
                    <w:tl2br w:val="nil"/>
                    <w:tr2bl w:val="nil"/>
                  </w:tcBorders>
                  <w:noWrap w:val="0"/>
                  <w:vAlign w:val="top"/>
                </w:tcPr>
                <w:p w14:paraId="06F9FF9F">
                  <w:pPr>
                    <w:pStyle w:val="8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800</w:t>
                  </w:r>
                </w:p>
              </w:tc>
              <w:tc>
                <w:tcPr>
                  <w:tcW w:w="1772" w:type="pct"/>
                  <w:tcBorders>
                    <w:tl2br w:val="nil"/>
                    <w:tr2bl w:val="nil"/>
                  </w:tcBorders>
                  <w:noWrap w:val="0"/>
                  <w:vAlign w:val="top"/>
                </w:tcPr>
                <w:p w14:paraId="62055AEB">
                  <w:pPr>
                    <w:pStyle w:val="80"/>
                    <w:rPr>
                      <w:rFonts w:hint="default" w:ascii="Times New Roman" w:hAnsi="Times New Roman" w:eastAsia="宋体" w:cs="Times New Roman"/>
                      <w:color w:val="auto"/>
                    </w:rPr>
                  </w:pPr>
                </w:p>
              </w:tc>
              <w:tc>
                <w:tcPr>
                  <w:tcW w:w="838" w:type="pct"/>
                  <w:tcBorders>
                    <w:tl2br w:val="nil"/>
                    <w:tr2bl w:val="nil"/>
                  </w:tcBorders>
                  <w:noWrap w:val="0"/>
                  <w:vAlign w:val="top"/>
                </w:tcPr>
                <w:p w14:paraId="2C11EC2A">
                  <w:pPr>
                    <w:pStyle w:val="80"/>
                    <w:rPr>
                      <w:rFonts w:hint="default" w:ascii="Times New Roman" w:hAnsi="Times New Roman" w:eastAsia="宋体" w:cs="Times New Roman"/>
                      <w:color w:val="auto"/>
                      <w:lang w:val="en-US" w:eastAsia="zh-CN"/>
                    </w:rPr>
                  </w:pPr>
                </w:p>
              </w:tc>
            </w:tr>
            <w:tr w14:paraId="54569B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1" w:hRule="atLeast"/>
                <w:jc w:val="center"/>
              </w:trPr>
              <w:tc>
                <w:tcPr>
                  <w:tcW w:w="1370" w:type="pct"/>
                  <w:tcBorders>
                    <w:tl2br w:val="nil"/>
                    <w:tr2bl w:val="nil"/>
                  </w:tcBorders>
                  <w:noWrap w:val="0"/>
                  <w:vAlign w:val="top"/>
                </w:tcPr>
                <w:p w14:paraId="6B545351">
                  <w:pPr>
                    <w:pStyle w:val="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合计</w:t>
                  </w:r>
                </w:p>
              </w:tc>
              <w:tc>
                <w:tcPr>
                  <w:tcW w:w="1019" w:type="pct"/>
                  <w:tcBorders>
                    <w:tl2br w:val="nil"/>
                    <w:tr2bl w:val="nil"/>
                  </w:tcBorders>
                  <w:noWrap w:val="0"/>
                  <w:vAlign w:val="top"/>
                </w:tcPr>
                <w:p w14:paraId="577EC873">
                  <w:pPr>
                    <w:pStyle w:val="8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1000</w:t>
                  </w:r>
                </w:p>
              </w:tc>
              <w:tc>
                <w:tcPr>
                  <w:tcW w:w="1772" w:type="pct"/>
                  <w:tcBorders>
                    <w:tl2br w:val="nil"/>
                    <w:tr2bl w:val="nil"/>
                  </w:tcBorders>
                  <w:noWrap w:val="0"/>
                  <w:vAlign w:val="top"/>
                </w:tcPr>
                <w:p w14:paraId="04F87227">
                  <w:pPr>
                    <w:pStyle w:val="80"/>
                    <w:rPr>
                      <w:rFonts w:hint="default" w:ascii="Times New Roman" w:hAnsi="Times New Roman" w:eastAsia="宋体" w:cs="Times New Roman"/>
                      <w:color w:val="auto"/>
                    </w:rPr>
                  </w:pPr>
                  <w:r>
                    <w:rPr>
                      <w:rFonts w:hint="default" w:ascii="Times New Roman" w:hAnsi="Times New Roman" w:eastAsia="宋体" w:cs="Times New Roman"/>
                      <w:color w:val="auto"/>
                    </w:rPr>
                    <w:t>合计</w:t>
                  </w:r>
                </w:p>
              </w:tc>
              <w:tc>
                <w:tcPr>
                  <w:tcW w:w="838" w:type="pct"/>
                  <w:tcBorders>
                    <w:tl2br w:val="nil"/>
                    <w:tr2bl w:val="nil"/>
                  </w:tcBorders>
                  <w:noWrap w:val="0"/>
                  <w:vAlign w:val="top"/>
                </w:tcPr>
                <w:p w14:paraId="70BC9AFC">
                  <w:pPr>
                    <w:pStyle w:val="8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1000</w:t>
                  </w:r>
                </w:p>
              </w:tc>
            </w:tr>
          </w:tbl>
          <w:p w14:paraId="6F083706">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7、</w:t>
            </w:r>
            <w:r>
              <w:rPr>
                <w:rFonts w:hint="default" w:ascii="Times New Roman" w:hAnsi="Times New Roman" w:eastAsia="宋体" w:cs="Times New Roman"/>
                <w:b/>
                <w:color w:val="auto"/>
                <w:sz w:val="24"/>
                <w:szCs w:val="24"/>
              </w:rPr>
              <w:t>公用工程及辅助设施</w:t>
            </w:r>
          </w:p>
          <w:p w14:paraId="63B9E32D">
            <w:pPr>
              <w:spacing w:line="360" w:lineRule="auto"/>
              <w:ind w:firstLine="482" w:firstLineChars="200"/>
              <w:rPr>
                <w:rFonts w:hint="default" w:ascii="Times New Roman" w:hAnsi="Times New Roman" w:eastAsia="宋体" w:cs="Times New Roman"/>
                <w:b/>
                <w:color w:val="auto"/>
                <w:kern w:val="24"/>
                <w:sz w:val="24"/>
                <w:szCs w:val="24"/>
              </w:rPr>
            </w:pPr>
            <w:r>
              <w:rPr>
                <w:rFonts w:hint="default" w:ascii="Times New Roman" w:hAnsi="Times New Roman" w:eastAsia="宋体" w:cs="Times New Roman"/>
                <w:b/>
                <w:color w:val="auto"/>
                <w:kern w:val="24"/>
                <w:sz w:val="24"/>
                <w:szCs w:val="24"/>
              </w:rPr>
              <w:t>（1）供电</w:t>
            </w:r>
          </w:p>
          <w:p w14:paraId="70646D20">
            <w:pPr>
              <w:spacing w:line="360" w:lineRule="auto"/>
              <w:ind w:firstLine="480" w:firstLineChars="200"/>
              <w:rPr>
                <w:rFonts w:hint="default" w:ascii="Times New Roman" w:hAnsi="Times New Roman" w:eastAsia="宋体" w:cs="Times New Roman"/>
                <w:bCs/>
                <w:color w:val="auto"/>
                <w:kern w:val="24"/>
                <w:sz w:val="24"/>
                <w:szCs w:val="24"/>
              </w:rPr>
            </w:pPr>
            <w:r>
              <w:rPr>
                <w:rFonts w:hint="default" w:ascii="Times New Roman" w:hAnsi="Times New Roman" w:eastAsia="宋体" w:cs="Times New Roman"/>
                <w:bCs/>
                <w:color w:val="auto"/>
                <w:kern w:val="24"/>
                <w:sz w:val="24"/>
                <w:szCs w:val="24"/>
              </w:rPr>
              <w:t>项目用电由</w:t>
            </w:r>
            <w:r>
              <w:rPr>
                <w:rFonts w:hint="default" w:ascii="Times New Roman" w:hAnsi="Times New Roman" w:eastAsia="宋体" w:cs="Times New Roman"/>
                <w:bCs/>
                <w:color w:val="auto"/>
                <w:kern w:val="24"/>
                <w:sz w:val="24"/>
                <w:szCs w:val="24"/>
                <w:lang w:val="en-US" w:eastAsia="zh-CN"/>
              </w:rPr>
              <w:t>乡镇</w:t>
            </w:r>
            <w:r>
              <w:rPr>
                <w:rFonts w:hint="default" w:ascii="Times New Roman" w:hAnsi="Times New Roman" w:eastAsia="宋体" w:cs="Times New Roman"/>
                <w:bCs/>
                <w:color w:val="auto"/>
                <w:kern w:val="24"/>
                <w:sz w:val="24"/>
                <w:szCs w:val="24"/>
              </w:rPr>
              <w:t>电力管网供给。</w:t>
            </w:r>
          </w:p>
          <w:p w14:paraId="6D3634FD">
            <w:pPr>
              <w:spacing w:line="360" w:lineRule="auto"/>
              <w:ind w:firstLine="482" w:firstLineChars="200"/>
              <w:rPr>
                <w:rFonts w:hint="default" w:ascii="Times New Roman" w:hAnsi="Times New Roman" w:eastAsia="宋体" w:cs="Times New Roman"/>
                <w:b/>
                <w:color w:val="auto"/>
                <w:kern w:val="24"/>
                <w:sz w:val="24"/>
                <w:szCs w:val="24"/>
              </w:rPr>
            </w:pPr>
            <w:r>
              <w:rPr>
                <w:rFonts w:hint="default" w:ascii="Times New Roman" w:hAnsi="Times New Roman" w:eastAsia="宋体" w:cs="Times New Roman"/>
                <w:b/>
                <w:color w:val="auto"/>
                <w:kern w:val="24"/>
                <w:sz w:val="24"/>
                <w:szCs w:val="24"/>
              </w:rPr>
              <w:t>（2）给排水工程</w:t>
            </w:r>
          </w:p>
          <w:p w14:paraId="32464B8D">
            <w:pPr>
              <w:spacing w:line="360" w:lineRule="auto"/>
              <w:ind w:firstLine="480" w:firstLineChars="200"/>
              <w:rPr>
                <w:rFonts w:hint="default" w:ascii="Times New Roman" w:hAnsi="Times New Roman" w:eastAsia="宋体" w:cs="Times New Roman"/>
                <w:color w:val="auto"/>
                <w:kern w:val="24"/>
                <w:sz w:val="24"/>
                <w:szCs w:val="24"/>
              </w:rPr>
            </w:pPr>
            <w:r>
              <w:rPr>
                <w:rFonts w:hint="default" w:ascii="Times New Roman" w:hAnsi="Times New Roman" w:eastAsia="宋体" w:cs="Times New Roman"/>
                <w:color w:val="auto"/>
                <w:sz w:val="24"/>
                <w:szCs w:val="24"/>
              </w:rPr>
              <w:t>本项目生活用水和生产用水均使用</w:t>
            </w:r>
            <w:r>
              <w:rPr>
                <w:rFonts w:hint="default" w:ascii="Times New Roman" w:hAnsi="Times New Roman" w:eastAsia="宋体" w:cs="Times New Roman"/>
                <w:color w:val="auto"/>
                <w:sz w:val="24"/>
                <w:szCs w:val="24"/>
                <w:lang w:val="en-US" w:eastAsia="zh-CN"/>
              </w:rPr>
              <w:t>井水</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24"/>
                <w:sz w:val="24"/>
                <w:szCs w:val="24"/>
              </w:rPr>
              <w:t>本项目运营期用水主要包括生活用水、</w:t>
            </w:r>
            <w:r>
              <w:rPr>
                <w:rFonts w:hint="default" w:ascii="Times New Roman" w:hAnsi="Times New Roman" w:eastAsia="宋体" w:cs="Times New Roman"/>
                <w:color w:val="auto"/>
                <w:kern w:val="24"/>
                <w:sz w:val="24"/>
                <w:szCs w:val="24"/>
                <w:lang w:val="en-US" w:eastAsia="zh-CN"/>
              </w:rPr>
              <w:t>乳化沥青</w:t>
            </w:r>
            <w:r>
              <w:rPr>
                <w:rFonts w:hint="default" w:ascii="Times New Roman" w:hAnsi="Times New Roman" w:eastAsia="宋体" w:cs="Times New Roman"/>
                <w:color w:val="auto"/>
                <w:kern w:val="24"/>
                <w:sz w:val="24"/>
                <w:szCs w:val="24"/>
              </w:rPr>
              <w:t>生产用水、喷雾抑尘用水</w:t>
            </w:r>
            <w:r>
              <w:rPr>
                <w:rFonts w:hint="default" w:ascii="Times New Roman" w:hAnsi="Times New Roman" w:eastAsia="宋体" w:cs="Times New Roman"/>
                <w:color w:val="auto"/>
                <w:kern w:val="24"/>
                <w:sz w:val="24"/>
                <w:szCs w:val="24"/>
                <w:lang w:eastAsia="zh-CN"/>
              </w:rPr>
              <w:t>、地面冲洗</w:t>
            </w:r>
            <w:r>
              <w:rPr>
                <w:rFonts w:hint="default" w:ascii="Times New Roman" w:hAnsi="Times New Roman" w:eastAsia="宋体" w:cs="Times New Roman"/>
                <w:color w:val="auto"/>
                <w:kern w:val="24"/>
                <w:sz w:val="24"/>
                <w:szCs w:val="24"/>
                <w:lang w:val="en-US" w:eastAsia="zh-CN"/>
              </w:rPr>
              <w:t>用水、车辆冲洗用水</w:t>
            </w:r>
            <w:r>
              <w:rPr>
                <w:rFonts w:hint="default" w:ascii="Times New Roman" w:hAnsi="Times New Roman" w:eastAsia="宋体" w:cs="Times New Roman"/>
                <w:bCs/>
                <w:color w:val="auto"/>
                <w:sz w:val="24"/>
                <w:szCs w:val="24"/>
              </w:rPr>
              <w:t>等</w:t>
            </w:r>
            <w:r>
              <w:rPr>
                <w:rFonts w:hint="default" w:ascii="Times New Roman" w:hAnsi="Times New Roman" w:eastAsia="宋体" w:cs="Times New Roman"/>
                <w:color w:val="auto"/>
                <w:kern w:val="24"/>
                <w:sz w:val="24"/>
                <w:szCs w:val="24"/>
              </w:rPr>
              <w:t>，根据《四川省用水定额》（川府函〔2021〕8号）制定的用水标准，项目用水量预测及分配情况如下。</w:t>
            </w:r>
          </w:p>
          <w:p w14:paraId="5CC2F2CE">
            <w:pPr>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24"/>
                <w:sz w:val="24"/>
                <w:szCs w:val="24"/>
              </w:rPr>
              <w:t>①生活用水</w:t>
            </w:r>
          </w:p>
          <w:p w14:paraId="3AF52D05">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rPr>
              <w:t>项目办公生活区水源为</w:t>
            </w:r>
            <w:r>
              <w:rPr>
                <w:rFonts w:hint="default" w:ascii="Times New Roman" w:hAnsi="Times New Roman" w:cs="Times New Roman"/>
                <w:color w:val="auto"/>
                <w:sz w:val="24"/>
                <w:lang w:val="en-US" w:eastAsia="zh-CN"/>
              </w:rPr>
              <w:t>井水</w:t>
            </w:r>
            <w:r>
              <w:rPr>
                <w:rFonts w:hint="default" w:ascii="Times New Roman" w:hAnsi="Times New Roman" w:cs="Times New Roman"/>
                <w:color w:val="auto"/>
                <w:sz w:val="24"/>
              </w:rPr>
              <w:t>。项目正常生产时劳动定员</w:t>
            </w:r>
            <w:r>
              <w:rPr>
                <w:rFonts w:hint="default" w:ascii="Times New Roman" w:hAnsi="Times New Roman" w:eastAsia="Times New Roman" w:cs="Times New Roman"/>
                <w:color w:val="auto"/>
                <w:sz w:val="24"/>
                <w:lang w:val="en-US" w:eastAsia="zh-CN"/>
              </w:rPr>
              <w:t>10</w:t>
            </w:r>
            <w:r>
              <w:rPr>
                <w:rFonts w:hint="default" w:ascii="Times New Roman" w:hAnsi="Times New Roman" w:cs="Times New Roman"/>
                <w:color w:val="auto"/>
                <w:sz w:val="24"/>
              </w:rPr>
              <w:t>人，厂区设食堂和住宿，生活用水按120L/人·d计算，则生活用水</w:t>
            </w:r>
            <w:r>
              <w:rPr>
                <w:rFonts w:hint="default" w:ascii="Times New Roman" w:hAnsi="Times New Roman" w:cs="Times New Roman"/>
                <w:color w:val="auto"/>
                <w:sz w:val="24"/>
                <w:lang w:val="en-US" w:eastAsia="zh-CN"/>
              </w:rPr>
              <w:t>量为</w:t>
            </w:r>
            <w:r>
              <w:rPr>
                <w:rFonts w:hint="default" w:ascii="Times New Roman" w:hAnsi="Times New Roman" w:cs="Times New Roman"/>
                <w:color w:val="auto"/>
                <w:sz w:val="24"/>
              </w:rPr>
              <w:t>1.2m</w:t>
            </w:r>
            <w:r>
              <w:rPr>
                <w:rFonts w:hint="default" w:ascii="Times New Roman" w:hAnsi="Times New Roman" w:eastAsia="Times New Roman" w:cs="Times New Roman"/>
                <w:color w:val="auto"/>
                <w:sz w:val="24"/>
                <w:vertAlign w:val="superscript"/>
              </w:rPr>
              <w:t>3</w:t>
            </w:r>
            <w:r>
              <w:rPr>
                <w:rFonts w:hint="default" w:ascii="Times New Roman" w:hAnsi="Times New Roman" w:eastAsia="Times New Roman" w:cs="Times New Roman"/>
                <w:color w:val="auto"/>
                <w:sz w:val="24"/>
              </w:rPr>
              <w:t>/d</w:t>
            </w:r>
            <w:r>
              <w:rPr>
                <w:rFonts w:hint="default" w:ascii="Times New Roman" w:hAnsi="Times New Roman" w:cs="Times New Roman"/>
                <w:color w:val="auto"/>
                <w:sz w:val="24"/>
              </w:rPr>
              <w:t>；生活污水排放系数取</w:t>
            </w:r>
            <w:r>
              <w:rPr>
                <w:rFonts w:hint="default" w:ascii="Times New Roman" w:hAnsi="Times New Roman" w:cs="Times New Roman"/>
                <w:color w:val="auto"/>
                <w:sz w:val="24"/>
                <w:lang w:val="en-US" w:eastAsia="zh-CN"/>
              </w:rPr>
              <w:t>85</w:t>
            </w:r>
            <w:r>
              <w:rPr>
                <w:rFonts w:hint="default" w:ascii="Times New Roman" w:hAnsi="Times New Roman" w:cs="Times New Roman"/>
                <w:color w:val="auto"/>
                <w:sz w:val="24"/>
              </w:rPr>
              <w:t>%，生活污水产生量为</w:t>
            </w:r>
            <w:r>
              <w:rPr>
                <w:rFonts w:hint="default" w:ascii="Times New Roman" w:hAnsi="Times New Roman" w:cs="Times New Roman"/>
                <w:color w:val="auto"/>
                <w:sz w:val="24"/>
                <w:lang w:val="en-US" w:eastAsia="zh-CN"/>
              </w:rPr>
              <w:t>1.02</w:t>
            </w:r>
            <w:r>
              <w:rPr>
                <w:rFonts w:hint="default" w:ascii="Times New Roman" w:hAnsi="Times New Roman" w:eastAsia="Times New Roman" w:cs="Times New Roman"/>
                <w:color w:val="auto"/>
                <w:sz w:val="24"/>
              </w:rPr>
              <w:t>m</w:t>
            </w:r>
            <w:r>
              <w:rPr>
                <w:rFonts w:hint="default" w:ascii="Times New Roman" w:hAnsi="Times New Roman" w:eastAsia="Times New Roman" w:cs="Times New Roman"/>
                <w:color w:val="auto"/>
                <w:sz w:val="24"/>
                <w:vertAlign w:val="superscript"/>
              </w:rPr>
              <w:t>3</w:t>
            </w:r>
            <w:r>
              <w:rPr>
                <w:rFonts w:hint="default" w:ascii="Times New Roman" w:hAnsi="Times New Roman" w:eastAsia="Times New Roman" w:cs="Times New Roman"/>
                <w:color w:val="auto"/>
                <w:sz w:val="24"/>
              </w:rPr>
              <w:t>/d</w:t>
            </w:r>
            <w:r>
              <w:rPr>
                <w:rFonts w:hint="default" w:ascii="Times New Roman" w:hAnsi="Times New Roman" w:cs="Times New Roman"/>
                <w:color w:val="auto"/>
                <w:sz w:val="24"/>
              </w:rPr>
              <w:t>。</w:t>
            </w:r>
            <w:r>
              <w:rPr>
                <w:rFonts w:hint="default" w:ascii="Times New Roman" w:hAnsi="Times New Roman" w:eastAsia="宋体" w:cs="Times New Roman"/>
                <w:color w:val="auto"/>
                <w:sz w:val="24"/>
                <w:szCs w:val="24"/>
              </w:rPr>
              <w:t>生活污水</w:t>
            </w:r>
            <w:r>
              <w:rPr>
                <w:rFonts w:hint="default" w:ascii="Times New Roman" w:hAnsi="Times New Roman" w:eastAsia="宋体" w:cs="Times New Roman"/>
                <w:color w:val="auto"/>
                <w:sz w:val="24"/>
                <w:szCs w:val="24"/>
                <w:lang w:val="en-US" w:eastAsia="zh-CN"/>
              </w:rPr>
              <w:t>经</w:t>
            </w:r>
            <w:r>
              <w:rPr>
                <w:rFonts w:hint="default" w:ascii="Times New Roman" w:hAnsi="Times New Roman" w:eastAsia="宋体" w:cs="Times New Roman"/>
                <w:color w:val="auto"/>
                <w:sz w:val="24"/>
                <w:szCs w:val="24"/>
              </w:rPr>
              <w:t>化粪池处理后</w:t>
            </w:r>
            <w:r>
              <w:rPr>
                <w:rFonts w:hint="default" w:ascii="Times New Roman" w:hAnsi="Times New Roman" w:eastAsia="宋体" w:cs="Times New Roman"/>
                <w:color w:val="auto"/>
                <w:sz w:val="24"/>
                <w:szCs w:val="24"/>
                <w:lang w:val="en-US" w:eastAsia="zh-CN"/>
              </w:rPr>
              <w:t>用作农肥，不外排</w:t>
            </w:r>
            <w:r>
              <w:rPr>
                <w:rFonts w:hint="default" w:ascii="Times New Roman" w:hAnsi="Times New Roman" w:eastAsia="宋体" w:cs="Times New Roman"/>
                <w:color w:val="auto"/>
                <w:sz w:val="24"/>
                <w:szCs w:val="24"/>
              </w:rPr>
              <w:t>。</w:t>
            </w:r>
          </w:p>
          <w:p w14:paraId="3FC3010D">
            <w:pPr>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②</w:t>
            </w:r>
            <w:r>
              <w:rPr>
                <w:rFonts w:hint="default" w:ascii="Times New Roman" w:hAnsi="Times New Roman" w:cs="Times New Roman"/>
                <w:b/>
                <w:bCs/>
                <w:color w:val="auto"/>
                <w:kern w:val="0"/>
                <w:sz w:val="24"/>
                <w:szCs w:val="24"/>
              </w:rPr>
              <w:t>乳化沥青生产用水</w:t>
            </w:r>
          </w:p>
          <w:p w14:paraId="3098D84A">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根据</w:t>
            </w:r>
            <w:r>
              <w:rPr>
                <w:rFonts w:hint="default" w:ascii="Times New Roman" w:hAnsi="Times New Roman" w:eastAsia="宋体" w:cs="Times New Roman"/>
                <w:color w:val="auto"/>
                <w:sz w:val="24"/>
                <w:szCs w:val="24"/>
                <w:lang w:val="en-US" w:eastAsia="zh-CN"/>
              </w:rPr>
              <w:t>建设单位</w:t>
            </w:r>
            <w:r>
              <w:rPr>
                <w:rFonts w:hint="default" w:ascii="Times New Roman" w:hAnsi="Times New Roman" w:cs="Times New Roman"/>
                <w:color w:val="auto"/>
                <w:sz w:val="24"/>
                <w:szCs w:val="24"/>
              </w:rPr>
              <w:t>提供资料，本工程</w:t>
            </w:r>
            <w:r>
              <w:rPr>
                <w:rFonts w:hint="default" w:ascii="Times New Roman" w:hAnsi="Times New Roman" w:cs="Times New Roman"/>
                <w:color w:val="auto"/>
                <w:sz w:val="24"/>
                <w:szCs w:val="24"/>
                <w:lang w:eastAsia="zh-CN"/>
              </w:rPr>
              <w:t>沥青混凝土</w:t>
            </w:r>
            <w:r>
              <w:rPr>
                <w:rFonts w:hint="default" w:ascii="Times New Roman" w:hAnsi="Times New Roman" w:cs="Times New Roman"/>
                <w:color w:val="auto"/>
                <w:sz w:val="24"/>
                <w:szCs w:val="24"/>
              </w:rPr>
              <w:t>生产均为高温沥青，有少量乳化沥青，乳化沥青生产时会加入</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0%左右的水，工程生产1</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00吨（约</w:t>
            </w:r>
            <w:r>
              <w:rPr>
                <w:rFonts w:hint="default" w:ascii="Times New Roman" w:hAnsi="Times New Roman" w:cs="Times New Roman"/>
                <w:color w:val="auto"/>
                <w:sz w:val="24"/>
                <w:szCs w:val="24"/>
                <w:lang w:val="en-US" w:eastAsia="zh-CN"/>
              </w:rPr>
              <w:t>870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）的乳化沥青拟使用水的用量约为</w:t>
            </w:r>
            <w:r>
              <w:rPr>
                <w:rFonts w:hint="default" w:ascii="Times New Roman" w:hAnsi="Times New Roman" w:cs="Times New Roman"/>
                <w:color w:val="auto"/>
                <w:sz w:val="24"/>
                <w:szCs w:val="24"/>
                <w:lang w:val="en-US" w:eastAsia="zh-CN"/>
              </w:rPr>
              <w:t>348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val="en-US" w:eastAsia="zh-CN"/>
              </w:rPr>
              <w:t>2.32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default" w:ascii="Times New Roman" w:hAnsi="Times New Roman" w:cs="Times New Roman"/>
                <w:bCs/>
                <w:color w:val="auto"/>
                <w:sz w:val="24"/>
                <w:szCs w:val="24"/>
              </w:rPr>
              <w:t>该部分水</w:t>
            </w:r>
            <w:r>
              <w:rPr>
                <w:rFonts w:hint="default" w:ascii="Times New Roman" w:hAnsi="Times New Roman" w:cs="Times New Roman"/>
                <w:color w:val="auto"/>
                <w:sz w:val="24"/>
                <w:szCs w:val="24"/>
              </w:rPr>
              <w:t>全部进入产品，无废水产生</w:t>
            </w:r>
            <w:r>
              <w:rPr>
                <w:rFonts w:hint="default" w:ascii="Times New Roman" w:hAnsi="Times New Roman" w:eastAsia="宋体" w:cs="Times New Roman"/>
                <w:color w:val="auto"/>
                <w:sz w:val="24"/>
                <w:szCs w:val="24"/>
                <w:lang w:val="en-US" w:eastAsia="zh-CN"/>
              </w:rPr>
              <w:t>。</w:t>
            </w:r>
          </w:p>
          <w:p w14:paraId="6936CED5">
            <w:pPr>
              <w:spacing w:line="360" w:lineRule="auto"/>
              <w:ind w:firstLine="482" w:firstLineChars="200"/>
              <w:rPr>
                <w:rFonts w:hint="default" w:ascii="Times New Roman" w:hAnsi="Times New Roman" w:eastAsia="宋体" w:cs="Times New Roman"/>
                <w:b/>
                <w:bCs/>
                <w:color w:val="auto"/>
                <w:kern w:val="0"/>
                <w:sz w:val="24"/>
                <w:szCs w:val="24"/>
                <w:lang w:eastAsia="zh-CN"/>
              </w:rPr>
            </w:pPr>
            <w:r>
              <w:rPr>
                <w:rFonts w:hint="default" w:ascii="Times New Roman" w:hAnsi="Times New Roman" w:eastAsia="宋体" w:cs="Times New Roman"/>
                <w:b/>
                <w:bCs/>
                <w:color w:val="auto"/>
                <w:kern w:val="0"/>
                <w:sz w:val="24"/>
                <w:szCs w:val="24"/>
                <w:lang w:val="en-US" w:eastAsia="zh-CN"/>
              </w:rPr>
              <w:t>③</w:t>
            </w:r>
            <w:r>
              <w:rPr>
                <w:rFonts w:hint="default" w:ascii="Times New Roman" w:hAnsi="Times New Roman" w:eastAsia="宋体" w:cs="Times New Roman"/>
                <w:b/>
                <w:bCs/>
                <w:color w:val="auto"/>
                <w:kern w:val="0"/>
                <w:sz w:val="24"/>
                <w:szCs w:val="24"/>
                <w:lang w:eastAsia="zh-CN"/>
              </w:rPr>
              <w:t>喷雾抑尘用水</w:t>
            </w:r>
          </w:p>
          <w:p w14:paraId="2C150B61">
            <w:pPr>
              <w:spacing w:line="360" w:lineRule="auto"/>
              <w:ind w:firstLine="480" w:firstLineChars="200"/>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bCs/>
                <w:color w:val="auto"/>
                <w:sz w:val="24"/>
                <w:szCs w:val="24"/>
              </w:rPr>
              <w:t>本</w:t>
            </w:r>
            <w:r>
              <w:rPr>
                <w:rFonts w:hint="default" w:ascii="Times New Roman" w:hAnsi="Times New Roman" w:cs="Times New Roman"/>
                <w:bCs/>
                <w:color w:val="auto"/>
                <w:sz w:val="24"/>
                <w:szCs w:val="24"/>
                <w:lang w:val="en-US" w:eastAsia="zh-CN"/>
              </w:rPr>
              <w:t>项目</w:t>
            </w:r>
            <w:r>
              <w:rPr>
                <w:rFonts w:hint="default" w:ascii="Times New Roman" w:hAnsi="Times New Roman" w:cs="Times New Roman"/>
                <w:bCs/>
                <w:color w:val="auto"/>
                <w:sz w:val="24"/>
                <w:szCs w:val="24"/>
              </w:rPr>
              <w:t>骨料含水率较低，本次评价不考虑其含水情况。厂区降尘用水主要为骨料场与料斗降尘用水，在原料堆场内设置1套喷雾降尘装置，车间顶部设置多排喷雾喷头，骨料上料区上方采取喷雾降尘装置，类比同类项目，喷淋用水单耗为5L/ t•物料，工程骨料共</w:t>
            </w:r>
            <w:r>
              <w:rPr>
                <w:rFonts w:hint="default" w:ascii="Times New Roman" w:hAnsi="Times New Roman" w:cs="Times New Roman"/>
                <w:bCs/>
                <w:color w:val="auto"/>
                <w:sz w:val="24"/>
                <w:szCs w:val="24"/>
                <w:lang w:val="en-US" w:eastAsia="zh-CN"/>
              </w:rPr>
              <w:t>46000</w:t>
            </w:r>
            <w:r>
              <w:rPr>
                <w:rFonts w:hint="default" w:ascii="Times New Roman" w:hAnsi="Times New Roman" w:cs="Times New Roman"/>
                <w:bCs/>
                <w:color w:val="auto"/>
                <w:sz w:val="24"/>
                <w:szCs w:val="24"/>
              </w:rPr>
              <w:t>t，则喷淋用水量约为</w:t>
            </w:r>
            <w:r>
              <w:rPr>
                <w:rFonts w:hint="default" w:ascii="Times New Roman" w:hAnsi="Times New Roman" w:cs="Times New Roman"/>
                <w:bCs/>
                <w:color w:val="auto"/>
                <w:sz w:val="24"/>
                <w:szCs w:val="24"/>
                <w:lang w:val="en-US" w:eastAsia="zh-CN"/>
              </w:rPr>
              <w:t>1.53</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/d（</w:t>
            </w:r>
            <w:r>
              <w:rPr>
                <w:rFonts w:hint="default" w:ascii="Times New Roman" w:hAnsi="Times New Roman" w:cs="Times New Roman"/>
                <w:bCs/>
                <w:color w:val="auto"/>
                <w:sz w:val="24"/>
                <w:szCs w:val="24"/>
                <w:lang w:val="en-US" w:eastAsia="zh-CN"/>
              </w:rPr>
              <w:t>229.5</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/a），该部分水全部通过产品夹带、蒸发等方式损耗，无废水产生。</w:t>
            </w:r>
          </w:p>
          <w:p w14:paraId="13D47B46">
            <w:pPr>
              <w:spacing w:line="360" w:lineRule="auto"/>
              <w:ind w:firstLine="482" w:firstLineChars="200"/>
              <w:rPr>
                <w:rFonts w:hint="default" w:ascii="Times New Roman" w:hAnsi="Times New Roman" w:eastAsia="宋体" w:cs="Times New Roman"/>
                <w:b/>
                <w:bCs/>
                <w:color w:val="auto"/>
                <w:kern w:val="0"/>
                <w:sz w:val="24"/>
                <w:szCs w:val="24"/>
                <w:lang w:eastAsia="zh-CN"/>
              </w:rPr>
            </w:pPr>
            <w:r>
              <w:rPr>
                <w:rFonts w:hint="default" w:ascii="Times New Roman" w:hAnsi="Times New Roman" w:eastAsia="宋体" w:cs="Times New Roman"/>
                <w:b/>
                <w:bCs/>
                <w:color w:val="auto"/>
                <w:kern w:val="0"/>
                <w:sz w:val="24"/>
                <w:szCs w:val="24"/>
                <w:lang w:val="en-US" w:eastAsia="zh-CN"/>
              </w:rPr>
              <w:t>④</w:t>
            </w:r>
            <w:r>
              <w:rPr>
                <w:rFonts w:hint="default" w:ascii="Times New Roman" w:hAnsi="Times New Roman" w:eastAsia="宋体" w:cs="Times New Roman"/>
                <w:b/>
                <w:bCs/>
                <w:color w:val="auto"/>
                <w:kern w:val="0"/>
                <w:sz w:val="24"/>
                <w:szCs w:val="24"/>
                <w:lang w:eastAsia="zh-CN"/>
              </w:rPr>
              <w:t>地面冲洗</w:t>
            </w:r>
            <w:r>
              <w:rPr>
                <w:rFonts w:hint="default" w:ascii="Times New Roman" w:hAnsi="Times New Roman" w:eastAsia="宋体" w:cs="Times New Roman"/>
                <w:b/>
                <w:bCs/>
                <w:color w:val="auto"/>
                <w:kern w:val="0"/>
                <w:sz w:val="24"/>
                <w:szCs w:val="24"/>
                <w:lang w:val="en-US" w:eastAsia="zh-CN"/>
              </w:rPr>
              <w:t>用</w:t>
            </w:r>
            <w:r>
              <w:rPr>
                <w:rFonts w:hint="default" w:ascii="Times New Roman" w:hAnsi="Times New Roman" w:eastAsia="宋体" w:cs="Times New Roman"/>
                <w:b/>
                <w:bCs/>
                <w:color w:val="auto"/>
                <w:kern w:val="0"/>
                <w:sz w:val="24"/>
                <w:szCs w:val="24"/>
                <w:lang w:eastAsia="zh-CN"/>
              </w:rPr>
              <w:t>水</w:t>
            </w:r>
          </w:p>
          <w:p w14:paraId="3DDD532A">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为保持场地地面扬尘，需定期进行场地冲洗，本</w:t>
            </w:r>
            <w:r>
              <w:rPr>
                <w:rFonts w:hint="default" w:ascii="Times New Roman" w:hAnsi="Times New Roman" w:cs="Times New Roman"/>
                <w:bCs/>
                <w:color w:val="auto"/>
                <w:sz w:val="24"/>
                <w:szCs w:val="24"/>
                <w:lang w:val="en-US" w:eastAsia="zh-CN"/>
              </w:rPr>
              <w:t>项目</w:t>
            </w:r>
            <w:r>
              <w:rPr>
                <w:rFonts w:hint="default" w:ascii="Times New Roman" w:hAnsi="Times New Roman" w:cs="Times New Roman"/>
                <w:bCs/>
                <w:color w:val="auto"/>
                <w:sz w:val="24"/>
                <w:szCs w:val="24"/>
              </w:rPr>
              <w:t>露天作业区及道路面积约</w:t>
            </w:r>
            <w:r>
              <w:rPr>
                <w:rFonts w:hint="default" w:ascii="Times New Roman" w:hAnsi="Times New Roman" w:cs="Times New Roman"/>
                <w:bCs/>
                <w:color w:val="auto"/>
                <w:sz w:val="24"/>
                <w:szCs w:val="24"/>
                <w:lang w:val="en-US" w:eastAsia="zh-CN"/>
              </w:rPr>
              <w:t>1500</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2</w:t>
            </w:r>
            <w:r>
              <w:rPr>
                <w:rFonts w:hint="default" w:ascii="Times New Roman" w:hAnsi="Times New Roman" w:cs="Times New Roman"/>
                <w:bCs/>
                <w:color w:val="auto"/>
                <w:sz w:val="24"/>
                <w:szCs w:val="24"/>
              </w:rPr>
              <w:t>，地面冲洗水用量按每天3L/m</w:t>
            </w:r>
            <w:r>
              <w:rPr>
                <w:rFonts w:hint="default" w:ascii="Times New Roman" w:hAnsi="Times New Roman" w:cs="Times New Roman"/>
                <w:bCs/>
                <w:color w:val="auto"/>
                <w:sz w:val="24"/>
                <w:szCs w:val="24"/>
                <w:vertAlign w:val="superscript"/>
              </w:rPr>
              <w:t>2</w:t>
            </w:r>
            <w:r>
              <w:rPr>
                <w:rFonts w:hint="default" w:ascii="Times New Roman" w:hAnsi="Times New Roman" w:cs="Times New Roman"/>
                <w:bCs/>
                <w:color w:val="auto"/>
                <w:sz w:val="24"/>
                <w:szCs w:val="24"/>
              </w:rPr>
              <w:t>计，则地面冲洗水用量为</w:t>
            </w:r>
            <w:r>
              <w:rPr>
                <w:rFonts w:hint="default" w:ascii="Times New Roman" w:hAnsi="Times New Roman" w:cs="Times New Roman"/>
                <w:bCs/>
                <w:color w:val="auto"/>
                <w:sz w:val="24"/>
                <w:szCs w:val="24"/>
                <w:lang w:val="en-US" w:eastAsia="zh-CN"/>
              </w:rPr>
              <w:t>4.50</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/d，</w:t>
            </w:r>
            <w:r>
              <w:rPr>
                <w:rFonts w:hint="default" w:ascii="Times New Roman" w:hAnsi="Times New Roman" w:cs="Times New Roman"/>
                <w:bCs/>
                <w:color w:val="auto"/>
                <w:sz w:val="24"/>
                <w:szCs w:val="24"/>
                <w:lang w:val="en-US" w:eastAsia="zh-CN"/>
              </w:rPr>
              <w:t>675</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/a，废水产生量按用水量的8</w:t>
            </w:r>
            <w:r>
              <w:rPr>
                <w:rFonts w:hint="default" w:ascii="Times New Roman" w:hAnsi="Times New Roman" w:cs="Times New Roman"/>
                <w:bCs/>
                <w:color w:val="auto"/>
                <w:sz w:val="24"/>
                <w:szCs w:val="24"/>
                <w:lang w:val="en-US" w:eastAsia="zh-CN"/>
              </w:rPr>
              <w:t>5</w:t>
            </w:r>
            <w:r>
              <w:rPr>
                <w:rFonts w:hint="default" w:ascii="Times New Roman" w:hAnsi="Times New Roman" w:cs="Times New Roman"/>
                <w:bCs/>
                <w:color w:val="auto"/>
                <w:sz w:val="24"/>
                <w:szCs w:val="24"/>
              </w:rPr>
              <w:t>%计算，则废水产生量为</w:t>
            </w:r>
            <w:r>
              <w:rPr>
                <w:rFonts w:hint="default" w:ascii="Times New Roman" w:hAnsi="Times New Roman" w:cs="Times New Roman"/>
                <w:bCs/>
                <w:color w:val="auto"/>
                <w:sz w:val="24"/>
                <w:szCs w:val="24"/>
                <w:lang w:val="en-US" w:eastAsia="zh-CN"/>
              </w:rPr>
              <w:t>3.83</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/d，</w:t>
            </w:r>
            <w:r>
              <w:rPr>
                <w:rFonts w:hint="default" w:ascii="Times New Roman" w:hAnsi="Times New Roman" w:cs="Times New Roman"/>
                <w:bCs/>
                <w:color w:val="auto"/>
                <w:sz w:val="24"/>
                <w:szCs w:val="24"/>
                <w:lang w:val="en-US" w:eastAsia="zh-CN"/>
              </w:rPr>
              <w:t>573.8</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/a，经排水沟收集至废水回收处理系统（</w:t>
            </w:r>
            <w:r>
              <w:rPr>
                <w:rFonts w:hint="default" w:ascii="Times New Roman" w:hAnsi="Times New Roman" w:cs="Times New Roman"/>
                <w:bCs/>
                <w:color w:val="auto"/>
                <w:sz w:val="24"/>
                <w:szCs w:val="24"/>
                <w:lang w:val="en-US" w:eastAsia="zh-CN"/>
              </w:rPr>
              <w:t>三</w:t>
            </w:r>
            <w:r>
              <w:rPr>
                <w:rFonts w:hint="default" w:ascii="Times New Roman" w:hAnsi="Times New Roman" w:cs="Times New Roman"/>
                <w:bCs/>
                <w:color w:val="auto"/>
                <w:sz w:val="24"/>
                <w:szCs w:val="24"/>
              </w:rPr>
              <w:t>级沉淀池）处理后回用于场地冲洗等。</w:t>
            </w:r>
          </w:p>
          <w:p w14:paraId="3F5F190A">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⑤</w:t>
            </w:r>
            <w:r>
              <w:rPr>
                <w:rFonts w:hint="default" w:ascii="Times New Roman" w:hAnsi="Times New Roman" w:cs="Times New Roman"/>
                <w:b/>
                <w:color w:val="auto"/>
                <w:sz w:val="24"/>
                <w:szCs w:val="24"/>
              </w:rPr>
              <w:t xml:space="preserve">车辆冲洗用水 </w:t>
            </w:r>
          </w:p>
          <w:p w14:paraId="722E28E9">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工程</w:t>
            </w:r>
            <w:r>
              <w:rPr>
                <w:rFonts w:hint="default" w:ascii="Times New Roman" w:hAnsi="Times New Roman" w:cs="Times New Roman"/>
                <w:color w:val="auto"/>
                <w:sz w:val="24"/>
                <w:szCs w:val="24"/>
              </w:rPr>
              <w:t>原料的总量约</w:t>
            </w:r>
            <w:r>
              <w:rPr>
                <w:rFonts w:hint="default" w:ascii="Times New Roman" w:hAnsi="Times New Roman" w:cs="Times New Roman"/>
                <w:color w:val="auto"/>
                <w:sz w:val="24"/>
                <w:szCs w:val="24"/>
                <w:lang w:val="en-US" w:eastAsia="zh-CN"/>
              </w:rPr>
              <w:t>51000</w:t>
            </w:r>
            <w:r>
              <w:rPr>
                <w:rFonts w:hint="default" w:ascii="Times New Roman" w:hAnsi="Times New Roman" w:cs="Times New Roman"/>
                <w:color w:val="auto"/>
                <w:sz w:val="24"/>
                <w:szCs w:val="24"/>
              </w:rPr>
              <w:t>t，成品约</w:t>
            </w:r>
            <w:r>
              <w:rPr>
                <w:rFonts w:hint="default" w:ascii="Times New Roman" w:hAnsi="Times New Roman" w:cs="Times New Roman"/>
                <w:color w:val="auto"/>
                <w:sz w:val="24"/>
                <w:szCs w:val="24"/>
                <w:lang w:val="en-US" w:eastAsia="zh-CN"/>
              </w:rPr>
              <w:t>50000</w:t>
            </w:r>
            <w:r>
              <w:rPr>
                <w:rFonts w:hint="default" w:ascii="Times New Roman" w:hAnsi="Times New Roman" w:cs="Times New Roman"/>
                <w:color w:val="auto"/>
                <w:sz w:val="24"/>
                <w:szCs w:val="24"/>
              </w:rPr>
              <w:t>t，</w:t>
            </w:r>
            <w:r>
              <w:rPr>
                <w:rFonts w:hint="default" w:ascii="Times New Roman" w:hAnsi="Times New Roman" w:cs="Times New Roman"/>
                <w:bCs/>
                <w:color w:val="auto"/>
                <w:sz w:val="24"/>
                <w:szCs w:val="24"/>
              </w:rPr>
              <w:t>单车运载能力取20t，年生产1</w:t>
            </w:r>
            <w:r>
              <w:rPr>
                <w:rFonts w:hint="default" w:ascii="Times New Roman" w:hAnsi="Times New Roman" w:cs="Times New Roman"/>
                <w:bCs/>
                <w:color w:val="auto"/>
                <w:sz w:val="24"/>
                <w:szCs w:val="24"/>
                <w:lang w:val="en-US" w:eastAsia="zh-CN"/>
              </w:rPr>
              <w:t>5</w:t>
            </w:r>
            <w:r>
              <w:rPr>
                <w:rFonts w:hint="default" w:ascii="Times New Roman" w:hAnsi="Times New Roman" w:cs="Times New Roman"/>
                <w:bCs/>
                <w:color w:val="auto"/>
                <w:sz w:val="24"/>
                <w:szCs w:val="24"/>
              </w:rPr>
              <w:t>0天，则运输作业平均每天约</w:t>
            </w:r>
            <w:r>
              <w:rPr>
                <w:rFonts w:hint="default" w:ascii="Times New Roman" w:hAnsi="Times New Roman" w:cs="Times New Roman"/>
                <w:bCs/>
                <w:color w:val="auto"/>
                <w:sz w:val="24"/>
                <w:szCs w:val="24"/>
                <w:lang w:val="en-US" w:eastAsia="zh-CN"/>
              </w:rPr>
              <w:t>33</w:t>
            </w:r>
            <w:r>
              <w:rPr>
                <w:rFonts w:hint="default" w:ascii="Times New Roman" w:hAnsi="Times New Roman" w:cs="Times New Roman"/>
                <w:bCs/>
                <w:color w:val="auto"/>
                <w:sz w:val="24"/>
                <w:szCs w:val="24"/>
              </w:rPr>
              <w:t>次。根据经验数据，车辆冲洗用水约100L/车·次，则车辆冲洗用水量为</w:t>
            </w:r>
            <w:r>
              <w:rPr>
                <w:rFonts w:hint="default" w:ascii="Times New Roman" w:hAnsi="Times New Roman" w:cs="Times New Roman"/>
                <w:bCs/>
                <w:color w:val="auto"/>
                <w:sz w:val="24"/>
                <w:szCs w:val="24"/>
                <w:lang w:val="en-US" w:eastAsia="zh-CN"/>
              </w:rPr>
              <w:t>3.27</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/d，</w:t>
            </w:r>
            <w:r>
              <w:rPr>
                <w:rFonts w:hint="default" w:ascii="Times New Roman" w:hAnsi="Times New Roman" w:cs="Times New Roman"/>
                <w:bCs/>
                <w:color w:val="auto"/>
                <w:sz w:val="24"/>
                <w:szCs w:val="24"/>
                <w:lang w:val="en-US" w:eastAsia="zh-CN"/>
              </w:rPr>
              <w:t>490</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/a，冲洗废水产生系数按85%计，产生量为</w:t>
            </w:r>
            <w:r>
              <w:rPr>
                <w:rFonts w:hint="default" w:ascii="Times New Roman" w:hAnsi="Times New Roman" w:cs="Times New Roman"/>
                <w:bCs/>
                <w:color w:val="auto"/>
                <w:sz w:val="24"/>
                <w:szCs w:val="24"/>
                <w:lang w:val="en-US" w:eastAsia="zh-CN"/>
              </w:rPr>
              <w:t>2.78</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/d，</w:t>
            </w:r>
            <w:r>
              <w:rPr>
                <w:rFonts w:hint="default" w:ascii="Times New Roman" w:hAnsi="Times New Roman" w:cs="Times New Roman"/>
                <w:bCs/>
                <w:color w:val="auto"/>
                <w:sz w:val="24"/>
                <w:szCs w:val="24"/>
                <w:lang w:val="en-US" w:eastAsia="zh-CN"/>
              </w:rPr>
              <w:t>416.5</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/a。车辆冲洗废水</w:t>
            </w:r>
            <w:r>
              <w:rPr>
                <w:rFonts w:hint="default" w:ascii="Times New Roman" w:hAnsi="Times New Roman" w:cs="Times New Roman"/>
                <w:bCs/>
                <w:color w:val="auto"/>
                <w:sz w:val="24"/>
                <w:szCs w:val="24"/>
                <w:lang w:val="en-US" w:eastAsia="zh-CN"/>
              </w:rPr>
              <w:t>引入废水回收系统</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val="en-US" w:eastAsia="zh-CN"/>
              </w:rPr>
              <w:t>三</w:t>
            </w:r>
            <w:r>
              <w:rPr>
                <w:rFonts w:hint="default" w:ascii="Times New Roman" w:hAnsi="Times New Roman" w:cs="Times New Roman"/>
                <w:bCs/>
                <w:color w:val="auto"/>
                <w:sz w:val="24"/>
                <w:szCs w:val="24"/>
              </w:rPr>
              <w:t>级沉淀池）处理后回用于场地冲洗等。</w:t>
            </w:r>
          </w:p>
          <w:p w14:paraId="0C4D01B8">
            <w:pPr>
              <w:snapToGrid w:val="0"/>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eastAsia="宋体" w:cs="Times New Roman"/>
                <w:b/>
                <w:bCs/>
                <w:color w:val="auto"/>
                <w:sz w:val="24"/>
                <w:szCs w:val="24"/>
                <w:lang w:val="en-US" w:eastAsia="zh-CN"/>
              </w:rPr>
              <w:t>初期雨水：</w:t>
            </w:r>
            <w:r>
              <w:rPr>
                <w:rFonts w:hint="default" w:ascii="Times New Roman" w:hAnsi="Times New Roman" w:cs="Times New Roman"/>
                <w:color w:val="auto"/>
                <w:sz w:val="24"/>
                <w:szCs w:val="24"/>
              </w:rPr>
              <w:t>指降雨初期时（一般是前15分钟）的雨水，通常是指地面10~15mm厚已形成地表径流的降水。</w:t>
            </w:r>
            <w:r>
              <w:rPr>
                <w:rFonts w:hint="default" w:ascii="Times New Roman" w:hAnsi="Times New Roman" w:cs="Times New Roman"/>
                <w:color w:val="auto"/>
                <w:sz w:val="24"/>
                <w:szCs w:val="24"/>
                <w:lang w:val="en-US" w:eastAsia="zh-CN"/>
              </w:rPr>
              <w:t>根据达州市城市管理行政执法局、达州市气象局《关于下发达州市中心城区暴雨强度公式及设计雨型的通知》（达市城管发</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2025</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7号），</w:t>
            </w:r>
            <w:r>
              <w:rPr>
                <w:rFonts w:hint="default" w:ascii="Times New Roman" w:hAnsi="Times New Roman" w:cs="Times New Roman"/>
                <w:color w:val="auto"/>
                <w:sz w:val="24"/>
                <w:szCs w:val="24"/>
              </w:rPr>
              <w:t>达州市暴雨强度公式为：</w:t>
            </w:r>
          </w:p>
          <w:p w14:paraId="35E0EBFD">
            <w:pPr>
              <w:snapToGrid w:val="0"/>
              <w:spacing w:line="360" w:lineRule="auto"/>
              <w:ind w:firstLine="482" w:firstLineChars="200"/>
              <w:jc w:val="center"/>
              <w:rPr>
                <w:rFonts w:hint="default" w:ascii="Times New Roman" w:hAnsi="Times New Roman" w:cs="Times New Roman"/>
                <w:color w:val="auto"/>
                <w:sz w:val="24"/>
                <w:szCs w:val="24"/>
              </w:rPr>
            </w:pPr>
            <w:r>
              <w:rPr>
                <w:rFonts w:hint="default" w:ascii="Times New Roman" w:hAnsi="Times New Roman" w:cs="Times New Roman"/>
                <w:b/>
                <w:bCs/>
                <w:i/>
                <w:color w:val="auto"/>
                <w:position w:val="-28"/>
                <w:sz w:val="24"/>
                <w:szCs w:val="24"/>
              </w:rPr>
              <w:object>
                <v:shape id="_x0000_i1025" o:spt="75" type="#_x0000_t75" style="height:33.25pt;width:151.8pt;" o:ole="t" filled="f" o:preferrelative="t" stroked="f" coordsize="21600,21600">
                  <v:path/>
                  <v:fill on="f" focussize="0,0"/>
                  <v:stroke on="f"/>
                  <v:imagedata r:id="rId16" o:title=""/>
                  <o:lock v:ext="edit" aspectratio="t"/>
                  <w10:wrap type="none"/>
                  <w10:anchorlock/>
                </v:shape>
                <o:OLEObject Type="Embed" ProgID="Equation.KSEE3" ShapeID="_x0000_i1025" DrawAspect="Content" ObjectID="_1468075725" r:id="rId15">
                  <o:LockedField>false</o:LockedField>
                </o:OLEObject>
              </w:object>
            </w:r>
            <w:r>
              <w:rPr>
                <w:rFonts w:hint="default" w:ascii="Times New Roman" w:hAnsi="Times New Roman" w:cs="Times New Roman"/>
                <w:color w:val="auto"/>
                <w:sz w:val="24"/>
                <w:szCs w:val="24"/>
              </w:rPr>
              <w:t xml:space="preserve"> (单位：L/s/hm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p>
          <w:p w14:paraId="10CA0D36">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式中，P——设计重现期（年），按2年计。</w:t>
            </w:r>
          </w:p>
          <w:p w14:paraId="3269921B">
            <w:pPr>
              <w:snapToGrid w:val="0"/>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i/>
                <w:color w:val="auto"/>
                <w:sz w:val="24"/>
                <w:szCs w:val="24"/>
              </w:rPr>
              <w:t>q</w:t>
            </w:r>
            <w:r>
              <w:rPr>
                <w:rFonts w:hint="default" w:ascii="Times New Roman" w:hAnsi="Times New Roman" w:cs="Times New Roman"/>
                <w:color w:val="auto"/>
                <w:sz w:val="24"/>
                <w:szCs w:val="24"/>
              </w:rPr>
              <w:t>——暴雨强度（L/s·hm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p>
          <w:p w14:paraId="1716E636">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w:t>
            </w:r>
            <w:r>
              <w:rPr>
                <w:rFonts w:hint="default" w:ascii="Times New Roman" w:hAnsi="Times New Roman" w:cs="Times New Roman"/>
                <w:i/>
                <w:color w:val="auto"/>
                <w:sz w:val="24"/>
                <w:szCs w:val="24"/>
              </w:rPr>
              <w:t>t</w:t>
            </w:r>
            <w:r>
              <w:rPr>
                <w:rFonts w:hint="default" w:ascii="Times New Roman" w:hAnsi="Times New Roman" w:cs="Times New Roman"/>
                <w:color w:val="auto"/>
                <w:sz w:val="24"/>
                <w:szCs w:val="24"/>
              </w:rPr>
              <w:t>——降雨历时（min），按15min计；</w:t>
            </w:r>
          </w:p>
          <w:p w14:paraId="29F625FD">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根据计算可知，区域暴雨强度</w:t>
            </w:r>
            <w:r>
              <w:rPr>
                <w:rFonts w:hint="default" w:ascii="Times New Roman" w:hAnsi="Times New Roman" w:cs="Times New Roman"/>
                <w:i/>
                <w:color w:val="auto"/>
                <w:sz w:val="24"/>
                <w:szCs w:val="24"/>
              </w:rPr>
              <w:t>q</w:t>
            </w:r>
            <w:r>
              <w:rPr>
                <w:rFonts w:hint="default" w:ascii="Times New Roman" w:hAnsi="Times New Roman" w:cs="Times New Roman"/>
                <w:color w:val="auto"/>
                <w:sz w:val="24"/>
                <w:szCs w:val="24"/>
              </w:rPr>
              <w:t>为</w:t>
            </w:r>
            <w:r>
              <w:rPr>
                <w:rFonts w:hint="default" w:ascii="Times New Roman" w:hAnsi="Times New Roman" w:cs="Times New Roman"/>
                <w:color w:val="auto"/>
                <w:sz w:val="24"/>
                <w:szCs w:val="24"/>
                <w:lang w:val="en-US" w:eastAsia="zh-CN"/>
              </w:rPr>
              <w:t>206.79</w:t>
            </w:r>
            <w:r>
              <w:rPr>
                <w:rFonts w:hint="default" w:ascii="Times New Roman" w:hAnsi="Times New Roman" w:cs="Times New Roman"/>
                <w:color w:val="auto"/>
                <w:sz w:val="24"/>
                <w:szCs w:val="24"/>
              </w:rPr>
              <w:t>L/（s·hm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）。经测算，项目厂区裸露部分的汇水面积约1500m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，考虑一次暴雨最大初期雨水量和年初期雨水总量，其中：</w:t>
            </w:r>
          </w:p>
          <w:p w14:paraId="631C204B">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一次暴雨最大初期雨水量计算公式为：</w:t>
            </w:r>
          </w:p>
          <w:p w14:paraId="490FBEBA">
            <w:pPr>
              <w:snapToGrid w:val="0"/>
              <w:spacing w:line="360" w:lineRule="auto"/>
              <w:ind w:firstLine="480" w:firstLineChars="200"/>
              <w:jc w:val="center"/>
              <w:rPr>
                <w:rFonts w:hint="default" w:ascii="Times New Roman" w:hAnsi="Times New Roman" w:cs="Times New Roman"/>
                <w:color w:val="auto"/>
                <w:sz w:val="24"/>
                <w:szCs w:val="24"/>
              </w:rPr>
            </w:pPr>
            <w:r>
              <w:rPr>
                <w:rFonts w:hint="default" w:ascii="Times New Roman" w:hAnsi="Times New Roman" w:cs="Times New Roman"/>
                <w:i/>
                <w:color w:val="auto"/>
                <w:sz w:val="24"/>
                <w:szCs w:val="24"/>
              </w:rPr>
              <w:t>Q</w:t>
            </w:r>
            <w:r>
              <w:rPr>
                <w:rFonts w:hint="default" w:ascii="Times New Roman" w:hAnsi="Times New Roman" w:cs="Times New Roman"/>
                <w:color w:val="auto"/>
                <w:sz w:val="24"/>
                <w:szCs w:val="24"/>
              </w:rPr>
              <w:t>=</w:t>
            </w:r>
            <w:r>
              <w:rPr>
                <w:rFonts w:hint="default" w:ascii="Times New Roman" w:hAnsi="Times New Roman" w:cs="Times New Roman"/>
                <w:i/>
                <w:color w:val="auto"/>
                <w:sz w:val="24"/>
                <w:szCs w:val="24"/>
              </w:rPr>
              <w:t>q</w:t>
            </w:r>
            <w:r>
              <w:rPr>
                <w:rFonts w:hint="default" w:ascii="Times New Roman" w:hAnsi="Times New Roman" w:cs="Times New Roman"/>
                <w:color w:val="auto"/>
                <w:sz w:val="24"/>
                <w:szCs w:val="24"/>
              </w:rPr>
              <w:t>×</w:t>
            </w:r>
            <w:r>
              <w:rPr>
                <w:rFonts w:hint="default" w:ascii="Times New Roman" w:hAnsi="Times New Roman" w:cs="Times New Roman"/>
                <w:i/>
                <w:color w:val="auto"/>
                <w:sz w:val="24"/>
                <w:szCs w:val="24"/>
              </w:rPr>
              <w:t>Ψ</w:t>
            </w:r>
            <w:r>
              <w:rPr>
                <w:rFonts w:hint="default" w:ascii="Times New Roman" w:hAnsi="Times New Roman" w:cs="Times New Roman"/>
                <w:color w:val="auto"/>
                <w:sz w:val="24"/>
                <w:szCs w:val="24"/>
              </w:rPr>
              <w:t>×</w:t>
            </w:r>
            <w:r>
              <w:rPr>
                <w:rFonts w:hint="default" w:ascii="Times New Roman" w:hAnsi="Times New Roman" w:cs="Times New Roman"/>
                <w:i/>
                <w:color w:val="auto"/>
                <w:sz w:val="24"/>
                <w:szCs w:val="24"/>
              </w:rPr>
              <w:t>S</w:t>
            </w:r>
          </w:p>
          <w:p w14:paraId="7C14CB78">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w:t>
            </w:r>
            <w:r>
              <w:rPr>
                <w:rFonts w:hint="default" w:ascii="Times New Roman" w:hAnsi="Times New Roman" w:cs="Times New Roman"/>
                <w:i/>
                <w:iCs/>
                <w:color w:val="auto"/>
                <w:sz w:val="24"/>
                <w:szCs w:val="24"/>
              </w:rPr>
              <w:t>Q</w:t>
            </w:r>
            <w:r>
              <w:rPr>
                <w:rFonts w:hint="default" w:ascii="Times New Roman" w:hAnsi="Times New Roman" w:cs="Times New Roman"/>
                <w:color w:val="auto"/>
                <w:sz w:val="24"/>
                <w:szCs w:val="24"/>
              </w:rPr>
              <w:t>——雨水设计流量（L/s）；</w:t>
            </w:r>
          </w:p>
          <w:p w14:paraId="44CEBBFF">
            <w:pPr>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q——设计暴雨强度，L/（s·hm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p>
          <w:p w14:paraId="4A0EF3C9">
            <w:pPr>
              <w:snapToGrid w:val="0"/>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i/>
                <w:color w:val="auto"/>
                <w:sz w:val="24"/>
                <w:szCs w:val="24"/>
              </w:rPr>
              <w:t>Ψ</w:t>
            </w:r>
            <w:r>
              <w:rPr>
                <w:rFonts w:hint="default" w:ascii="Times New Roman" w:hAnsi="Times New Roman" w:cs="Times New Roman"/>
                <w:color w:val="auto"/>
                <w:sz w:val="24"/>
                <w:szCs w:val="24"/>
              </w:rPr>
              <w:t>——径流系数，取0.9；</w:t>
            </w:r>
          </w:p>
          <w:p w14:paraId="3AAB512B">
            <w:pPr>
              <w:snapToGrid w:val="0"/>
              <w:spacing w:line="360" w:lineRule="auto"/>
              <w:ind w:firstLine="480" w:firstLineChars="200"/>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 xml:space="preserve">      </w:t>
            </w:r>
            <w:r>
              <w:rPr>
                <w:rFonts w:hint="default" w:ascii="Times New Roman" w:hAnsi="Times New Roman" w:cs="Times New Roman"/>
                <w:i/>
                <w:color w:val="auto"/>
                <w:sz w:val="24"/>
                <w:szCs w:val="24"/>
              </w:rPr>
              <w:t>S</w:t>
            </w:r>
            <w:r>
              <w:rPr>
                <w:rFonts w:hint="default" w:ascii="Times New Roman" w:hAnsi="Times New Roman" w:cs="Times New Roman"/>
                <w:color w:val="auto"/>
                <w:sz w:val="24"/>
                <w:szCs w:val="24"/>
              </w:rPr>
              <w:t>——汇水面积，hm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p>
          <w:p w14:paraId="145B78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宋体" w:cs="Times New Roman"/>
                <w:b/>
                <w:bCs/>
                <w:color w:val="auto"/>
                <w:kern w:val="0"/>
                <w:sz w:val="20"/>
                <w:szCs w:val="20"/>
                <w:lang w:val="en-US" w:eastAsia="zh-CN" w:bidi="ar-SA"/>
              </w:rPr>
            </w:pPr>
            <w:r>
              <w:rPr>
                <w:rFonts w:hint="default" w:ascii="Times New Roman" w:hAnsi="Times New Roman" w:cs="Times New Roman"/>
                <w:b/>
                <w:bCs/>
                <w:color w:val="auto"/>
                <w:sz w:val="24"/>
                <w:szCs w:val="24"/>
              </w:rPr>
              <w:t>经计算，场区一次最大初期雨水（降雨前15分钟）量约</w:t>
            </w:r>
            <w:r>
              <w:rPr>
                <w:rFonts w:hint="default" w:ascii="Times New Roman" w:hAnsi="Times New Roman" w:cs="Times New Roman"/>
                <w:b/>
                <w:bCs/>
                <w:color w:val="auto"/>
                <w:sz w:val="24"/>
                <w:szCs w:val="24"/>
                <w:lang w:val="en-US" w:eastAsia="zh-CN"/>
              </w:rPr>
              <w:t>25.12</w:t>
            </w:r>
            <w:r>
              <w:rPr>
                <w:rFonts w:hint="default" w:ascii="Times New Roman" w:hAnsi="Times New Roman" w:cs="Times New Roman"/>
                <w:b/>
                <w:bCs/>
                <w:color w:val="auto"/>
                <w:sz w:val="24"/>
                <w:szCs w:val="24"/>
              </w:rPr>
              <w:t>m</w:t>
            </w:r>
            <w:r>
              <w:rPr>
                <w:rFonts w:hint="default" w:ascii="Times New Roman" w:hAnsi="Times New Roman" w:cs="Times New Roman"/>
                <w:b/>
                <w:bCs/>
                <w:color w:val="auto"/>
                <w:sz w:val="24"/>
                <w:szCs w:val="24"/>
                <w:vertAlign w:val="superscript"/>
              </w:rPr>
              <w:t>3</w:t>
            </w:r>
            <w:r>
              <w:rPr>
                <w:rFonts w:hint="default" w:ascii="Times New Roman" w:hAnsi="Times New Roman" w:cs="Times New Roman"/>
                <w:b/>
                <w:bCs/>
                <w:color w:val="auto"/>
                <w:sz w:val="24"/>
                <w:szCs w:val="24"/>
              </w:rPr>
              <w:t>/次。项目在厂区东北侧设置了一个约</w:t>
            </w:r>
            <w:r>
              <w:rPr>
                <w:rFonts w:hint="default" w:ascii="Times New Roman" w:hAnsi="Times New Roman" w:cs="Times New Roman"/>
                <w:b/>
                <w:bCs/>
                <w:color w:val="auto"/>
                <w:sz w:val="24"/>
                <w:szCs w:val="24"/>
                <w:lang w:val="en-US" w:eastAsia="zh-CN"/>
              </w:rPr>
              <w:t>30</w:t>
            </w:r>
            <w:r>
              <w:rPr>
                <w:rFonts w:hint="default" w:ascii="Times New Roman" w:hAnsi="Times New Roman" w:cs="Times New Roman"/>
                <w:b/>
                <w:bCs/>
                <w:color w:val="auto"/>
                <w:sz w:val="24"/>
                <w:szCs w:val="24"/>
              </w:rPr>
              <w:t>m</w:t>
            </w:r>
            <w:r>
              <w:rPr>
                <w:rFonts w:hint="default" w:ascii="Times New Roman" w:hAnsi="Times New Roman" w:cs="Times New Roman"/>
                <w:b/>
                <w:bCs/>
                <w:color w:val="auto"/>
                <w:sz w:val="24"/>
                <w:szCs w:val="24"/>
                <w:vertAlign w:val="superscript"/>
              </w:rPr>
              <w:t>3</w:t>
            </w:r>
            <w:r>
              <w:rPr>
                <w:rFonts w:hint="default" w:ascii="Times New Roman" w:hAnsi="Times New Roman" w:cs="Times New Roman"/>
                <w:b/>
                <w:bCs/>
                <w:color w:val="auto"/>
                <w:sz w:val="24"/>
                <w:szCs w:val="24"/>
              </w:rPr>
              <w:t>沉淀池，对初期雨水进行收集，与地面冲洗废水一并处理。该沉淀池池体大小能够满足本项目实际需求</w:t>
            </w:r>
            <w:r>
              <w:rPr>
                <w:rFonts w:hint="default" w:ascii="Times New Roman" w:hAnsi="Times New Roman" w:eastAsia="宋体" w:cs="Times New Roman"/>
                <w:b/>
                <w:bCs/>
                <w:color w:val="auto"/>
                <w:sz w:val="24"/>
                <w:szCs w:val="24"/>
                <w:lang w:val="en-US" w:eastAsia="zh-CN"/>
              </w:rPr>
              <w:t>。</w:t>
            </w:r>
          </w:p>
          <w:p w14:paraId="39F05C0E">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表2-7 本项目用水情况</w:t>
            </w:r>
          </w:p>
          <w:tbl>
            <w:tblPr>
              <w:tblStyle w:val="30"/>
              <w:tblW w:w="88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349"/>
              <w:gridCol w:w="831"/>
              <w:gridCol w:w="780"/>
              <w:gridCol w:w="1247"/>
              <w:gridCol w:w="1242"/>
              <w:gridCol w:w="1283"/>
              <w:gridCol w:w="2104"/>
            </w:tblGrid>
            <w:tr w14:paraId="49CC39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9" w:hRule="atLeast"/>
                <w:jc w:val="center"/>
              </w:trPr>
              <w:tc>
                <w:tcPr>
                  <w:tcW w:w="1349" w:type="dxa"/>
                  <w:tcBorders>
                    <w:tl2br w:val="nil"/>
                    <w:tr2bl w:val="nil"/>
                  </w:tcBorders>
                  <w:vAlign w:val="center"/>
                </w:tcPr>
                <w:p w14:paraId="27ABC0F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类型</w:t>
                  </w:r>
                </w:p>
              </w:tc>
              <w:tc>
                <w:tcPr>
                  <w:tcW w:w="831" w:type="dxa"/>
                  <w:tcBorders>
                    <w:tl2br w:val="nil"/>
                    <w:tr2bl w:val="nil"/>
                  </w:tcBorders>
                  <w:vAlign w:val="center"/>
                </w:tcPr>
                <w:p w14:paraId="00EA073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用水标准</w:t>
                  </w:r>
                </w:p>
              </w:tc>
              <w:tc>
                <w:tcPr>
                  <w:tcW w:w="780" w:type="dxa"/>
                  <w:tcBorders>
                    <w:tl2br w:val="nil"/>
                    <w:tr2bl w:val="nil"/>
                  </w:tcBorders>
                  <w:vAlign w:val="center"/>
                </w:tcPr>
                <w:p w14:paraId="7605DA0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用水规模</w:t>
                  </w:r>
                </w:p>
              </w:tc>
              <w:tc>
                <w:tcPr>
                  <w:tcW w:w="1247" w:type="dxa"/>
                  <w:tcBorders>
                    <w:tl2br w:val="nil"/>
                    <w:tr2bl w:val="nil"/>
                  </w:tcBorders>
                  <w:vAlign w:val="center"/>
                </w:tcPr>
                <w:p w14:paraId="153D730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总用水量（m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rPr>
                    <w:t>/d）</w:t>
                  </w:r>
                </w:p>
              </w:tc>
              <w:tc>
                <w:tcPr>
                  <w:tcW w:w="1242" w:type="dxa"/>
                  <w:tcBorders>
                    <w:tl2br w:val="nil"/>
                    <w:tr2bl w:val="nil"/>
                  </w:tcBorders>
                  <w:vAlign w:val="center"/>
                </w:tcPr>
                <w:p w14:paraId="2CF865B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废水产生量（m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rPr>
                    <w:t>/d）</w:t>
                  </w:r>
                </w:p>
              </w:tc>
              <w:tc>
                <w:tcPr>
                  <w:tcW w:w="1283" w:type="dxa"/>
                  <w:tcBorders>
                    <w:tl2br w:val="nil"/>
                    <w:tr2bl w:val="nil"/>
                  </w:tcBorders>
                  <w:vAlign w:val="center"/>
                </w:tcPr>
                <w:p w14:paraId="3F3F20E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新鲜水用量（m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rPr>
                    <w:t>/d）</w:t>
                  </w:r>
                </w:p>
              </w:tc>
              <w:tc>
                <w:tcPr>
                  <w:tcW w:w="2104" w:type="dxa"/>
                  <w:tcBorders>
                    <w:tl2br w:val="nil"/>
                    <w:tr2bl w:val="nil"/>
                  </w:tcBorders>
                  <w:vAlign w:val="center"/>
                </w:tcPr>
                <w:p w14:paraId="117FF13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备注</w:t>
                  </w:r>
                </w:p>
              </w:tc>
            </w:tr>
            <w:tr w14:paraId="2065B3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9" w:hRule="atLeast"/>
                <w:jc w:val="center"/>
              </w:trPr>
              <w:tc>
                <w:tcPr>
                  <w:tcW w:w="1349" w:type="dxa"/>
                  <w:tcBorders>
                    <w:tl2br w:val="nil"/>
                    <w:tr2bl w:val="nil"/>
                  </w:tcBorders>
                  <w:vAlign w:val="center"/>
                </w:tcPr>
                <w:p w14:paraId="58512F2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生活用水</w:t>
                  </w:r>
                </w:p>
              </w:tc>
              <w:tc>
                <w:tcPr>
                  <w:tcW w:w="831" w:type="dxa"/>
                  <w:tcBorders>
                    <w:tl2br w:val="nil"/>
                    <w:tr2bl w:val="nil"/>
                  </w:tcBorders>
                  <w:shd w:val="clear" w:color="auto" w:fill="auto"/>
                  <w:vAlign w:val="center"/>
                </w:tcPr>
                <w:p w14:paraId="7EF387B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4"/>
                      <w:szCs w:val="21"/>
                      <w:lang w:val="en-US" w:eastAsia="zh-CN"/>
                    </w:rPr>
                    <w:t>120</w:t>
                  </w:r>
                  <w:r>
                    <w:rPr>
                      <w:rFonts w:hint="default" w:ascii="Times New Roman" w:hAnsi="Times New Roman" w:eastAsia="宋体" w:cs="Times New Roman"/>
                      <w:color w:val="auto"/>
                      <w:kern w:val="24"/>
                      <w:szCs w:val="21"/>
                    </w:rPr>
                    <w:t>L/人·d</w:t>
                  </w:r>
                </w:p>
              </w:tc>
              <w:tc>
                <w:tcPr>
                  <w:tcW w:w="780" w:type="dxa"/>
                  <w:tcBorders>
                    <w:tl2br w:val="nil"/>
                    <w:tr2bl w:val="nil"/>
                  </w:tcBorders>
                  <w:shd w:val="clear" w:color="auto" w:fill="auto"/>
                  <w:vAlign w:val="center"/>
                </w:tcPr>
                <w:p w14:paraId="58029DC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rPr>
                    <w:t>人</w:t>
                  </w:r>
                </w:p>
              </w:tc>
              <w:tc>
                <w:tcPr>
                  <w:tcW w:w="1247" w:type="dxa"/>
                  <w:tcBorders>
                    <w:tl2br w:val="nil"/>
                    <w:tr2bl w:val="nil"/>
                  </w:tcBorders>
                  <w:shd w:val="clear" w:color="auto" w:fill="auto"/>
                  <w:vAlign w:val="center"/>
                </w:tcPr>
                <w:p w14:paraId="41243A3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1.2</w:t>
                  </w:r>
                  <w:r>
                    <w:rPr>
                      <w:rFonts w:hint="default" w:ascii="Times New Roman" w:hAnsi="Times New Roman" w:cs="Times New Roman"/>
                      <w:color w:val="auto"/>
                      <w:szCs w:val="21"/>
                      <w:lang w:val="en-US" w:eastAsia="zh-CN"/>
                    </w:rPr>
                    <w:t>0</w:t>
                  </w:r>
                </w:p>
              </w:tc>
              <w:tc>
                <w:tcPr>
                  <w:tcW w:w="1242" w:type="dxa"/>
                  <w:tcBorders>
                    <w:tl2br w:val="nil"/>
                    <w:tr2bl w:val="nil"/>
                  </w:tcBorders>
                  <w:shd w:val="clear" w:color="auto" w:fill="auto"/>
                  <w:vAlign w:val="center"/>
                </w:tcPr>
                <w:p w14:paraId="607FDD9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1.02</w:t>
                  </w:r>
                </w:p>
              </w:tc>
              <w:tc>
                <w:tcPr>
                  <w:tcW w:w="1283" w:type="dxa"/>
                  <w:tcBorders>
                    <w:tl2br w:val="nil"/>
                    <w:tr2bl w:val="nil"/>
                  </w:tcBorders>
                  <w:vAlign w:val="center"/>
                </w:tcPr>
                <w:p w14:paraId="1F56097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1.2</w:t>
                  </w:r>
                  <w:r>
                    <w:rPr>
                      <w:rFonts w:hint="default" w:ascii="Times New Roman" w:hAnsi="Times New Roman" w:cs="Times New Roman"/>
                      <w:color w:val="auto"/>
                      <w:szCs w:val="21"/>
                      <w:lang w:val="en-US" w:eastAsia="zh-CN"/>
                    </w:rPr>
                    <w:t>0</w:t>
                  </w:r>
                </w:p>
              </w:tc>
              <w:tc>
                <w:tcPr>
                  <w:tcW w:w="2104" w:type="dxa"/>
                  <w:tcBorders>
                    <w:tl2br w:val="nil"/>
                    <w:tr2bl w:val="nil"/>
                  </w:tcBorders>
                  <w:vAlign w:val="center"/>
                </w:tcPr>
                <w:p w14:paraId="4FA415D5">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用作农肥</w:t>
                  </w:r>
                </w:p>
              </w:tc>
            </w:tr>
            <w:tr w14:paraId="1B1DC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9" w:hRule="atLeast"/>
                <w:jc w:val="center"/>
              </w:trPr>
              <w:tc>
                <w:tcPr>
                  <w:tcW w:w="1349" w:type="dxa"/>
                  <w:tcBorders>
                    <w:tl2br w:val="nil"/>
                    <w:tr2bl w:val="nil"/>
                  </w:tcBorders>
                  <w:shd w:val="clear" w:color="auto" w:fill="auto"/>
                  <w:vAlign w:val="center"/>
                </w:tcPr>
                <w:p w14:paraId="6B1E4E8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乳化沥青生产用水</w:t>
                  </w:r>
                </w:p>
              </w:tc>
              <w:tc>
                <w:tcPr>
                  <w:tcW w:w="831" w:type="dxa"/>
                  <w:tcBorders>
                    <w:tl2br w:val="nil"/>
                    <w:tr2bl w:val="nil"/>
                  </w:tcBorders>
                  <w:shd w:val="clear" w:color="auto" w:fill="auto"/>
                  <w:vAlign w:val="center"/>
                </w:tcPr>
                <w:p w14:paraId="42F6B85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w:t>
                  </w:r>
                </w:p>
              </w:tc>
              <w:tc>
                <w:tcPr>
                  <w:tcW w:w="780" w:type="dxa"/>
                  <w:tcBorders>
                    <w:tl2br w:val="nil"/>
                    <w:tr2bl w:val="nil"/>
                  </w:tcBorders>
                  <w:shd w:val="clear" w:color="auto" w:fill="auto"/>
                  <w:vAlign w:val="center"/>
                </w:tcPr>
                <w:p w14:paraId="591DF5A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w:t>
                  </w:r>
                </w:p>
              </w:tc>
              <w:tc>
                <w:tcPr>
                  <w:tcW w:w="1247" w:type="dxa"/>
                  <w:tcBorders>
                    <w:tl2br w:val="nil"/>
                    <w:tr2bl w:val="nil"/>
                  </w:tcBorders>
                  <w:shd w:val="clear" w:color="auto" w:fill="auto"/>
                  <w:vAlign w:val="center"/>
                </w:tcPr>
                <w:p w14:paraId="22D0AD2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2.32</w:t>
                  </w:r>
                </w:p>
              </w:tc>
              <w:tc>
                <w:tcPr>
                  <w:tcW w:w="1242" w:type="dxa"/>
                  <w:tcBorders>
                    <w:tl2br w:val="nil"/>
                    <w:tr2bl w:val="nil"/>
                  </w:tcBorders>
                  <w:shd w:val="clear" w:color="auto" w:fill="auto"/>
                  <w:vAlign w:val="center"/>
                </w:tcPr>
                <w:p w14:paraId="733C5D0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Cs w:val="21"/>
                      <w:lang w:val="en-US" w:eastAsia="zh-CN" w:bidi="ar"/>
                    </w:rPr>
                    <w:t>0</w:t>
                  </w:r>
                </w:p>
              </w:tc>
              <w:tc>
                <w:tcPr>
                  <w:tcW w:w="1283" w:type="dxa"/>
                  <w:tcBorders>
                    <w:tl2br w:val="nil"/>
                    <w:tr2bl w:val="nil"/>
                  </w:tcBorders>
                  <w:shd w:val="clear" w:color="auto" w:fill="auto"/>
                  <w:vAlign w:val="center"/>
                </w:tcPr>
                <w:p w14:paraId="0006DDE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2.32</w:t>
                  </w:r>
                </w:p>
              </w:tc>
              <w:tc>
                <w:tcPr>
                  <w:tcW w:w="2104" w:type="dxa"/>
                  <w:tcBorders>
                    <w:tl2br w:val="nil"/>
                    <w:tr2bl w:val="nil"/>
                  </w:tcBorders>
                  <w:shd w:val="clear" w:color="auto" w:fill="auto"/>
                  <w:vAlign w:val="center"/>
                </w:tcPr>
                <w:p w14:paraId="033A7EA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Cs w:val="21"/>
                      <w:lang w:val="en-US" w:eastAsia="zh-CN" w:bidi="ar"/>
                    </w:rPr>
                    <w:t>进入产品</w:t>
                  </w:r>
                </w:p>
              </w:tc>
            </w:tr>
            <w:tr w14:paraId="4A1455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9" w:hRule="atLeast"/>
                <w:jc w:val="center"/>
              </w:trPr>
              <w:tc>
                <w:tcPr>
                  <w:tcW w:w="1349" w:type="dxa"/>
                  <w:tcBorders>
                    <w:tl2br w:val="nil"/>
                    <w:tr2bl w:val="nil"/>
                  </w:tcBorders>
                  <w:shd w:val="clear" w:color="auto" w:fill="auto"/>
                  <w:vAlign w:val="center"/>
                </w:tcPr>
                <w:p w14:paraId="476B38C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喷雾抑尘用水</w:t>
                  </w:r>
                </w:p>
              </w:tc>
              <w:tc>
                <w:tcPr>
                  <w:tcW w:w="831" w:type="dxa"/>
                  <w:tcBorders>
                    <w:tl2br w:val="nil"/>
                    <w:tr2bl w:val="nil"/>
                  </w:tcBorders>
                  <w:shd w:val="clear" w:color="auto" w:fill="auto"/>
                  <w:vAlign w:val="center"/>
                </w:tcPr>
                <w:p w14:paraId="0896FD8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5L/ t•物料</w:t>
                  </w:r>
                </w:p>
              </w:tc>
              <w:tc>
                <w:tcPr>
                  <w:tcW w:w="780" w:type="dxa"/>
                  <w:tcBorders>
                    <w:tl2br w:val="nil"/>
                    <w:tr2bl w:val="nil"/>
                  </w:tcBorders>
                  <w:shd w:val="clear" w:color="auto" w:fill="auto"/>
                  <w:vAlign w:val="center"/>
                </w:tcPr>
                <w:p w14:paraId="64DB1B6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46000</w:t>
                  </w:r>
                  <w:r>
                    <w:rPr>
                      <w:rFonts w:hint="default" w:ascii="Times New Roman" w:hAnsi="Times New Roman" w:cs="Times New Roman"/>
                      <w:color w:val="auto"/>
                      <w:szCs w:val="21"/>
                    </w:rPr>
                    <w:t>t</w:t>
                  </w:r>
                </w:p>
              </w:tc>
              <w:tc>
                <w:tcPr>
                  <w:tcW w:w="1247" w:type="dxa"/>
                  <w:tcBorders>
                    <w:tl2br w:val="nil"/>
                    <w:tr2bl w:val="nil"/>
                  </w:tcBorders>
                  <w:shd w:val="clear" w:color="auto" w:fill="auto"/>
                  <w:vAlign w:val="center"/>
                </w:tcPr>
                <w:p w14:paraId="1A73E58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1.53</w:t>
                  </w:r>
                </w:p>
              </w:tc>
              <w:tc>
                <w:tcPr>
                  <w:tcW w:w="1242" w:type="dxa"/>
                  <w:tcBorders>
                    <w:tl2br w:val="nil"/>
                    <w:tr2bl w:val="nil"/>
                  </w:tcBorders>
                  <w:shd w:val="clear" w:color="auto" w:fill="auto"/>
                  <w:vAlign w:val="center"/>
                </w:tcPr>
                <w:p w14:paraId="27DF18D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Cs w:val="21"/>
                      <w:lang w:val="en-US" w:eastAsia="zh-CN" w:bidi="ar"/>
                    </w:rPr>
                    <w:t>0</w:t>
                  </w:r>
                </w:p>
              </w:tc>
              <w:tc>
                <w:tcPr>
                  <w:tcW w:w="1283" w:type="dxa"/>
                  <w:tcBorders>
                    <w:tl2br w:val="nil"/>
                    <w:tr2bl w:val="nil"/>
                  </w:tcBorders>
                  <w:shd w:val="clear" w:color="auto" w:fill="auto"/>
                  <w:vAlign w:val="center"/>
                </w:tcPr>
                <w:p w14:paraId="2023E9D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1.53</w:t>
                  </w:r>
                </w:p>
              </w:tc>
              <w:tc>
                <w:tcPr>
                  <w:tcW w:w="2104" w:type="dxa"/>
                  <w:tcBorders>
                    <w:tl2br w:val="nil"/>
                    <w:tr2bl w:val="nil"/>
                  </w:tcBorders>
                  <w:shd w:val="clear" w:color="auto" w:fill="auto"/>
                  <w:vAlign w:val="center"/>
                </w:tcPr>
                <w:p w14:paraId="7A1FE1A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Cs w:val="21"/>
                      <w:lang w:val="en-US" w:eastAsia="zh-CN" w:bidi="ar"/>
                    </w:rPr>
                    <w:t>蒸发</w:t>
                  </w:r>
                </w:p>
              </w:tc>
            </w:tr>
            <w:tr w14:paraId="6BBFA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9" w:hRule="atLeast"/>
                <w:jc w:val="center"/>
              </w:trPr>
              <w:tc>
                <w:tcPr>
                  <w:tcW w:w="1349" w:type="dxa"/>
                  <w:tcBorders>
                    <w:tl2br w:val="nil"/>
                    <w:tr2bl w:val="nil"/>
                  </w:tcBorders>
                  <w:shd w:val="clear" w:color="auto" w:fill="auto"/>
                  <w:vAlign w:val="center"/>
                </w:tcPr>
                <w:p w14:paraId="19C48B6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地面冲洗用水</w:t>
                  </w:r>
                </w:p>
              </w:tc>
              <w:tc>
                <w:tcPr>
                  <w:tcW w:w="831" w:type="dxa"/>
                  <w:tcBorders>
                    <w:tl2br w:val="nil"/>
                    <w:tr2bl w:val="nil"/>
                  </w:tcBorders>
                  <w:shd w:val="clear" w:color="auto" w:fill="auto"/>
                  <w:vAlign w:val="center"/>
                </w:tcPr>
                <w:p w14:paraId="0B2DD8F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1500</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2</w:t>
                  </w:r>
                </w:p>
              </w:tc>
              <w:tc>
                <w:tcPr>
                  <w:tcW w:w="780" w:type="dxa"/>
                  <w:tcBorders>
                    <w:tl2br w:val="nil"/>
                    <w:tr2bl w:val="nil"/>
                  </w:tcBorders>
                  <w:shd w:val="clear" w:color="auto" w:fill="auto"/>
                  <w:vAlign w:val="center"/>
                </w:tcPr>
                <w:p w14:paraId="34E99EA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6L/m</w:t>
                  </w:r>
                  <w:r>
                    <w:rPr>
                      <w:rFonts w:hint="default" w:ascii="Times New Roman" w:hAnsi="Times New Roman" w:eastAsia="宋体" w:cs="Times New Roman"/>
                      <w:color w:val="auto"/>
                      <w:szCs w:val="21"/>
                      <w:vertAlign w:val="superscript"/>
                      <w:lang w:eastAsia="zh-CN"/>
                    </w:rPr>
                    <w:t>2</w:t>
                  </w:r>
                </w:p>
              </w:tc>
              <w:tc>
                <w:tcPr>
                  <w:tcW w:w="1247" w:type="dxa"/>
                  <w:tcBorders>
                    <w:tl2br w:val="nil"/>
                    <w:tr2bl w:val="nil"/>
                  </w:tcBorders>
                  <w:shd w:val="clear" w:color="auto" w:fill="auto"/>
                  <w:vAlign w:val="center"/>
                </w:tcPr>
                <w:p w14:paraId="5DD4459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4.50</w:t>
                  </w:r>
                </w:p>
              </w:tc>
              <w:tc>
                <w:tcPr>
                  <w:tcW w:w="1242" w:type="dxa"/>
                  <w:tcBorders>
                    <w:tl2br w:val="nil"/>
                    <w:tr2bl w:val="nil"/>
                  </w:tcBorders>
                  <w:shd w:val="clear" w:color="auto" w:fill="auto"/>
                  <w:vAlign w:val="center"/>
                </w:tcPr>
                <w:p w14:paraId="59FE4FB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3.83</w:t>
                  </w:r>
                </w:p>
              </w:tc>
              <w:tc>
                <w:tcPr>
                  <w:tcW w:w="1283" w:type="dxa"/>
                  <w:tcBorders>
                    <w:tl2br w:val="nil"/>
                    <w:tr2bl w:val="nil"/>
                  </w:tcBorders>
                  <w:shd w:val="clear" w:color="auto" w:fill="auto"/>
                  <w:vAlign w:val="center"/>
                </w:tcPr>
                <w:p w14:paraId="57755A8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0.67</w:t>
                  </w:r>
                </w:p>
              </w:tc>
              <w:tc>
                <w:tcPr>
                  <w:tcW w:w="2104" w:type="dxa"/>
                  <w:tcBorders>
                    <w:tl2br w:val="nil"/>
                    <w:tr2bl w:val="nil"/>
                  </w:tcBorders>
                  <w:shd w:val="clear" w:color="auto" w:fill="auto"/>
                  <w:vAlign w:val="center"/>
                </w:tcPr>
                <w:p w14:paraId="0822865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val="en-US" w:eastAsia="zh-CN" w:bidi="ar"/>
                    </w:rPr>
                    <w:t>3.83</w:t>
                  </w:r>
                  <w:r>
                    <w:rPr>
                      <w:rFonts w:hint="default" w:ascii="Times New Roman" w:hAnsi="Times New Roman" w:cs="Times New Roman"/>
                      <w:color w:val="auto"/>
                      <w:kern w:val="0"/>
                      <w:szCs w:val="21"/>
                      <w:lang w:bidi="ar"/>
                    </w:rPr>
                    <w:t>m</w:t>
                  </w:r>
                  <w:r>
                    <w:rPr>
                      <w:rFonts w:hint="default" w:ascii="Times New Roman" w:hAnsi="Times New Roman" w:cs="Times New Roman"/>
                      <w:color w:val="auto"/>
                      <w:kern w:val="0"/>
                      <w:szCs w:val="21"/>
                      <w:vertAlign w:val="superscript"/>
                      <w:lang w:bidi="ar"/>
                    </w:rPr>
                    <w:t>3</w:t>
                  </w:r>
                  <w:r>
                    <w:rPr>
                      <w:rFonts w:hint="default" w:ascii="Times New Roman" w:hAnsi="Times New Roman" w:cs="Times New Roman"/>
                      <w:color w:val="auto"/>
                      <w:kern w:val="0"/>
                      <w:szCs w:val="21"/>
                      <w:lang w:bidi="ar"/>
                    </w:rPr>
                    <w:t>/d循环水</w:t>
                  </w:r>
                </w:p>
              </w:tc>
            </w:tr>
            <w:tr w14:paraId="696555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9" w:hRule="atLeast"/>
                <w:jc w:val="center"/>
              </w:trPr>
              <w:tc>
                <w:tcPr>
                  <w:tcW w:w="1349" w:type="dxa"/>
                  <w:tcBorders>
                    <w:tl2br w:val="nil"/>
                    <w:tr2bl w:val="nil"/>
                  </w:tcBorders>
                  <w:shd w:val="clear" w:color="auto" w:fill="auto"/>
                  <w:vAlign w:val="center"/>
                </w:tcPr>
                <w:p w14:paraId="71BE459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车辆冲洗用水</w:t>
                  </w:r>
                </w:p>
              </w:tc>
              <w:tc>
                <w:tcPr>
                  <w:tcW w:w="831" w:type="dxa"/>
                  <w:tcBorders>
                    <w:tl2br w:val="nil"/>
                    <w:tr2bl w:val="nil"/>
                  </w:tcBorders>
                  <w:shd w:val="clear" w:color="auto" w:fill="auto"/>
                  <w:vAlign w:val="center"/>
                </w:tcPr>
                <w:p w14:paraId="3731AFF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100L/辆·次</w:t>
                  </w:r>
                </w:p>
              </w:tc>
              <w:tc>
                <w:tcPr>
                  <w:tcW w:w="780" w:type="dxa"/>
                  <w:tcBorders>
                    <w:tl2br w:val="nil"/>
                    <w:tr2bl w:val="nil"/>
                  </w:tcBorders>
                  <w:shd w:val="clear" w:color="auto" w:fill="auto"/>
                  <w:vAlign w:val="center"/>
                </w:tcPr>
                <w:p w14:paraId="772C453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33</w:t>
                  </w:r>
                  <w:r>
                    <w:rPr>
                      <w:rFonts w:hint="default" w:ascii="Times New Roman" w:hAnsi="Times New Roman" w:cs="Times New Roman"/>
                      <w:color w:val="auto"/>
                      <w:szCs w:val="21"/>
                    </w:rPr>
                    <w:t>辆/d</w:t>
                  </w:r>
                </w:p>
              </w:tc>
              <w:tc>
                <w:tcPr>
                  <w:tcW w:w="1247" w:type="dxa"/>
                  <w:tcBorders>
                    <w:tl2br w:val="nil"/>
                    <w:tr2bl w:val="nil"/>
                  </w:tcBorders>
                  <w:shd w:val="clear" w:color="auto" w:fill="auto"/>
                  <w:vAlign w:val="center"/>
                </w:tcPr>
                <w:p w14:paraId="18CB6BB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val="en-US" w:eastAsia="zh-CN" w:bidi="ar"/>
                    </w:rPr>
                    <w:t>3.27</w:t>
                  </w:r>
                </w:p>
              </w:tc>
              <w:tc>
                <w:tcPr>
                  <w:tcW w:w="1242" w:type="dxa"/>
                  <w:tcBorders>
                    <w:tl2br w:val="nil"/>
                    <w:tr2bl w:val="nil"/>
                  </w:tcBorders>
                  <w:shd w:val="clear" w:color="auto" w:fill="auto"/>
                  <w:vAlign w:val="center"/>
                </w:tcPr>
                <w:p w14:paraId="5DAACF9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2.78</w:t>
                  </w:r>
                </w:p>
              </w:tc>
              <w:tc>
                <w:tcPr>
                  <w:tcW w:w="1283" w:type="dxa"/>
                  <w:tcBorders>
                    <w:tl2br w:val="nil"/>
                    <w:tr2bl w:val="nil"/>
                  </w:tcBorders>
                  <w:shd w:val="clear" w:color="auto" w:fill="auto"/>
                  <w:vAlign w:val="center"/>
                </w:tcPr>
                <w:p w14:paraId="58C82AB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0.49</w:t>
                  </w:r>
                </w:p>
              </w:tc>
              <w:tc>
                <w:tcPr>
                  <w:tcW w:w="2104" w:type="dxa"/>
                  <w:tcBorders>
                    <w:tl2br w:val="nil"/>
                    <w:tr2bl w:val="nil"/>
                  </w:tcBorders>
                  <w:shd w:val="clear" w:color="auto" w:fill="auto"/>
                  <w:vAlign w:val="center"/>
                </w:tcPr>
                <w:p w14:paraId="437B664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val="en-US" w:eastAsia="zh-CN" w:bidi="ar"/>
                    </w:rPr>
                    <w:t>2.78</w:t>
                  </w:r>
                  <w:r>
                    <w:rPr>
                      <w:rFonts w:hint="default" w:ascii="Times New Roman" w:hAnsi="Times New Roman" w:cs="Times New Roman"/>
                      <w:color w:val="auto"/>
                      <w:kern w:val="0"/>
                      <w:szCs w:val="21"/>
                      <w:lang w:bidi="ar"/>
                    </w:rPr>
                    <w:t>m</w:t>
                  </w:r>
                  <w:r>
                    <w:rPr>
                      <w:rFonts w:hint="default" w:ascii="Times New Roman" w:hAnsi="Times New Roman" w:cs="Times New Roman"/>
                      <w:color w:val="auto"/>
                      <w:kern w:val="0"/>
                      <w:szCs w:val="21"/>
                      <w:vertAlign w:val="superscript"/>
                      <w:lang w:bidi="ar"/>
                    </w:rPr>
                    <w:t>3</w:t>
                  </w:r>
                  <w:r>
                    <w:rPr>
                      <w:rFonts w:hint="default" w:ascii="Times New Roman" w:hAnsi="Times New Roman" w:cs="Times New Roman"/>
                      <w:color w:val="auto"/>
                      <w:kern w:val="0"/>
                      <w:szCs w:val="21"/>
                      <w:lang w:bidi="ar"/>
                    </w:rPr>
                    <w:t>/d循环水</w:t>
                  </w:r>
                </w:p>
              </w:tc>
            </w:tr>
            <w:tr w14:paraId="68FE5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7" w:hRule="atLeast"/>
                <w:jc w:val="center"/>
              </w:trPr>
              <w:tc>
                <w:tcPr>
                  <w:tcW w:w="2960" w:type="dxa"/>
                  <w:gridSpan w:val="3"/>
                  <w:tcBorders>
                    <w:tl2br w:val="nil"/>
                    <w:tr2bl w:val="nil"/>
                  </w:tcBorders>
                  <w:vAlign w:val="center"/>
                </w:tcPr>
                <w:p w14:paraId="76207D0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合计</w:t>
                  </w:r>
                </w:p>
              </w:tc>
              <w:tc>
                <w:tcPr>
                  <w:tcW w:w="1247" w:type="dxa"/>
                  <w:tcBorders>
                    <w:tl2br w:val="nil"/>
                    <w:tr2bl w:val="nil"/>
                  </w:tcBorders>
                  <w:vAlign w:val="center"/>
                </w:tcPr>
                <w:p w14:paraId="5F4FA92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12.82</w:t>
                  </w:r>
                </w:p>
              </w:tc>
              <w:tc>
                <w:tcPr>
                  <w:tcW w:w="1242" w:type="dxa"/>
                  <w:tcBorders>
                    <w:tl2br w:val="nil"/>
                    <w:tr2bl w:val="nil"/>
                  </w:tcBorders>
                  <w:vAlign w:val="center"/>
                </w:tcPr>
                <w:p w14:paraId="560EF51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7.63</w:t>
                  </w:r>
                </w:p>
              </w:tc>
              <w:tc>
                <w:tcPr>
                  <w:tcW w:w="1283" w:type="dxa"/>
                  <w:tcBorders>
                    <w:tl2br w:val="nil"/>
                    <w:tr2bl w:val="nil"/>
                  </w:tcBorders>
                  <w:vAlign w:val="center"/>
                </w:tcPr>
                <w:p w14:paraId="4DC9BBD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6.21</w:t>
                  </w:r>
                </w:p>
              </w:tc>
              <w:tc>
                <w:tcPr>
                  <w:tcW w:w="2104" w:type="dxa"/>
                  <w:tcBorders>
                    <w:tl2br w:val="nil"/>
                    <w:tr2bl w:val="nil"/>
                  </w:tcBorders>
                  <w:vAlign w:val="center"/>
                </w:tcPr>
                <w:p w14:paraId="7F1CD6E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b/>
                      <w:bCs/>
                      <w:color w:val="auto"/>
                      <w:szCs w:val="21"/>
                    </w:rPr>
                  </w:pPr>
                  <w:r>
                    <w:rPr>
                      <w:rFonts w:hint="default" w:ascii="Times New Roman" w:hAnsi="Times New Roman" w:cs="Times New Roman"/>
                      <w:color w:val="auto"/>
                      <w:kern w:val="0"/>
                      <w:szCs w:val="21"/>
                      <w:lang w:val="en-US" w:eastAsia="zh-CN" w:bidi="ar"/>
                    </w:rPr>
                    <w:t>6.61</w:t>
                  </w:r>
                  <w:r>
                    <w:rPr>
                      <w:rFonts w:hint="default" w:ascii="Times New Roman" w:hAnsi="Times New Roman" w:cs="Times New Roman"/>
                      <w:color w:val="auto"/>
                      <w:kern w:val="0"/>
                      <w:szCs w:val="21"/>
                      <w:lang w:bidi="ar"/>
                    </w:rPr>
                    <w:t>m</w:t>
                  </w:r>
                  <w:r>
                    <w:rPr>
                      <w:rFonts w:hint="default" w:ascii="Times New Roman" w:hAnsi="Times New Roman" w:cs="Times New Roman"/>
                      <w:color w:val="auto"/>
                      <w:kern w:val="0"/>
                      <w:szCs w:val="21"/>
                      <w:vertAlign w:val="superscript"/>
                      <w:lang w:bidi="ar"/>
                    </w:rPr>
                    <w:t>3</w:t>
                  </w:r>
                  <w:r>
                    <w:rPr>
                      <w:rFonts w:hint="default" w:ascii="Times New Roman" w:hAnsi="Times New Roman" w:cs="Times New Roman"/>
                      <w:color w:val="auto"/>
                      <w:kern w:val="0"/>
                      <w:szCs w:val="21"/>
                      <w:lang w:bidi="ar"/>
                    </w:rPr>
                    <w:t>/d循环水</w:t>
                  </w:r>
                </w:p>
              </w:tc>
            </w:tr>
          </w:tbl>
          <w:p w14:paraId="25567061">
            <w:pPr>
              <w:spacing w:line="360" w:lineRule="auto"/>
              <w:ind w:firstLine="480" w:firstLineChars="200"/>
              <w:rPr>
                <w:rFonts w:hint="default" w:ascii="Times New Roman" w:hAnsi="Times New Roman" w:eastAsia="宋体" w:cs="Times New Roman"/>
                <w:color w:val="auto"/>
                <w:kern w:val="24"/>
                <w:sz w:val="24"/>
                <w:szCs w:val="24"/>
              </w:rPr>
            </w:pPr>
            <w:r>
              <w:rPr>
                <w:rFonts w:hint="default" w:ascii="Times New Roman" w:hAnsi="Times New Roman" w:eastAsia="宋体" w:cs="Times New Roman"/>
                <w:color w:val="auto"/>
                <w:kern w:val="24"/>
                <w:sz w:val="24"/>
                <w:szCs w:val="24"/>
                <w:lang w:val="en-US" w:eastAsia="zh-CN"/>
              </w:rPr>
              <w:t>本项目水平衡图以及</w:t>
            </w:r>
            <w:r>
              <w:rPr>
                <w:rFonts w:hint="default" w:ascii="Times New Roman" w:hAnsi="Times New Roman" w:eastAsia="宋体" w:cs="Times New Roman"/>
                <w:color w:val="auto"/>
                <w:kern w:val="24"/>
                <w:sz w:val="24"/>
                <w:szCs w:val="24"/>
              </w:rPr>
              <w:t>全厂运营期水量平衡见下图：</w:t>
            </w:r>
          </w:p>
          <w:p w14:paraId="2FB87661">
            <w:pPr>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94020" cy="2808605"/>
                  <wp:effectExtent l="0" t="0" r="11430" b="1079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7"/>
                          <a:stretch>
                            <a:fillRect/>
                          </a:stretch>
                        </pic:blipFill>
                        <pic:spPr>
                          <a:xfrm>
                            <a:off x="0" y="0"/>
                            <a:ext cx="5494020" cy="2808605"/>
                          </a:xfrm>
                          <a:prstGeom prst="rect">
                            <a:avLst/>
                          </a:prstGeom>
                          <a:noFill/>
                          <a:ln>
                            <a:noFill/>
                          </a:ln>
                        </pic:spPr>
                      </pic:pic>
                    </a:graphicData>
                  </a:graphic>
                </wp:inline>
              </w:drawing>
            </w:r>
          </w:p>
          <w:p w14:paraId="30667ADB">
            <w:pPr>
              <w:jc w:val="center"/>
              <w:rPr>
                <w:rFonts w:hint="default" w:ascii="Times New Roman" w:hAnsi="Times New Roman" w:eastAsia="宋体" w:cs="Times New Roman"/>
                <w:b/>
                <w:bCs/>
                <w:color w:val="auto"/>
                <w:kern w:val="0"/>
                <w:sz w:val="20"/>
                <w:szCs w:val="20"/>
                <w:lang w:val="en-US" w:eastAsia="zh-CN" w:bidi="ar-SA"/>
              </w:rPr>
            </w:pPr>
            <w:r>
              <w:rPr>
                <w:rFonts w:hint="default" w:ascii="Times New Roman" w:hAnsi="Times New Roman" w:eastAsia="宋体" w:cs="Times New Roman"/>
                <w:b/>
                <w:bCs/>
                <w:color w:val="auto"/>
                <w:kern w:val="0"/>
                <w:sz w:val="21"/>
                <w:szCs w:val="21"/>
                <w:lang w:val="en-US" w:eastAsia="zh-CN" w:bidi="ar-SA"/>
              </w:rPr>
              <w:t>图2-1  本项目水平衡图（m</w:t>
            </w:r>
            <w:r>
              <w:rPr>
                <w:rFonts w:hint="default" w:ascii="Times New Roman" w:hAnsi="Times New Roman" w:eastAsia="宋体" w:cs="Times New Roman"/>
                <w:b/>
                <w:bCs/>
                <w:color w:val="auto"/>
                <w:kern w:val="0"/>
                <w:sz w:val="21"/>
                <w:szCs w:val="21"/>
                <w:vertAlign w:val="superscript"/>
                <w:lang w:val="en-US" w:eastAsia="zh-CN" w:bidi="ar-SA"/>
              </w:rPr>
              <w:t>3</w:t>
            </w:r>
            <w:r>
              <w:rPr>
                <w:rFonts w:hint="default" w:ascii="Times New Roman" w:hAnsi="Times New Roman" w:eastAsia="宋体" w:cs="Times New Roman"/>
                <w:b/>
                <w:bCs/>
                <w:color w:val="auto"/>
                <w:kern w:val="0"/>
                <w:sz w:val="21"/>
                <w:szCs w:val="21"/>
                <w:lang w:val="en-US" w:eastAsia="zh-CN" w:bidi="ar-SA"/>
              </w:rPr>
              <w:t>/d）</w:t>
            </w:r>
          </w:p>
          <w:p w14:paraId="048D3FDB">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7</w:t>
            </w:r>
            <w:r>
              <w:rPr>
                <w:rFonts w:hint="default" w:ascii="Times New Roman" w:hAnsi="Times New Roman" w:eastAsia="宋体" w:cs="Times New Roman"/>
                <w:b/>
                <w:color w:val="auto"/>
                <w:sz w:val="24"/>
                <w:szCs w:val="24"/>
              </w:rPr>
              <w:t>、劳动定员及工作制度</w:t>
            </w:r>
          </w:p>
          <w:p w14:paraId="1D0917FB">
            <w:pPr>
              <w:spacing w:line="360" w:lineRule="auto"/>
              <w:ind w:firstLine="480" w:firstLineChars="200"/>
              <w:rPr>
                <w:rFonts w:hint="default" w:ascii="Times New Roman" w:hAnsi="Times New Roman" w:eastAsia="宋体" w:cs="Times New Roman"/>
                <w:color w:val="auto"/>
                <w:kern w:val="24"/>
                <w:sz w:val="24"/>
                <w:szCs w:val="24"/>
              </w:rPr>
            </w:pPr>
            <w:r>
              <w:rPr>
                <w:rFonts w:hint="default" w:ascii="Times New Roman" w:hAnsi="Times New Roman" w:eastAsia="宋体" w:cs="Times New Roman"/>
                <w:color w:val="auto"/>
                <w:kern w:val="24"/>
                <w:sz w:val="24"/>
                <w:szCs w:val="24"/>
              </w:rPr>
              <w:t>本项目劳动定员</w:t>
            </w:r>
            <w:r>
              <w:rPr>
                <w:rFonts w:hint="default" w:ascii="Times New Roman" w:hAnsi="Times New Roman" w:eastAsia="宋体" w:cs="Times New Roman"/>
                <w:color w:val="auto"/>
                <w:kern w:val="24"/>
                <w:sz w:val="24"/>
                <w:szCs w:val="24"/>
                <w:lang w:val="en-US" w:eastAsia="zh-CN"/>
              </w:rPr>
              <w:t>10</w:t>
            </w:r>
            <w:r>
              <w:rPr>
                <w:rFonts w:hint="default" w:ascii="Times New Roman" w:hAnsi="Times New Roman" w:eastAsia="宋体" w:cs="Times New Roman"/>
                <w:color w:val="auto"/>
                <w:kern w:val="24"/>
                <w:sz w:val="24"/>
                <w:szCs w:val="24"/>
              </w:rPr>
              <w:t>人。年生产</w:t>
            </w:r>
            <w:r>
              <w:rPr>
                <w:rFonts w:hint="default" w:ascii="Times New Roman" w:hAnsi="Times New Roman" w:eastAsia="宋体" w:cs="Times New Roman"/>
                <w:color w:val="auto"/>
                <w:kern w:val="24"/>
                <w:sz w:val="24"/>
                <w:szCs w:val="24"/>
                <w:lang w:val="en-US" w:eastAsia="zh-CN"/>
              </w:rPr>
              <w:t>150</w:t>
            </w:r>
            <w:r>
              <w:rPr>
                <w:rFonts w:hint="default" w:ascii="Times New Roman" w:hAnsi="Times New Roman" w:eastAsia="宋体" w:cs="Times New Roman"/>
                <w:color w:val="auto"/>
                <w:kern w:val="24"/>
                <w:sz w:val="24"/>
                <w:szCs w:val="24"/>
              </w:rPr>
              <w:t>天，每班</w:t>
            </w:r>
            <w:r>
              <w:rPr>
                <w:rFonts w:hint="default" w:ascii="Times New Roman" w:hAnsi="Times New Roman" w:cs="Times New Roman"/>
                <w:color w:val="auto"/>
                <w:kern w:val="24"/>
                <w:sz w:val="24"/>
                <w:szCs w:val="24"/>
                <w:lang w:val="en-US" w:eastAsia="zh-CN"/>
              </w:rPr>
              <w:t>6</w:t>
            </w:r>
            <w:r>
              <w:rPr>
                <w:rFonts w:hint="default" w:ascii="Times New Roman" w:hAnsi="Times New Roman" w:eastAsia="宋体" w:cs="Times New Roman"/>
                <w:color w:val="auto"/>
                <w:kern w:val="24"/>
                <w:sz w:val="24"/>
                <w:szCs w:val="24"/>
              </w:rPr>
              <w:t>小时。</w:t>
            </w:r>
          </w:p>
          <w:p w14:paraId="508C24EC">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8</w:t>
            </w:r>
            <w:r>
              <w:rPr>
                <w:rFonts w:hint="default" w:ascii="Times New Roman" w:hAnsi="Times New Roman" w:eastAsia="宋体" w:cs="Times New Roman"/>
                <w:b/>
                <w:color w:val="auto"/>
                <w:sz w:val="24"/>
                <w:szCs w:val="24"/>
              </w:rPr>
              <w:t>、厂区平面布置</w:t>
            </w:r>
          </w:p>
          <w:p w14:paraId="4DC08E2B">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default" w:ascii="Times New Roman" w:hAnsi="Times New Roman" w:cs="Times New Roman"/>
                <w:color w:val="auto"/>
                <w:sz w:val="24"/>
              </w:rPr>
            </w:pPr>
            <w:r>
              <w:rPr>
                <w:rFonts w:hint="default" w:ascii="Times New Roman" w:hAnsi="Times New Roman" w:eastAsia="宋体" w:cs="Times New Roman"/>
                <w:color w:val="auto"/>
                <w:kern w:val="24"/>
                <w:sz w:val="24"/>
                <w:szCs w:val="24"/>
              </w:rPr>
              <w:t>本项目</w:t>
            </w:r>
            <w:r>
              <w:rPr>
                <w:rFonts w:hint="default" w:ascii="Times New Roman" w:hAnsi="Times New Roman" w:eastAsia="宋体" w:cs="Times New Roman"/>
                <w:color w:val="auto"/>
                <w:sz w:val="24"/>
                <w:szCs w:val="24"/>
              </w:rPr>
              <w:t>位于</w:t>
            </w:r>
            <w:r>
              <w:rPr>
                <w:rFonts w:hint="default" w:ascii="Times New Roman" w:hAnsi="Times New Roman" w:cs="Times New Roman"/>
                <w:color w:val="auto"/>
                <w:sz w:val="24"/>
                <w:szCs w:val="24"/>
                <w:lang w:val="en-US" w:eastAsia="zh-CN"/>
              </w:rPr>
              <w:t>四川省达州市宣汉县天生镇峨城社区4组</w:t>
            </w:r>
            <w:r>
              <w:rPr>
                <w:rFonts w:hint="default" w:ascii="Times New Roman" w:hAnsi="Times New Roman" w:eastAsia="宋体" w:cs="Times New Roman"/>
                <w:color w:val="auto"/>
                <w:sz w:val="24"/>
                <w:szCs w:val="24"/>
              </w:rPr>
              <w:t>，占地面积约</w:t>
            </w:r>
            <w:r>
              <w:rPr>
                <w:rFonts w:hint="default" w:ascii="Times New Roman" w:hAnsi="Times New Roman" w:eastAsia="宋体" w:cs="Times New Roman"/>
                <w:color w:val="auto"/>
                <w:sz w:val="24"/>
                <w:szCs w:val="24"/>
                <w:lang w:val="en-US" w:eastAsia="zh-CN"/>
              </w:rPr>
              <w:t>4811.23m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，项目生产线按照生产工艺方案要求布置，</w:t>
            </w:r>
            <w:r>
              <w:rPr>
                <w:rFonts w:hint="default" w:ascii="Times New Roman" w:hAnsi="Times New Roman" w:cs="Times New Roman"/>
                <w:bCs/>
                <w:color w:val="auto"/>
                <w:sz w:val="24"/>
                <w:szCs w:val="24"/>
              </w:rPr>
              <w:t>厂区大门位于</w:t>
            </w:r>
            <w:r>
              <w:rPr>
                <w:rFonts w:hint="default" w:ascii="Times New Roman" w:hAnsi="Times New Roman" w:cs="Times New Roman"/>
                <w:bCs/>
                <w:color w:val="auto"/>
                <w:sz w:val="24"/>
                <w:szCs w:val="24"/>
                <w:lang w:val="en-US" w:eastAsia="zh-CN"/>
              </w:rPr>
              <w:t>西</w:t>
            </w:r>
            <w:r>
              <w:rPr>
                <w:rFonts w:hint="default" w:ascii="Times New Roman" w:hAnsi="Times New Roman" w:cs="Times New Roman"/>
                <w:bCs/>
                <w:color w:val="auto"/>
                <w:sz w:val="24"/>
                <w:szCs w:val="24"/>
              </w:rPr>
              <w:t>侧，</w:t>
            </w:r>
            <w:r>
              <w:rPr>
                <w:rFonts w:hint="default" w:ascii="Times New Roman" w:hAnsi="Times New Roman" w:cs="Times New Roman"/>
                <w:color w:val="auto"/>
                <w:sz w:val="24"/>
              </w:rPr>
              <w:t>紧邻</w:t>
            </w:r>
            <w:r>
              <w:rPr>
                <w:rFonts w:hint="default" w:ascii="Times New Roman" w:hAnsi="Times New Roman" w:cs="Times New Roman"/>
                <w:color w:val="auto"/>
                <w:sz w:val="24"/>
                <w:lang w:val="en-US" w:eastAsia="zh-CN"/>
              </w:rPr>
              <w:t>大路煤矿工业广场场区道路，方便车辆进出</w:t>
            </w:r>
            <w:r>
              <w:rPr>
                <w:rFonts w:hint="default" w:ascii="Times New Roman" w:hAnsi="Times New Roman" w:cs="Times New Roman"/>
                <w:color w:val="auto"/>
                <w:sz w:val="24"/>
              </w:rPr>
              <w:t>。厂区总平面布局根据管理及生产特点，并考虑环保、生产工艺和厂区排水等方面的要求，采用将功能相近、生产联系紧密的建筑就近分区布局形式。</w:t>
            </w:r>
          </w:p>
          <w:p w14:paraId="1A837A1F">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rPr>
              <w:t>根据场地分布状况，</w:t>
            </w:r>
            <w:r>
              <w:rPr>
                <w:rFonts w:hint="default" w:ascii="Times New Roman" w:hAnsi="Times New Roman" w:cs="Times New Roman"/>
                <w:color w:val="auto"/>
                <w:sz w:val="24"/>
                <w:lang w:eastAsia="zh-CN"/>
              </w:rPr>
              <w:t>骨料堆场</w:t>
            </w:r>
            <w:r>
              <w:rPr>
                <w:rFonts w:hint="default" w:ascii="Times New Roman" w:hAnsi="Times New Roman" w:cs="Times New Roman"/>
                <w:color w:val="auto"/>
                <w:sz w:val="24"/>
              </w:rPr>
              <w:t>布置在厂区</w:t>
            </w:r>
            <w:r>
              <w:rPr>
                <w:rFonts w:hint="default" w:ascii="Times New Roman" w:hAnsi="Times New Roman" w:cs="Times New Roman"/>
                <w:color w:val="auto"/>
                <w:sz w:val="24"/>
                <w:lang w:val="en-US" w:eastAsia="zh-CN"/>
              </w:rPr>
              <w:t>北</w:t>
            </w:r>
            <w:r>
              <w:rPr>
                <w:rFonts w:hint="default" w:ascii="Times New Roman" w:hAnsi="Times New Roman" w:cs="Times New Roman"/>
                <w:color w:val="auto"/>
                <w:sz w:val="24"/>
              </w:rPr>
              <w:t>侧，</w:t>
            </w:r>
            <w:r>
              <w:rPr>
                <w:rFonts w:hint="default" w:ascii="Times New Roman" w:hAnsi="Times New Roman" w:cs="Times New Roman"/>
                <w:color w:val="auto"/>
                <w:sz w:val="24"/>
                <w:lang w:val="en-US" w:eastAsia="zh-CN"/>
              </w:rPr>
              <w:t>为钢结构封闭厂房（三面封闭+顶棚），冷料配给系统位于骨料堆场东南侧，</w:t>
            </w:r>
            <w:r>
              <w:rPr>
                <w:rFonts w:hint="default" w:ascii="Times New Roman" w:hAnsi="Times New Roman" w:cs="Times New Roman"/>
                <w:color w:val="auto"/>
                <w:sz w:val="24"/>
              </w:rPr>
              <w:t>靠近骨料料仓</w:t>
            </w:r>
            <w:r>
              <w:rPr>
                <w:rFonts w:hint="default" w:ascii="Times New Roman" w:hAnsi="Times New Roman" w:cs="Times New Roman"/>
                <w:color w:val="auto"/>
                <w:sz w:val="24"/>
                <w:lang w:val="en-US" w:eastAsia="zh-CN"/>
              </w:rPr>
              <w:t>布置</w:t>
            </w:r>
            <w:r>
              <w:rPr>
                <w:rFonts w:hint="default" w:ascii="Times New Roman" w:hAnsi="Times New Roman" w:cs="Times New Roman"/>
                <w:color w:val="auto"/>
                <w:sz w:val="24"/>
              </w:rPr>
              <w:t>，便于原料的输送</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主要配置上料斗（5个）和1条皮带输送机；上料斗南侧依次布置为干燥加热系统（烘干筒、燃烧器等）、提升系统（提升机）、搅拌主楼（计量、筛分、搅拌等）、粉料供给系统（矿粉罐）、沥青供给系统（电加热器、导热油储罐、沥青储罐、轻质油储罐、乳化设备）等。</w:t>
            </w:r>
            <w:r>
              <w:rPr>
                <w:rFonts w:hint="default" w:ascii="Times New Roman" w:hAnsi="Times New Roman" w:eastAsia="宋体" w:cs="Times New Roman"/>
                <w:color w:val="auto"/>
                <w:kern w:val="24"/>
                <w:sz w:val="24"/>
                <w:szCs w:val="24"/>
              </w:rPr>
              <w:t>各功能区之间相互独立、互不干扰。</w:t>
            </w:r>
            <w:r>
              <w:rPr>
                <w:rFonts w:hint="default" w:ascii="Times New Roman" w:hAnsi="Times New Roman" w:cs="Times New Roman"/>
                <w:color w:val="auto"/>
                <w:sz w:val="24"/>
                <w:lang w:val="en-US" w:eastAsia="zh-CN"/>
              </w:rPr>
              <w:t>车辆冲洗平台位于厂区西侧入口处，靠近东北侧三级沉淀池</w:t>
            </w:r>
            <w:r>
              <w:rPr>
                <w:rFonts w:hint="default" w:ascii="Times New Roman" w:hAnsi="Times New Roman" w:cs="Times New Roman"/>
                <w:color w:val="auto"/>
                <w:sz w:val="24"/>
              </w:rPr>
              <w:t>。</w:t>
            </w:r>
            <w:r>
              <w:rPr>
                <w:rFonts w:hint="default" w:ascii="Times New Roman" w:hAnsi="Times New Roman" w:eastAsia="宋体" w:cs="Times New Roman"/>
                <w:color w:val="auto"/>
                <w:kern w:val="24"/>
                <w:sz w:val="24"/>
                <w:szCs w:val="24"/>
                <w:lang w:val="en-US" w:eastAsia="zh-CN"/>
              </w:rPr>
              <w:t>厂区</w:t>
            </w:r>
            <w:r>
              <w:rPr>
                <w:rFonts w:hint="default" w:ascii="Times New Roman" w:hAnsi="Times New Roman" w:eastAsia="宋体" w:cs="Times New Roman"/>
                <w:color w:val="auto"/>
                <w:sz w:val="24"/>
                <w:szCs w:val="24"/>
              </w:rPr>
              <w:t>区域为空气质量达标区，项目周边500m范围内环境保护目标分布在厂界</w:t>
            </w:r>
            <w:r>
              <w:rPr>
                <w:rFonts w:hint="default" w:ascii="Times New Roman" w:hAnsi="Times New Roman" w:eastAsia="宋体" w:cs="Times New Roman"/>
                <w:color w:val="auto"/>
                <w:sz w:val="24"/>
                <w:szCs w:val="24"/>
                <w:lang w:val="en-US" w:eastAsia="zh-CN"/>
              </w:rPr>
              <w:t>西北侧，废气经过处理后对敏感点影响较小</w:t>
            </w:r>
            <w:r>
              <w:rPr>
                <w:rFonts w:hint="default" w:ascii="Times New Roman" w:hAnsi="Times New Roman" w:eastAsia="宋体" w:cs="Times New Roman"/>
                <w:color w:val="auto"/>
                <w:sz w:val="24"/>
                <w:szCs w:val="24"/>
              </w:rPr>
              <w:t>。</w:t>
            </w:r>
          </w:p>
          <w:p w14:paraId="3C9BDAEB">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default" w:ascii="Times New Roman" w:hAnsi="Times New Roman" w:eastAsia="宋体" w:cs="Times New Roman"/>
                <w:color w:val="auto"/>
                <w:kern w:val="24"/>
                <w:sz w:val="24"/>
                <w:szCs w:val="24"/>
              </w:rPr>
            </w:pPr>
            <w:r>
              <w:rPr>
                <w:rFonts w:hint="default" w:ascii="Times New Roman" w:hAnsi="Times New Roman" w:eastAsia="宋体" w:cs="Times New Roman"/>
                <w:color w:val="auto"/>
                <w:sz w:val="24"/>
                <w:szCs w:val="24"/>
              </w:rPr>
              <w:t>综上分析，项目各功能分区明确、间距合理、工艺流程顺畅，场区布局满足工艺流程，也满足功能分区要求及运输作业要求，环保措施布置合理。因此，评价认为本项目厂区平面布置合理。</w:t>
            </w:r>
          </w:p>
        </w:tc>
      </w:tr>
      <w:tr w14:paraId="747E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55" w:type="dxa"/>
            <w:vAlign w:val="center"/>
          </w:tcPr>
          <w:p w14:paraId="5B712D17">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工艺流程和产排污环节</w:t>
            </w:r>
          </w:p>
        </w:tc>
        <w:tc>
          <w:tcPr>
            <w:tcW w:w="9115" w:type="dxa"/>
            <w:vAlign w:val="center"/>
          </w:tcPr>
          <w:p w14:paraId="118C3E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right="0" w:firstLine="482" w:firstLineChars="200"/>
              <w:jc w:val="left"/>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1、施工期工艺流程和产污环节</w:t>
            </w:r>
          </w:p>
          <w:p w14:paraId="1D474A49">
            <w:pPr>
              <w:pStyle w:val="5"/>
              <w:keepNext w:val="0"/>
              <w:keepLines w:val="0"/>
              <w:pageBreakBefore w:val="0"/>
              <w:widowControl w:val="0"/>
              <w:kinsoku/>
              <w:wordWrap/>
              <w:overflowPunct/>
              <w:topLinePunct w:val="0"/>
              <w:autoSpaceDE/>
              <w:autoSpaceDN/>
              <w:bidi w:val="0"/>
              <w:adjustRightInd/>
              <w:snapToGrid/>
              <w:spacing w:before="48" w:after="48" w:line="336" w:lineRule="auto"/>
              <w:ind w:firstLine="482"/>
              <w:jc w:val="left"/>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本项目</w:t>
            </w:r>
            <w:r>
              <w:rPr>
                <w:rFonts w:hint="default" w:ascii="Times New Roman" w:hAnsi="Times New Roman" w:cs="Times New Roman"/>
                <w:b w:val="0"/>
                <w:bCs w:val="0"/>
                <w:color w:val="auto"/>
                <w:lang w:val="en-US" w:eastAsia="zh-CN"/>
              </w:rPr>
              <w:t>利用大路监狱闲置用地，场地较为平整，无大规模场地开挖作业，结合项目租用场地的条件，</w:t>
            </w:r>
            <w:r>
              <w:rPr>
                <w:rFonts w:hint="default" w:ascii="Times New Roman" w:hAnsi="Times New Roman" w:eastAsia="宋体" w:cs="Times New Roman"/>
                <w:b w:val="0"/>
                <w:bCs w:val="0"/>
                <w:color w:val="auto"/>
              </w:rPr>
              <w:t>施工期主要是厂区建设，包括</w:t>
            </w:r>
            <w:r>
              <w:rPr>
                <w:rFonts w:hint="default" w:ascii="Times New Roman" w:hAnsi="Times New Roman" w:eastAsia="宋体" w:cs="Times New Roman"/>
                <w:b w:val="0"/>
                <w:bCs w:val="0"/>
                <w:color w:val="auto"/>
                <w:lang w:val="en-US" w:eastAsia="zh-CN"/>
              </w:rPr>
              <w:t>场地清理、基础施工、</w:t>
            </w:r>
            <w:r>
              <w:rPr>
                <w:rFonts w:hint="default" w:ascii="Times New Roman" w:hAnsi="Times New Roman" w:eastAsia="宋体" w:cs="Times New Roman"/>
                <w:b w:val="0"/>
                <w:bCs w:val="0"/>
                <w:color w:val="auto"/>
              </w:rPr>
              <w:t>房屋建设、设备</w:t>
            </w:r>
            <w:r>
              <w:rPr>
                <w:rFonts w:hint="default" w:ascii="Times New Roman" w:hAnsi="Times New Roman" w:cs="Times New Roman"/>
                <w:b w:val="0"/>
                <w:bCs w:val="0"/>
                <w:color w:val="auto"/>
                <w:lang w:val="en-US" w:eastAsia="zh-CN"/>
              </w:rPr>
              <w:t>安装</w:t>
            </w:r>
            <w:r>
              <w:rPr>
                <w:rFonts w:hint="default" w:ascii="Times New Roman" w:hAnsi="Times New Roman" w:eastAsia="宋体" w:cs="Times New Roman"/>
                <w:b w:val="0"/>
                <w:bCs w:val="0"/>
                <w:color w:val="auto"/>
              </w:rPr>
              <w:t>等，以上施工环节将产生噪声、废气、扬尘、固体废弃物、少量施工人员生活污水等污染物，施工期流程及产污情</w:t>
            </w:r>
            <w:r>
              <w:rPr>
                <w:rFonts w:hint="default" w:ascii="Times New Roman" w:hAnsi="Times New Roman" w:cs="Times New Roman"/>
                <w:b w:val="0"/>
                <w:bCs w:val="0"/>
                <w:color w:val="auto"/>
                <w:lang w:eastAsia="zh-CN"/>
              </w:rPr>
              <w:t>况如</w:t>
            </w:r>
            <w:r>
              <w:rPr>
                <w:rFonts w:hint="default" w:ascii="Times New Roman" w:hAnsi="Times New Roman" w:eastAsia="宋体" w:cs="Times New Roman"/>
                <w:b w:val="0"/>
                <w:bCs w:val="0"/>
                <w:color w:val="auto"/>
              </w:rPr>
              <w:t>下图所示。</w:t>
            </w:r>
          </w:p>
          <w:p w14:paraId="441DBB3A">
            <w:pPr>
              <w:pStyle w:val="5"/>
              <w:spacing w:before="48" w:after="48"/>
              <w:jc w:val="center"/>
              <w:rPr>
                <w:rFonts w:hint="default" w:ascii="Times New Roman" w:hAnsi="Times New Roman" w:cs="Times New Roman"/>
                <w:color w:val="auto"/>
              </w:rPr>
            </w:pPr>
            <w:r>
              <w:rPr>
                <w:rFonts w:hint="default" w:ascii="Times New Roman" w:hAnsi="Times New Roman" w:cs="Times New Roman"/>
                <w:color w:val="auto"/>
                <w:sz w:val="24"/>
              </w:rPr>
              <mc:AlternateContent>
                <mc:Choice Requires="wps">
                  <w:drawing>
                    <wp:anchor distT="0" distB="0" distL="114300" distR="114300" simplePos="0" relativeHeight="251666432" behindDoc="0" locked="0" layoutInCell="1" allowOverlap="1">
                      <wp:simplePos x="0" y="0"/>
                      <wp:positionH relativeFrom="column">
                        <wp:posOffset>320675</wp:posOffset>
                      </wp:positionH>
                      <wp:positionV relativeFrom="paragraph">
                        <wp:posOffset>355600</wp:posOffset>
                      </wp:positionV>
                      <wp:extent cx="699770" cy="306705"/>
                      <wp:effectExtent l="4445" t="4445" r="12065" b="8890"/>
                      <wp:wrapNone/>
                      <wp:docPr id="14" name="文本框 14"/>
                      <wp:cNvGraphicFramePr/>
                      <a:graphic xmlns:a="http://schemas.openxmlformats.org/drawingml/2006/main">
                        <a:graphicData uri="http://schemas.microsoft.com/office/word/2010/wordprocessingShape">
                          <wps:wsp>
                            <wps:cNvSpPr txBox="1"/>
                            <wps:spPr>
                              <a:xfrm>
                                <a:off x="1445260" y="1756410"/>
                                <a:ext cx="699770" cy="3067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5757D0">
                                  <w:pPr>
                                    <w:rPr>
                                      <w:rFonts w:hint="default" w:eastAsia="宋体"/>
                                      <w:sz w:val="18"/>
                                      <w:szCs w:val="18"/>
                                      <w:lang w:val="en-US" w:eastAsia="zh-CN"/>
                                    </w:rPr>
                                  </w:pPr>
                                  <w:r>
                                    <w:rPr>
                                      <w:rFonts w:hint="eastAsia"/>
                                      <w:sz w:val="18"/>
                                      <w:szCs w:val="18"/>
                                      <w:lang w:val="en-US" w:eastAsia="zh-CN"/>
                                    </w:rPr>
                                    <w:t>场地清理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5pt;margin-top:28pt;height:24.15pt;width:55.1pt;z-index:251666432;mso-width-relative:page;mso-height-relative:page;" fillcolor="#FFFFFF [3201]" filled="t" stroked="t" coordsize="21600,21600" o:gfxdata="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t&#10;wNoe1QAAAAkBAAAPAAAAAAAAAAEAIAAAACIAAABkcnMvZG93bnJldi54bWxQSwECFAAUAAAACACH&#10;TuJAx8qUfWACAADEBAAADgAAAAAAAAABACAAAAAkAQAAZHJzL2Uyb0RvYy54bWxQSwUGAAAAAAYA&#10;BgBZAQAA9gUAAAAA&#10;">
                      <v:fill on="t" focussize="0,0"/>
                      <v:stroke weight="0.5pt" color="#000000 [3204]" joinstyle="round"/>
                      <v:imagedata o:title=""/>
                      <o:lock v:ext="edit" aspectratio="f"/>
                      <v:textbox>
                        <w:txbxContent>
                          <w:p w14:paraId="035757D0">
                            <w:pPr>
                              <w:rPr>
                                <w:rFonts w:hint="default" w:eastAsia="宋体"/>
                                <w:sz w:val="18"/>
                                <w:szCs w:val="18"/>
                                <w:lang w:val="en-US" w:eastAsia="zh-CN"/>
                              </w:rPr>
                            </w:pPr>
                            <w:r>
                              <w:rPr>
                                <w:rFonts w:hint="eastAsia"/>
                                <w:sz w:val="18"/>
                                <w:szCs w:val="18"/>
                                <w:lang w:val="en-US" w:eastAsia="zh-CN"/>
                              </w:rPr>
                              <w:t>场地清理</w:t>
                            </w:r>
                          </w:p>
                        </w:txbxContent>
                      </v:textbox>
                    </v:shape>
                  </w:pict>
                </mc:Fallback>
              </mc:AlternateContent>
            </w:r>
            <w:r>
              <w:rPr>
                <w:rFonts w:hint="default" w:ascii="Times New Roman" w:hAnsi="Times New Roman" w:cs="Times New Roman"/>
                <w:color w:val="auto"/>
              </w:rPr>
              <w:drawing>
                <wp:inline distT="0" distB="0" distL="114300" distR="114300">
                  <wp:extent cx="5201285" cy="2497455"/>
                  <wp:effectExtent l="0" t="0" r="18415" b="17145"/>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18"/>
                          <a:stretch>
                            <a:fillRect/>
                          </a:stretch>
                        </pic:blipFill>
                        <pic:spPr>
                          <a:xfrm>
                            <a:off x="0" y="0"/>
                            <a:ext cx="5201285" cy="2497455"/>
                          </a:xfrm>
                          <a:prstGeom prst="rect">
                            <a:avLst/>
                          </a:prstGeom>
                          <a:noFill/>
                          <a:ln>
                            <a:noFill/>
                          </a:ln>
                        </pic:spPr>
                      </pic:pic>
                    </a:graphicData>
                  </a:graphic>
                </wp:inline>
              </w:drawing>
            </w:r>
          </w:p>
          <w:p w14:paraId="17846ACF">
            <w:pPr>
              <w:pStyle w:val="5"/>
              <w:spacing w:before="48" w:after="48"/>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0"/>
                <w:szCs w:val="20"/>
                <w:lang w:val="en-US" w:eastAsia="zh-CN" w:bidi="ar-SA"/>
              </w:rPr>
              <w:t>图2-2 施工期工艺流程及产污环节示意图</w:t>
            </w:r>
          </w:p>
          <w:p w14:paraId="44C59184">
            <w:pPr>
              <w:spacing w:line="336"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（1）场地清理</w:t>
            </w:r>
          </w:p>
          <w:p w14:paraId="6A6C5B4E">
            <w:pPr>
              <w:spacing w:line="336"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场地清理采用机械与人工作业相结合的方式,将产生建筑垃圾、施工扬尘、施工噪声、施工机械尾气以及施工工人生活污水等。</w:t>
            </w:r>
          </w:p>
          <w:p w14:paraId="59F79DD2">
            <w:pPr>
              <w:spacing w:line="336"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（2）基础工程</w:t>
            </w:r>
          </w:p>
          <w:p w14:paraId="0B6E5D01">
            <w:pPr>
              <w:spacing w:line="336"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主要为基础工程施工。挖掘机、装载机等机械在运行时会产生噪声，同时在施工过程中还会产生扬尘。</w:t>
            </w:r>
          </w:p>
          <w:p w14:paraId="23F2AF6E">
            <w:pPr>
              <w:spacing w:line="336"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（3）房屋建设</w:t>
            </w:r>
          </w:p>
          <w:p w14:paraId="3040CE0D">
            <w:pPr>
              <w:spacing w:line="336"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房屋建设主体工程砌筑，对构筑物进行装修时(如表面粉刷、镶贴装饰等)，木工圆盘锯、对焊机、电焊机、钻机、切割机等产生噪声，废弃物料及污水。</w:t>
            </w:r>
          </w:p>
          <w:p w14:paraId="412DA050">
            <w:pPr>
              <w:spacing w:line="336"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（4）设备安装</w:t>
            </w:r>
          </w:p>
          <w:p w14:paraId="0E6C03DE">
            <w:pPr>
              <w:spacing w:line="336"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生产设备安装主要产生噪声、废包装材料等。</w:t>
            </w:r>
          </w:p>
          <w:p w14:paraId="47932FD0">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从总体讲，场内工程在施工期以施工噪声、废弃物料（废渣）和废水为主要污染物。但这些污染物会随着施工的结束而结束</w:t>
            </w:r>
            <w:r>
              <w:rPr>
                <w:rFonts w:hint="default" w:ascii="Times New Roman" w:hAnsi="Times New Roman" w:eastAsia="宋体" w:cs="Times New Roman"/>
                <w:color w:val="auto"/>
                <w:sz w:val="24"/>
                <w:szCs w:val="24"/>
              </w:rPr>
              <w:t>。</w:t>
            </w:r>
          </w:p>
          <w:p w14:paraId="51E07EFE">
            <w:pPr>
              <w:keepNext w:val="0"/>
              <w:keepLines w:val="0"/>
              <w:pageBreakBefore w:val="0"/>
              <w:widowControl w:val="0"/>
              <w:tabs>
                <w:tab w:val="center" w:pos="4450"/>
              </w:tabs>
              <w:kinsoku/>
              <w:wordWrap/>
              <w:overflowPunct/>
              <w:topLinePunct w:val="0"/>
              <w:autoSpaceDE/>
              <w:autoSpaceDN/>
              <w:bidi w:val="0"/>
              <w:adjustRightInd/>
              <w:snapToGrid/>
              <w:spacing w:line="336"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2、运营期工艺流程和产污环节</w:t>
            </w:r>
            <w:r>
              <w:rPr>
                <w:rFonts w:hint="default" w:ascii="Times New Roman" w:hAnsi="Times New Roman" w:eastAsia="宋体" w:cs="Times New Roman"/>
                <w:b/>
                <w:bCs/>
                <w:color w:val="auto"/>
                <w:sz w:val="24"/>
                <w:szCs w:val="24"/>
                <w:lang w:eastAsia="zh-CN"/>
              </w:rPr>
              <w:tab/>
            </w:r>
          </w:p>
          <w:p w14:paraId="13860C8C">
            <w:pPr>
              <w:keepNext w:val="0"/>
              <w:keepLines w:val="0"/>
              <w:pageBreakBefore w:val="0"/>
              <w:widowControl w:val="0"/>
              <w:kinsoku/>
              <w:wordWrap/>
              <w:overflowPunct/>
              <w:topLinePunct w:val="0"/>
              <w:autoSpaceDE/>
              <w:autoSpaceDN/>
              <w:bidi w:val="0"/>
              <w:adjustRightInd/>
              <w:snapToGrid/>
              <w:spacing w:line="336"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
                <w:bCs/>
                <w:color w:val="auto"/>
                <w:sz w:val="24"/>
                <w:szCs w:val="24"/>
                <w:lang w:val="en-US" w:eastAsia="zh-CN"/>
              </w:rPr>
              <w:t>工艺流程</w:t>
            </w:r>
          </w:p>
          <w:p w14:paraId="51D3EC1E">
            <w:pPr>
              <w:keepNext w:val="0"/>
              <w:keepLines w:val="0"/>
              <w:pageBreakBefore w:val="0"/>
              <w:widowControl w:val="0"/>
              <w:kinsoku/>
              <w:wordWrap/>
              <w:overflowPunct/>
              <w:topLinePunct w:val="0"/>
              <w:autoSpaceDE/>
              <w:autoSpaceDN/>
              <w:bidi w:val="0"/>
              <w:adjustRightInd/>
              <w:snapToGrid/>
              <w:spacing w:line="336" w:lineRule="auto"/>
              <w:ind w:firstLine="482" w:firstLineChars="200"/>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1）</w:t>
            </w:r>
            <w:r>
              <w:rPr>
                <w:rFonts w:hint="default" w:ascii="Times New Roman" w:hAnsi="Times New Roman" w:cs="Times New Roman"/>
                <w:b/>
                <w:color w:val="auto"/>
                <w:sz w:val="24"/>
                <w:szCs w:val="24"/>
                <w:lang w:eastAsia="zh-CN"/>
              </w:rPr>
              <w:t>沥青混凝土</w:t>
            </w:r>
            <w:r>
              <w:rPr>
                <w:rFonts w:hint="default" w:ascii="Times New Roman" w:hAnsi="Times New Roman" w:cs="Times New Roman"/>
                <w:b/>
                <w:color w:val="auto"/>
                <w:sz w:val="24"/>
                <w:szCs w:val="24"/>
              </w:rPr>
              <w:t>生产工艺</w:t>
            </w:r>
            <w:r>
              <w:rPr>
                <w:rFonts w:hint="default" w:ascii="Times New Roman" w:hAnsi="Times New Roman" w:eastAsia="宋体" w:cs="Times New Roman"/>
                <w:b/>
                <w:bCs/>
                <w:color w:val="auto"/>
                <w:sz w:val="24"/>
                <w:szCs w:val="24"/>
              </w:rPr>
              <w:t>流程</w:t>
            </w:r>
          </w:p>
          <w:p w14:paraId="2570B902">
            <w:pPr>
              <w:spacing w:line="360" w:lineRule="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510530" cy="4064635"/>
                  <wp:effectExtent l="0" t="0" r="13970" b="1206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9"/>
                          <a:stretch>
                            <a:fillRect/>
                          </a:stretch>
                        </pic:blipFill>
                        <pic:spPr>
                          <a:xfrm>
                            <a:off x="0" y="0"/>
                            <a:ext cx="5510530" cy="4064635"/>
                          </a:xfrm>
                          <a:prstGeom prst="rect">
                            <a:avLst/>
                          </a:prstGeom>
                          <a:noFill/>
                          <a:ln>
                            <a:noFill/>
                          </a:ln>
                        </pic:spPr>
                      </pic:pic>
                    </a:graphicData>
                  </a:graphic>
                </wp:inline>
              </w:drawing>
            </w:r>
          </w:p>
          <w:p w14:paraId="04AFA0D3">
            <w:pPr>
              <w:spacing w:line="360" w:lineRule="auto"/>
              <w:ind w:left="0" w:leftChars="0" w:right="0" w:rightChars="0"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图</w:t>
            </w:r>
            <w:r>
              <w:rPr>
                <w:rFonts w:hint="default" w:ascii="Times New Roman" w:hAnsi="Times New Roman" w:cs="Times New Roman"/>
                <w:b/>
                <w:color w:val="auto"/>
                <w:szCs w:val="21"/>
                <w:lang w:val="en-US" w:eastAsia="zh-CN"/>
              </w:rPr>
              <w:t>2</w:t>
            </w:r>
            <w:r>
              <w:rPr>
                <w:rFonts w:hint="default" w:ascii="Times New Roman" w:hAnsi="Times New Roman" w:cs="Times New Roman"/>
                <w:b/>
                <w:color w:val="auto"/>
                <w:szCs w:val="21"/>
              </w:rPr>
              <w:t>-</w:t>
            </w:r>
            <w:r>
              <w:rPr>
                <w:rFonts w:hint="default" w:ascii="Times New Roman" w:hAnsi="Times New Roman" w:cs="Times New Roman"/>
                <w:b/>
                <w:color w:val="auto"/>
                <w:szCs w:val="21"/>
                <w:lang w:val="en-US" w:eastAsia="zh-CN"/>
              </w:rPr>
              <w:t>3</w:t>
            </w:r>
            <w:r>
              <w:rPr>
                <w:rFonts w:hint="default" w:ascii="Times New Roman" w:hAnsi="Times New Roman" w:cs="Times New Roman"/>
                <w:b/>
                <w:color w:val="auto"/>
                <w:szCs w:val="21"/>
              </w:rPr>
              <w:t xml:space="preserve"> </w:t>
            </w:r>
            <w:r>
              <w:rPr>
                <w:rFonts w:hint="default" w:ascii="Times New Roman" w:hAnsi="Times New Roman" w:cs="Times New Roman"/>
                <w:b/>
                <w:color w:val="auto"/>
                <w:szCs w:val="21"/>
                <w:lang w:eastAsia="zh-CN"/>
              </w:rPr>
              <w:t>沥青混凝土</w:t>
            </w:r>
            <w:r>
              <w:rPr>
                <w:rFonts w:hint="default" w:ascii="Times New Roman" w:hAnsi="Times New Roman" w:cs="Times New Roman"/>
                <w:b/>
                <w:color w:val="auto"/>
                <w:szCs w:val="21"/>
              </w:rPr>
              <w:t>生产工艺及产污环节图</w:t>
            </w:r>
          </w:p>
          <w:p w14:paraId="2C2A9D89">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①</w:t>
            </w:r>
            <w:r>
              <w:rPr>
                <w:rFonts w:hint="default" w:ascii="Times New Roman" w:hAnsi="Times New Roman" w:cs="Times New Roman"/>
                <w:b/>
                <w:bCs/>
                <w:color w:val="auto"/>
                <w:sz w:val="24"/>
                <w:szCs w:val="24"/>
              </w:rPr>
              <w:t>骨料供给</w:t>
            </w:r>
          </w:p>
          <w:p w14:paraId="28889E6D">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沥青混凝土搅拌站以外购1</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~20mm、10~1</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mm骨料和0~</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mm、5~10mm砂</w:t>
            </w:r>
            <w:r>
              <w:rPr>
                <w:rFonts w:hint="default" w:ascii="Times New Roman" w:hAnsi="Times New Roman" w:cs="Times New Roman"/>
                <w:color w:val="auto"/>
                <w:sz w:val="24"/>
                <w:szCs w:val="24"/>
                <w:highlight w:val="none"/>
                <w:lang w:val="en-US" w:eastAsia="zh-CN"/>
              </w:rPr>
              <w:t>石料</w:t>
            </w:r>
            <w:r>
              <w:rPr>
                <w:rFonts w:hint="default" w:ascii="Times New Roman" w:hAnsi="Times New Roman" w:cs="Times New Roman"/>
                <w:color w:val="auto"/>
                <w:sz w:val="24"/>
                <w:szCs w:val="24"/>
                <w:highlight w:val="none"/>
              </w:rPr>
              <w:t>为原料，</w:t>
            </w:r>
            <w:r>
              <w:rPr>
                <w:rFonts w:hint="default" w:ascii="Times New Roman" w:hAnsi="Times New Roman" w:cs="Times New Roman"/>
                <w:color w:val="auto"/>
                <w:sz w:val="24"/>
                <w:szCs w:val="24"/>
              </w:rPr>
              <w:t>场地设置</w:t>
            </w:r>
            <w:r>
              <w:rPr>
                <w:rFonts w:hint="default" w:ascii="Times New Roman" w:hAnsi="Times New Roman" w:cs="Times New Roman"/>
                <w:color w:val="auto"/>
                <w:sz w:val="24"/>
                <w:szCs w:val="24"/>
                <w:lang w:val="en-US" w:eastAsia="zh-CN"/>
              </w:rPr>
              <w:t>骨料堆场</w:t>
            </w:r>
            <w:r>
              <w:rPr>
                <w:rFonts w:hint="default" w:ascii="Times New Roman" w:hAnsi="Times New Roman" w:cs="Times New Roman"/>
                <w:color w:val="auto"/>
                <w:sz w:val="24"/>
                <w:szCs w:val="24"/>
              </w:rPr>
              <w:t>一座，封闭棚架式</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碎石直接从</w:t>
            </w:r>
            <w:r>
              <w:rPr>
                <w:rFonts w:hint="default" w:ascii="Times New Roman" w:hAnsi="Times New Roman" w:cs="Times New Roman"/>
                <w:color w:val="auto"/>
                <w:sz w:val="24"/>
                <w:szCs w:val="24"/>
                <w:lang w:eastAsia="zh-CN"/>
              </w:rPr>
              <w:t>骨料堆场</w:t>
            </w:r>
            <w:r>
              <w:rPr>
                <w:rFonts w:hint="default" w:ascii="Times New Roman" w:hAnsi="Times New Roman" w:cs="Times New Roman"/>
                <w:color w:val="auto"/>
                <w:sz w:val="24"/>
                <w:szCs w:val="24"/>
              </w:rPr>
              <w:t>通过铲车运至配料料斗进行初级配料。骨料堆场顶部设置彩钢棚及喷雾设施，根据天气情况进行洒水降尘等。通过各配料斗初级配料后，再由上料输送机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斗提提升机</w:t>
            </w:r>
            <w:r>
              <w:rPr>
                <w:rFonts w:hint="default" w:ascii="Times New Roman" w:hAnsi="Times New Roman" w:cs="Times New Roman"/>
                <w:color w:val="auto"/>
                <w:sz w:val="24"/>
                <w:szCs w:val="24"/>
              </w:rPr>
              <w:t>送入烘干筒烘干加热。</w:t>
            </w:r>
          </w:p>
          <w:p w14:paraId="7A092C8C">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骨料堆场过程中存在堆场粉尘、冷骨进入配料料斗暂存过程中会产生配料斗上料粉尘、冷骨料输送过程中会产生皮带输送粉尘以及机械噪声。</w:t>
            </w:r>
          </w:p>
          <w:p w14:paraId="65D90452">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②</w:t>
            </w:r>
            <w:r>
              <w:rPr>
                <w:rFonts w:hint="default" w:ascii="Times New Roman" w:hAnsi="Times New Roman" w:cs="Times New Roman"/>
                <w:b/>
                <w:bCs/>
                <w:color w:val="auto"/>
                <w:sz w:val="24"/>
                <w:szCs w:val="24"/>
              </w:rPr>
              <w:t>骨料</w:t>
            </w:r>
            <w:r>
              <w:rPr>
                <w:rFonts w:hint="default" w:ascii="Times New Roman" w:hAnsi="Times New Roman" w:cs="Times New Roman"/>
                <w:b/>
                <w:bCs/>
                <w:color w:val="auto"/>
                <w:sz w:val="24"/>
                <w:szCs w:val="24"/>
                <w:lang w:val="en-US" w:eastAsia="zh-CN"/>
              </w:rPr>
              <w:t>加热</w:t>
            </w:r>
            <w:r>
              <w:rPr>
                <w:rFonts w:hint="default" w:ascii="Times New Roman" w:hAnsi="Times New Roman" w:cs="Times New Roman"/>
                <w:b/>
                <w:bCs/>
                <w:color w:val="auto"/>
                <w:sz w:val="24"/>
                <w:szCs w:val="24"/>
              </w:rPr>
              <w:t>烘干</w:t>
            </w:r>
          </w:p>
          <w:p w14:paraId="0694A63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从上料皮带出来的骨料进入烘干筒，与燃烧器燃烧轻质油产生的高温热空气（170-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0℃）接触而被干燥、加热（出料口温度约为1</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0℃），烘干筒与水平面之间有一倾斜角度，可使骨料在滚筒内反复翻滚过程中不断前移，流向出料端，从出口斜槽流出进入热骨料提升机输出。燃烧器燃烧室温度约为700-</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00℃，烘干滚筒内约为170-1</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0℃。</w:t>
            </w:r>
          </w:p>
          <w:p w14:paraId="6EB0FE28">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该过程主要产生燃烧废气和烘干粉尘以及噪声。</w:t>
            </w:r>
          </w:p>
          <w:p w14:paraId="2DEA0267">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③</w:t>
            </w:r>
            <w:r>
              <w:rPr>
                <w:rFonts w:hint="default" w:ascii="Times New Roman" w:hAnsi="Times New Roman" w:cs="Times New Roman"/>
                <w:b/>
                <w:bCs/>
                <w:color w:val="auto"/>
                <w:sz w:val="24"/>
                <w:szCs w:val="24"/>
              </w:rPr>
              <w:t>热骨料提升筛分</w:t>
            </w:r>
          </w:p>
          <w:p w14:paraId="7BA9E620">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烘干后的热骨料经热骨料提升机密闭输送至位于搅拌楼最上部的振动筛，通过振动筛的筛网将不同粒径大小的石料分成各种粒度级别，各级别的石料再经过不同的密闭物料输送通道分别储存于热料仓内。少数不合规格的砂石料被分离后经专门出口排出</w:t>
            </w:r>
            <w:r>
              <w:rPr>
                <w:rFonts w:hint="default" w:ascii="Times New Roman" w:hAnsi="Times New Roman" w:cs="Times New Roman"/>
                <w:color w:val="auto"/>
                <w:sz w:val="24"/>
                <w:szCs w:val="24"/>
                <w:lang w:eastAsia="zh-CN"/>
              </w:rPr>
              <w:t>。</w:t>
            </w:r>
          </w:p>
          <w:p w14:paraId="7A5B2051">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该过程主要产生筛分粉尘和热料仓粉尘、固废以及噪声。</w:t>
            </w:r>
          </w:p>
          <w:p w14:paraId="6F138798">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④</w:t>
            </w:r>
            <w:r>
              <w:rPr>
                <w:rFonts w:hint="default" w:ascii="Times New Roman" w:hAnsi="Times New Roman" w:cs="Times New Roman"/>
                <w:b/>
                <w:bCs/>
                <w:color w:val="auto"/>
                <w:sz w:val="24"/>
                <w:szCs w:val="24"/>
              </w:rPr>
              <w:t>沥青储存加热</w:t>
            </w:r>
            <w:r>
              <w:rPr>
                <w:rFonts w:hint="default" w:ascii="Times New Roman" w:hAnsi="Times New Roman" w:cs="Times New Roman"/>
                <w:b/>
                <w:bCs/>
                <w:color w:val="auto"/>
                <w:sz w:val="24"/>
                <w:szCs w:val="24"/>
                <w:lang w:val="en-US" w:eastAsia="zh-CN"/>
              </w:rPr>
              <w:t>供给</w:t>
            </w:r>
          </w:p>
          <w:p w14:paraId="51C6A20D">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沥青储存加热</w:t>
            </w:r>
            <w:r>
              <w:rPr>
                <w:rFonts w:hint="default" w:ascii="Times New Roman" w:hAnsi="Times New Roman" w:cs="Times New Roman"/>
                <w:color w:val="auto"/>
                <w:sz w:val="24"/>
                <w:szCs w:val="24"/>
                <w:lang w:val="en-US" w:eastAsia="zh-CN"/>
              </w:rPr>
              <w:t>供给工序</w:t>
            </w:r>
            <w:r>
              <w:rPr>
                <w:rFonts w:hint="default" w:ascii="Times New Roman" w:hAnsi="Times New Roman" w:cs="Times New Roman"/>
                <w:color w:val="auto"/>
                <w:sz w:val="24"/>
                <w:szCs w:val="24"/>
              </w:rPr>
              <w:t>包括沥青罐、导热油</w:t>
            </w:r>
            <w:r>
              <w:rPr>
                <w:rFonts w:hint="default" w:ascii="Times New Roman" w:hAnsi="Times New Roman" w:cs="Times New Roman"/>
                <w:color w:val="auto"/>
                <w:sz w:val="24"/>
                <w:szCs w:val="24"/>
                <w:lang w:val="en-US" w:eastAsia="zh-CN"/>
              </w:rPr>
              <w:t>储罐</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电加热器、</w:t>
            </w:r>
            <w:r>
              <w:rPr>
                <w:rFonts w:hint="default" w:ascii="Times New Roman" w:hAnsi="Times New Roman" w:cs="Times New Roman"/>
                <w:color w:val="auto"/>
                <w:sz w:val="24"/>
                <w:szCs w:val="24"/>
              </w:rPr>
              <w:t>沥青泵及工艺管道系统。项目外购的沥青通过专用沥青运输车辆送至场内，并通过沥青泵注入沥青</w:t>
            </w:r>
            <w:r>
              <w:rPr>
                <w:rFonts w:hint="default" w:ascii="Times New Roman" w:hAnsi="Times New Roman" w:cs="Times New Roman"/>
                <w:color w:val="auto"/>
                <w:sz w:val="24"/>
                <w:szCs w:val="24"/>
                <w:lang w:val="en-US" w:eastAsia="zh-CN"/>
              </w:rPr>
              <w:t>卸油</w:t>
            </w:r>
            <w:r>
              <w:rPr>
                <w:rFonts w:hint="default" w:ascii="Times New Roman" w:hAnsi="Times New Roman" w:cs="Times New Roman"/>
                <w:color w:val="auto"/>
                <w:sz w:val="24"/>
                <w:szCs w:val="24"/>
              </w:rPr>
              <w:t>罐中进行暂存。通过</w:t>
            </w:r>
            <w:r>
              <w:rPr>
                <w:rFonts w:hint="default" w:ascii="Times New Roman" w:hAnsi="Times New Roman" w:cs="Times New Roman"/>
                <w:color w:val="auto"/>
                <w:sz w:val="24"/>
                <w:szCs w:val="24"/>
                <w:lang w:val="en-US" w:eastAsia="zh-CN"/>
              </w:rPr>
              <w:t>电加热器直接</w:t>
            </w:r>
            <w:r>
              <w:rPr>
                <w:rFonts w:hint="default" w:ascii="Times New Roman" w:hAnsi="Times New Roman" w:cs="Times New Roman"/>
                <w:color w:val="auto"/>
                <w:sz w:val="24"/>
                <w:szCs w:val="24"/>
              </w:rPr>
              <w:t>将导热油加热至160℃，热的导热油经过循环泵及管道</w:t>
            </w:r>
            <w:r>
              <w:rPr>
                <w:rFonts w:hint="default" w:ascii="Times New Roman" w:hAnsi="Times New Roman" w:cs="Times New Roman"/>
                <w:color w:val="auto"/>
                <w:sz w:val="24"/>
                <w:szCs w:val="24"/>
                <w:lang w:eastAsia="zh-CN"/>
              </w:rPr>
              <w:t>输送</w:t>
            </w:r>
            <w:r>
              <w:rPr>
                <w:rFonts w:hint="default" w:ascii="Times New Roman" w:hAnsi="Times New Roman" w:cs="Times New Roman"/>
                <w:color w:val="auto"/>
                <w:sz w:val="24"/>
                <w:szCs w:val="24"/>
              </w:rPr>
              <w:t>沥青罐和沥青输送管道进行加热保温至160℃。该过程</w:t>
            </w:r>
            <w:r>
              <w:rPr>
                <w:rFonts w:hint="default" w:ascii="Times New Roman" w:hAnsi="Times New Roman" w:cs="Times New Roman"/>
                <w:color w:val="auto"/>
                <w:sz w:val="24"/>
                <w:szCs w:val="24"/>
                <w:lang w:val="en-US" w:eastAsia="zh-CN"/>
              </w:rPr>
              <w:t>在密闭管道内进行，</w:t>
            </w:r>
            <w:r>
              <w:rPr>
                <w:rFonts w:hint="default" w:ascii="Times New Roman" w:hAnsi="Times New Roman" w:cs="Times New Roman"/>
                <w:b/>
                <w:bCs/>
                <w:color w:val="auto"/>
                <w:sz w:val="24"/>
                <w:szCs w:val="24"/>
              </w:rPr>
              <w:t>主要产生沥青罐呼吸、加热废气。</w:t>
            </w:r>
          </w:p>
          <w:p w14:paraId="65B57517">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⑤</w:t>
            </w:r>
            <w:r>
              <w:rPr>
                <w:rFonts w:hint="default" w:ascii="Times New Roman" w:hAnsi="Times New Roman" w:cs="Times New Roman"/>
                <w:b/>
                <w:bCs/>
                <w:color w:val="auto"/>
                <w:sz w:val="24"/>
                <w:szCs w:val="24"/>
              </w:rPr>
              <w:t>粉料储存供给</w:t>
            </w:r>
          </w:p>
          <w:p w14:paraId="298B1214">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本项目</w:t>
            </w:r>
            <w:r>
              <w:rPr>
                <w:rFonts w:hint="default" w:ascii="Times New Roman" w:hAnsi="Times New Roman" w:cs="Times New Roman"/>
                <w:color w:val="auto"/>
                <w:sz w:val="24"/>
                <w:szCs w:val="24"/>
                <w:highlight w:val="none"/>
              </w:rPr>
              <w:t>矿粉为</w:t>
            </w:r>
            <w:r>
              <w:rPr>
                <w:rFonts w:hint="default" w:ascii="Times New Roman" w:hAnsi="Times New Roman" w:cs="Times New Roman"/>
                <w:color w:val="auto"/>
                <w:sz w:val="24"/>
                <w:szCs w:val="24"/>
                <w:highlight w:val="none"/>
                <w:lang w:val="en-US" w:eastAsia="zh-CN"/>
              </w:rPr>
              <w:t>外购，由厂家直接运送至厂区，</w:t>
            </w:r>
            <w:r>
              <w:rPr>
                <w:rFonts w:hint="default" w:ascii="Times New Roman" w:hAnsi="Times New Roman" w:cs="Times New Roman"/>
                <w:color w:val="auto"/>
                <w:sz w:val="24"/>
                <w:szCs w:val="24"/>
                <w:highlight w:val="none"/>
              </w:rPr>
              <w:t>经螺旋输送至斗提提升机提升至矿粉储罐</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使用时通过螺杆输送机在气力作用下送入</w:t>
            </w:r>
            <w:r>
              <w:rPr>
                <w:rFonts w:hint="default" w:ascii="Times New Roman" w:hAnsi="Times New Roman" w:cs="Times New Roman"/>
                <w:color w:val="auto"/>
                <w:sz w:val="24"/>
                <w:szCs w:val="24"/>
                <w:highlight w:val="none"/>
                <w:lang w:val="en-US" w:eastAsia="zh-CN"/>
              </w:rPr>
              <w:t>计量系统</w:t>
            </w:r>
            <w:r>
              <w:rPr>
                <w:rFonts w:hint="default" w:ascii="Times New Roman" w:hAnsi="Times New Roman" w:cs="Times New Roman"/>
                <w:color w:val="auto"/>
                <w:sz w:val="24"/>
                <w:szCs w:val="24"/>
                <w:highlight w:val="none"/>
              </w:rPr>
              <w:t>，此系统全程密封，石粉罐顶部配套仓顶除尘器。</w:t>
            </w:r>
            <w:r>
              <w:rPr>
                <w:rFonts w:hint="default" w:ascii="Times New Roman" w:hAnsi="Times New Roman" w:cs="Times New Roman"/>
                <w:b/>
                <w:bCs/>
                <w:color w:val="auto"/>
                <w:sz w:val="24"/>
                <w:szCs w:val="24"/>
                <w:highlight w:val="none"/>
              </w:rPr>
              <w:t>过程主要产生粉尘、噪声。</w:t>
            </w:r>
          </w:p>
          <w:p w14:paraId="1DE553E7">
            <w:pPr>
              <w:spacing w:line="360" w:lineRule="auto"/>
              <w:ind w:firstLine="482" w:firstLineChars="200"/>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⑥</w:t>
            </w:r>
            <w:r>
              <w:rPr>
                <w:rFonts w:hint="default" w:ascii="Times New Roman" w:hAnsi="Times New Roman" w:cs="Times New Roman"/>
                <w:b/>
                <w:bCs/>
                <w:color w:val="auto"/>
                <w:sz w:val="24"/>
                <w:szCs w:val="24"/>
              </w:rPr>
              <w:t>搅拌系统</w:t>
            </w:r>
          </w:p>
          <w:p w14:paraId="10FDEC36">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经过计量后的沥青、</w:t>
            </w:r>
            <w:r>
              <w:rPr>
                <w:rFonts w:hint="default" w:ascii="Times New Roman" w:hAnsi="Times New Roman" w:cs="Times New Roman"/>
                <w:color w:val="auto"/>
                <w:sz w:val="24"/>
                <w:szCs w:val="24"/>
                <w:lang w:val="en-US" w:eastAsia="zh-CN"/>
              </w:rPr>
              <w:t>矿</w:t>
            </w:r>
            <w:r>
              <w:rPr>
                <w:rFonts w:hint="default" w:ascii="Times New Roman" w:hAnsi="Times New Roman" w:cs="Times New Roman"/>
                <w:color w:val="auto"/>
                <w:sz w:val="24"/>
                <w:szCs w:val="24"/>
              </w:rPr>
              <w:t>粉、热骨料进入</w:t>
            </w:r>
            <w:r>
              <w:rPr>
                <w:rFonts w:hint="default" w:ascii="Times New Roman" w:hAnsi="Times New Roman" w:cs="Times New Roman"/>
                <w:color w:val="auto"/>
                <w:sz w:val="24"/>
                <w:szCs w:val="24"/>
                <w:lang w:eastAsia="zh-CN"/>
              </w:rPr>
              <w:t>搅拌缸</w:t>
            </w:r>
            <w:r>
              <w:rPr>
                <w:rFonts w:hint="default" w:ascii="Times New Roman" w:hAnsi="Times New Roman" w:cs="Times New Roman"/>
                <w:color w:val="auto"/>
                <w:sz w:val="24"/>
                <w:szCs w:val="24"/>
              </w:rPr>
              <w:t>中进行搅拌均匀，</w:t>
            </w:r>
            <w:r>
              <w:rPr>
                <w:rFonts w:hint="default" w:ascii="Times New Roman" w:hAnsi="Times New Roman" w:cs="Times New Roman"/>
                <w:color w:val="auto"/>
                <w:sz w:val="24"/>
                <w:szCs w:val="24"/>
                <w:lang w:eastAsia="zh-CN"/>
              </w:rPr>
              <w:t>搅拌缸</w:t>
            </w:r>
            <w:r>
              <w:rPr>
                <w:rFonts w:hint="default" w:ascii="Times New Roman" w:hAnsi="Times New Roman" w:cs="Times New Roman"/>
                <w:color w:val="auto"/>
                <w:sz w:val="24"/>
                <w:szCs w:val="24"/>
              </w:rPr>
              <w:t>下方设置下料口。计量系统出料口与</w:t>
            </w:r>
            <w:r>
              <w:rPr>
                <w:rFonts w:hint="default" w:ascii="Times New Roman" w:hAnsi="Times New Roman" w:cs="Times New Roman"/>
                <w:color w:val="auto"/>
                <w:sz w:val="24"/>
                <w:szCs w:val="24"/>
                <w:lang w:eastAsia="zh-CN"/>
              </w:rPr>
              <w:t>搅拌缸</w:t>
            </w:r>
            <w:r>
              <w:rPr>
                <w:rFonts w:hint="default" w:ascii="Times New Roman" w:hAnsi="Times New Roman" w:cs="Times New Roman"/>
                <w:color w:val="auto"/>
                <w:sz w:val="24"/>
                <w:szCs w:val="24"/>
              </w:rPr>
              <w:t>进料口密闭连接，搅拌过程全密闭。</w:t>
            </w:r>
            <w:r>
              <w:rPr>
                <w:rFonts w:hint="default" w:ascii="Times New Roman" w:hAnsi="Times New Roman" w:cs="Times New Roman"/>
                <w:b/>
                <w:bCs/>
                <w:color w:val="auto"/>
                <w:sz w:val="24"/>
                <w:szCs w:val="24"/>
              </w:rPr>
              <w:t>该过程主要产生</w:t>
            </w:r>
            <w:r>
              <w:rPr>
                <w:rFonts w:hint="default" w:ascii="Times New Roman" w:hAnsi="Times New Roman" w:cs="Times New Roman"/>
                <w:b/>
                <w:bCs/>
                <w:color w:val="auto"/>
                <w:sz w:val="24"/>
                <w:szCs w:val="24"/>
                <w:lang w:val="en-US" w:eastAsia="zh-CN"/>
              </w:rPr>
              <w:t>废气</w:t>
            </w:r>
            <w:r>
              <w:rPr>
                <w:rFonts w:hint="default" w:ascii="Times New Roman" w:hAnsi="Times New Roman" w:cs="Times New Roman"/>
                <w:b/>
                <w:bCs/>
                <w:color w:val="auto"/>
                <w:sz w:val="24"/>
                <w:szCs w:val="24"/>
              </w:rPr>
              <w:t>和噪声。</w:t>
            </w:r>
          </w:p>
          <w:p w14:paraId="2CF1917D">
            <w:pPr>
              <w:spacing w:line="360" w:lineRule="auto"/>
              <w:ind w:firstLine="482" w:firstLineChars="200"/>
              <w:jc w:val="left"/>
              <w:rPr>
                <w:rFonts w:hint="default" w:ascii="Times New Roman" w:hAnsi="Times New Roman" w:cs="Times New Roman"/>
                <w:b/>
                <w:bCs/>
                <w:color w:val="auto"/>
                <w:sz w:val="24"/>
                <w:szCs w:val="24"/>
                <w:lang w:val="en-US"/>
              </w:rPr>
            </w:pPr>
            <w:r>
              <w:rPr>
                <w:rFonts w:hint="default" w:ascii="Times New Roman" w:hAnsi="Times New Roman" w:cs="Times New Roman"/>
                <w:b/>
                <w:bCs/>
                <w:color w:val="auto"/>
                <w:sz w:val="24"/>
                <w:szCs w:val="24"/>
                <w:lang w:val="en-US" w:eastAsia="zh-CN"/>
              </w:rPr>
              <w:t>⑦出料外运</w:t>
            </w:r>
          </w:p>
          <w:p w14:paraId="19EE0944">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项目生产的</w:t>
            </w:r>
            <w:r>
              <w:rPr>
                <w:rFonts w:hint="default" w:ascii="Times New Roman" w:hAnsi="Times New Roman" w:cs="Times New Roman"/>
                <w:color w:val="auto"/>
                <w:sz w:val="24"/>
                <w:szCs w:val="24"/>
                <w:lang w:eastAsia="zh-CN"/>
              </w:rPr>
              <w:t>沥青混凝土</w:t>
            </w:r>
            <w:r>
              <w:rPr>
                <w:rFonts w:hint="default" w:ascii="Times New Roman" w:hAnsi="Times New Roman" w:cs="Times New Roman"/>
                <w:color w:val="auto"/>
                <w:sz w:val="24"/>
                <w:szCs w:val="24"/>
              </w:rPr>
              <w:t>成品不设贮仓。生产出料过程为间断式，成品从拌缸卸料后由</w:t>
            </w:r>
            <w:r>
              <w:rPr>
                <w:rFonts w:hint="default" w:ascii="Times New Roman" w:hAnsi="Times New Roman" w:cs="Times New Roman"/>
                <w:color w:val="auto"/>
                <w:sz w:val="24"/>
                <w:szCs w:val="24"/>
                <w:lang w:val="en-US" w:eastAsia="zh-CN"/>
              </w:rPr>
              <w:t>罐车</w:t>
            </w:r>
            <w:r>
              <w:rPr>
                <w:rFonts w:hint="default" w:ascii="Times New Roman" w:hAnsi="Times New Roman" w:cs="Times New Roman"/>
                <w:color w:val="auto"/>
                <w:sz w:val="24"/>
                <w:szCs w:val="24"/>
              </w:rPr>
              <w:t>直接运出。</w:t>
            </w:r>
            <w:r>
              <w:rPr>
                <w:rFonts w:hint="default" w:ascii="Times New Roman" w:hAnsi="Times New Roman" w:cs="Times New Roman"/>
                <w:b/>
                <w:bCs/>
                <w:color w:val="auto"/>
                <w:sz w:val="24"/>
                <w:szCs w:val="24"/>
              </w:rPr>
              <w:t>此环节会产生</w:t>
            </w:r>
            <w:r>
              <w:rPr>
                <w:rFonts w:hint="default" w:ascii="Times New Roman" w:hAnsi="Times New Roman" w:cs="Times New Roman"/>
                <w:b/>
                <w:bCs/>
                <w:color w:val="auto"/>
                <w:sz w:val="24"/>
                <w:szCs w:val="24"/>
                <w:lang w:val="en-US" w:eastAsia="zh-CN"/>
              </w:rPr>
              <w:t>下料口废气和噪声</w:t>
            </w:r>
            <w:r>
              <w:rPr>
                <w:rFonts w:hint="default" w:ascii="Times New Roman" w:hAnsi="Times New Roman" w:cs="Times New Roman"/>
                <w:b/>
                <w:bCs/>
                <w:color w:val="auto"/>
                <w:sz w:val="24"/>
                <w:szCs w:val="24"/>
              </w:rPr>
              <w:t>。</w:t>
            </w:r>
          </w:p>
          <w:p w14:paraId="68C6EDDE">
            <w:pPr>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乳化沥青生产工艺流程</w:t>
            </w:r>
          </w:p>
          <w:p w14:paraId="06619A36">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本工程生产少量乳化沥青，用于路面修复，</w:t>
            </w:r>
            <w:r>
              <w:rPr>
                <w:rFonts w:hint="default" w:ascii="Times New Roman" w:hAnsi="Times New Roman" w:eastAsia="宋体" w:cs="Times New Roman"/>
                <w:color w:val="auto"/>
                <w:sz w:val="24"/>
                <w:szCs w:val="24"/>
              </w:rPr>
              <w:t>乳化沥青具体工艺流程图如下2-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p>
          <w:p w14:paraId="5D4C8C5A">
            <w:pPr>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311140" cy="3970655"/>
                  <wp:effectExtent l="0" t="0" r="3810" b="1079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0"/>
                          <a:stretch>
                            <a:fillRect/>
                          </a:stretch>
                        </pic:blipFill>
                        <pic:spPr>
                          <a:xfrm>
                            <a:off x="0" y="0"/>
                            <a:ext cx="5311140" cy="3970655"/>
                          </a:xfrm>
                          <a:prstGeom prst="rect">
                            <a:avLst/>
                          </a:prstGeom>
                          <a:noFill/>
                          <a:ln>
                            <a:noFill/>
                          </a:ln>
                        </pic:spPr>
                      </pic:pic>
                    </a:graphicData>
                  </a:graphic>
                </wp:inline>
              </w:drawing>
            </w:r>
          </w:p>
          <w:p w14:paraId="1D924B1D">
            <w:pPr>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kern w:val="0"/>
                <w:sz w:val="21"/>
                <w:szCs w:val="21"/>
                <w:lang w:val="en-US" w:eastAsia="zh-CN" w:bidi="ar-SA"/>
              </w:rPr>
              <w:t>图 2-4 乳化沥青工艺流程及产污节点</w:t>
            </w:r>
          </w:p>
          <w:p w14:paraId="5415C5F4">
            <w:pPr>
              <w:spacing w:line="360" w:lineRule="auto"/>
              <w:ind w:firstLine="48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工艺流程简述：</w:t>
            </w:r>
          </w:p>
          <w:p w14:paraId="48A325C5">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①原料准备</w:t>
            </w:r>
          </w:p>
          <w:p w14:paraId="4AAC93AA">
            <w:pPr>
              <w:spacing w:line="360" w:lineRule="auto"/>
              <w:ind w:firstLine="480"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color w:val="auto"/>
                <w:sz w:val="24"/>
                <w:szCs w:val="24"/>
              </w:rPr>
              <w:t>乳化沥青是由沥青、沥青乳化剂和水混合拌制而成</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首先加水进入调配罐，将水温控制在50~70℃，然后按配方将乳化剂泵入调配罐；同时对沥青升温至130-140℃之间。本项目沥青储罐采用以电加热的导热油，对贮存的沥青进行保温。乳化沥青生产所用石油沥青与沥青混凝土生产线共用沥青储罐，不单独设沥青储罐。</w:t>
            </w:r>
            <w:r>
              <w:rPr>
                <w:rFonts w:hint="default" w:ascii="Times New Roman" w:hAnsi="Times New Roman" w:cs="Times New Roman"/>
                <w:b/>
                <w:bCs/>
                <w:color w:val="auto"/>
                <w:sz w:val="24"/>
                <w:szCs w:val="24"/>
                <w:lang w:val="en-US" w:eastAsia="zh-CN"/>
              </w:rPr>
              <w:t>此环节会产生沥青废气。</w:t>
            </w:r>
          </w:p>
          <w:p w14:paraId="11A0F7F8">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②原料混合</w:t>
            </w:r>
          </w:p>
          <w:p w14:paraId="44CAE333">
            <w:pPr>
              <w:spacing w:line="360" w:lineRule="auto"/>
              <w:ind w:firstLine="480"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color w:val="auto"/>
                <w:sz w:val="24"/>
                <w:szCs w:val="24"/>
                <w:lang w:val="en-US" w:eastAsia="zh-CN"/>
              </w:rPr>
              <w:t>将石油沥青和乳化剂按一定配比加入混合槽中。在一定温度下，通过搅拌使石油沥青和乳化剂充分混合均匀。此环节在封闭环境下进行。</w:t>
            </w:r>
            <w:r>
              <w:rPr>
                <w:rFonts w:hint="default" w:ascii="Times New Roman" w:hAnsi="Times New Roman" w:cs="Times New Roman"/>
                <w:b/>
                <w:bCs/>
                <w:color w:val="auto"/>
                <w:sz w:val="24"/>
                <w:szCs w:val="24"/>
                <w:lang w:val="en-US" w:eastAsia="zh-CN"/>
              </w:rPr>
              <w:t>此环节会产生噪声。</w:t>
            </w:r>
          </w:p>
          <w:p w14:paraId="52AA0B06">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③乳化</w:t>
            </w:r>
          </w:p>
          <w:p w14:paraId="0A36171E">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将混合好的原料通过乳化机进行乳化处理，在乳化机内经过增压、剪切、研磨等机械作用，使沥青形成均匀、细小的颗粒，稳定而均匀地分散在水溶液中，形成水包油的沥青乳状液。此环节在封闭环境下进行。</w:t>
            </w:r>
            <w:r>
              <w:rPr>
                <w:rFonts w:hint="default" w:ascii="Times New Roman" w:hAnsi="Times New Roman" w:cs="Times New Roman"/>
                <w:b/>
                <w:bCs/>
                <w:color w:val="auto"/>
                <w:sz w:val="24"/>
                <w:szCs w:val="24"/>
                <w:lang w:val="en-US" w:eastAsia="zh-CN"/>
              </w:rPr>
              <w:t>此环节会产生噪声。</w:t>
            </w:r>
          </w:p>
          <w:p w14:paraId="7FC13B4A">
            <w:pPr>
              <w:spacing w:line="360" w:lineRule="auto"/>
              <w:ind w:firstLine="482" w:firstLineChars="200"/>
              <w:jc w:val="left"/>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④装车外运</w:t>
            </w:r>
          </w:p>
          <w:p w14:paraId="6F920E00">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项目生产的</w:t>
            </w:r>
            <w:r>
              <w:rPr>
                <w:rFonts w:hint="default" w:ascii="Times New Roman" w:hAnsi="Times New Roman" w:cs="Times New Roman"/>
                <w:color w:val="auto"/>
                <w:sz w:val="24"/>
                <w:szCs w:val="24"/>
                <w:lang w:val="en-US" w:eastAsia="zh-CN"/>
              </w:rPr>
              <w:t>乳化沥青</w:t>
            </w:r>
            <w:r>
              <w:rPr>
                <w:rFonts w:hint="default" w:ascii="Times New Roman" w:hAnsi="Times New Roman" w:cs="Times New Roman"/>
                <w:color w:val="auto"/>
                <w:sz w:val="24"/>
                <w:szCs w:val="24"/>
              </w:rPr>
              <w:t>成品温度不高于85℃</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本项目乳化沥青生产量较少，主要根据客户需求采取即产即售的方式，</w:t>
            </w:r>
            <w:r>
              <w:rPr>
                <w:rFonts w:hint="default" w:ascii="Times New Roman" w:hAnsi="Times New Roman" w:cs="Times New Roman"/>
                <w:color w:val="auto"/>
                <w:sz w:val="24"/>
                <w:szCs w:val="24"/>
              </w:rPr>
              <w:t>不设</w:t>
            </w:r>
            <w:r>
              <w:rPr>
                <w:rFonts w:hint="default" w:ascii="Times New Roman" w:hAnsi="Times New Roman" w:cs="Times New Roman"/>
                <w:color w:val="auto"/>
                <w:sz w:val="24"/>
                <w:szCs w:val="24"/>
                <w:lang w:val="en-US" w:eastAsia="zh-CN"/>
              </w:rPr>
              <w:t>储罐</w:t>
            </w:r>
            <w:r>
              <w:rPr>
                <w:rFonts w:hint="default" w:ascii="Times New Roman" w:hAnsi="Times New Roman" w:cs="Times New Roman"/>
                <w:color w:val="auto"/>
                <w:sz w:val="24"/>
                <w:szCs w:val="24"/>
              </w:rPr>
              <w:t>。生产出料过程为间断式，成品卸料后由</w:t>
            </w:r>
            <w:r>
              <w:rPr>
                <w:rFonts w:hint="default" w:ascii="Times New Roman" w:hAnsi="Times New Roman" w:cs="Times New Roman"/>
                <w:color w:val="auto"/>
                <w:sz w:val="24"/>
                <w:szCs w:val="24"/>
                <w:lang w:val="en-US" w:eastAsia="zh-CN"/>
              </w:rPr>
              <w:t>罐车</w:t>
            </w:r>
            <w:r>
              <w:rPr>
                <w:rFonts w:hint="default" w:ascii="Times New Roman" w:hAnsi="Times New Roman" w:cs="Times New Roman"/>
                <w:color w:val="auto"/>
                <w:sz w:val="24"/>
                <w:szCs w:val="24"/>
              </w:rPr>
              <w:t>直接运出。</w:t>
            </w:r>
            <w:r>
              <w:rPr>
                <w:rFonts w:hint="default" w:ascii="Times New Roman" w:hAnsi="Times New Roman" w:cs="Times New Roman"/>
                <w:b/>
                <w:bCs/>
                <w:color w:val="auto"/>
                <w:sz w:val="24"/>
                <w:szCs w:val="24"/>
                <w:lang w:val="en-US" w:eastAsia="zh-CN"/>
              </w:rPr>
              <w:t>此环节会产生沥青废气。</w:t>
            </w:r>
          </w:p>
          <w:p w14:paraId="48D12D89">
            <w:pPr>
              <w:spacing w:line="360" w:lineRule="auto"/>
              <w:ind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（2）产污环节</w:t>
            </w:r>
          </w:p>
          <w:p w14:paraId="081E6F1D">
            <w:pPr>
              <w:pStyle w:val="39"/>
              <w:spacing w:line="360" w:lineRule="auto"/>
              <w:ind w:firstLine="480" w:firstLineChars="200"/>
              <w:rPr>
                <w:rFonts w:hint="default" w:ascii="Times New Roman" w:hAnsi="Times New Roman" w:eastAsia="宋体" w:cs="Times New Roman"/>
                <w:b/>
                <w:bCs/>
                <w:color w:val="auto"/>
                <w:kern w:val="24"/>
                <w:sz w:val="24"/>
                <w:szCs w:val="24"/>
              </w:rPr>
            </w:pPr>
            <w:r>
              <w:rPr>
                <w:rFonts w:hint="default" w:ascii="Times New Roman" w:hAnsi="Times New Roman" w:eastAsia="宋体" w:cs="Times New Roman"/>
                <w:color w:val="auto"/>
                <w:kern w:val="2"/>
                <w:sz w:val="24"/>
                <w:szCs w:val="24"/>
                <w:highlight w:val="none"/>
                <w:lang w:val="en-US" w:eastAsia="zh-CN" w:bidi="ar-SA"/>
              </w:rPr>
              <w:t>本项目运营期主要污染工序如下表。</w:t>
            </w:r>
          </w:p>
          <w:p w14:paraId="34D80E56">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宋体" w:cs="Times New Roman"/>
                <w:b/>
                <w:bCs/>
                <w:color w:val="auto"/>
                <w:kern w:val="0"/>
                <w:sz w:val="20"/>
                <w:szCs w:val="20"/>
                <w:lang w:val="en-US" w:eastAsia="zh-CN" w:bidi="ar-SA"/>
              </w:rPr>
            </w:pPr>
            <w:r>
              <w:rPr>
                <w:rFonts w:hint="default" w:ascii="Times New Roman" w:hAnsi="Times New Roman" w:eastAsia="宋体" w:cs="Times New Roman"/>
                <w:b/>
                <w:bCs/>
                <w:color w:val="auto"/>
                <w:kern w:val="0"/>
                <w:sz w:val="20"/>
                <w:szCs w:val="20"/>
                <w:lang w:val="en-US" w:eastAsia="zh-CN" w:bidi="ar-SA"/>
              </w:rPr>
              <w:t>表2-8 本项目运营期污染物产生情况汇总表</w:t>
            </w:r>
          </w:p>
          <w:tbl>
            <w:tblPr>
              <w:tblStyle w:val="2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01"/>
              <w:gridCol w:w="1649"/>
              <w:gridCol w:w="1839"/>
              <w:gridCol w:w="1163"/>
              <w:gridCol w:w="1991"/>
              <w:gridCol w:w="1233"/>
            </w:tblGrid>
            <w:tr w14:paraId="5FC4C9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1001" w:type="dxa"/>
                  <w:tcBorders>
                    <w:tl2br w:val="nil"/>
                    <w:tr2bl w:val="nil"/>
                  </w:tcBorders>
                  <w:noWrap w:val="0"/>
                  <w:vAlign w:val="center"/>
                </w:tcPr>
                <w:p w14:paraId="1999F3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类别</w:t>
                  </w:r>
                </w:p>
              </w:tc>
              <w:tc>
                <w:tcPr>
                  <w:tcW w:w="1649" w:type="dxa"/>
                  <w:tcBorders>
                    <w:tl2br w:val="nil"/>
                    <w:tr2bl w:val="nil"/>
                  </w:tcBorders>
                  <w:noWrap w:val="0"/>
                  <w:vAlign w:val="center"/>
                </w:tcPr>
                <w:p w14:paraId="162960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产生位置</w:t>
                  </w:r>
                </w:p>
              </w:tc>
              <w:tc>
                <w:tcPr>
                  <w:tcW w:w="1839" w:type="dxa"/>
                  <w:tcBorders>
                    <w:tl2br w:val="nil"/>
                    <w:tr2bl w:val="nil"/>
                  </w:tcBorders>
                  <w:noWrap w:val="0"/>
                  <w:vAlign w:val="center"/>
                </w:tcPr>
                <w:p w14:paraId="6C1B0E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名称</w:t>
                  </w:r>
                </w:p>
              </w:tc>
              <w:tc>
                <w:tcPr>
                  <w:tcW w:w="1163" w:type="dxa"/>
                  <w:tcBorders>
                    <w:tl2br w:val="nil"/>
                    <w:tr2bl w:val="nil"/>
                  </w:tcBorders>
                  <w:noWrap w:val="0"/>
                  <w:vAlign w:val="center"/>
                </w:tcPr>
                <w:p w14:paraId="33262E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lang w:val="en-US"/>
                    </w:rPr>
                  </w:pPr>
                  <w:r>
                    <w:rPr>
                      <w:rFonts w:hint="default" w:ascii="Times New Roman" w:hAnsi="Times New Roman" w:eastAsia="宋体" w:cs="Times New Roman"/>
                      <w:b/>
                      <w:bCs/>
                      <w:i w:val="0"/>
                      <w:iCs w:val="0"/>
                      <w:color w:val="auto"/>
                      <w:kern w:val="0"/>
                      <w:sz w:val="21"/>
                      <w:szCs w:val="21"/>
                      <w:u w:val="none"/>
                      <w:lang w:val="en-US" w:eastAsia="zh-CN" w:bidi="ar"/>
                    </w:rPr>
                    <w:t>产生工序</w:t>
                  </w:r>
                </w:p>
              </w:tc>
              <w:tc>
                <w:tcPr>
                  <w:tcW w:w="1991" w:type="dxa"/>
                  <w:tcBorders>
                    <w:tl2br w:val="nil"/>
                    <w:tr2bl w:val="nil"/>
                  </w:tcBorders>
                  <w:noWrap w:val="0"/>
                  <w:vAlign w:val="center"/>
                </w:tcPr>
                <w:p w14:paraId="26A78F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主要污染物</w:t>
                  </w:r>
                </w:p>
              </w:tc>
              <w:tc>
                <w:tcPr>
                  <w:tcW w:w="1233" w:type="dxa"/>
                  <w:tcBorders>
                    <w:tl2br w:val="nil"/>
                    <w:tr2bl w:val="nil"/>
                  </w:tcBorders>
                  <w:noWrap w:val="0"/>
                  <w:vAlign w:val="center"/>
                </w:tcPr>
                <w:p w14:paraId="0B4F64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产生特征</w:t>
                  </w:r>
                </w:p>
              </w:tc>
            </w:tr>
            <w:tr w14:paraId="4C971E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1001" w:type="dxa"/>
                  <w:vMerge w:val="restart"/>
                  <w:tcBorders>
                    <w:tl2br w:val="nil"/>
                    <w:tr2bl w:val="nil"/>
                  </w:tcBorders>
                  <w:noWrap w:val="0"/>
                  <w:vAlign w:val="center"/>
                </w:tcPr>
                <w:p w14:paraId="28913F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废气</w:t>
                  </w:r>
                </w:p>
              </w:tc>
              <w:tc>
                <w:tcPr>
                  <w:tcW w:w="1649" w:type="dxa"/>
                  <w:tcBorders>
                    <w:tl2br w:val="nil"/>
                    <w:tr2bl w:val="nil"/>
                  </w:tcBorders>
                  <w:noWrap w:val="0"/>
                  <w:vAlign w:val="center"/>
                </w:tcPr>
                <w:p w14:paraId="64EAEA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上料机</w:t>
                  </w:r>
                </w:p>
              </w:tc>
              <w:tc>
                <w:tcPr>
                  <w:tcW w:w="1839" w:type="dxa"/>
                  <w:tcBorders>
                    <w:tl2br w:val="nil"/>
                    <w:tr2bl w:val="nil"/>
                  </w:tcBorders>
                  <w:shd w:val="clear" w:color="auto" w:fill="auto"/>
                  <w:noWrap w:val="0"/>
                  <w:vAlign w:val="center"/>
                </w:tcPr>
                <w:p w14:paraId="354E3C52">
                  <w:pPr>
                    <w:pStyle w:val="8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Cs w:val="21"/>
                      <w:lang w:val="en-US" w:eastAsia="zh-CN"/>
                    </w:rPr>
                    <w:t>骨料上料粉尘</w:t>
                  </w:r>
                </w:p>
              </w:tc>
              <w:tc>
                <w:tcPr>
                  <w:tcW w:w="1163" w:type="dxa"/>
                  <w:tcBorders>
                    <w:tl2br w:val="nil"/>
                    <w:tr2bl w:val="nil"/>
                  </w:tcBorders>
                  <w:noWrap w:val="0"/>
                  <w:vAlign w:val="center"/>
                </w:tcPr>
                <w:p w14:paraId="4C2333D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i w:val="0"/>
                      <w:iCs w:val="0"/>
                      <w:color w:val="auto"/>
                      <w:sz w:val="21"/>
                      <w:szCs w:val="21"/>
                      <w:u w:val="none"/>
                      <w:lang w:val="en-US" w:eastAsia="zh-CN"/>
                    </w:rPr>
                    <w:t>上料</w:t>
                  </w:r>
                </w:p>
              </w:tc>
              <w:tc>
                <w:tcPr>
                  <w:tcW w:w="1991" w:type="dxa"/>
                  <w:tcBorders>
                    <w:tl2br w:val="nil"/>
                    <w:tr2bl w:val="nil"/>
                  </w:tcBorders>
                  <w:shd w:val="clear" w:color="auto" w:fill="auto"/>
                  <w:noWrap w:val="0"/>
                  <w:vAlign w:val="center"/>
                </w:tcPr>
                <w:p w14:paraId="5CCB07A5">
                  <w:pPr>
                    <w:autoSpaceDN w:val="0"/>
                    <w:jc w:val="center"/>
                    <w:textAlignment w:val="bottom"/>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颗粒物</w:t>
                  </w:r>
                </w:p>
              </w:tc>
              <w:tc>
                <w:tcPr>
                  <w:tcW w:w="1233" w:type="dxa"/>
                  <w:tcBorders>
                    <w:tl2br w:val="nil"/>
                    <w:tr2bl w:val="nil"/>
                  </w:tcBorders>
                  <w:noWrap w:val="0"/>
                  <w:vAlign w:val="center"/>
                </w:tcPr>
                <w:p w14:paraId="1CBEA6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2"/>
                      <w:sz w:val="21"/>
                      <w:szCs w:val="21"/>
                      <w:u w:val="none"/>
                      <w:lang w:val="en-US" w:eastAsia="zh-CN" w:bidi="ar-SA"/>
                    </w:rPr>
                    <w:t>连续产生</w:t>
                  </w:r>
                </w:p>
              </w:tc>
            </w:tr>
            <w:tr w14:paraId="261DB8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1001" w:type="dxa"/>
                  <w:vMerge w:val="continue"/>
                  <w:tcBorders>
                    <w:tl2br w:val="nil"/>
                    <w:tr2bl w:val="nil"/>
                  </w:tcBorders>
                  <w:noWrap w:val="0"/>
                  <w:vAlign w:val="center"/>
                </w:tcPr>
                <w:p w14:paraId="66AA65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p>
              </w:tc>
              <w:tc>
                <w:tcPr>
                  <w:tcW w:w="1649" w:type="dxa"/>
                  <w:tcBorders>
                    <w:tl2br w:val="nil"/>
                    <w:tr2bl w:val="nil"/>
                  </w:tcBorders>
                  <w:noWrap w:val="0"/>
                  <w:vAlign w:val="center"/>
                </w:tcPr>
                <w:p w14:paraId="6B5979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矿粉粉罐</w:t>
                  </w:r>
                </w:p>
              </w:tc>
              <w:tc>
                <w:tcPr>
                  <w:tcW w:w="1839" w:type="dxa"/>
                  <w:tcBorders>
                    <w:tl2br w:val="nil"/>
                    <w:tr2bl w:val="nil"/>
                  </w:tcBorders>
                  <w:shd w:val="clear" w:color="auto" w:fill="auto"/>
                  <w:noWrap w:val="0"/>
                  <w:vAlign w:val="center"/>
                </w:tcPr>
                <w:p w14:paraId="535689E7">
                  <w:pPr>
                    <w:pStyle w:val="8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Cs w:val="21"/>
                      <w:lang w:val="en-US" w:eastAsia="zh-CN"/>
                    </w:rPr>
                    <w:t>矿粉筒仓粉尘</w:t>
                  </w:r>
                </w:p>
              </w:tc>
              <w:tc>
                <w:tcPr>
                  <w:tcW w:w="1163" w:type="dxa"/>
                  <w:tcBorders>
                    <w:tl2br w:val="nil"/>
                    <w:tr2bl w:val="nil"/>
                  </w:tcBorders>
                  <w:noWrap w:val="0"/>
                  <w:vAlign w:val="center"/>
                </w:tcPr>
                <w:p w14:paraId="382AA38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储存、供料</w:t>
                  </w:r>
                </w:p>
              </w:tc>
              <w:tc>
                <w:tcPr>
                  <w:tcW w:w="1991" w:type="dxa"/>
                  <w:tcBorders>
                    <w:tl2br w:val="nil"/>
                    <w:tr2bl w:val="nil"/>
                  </w:tcBorders>
                  <w:shd w:val="clear" w:color="auto" w:fill="auto"/>
                  <w:noWrap w:val="0"/>
                  <w:vAlign w:val="center"/>
                </w:tcPr>
                <w:p w14:paraId="0381A5A1">
                  <w:pPr>
                    <w:autoSpaceDN w:val="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颗粒物</w:t>
                  </w:r>
                </w:p>
              </w:tc>
              <w:tc>
                <w:tcPr>
                  <w:tcW w:w="1233" w:type="dxa"/>
                  <w:tcBorders>
                    <w:tl2br w:val="nil"/>
                    <w:tr2bl w:val="nil"/>
                  </w:tcBorders>
                  <w:noWrap w:val="0"/>
                  <w:vAlign w:val="center"/>
                </w:tcPr>
                <w:p w14:paraId="28A18B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2"/>
                      <w:sz w:val="21"/>
                      <w:szCs w:val="21"/>
                      <w:u w:val="none"/>
                      <w:lang w:val="en-US" w:eastAsia="zh-CN" w:bidi="ar-SA"/>
                    </w:rPr>
                    <w:t>连续产生</w:t>
                  </w:r>
                </w:p>
              </w:tc>
            </w:tr>
            <w:tr w14:paraId="13A1AD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54" w:hRule="atLeast"/>
                <w:jc w:val="center"/>
              </w:trPr>
              <w:tc>
                <w:tcPr>
                  <w:tcW w:w="1001" w:type="dxa"/>
                  <w:vMerge w:val="continue"/>
                  <w:tcBorders>
                    <w:tl2br w:val="nil"/>
                    <w:tr2bl w:val="nil"/>
                  </w:tcBorders>
                  <w:noWrap w:val="0"/>
                  <w:vAlign w:val="center"/>
                </w:tcPr>
                <w:p w14:paraId="45D560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p>
              </w:tc>
              <w:tc>
                <w:tcPr>
                  <w:tcW w:w="1649" w:type="dxa"/>
                  <w:tcBorders>
                    <w:tl2br w:val="nil"/>
                    <w:tr2bl w:val="nil"/>
                  </w:tcBorders>
                  <w:noWrap w:val="0"/>
                  <w:vAlign w:val="center"/>
                </w:tcPr>
                <w:p w14:paraId="659BD1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cs="Times New Roman"/>
                      <w:b w:val="0"/>
                      <w:bCs w:val="0"/>
                      <w:color w:val="auto"/>
                      <w:spacing w:val="-1"/>
                      <w:szCs w:val="21"/>
                      <w:lang w:val="en-US" w:eastAsia="zh-CN"/>
                    </w:rPr>
                    <w:t>沥青搅拌、</w:t>
                  </w:r>
                  <w:r>
                    <w:rPr>
                      <w:rFonts w:hint="default" w:ascii="Times New Roman" w:hAnsi="Times New Roman" w:eastAsia="宋体" w:cs="Times New Roman"/>
                      <w:b w:val="0"/>
                      <w:bCs w:val="0"/>
                      <w:color w:val="auto"/>
                      <w:spacing w:val="-1"/>
                      <w:szCs w:val="21"/>
                    </w:rPr>
                    <w:t>成品卸料口</w:t>
                  </w:r>
                  <w:r>
                    <w:rPr>
                      <w:rFonts w:hint="default" w:ascii="Times New Roman" w:hAnsi="Times New Roman" w:eastAsia="宋体" w:cs="Times New Roman"/>
                      <w:b w:val="0"/>
                      <w:bCs w:val="0"/>
                      <w:color w:val="auto"/>
                      <w:spacing w:val="-1"/>
                      <w:szCs w:val="21"/>
                      <w:lang w:eastAsia="zh-CN"/>
                    </w:rPr>
                    <w:t>、</w:t>
                  </w:r>
                  <w:r>
                    <w:rPr>
                      <w:rFonts w:hint="default" w:ascii="Times New Roman" w:hAnsi="Times New Roman" w:eastAsia="宋体" w:cs="Times New Roman"/>
                      <w:b w:val="0"/>
                      <w:bCs w:val="0"/>
                      <w:color w:val="auto"/>
                      <w:spacing w:val="-1"/>
                      <w:szCs w:val="21"/>
                    </w:rPr>
                    <w:t>沥青储罐呼吸口</w:t>
                  </w:r>
                </w:p>
              </w:tc>
              <w:tc>
                <w:tcPr>
                  <w:tcW w:w="1839" w:type="dxa"/>
                  <w:tcBorders>
                    <w:tl2br w:val="nil"/>
                    <w:tr2bl w:val="nil"/>
                  </w:tcBorders>
                  <w:shd w:val="clear" w:color="auto" w:fill="auto"/>
                  <w:noWrap w:val="0"/>
                  <w:vAlign w:val="center"/>
                </w:tcPr>
                <w:p w14:paraId="6D1F23F6">
                  <w:pPr>
                    <w:pStyle w:val="8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Cs w:val="21"/>
                      <w:lang w:val="en-US" w:eastAsia="zh-CN"/>
                    </w:rPr>
                    <w:t>沥青废气</w:t>
                  </w:r>
                </w:p>
              </w:tc>
              <w:tc>
                <w:tcPr>
                  <w:tcW w:w="1163" w:type="dxa"/>
                  <w:tcBorders>
                    <w:tl2br w:val="nil"/>
                    <w:tr2bl w:val="nil"/>
                  </w:tcBorders>
                  <w:noWrap w:val="0"/>
                  <w:vAlign w:val="center"/>
                </w:tcPr>
                <w:p w14:paraId="6DE2289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储存、卸料</w:t>
                  </w:r>
                </w:p>
              </w:tc>
              <w:tc>
                <w:tcPr>
                  <w:tcW w:w="1991" w:type="dxa"/>
                  <w:tcBorders>
                    <w:tl2br w:val="nil"/>
                    <w:tr2bl w:val="nil"/>
                  </w:tcBorders>
                  <w:shd w:val="clear" w:color="auto" w:fill="auto"/>
                  <w:noWrap w:val="0"/>
                  <w:vAlign w:val="center"/>
                </w:tcPr>
                <w:p w14:paraId="328149A0">
                  <w:pPr>
                    <w:autoSpaceDN w:val="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kern w:val="0"/>
                      <w:szCs w:val="21"/>
                      <w:lang w:val="en-US" w:eastAsia="zh-CN"/>
                    </w:rPr>
                    <w:t>沥青烟、苯并[a]芘、</w:t>
                  </w:r>
                  <w:r>
                    <w:rPr>
                      <w:rFonts w:hint="default" w:ascii="Times New Roman" w:hAnsi="Times New Roman" w:cs="Times New Roman"/>
                      <w:b w:val="0"/>
                      <w:bCs/>
                      <w:color w:val="auto"/>
                      <w:kern w:val="0"/>
                      <w:szCs w:val="21"/>
                      <w:lang w:val="en-US" w:eastAsia="zh-CN"/>
                    </w:rPr>
                    <w:t>挥发性有机物（以非甲烷总烃计）</w:t>
                  </w:r>
                </w:p>
              </w:tc>
              <w:tc>
                <w:tcPr>
                  <w:tcW w:w="1233" w:type="dxa"/>
                  <w:tcBorders>
                    <w:tl2br w:val="nil"/>
                    <w:tr2bl w:val="nil"/>
                  </w:tcBorders>
                  <w:noWrap w:val="0"/>
                  <w:vAlign w:val="center"/>
                </w:tcPr>
                <w:p w14:paraId="3CDB7D7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2"/>
                      <w:sz w:val="21"/>
                      <w:szCs w:val="21"/>
                      <w:u w:val="none"/>
                      <w:lang w:val="en-US" w:eastAsia="zh-CN" w:bidi="ar-SA"/>
                    </w:rPr>
                    <w:t>连续产生</w:t>
                  </w:r>
                </w:p>
              </w:tc>
            </w:tr>
            <w:tr w14:paraId="0ABF44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7" w:hRule="atLeast"/>
                <w:jc w:val="center"/>
              </w:trPr>
              <w:tc>
                <w:tcPr>
                  <w:tcW w:w="1001" w:type="dxa"/>
                  <w:vMerge w:val="continue"/>
                  <w:tcBorders>
                    <w:tl2br w:val="nil"/>
                    <w:tr2bl w:val="nil"/>
                  </w:tcBorders>
                  <w:noWrap w:val="0"/>
                  <w:vAlign w:val="center"/>
                </w:tcPr>
                <w:p w14:paraId="23127B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649" w:type="dxa"/>
                  <w:tcBorders>
                    <w:tl2br w:val="nil"/>
                    <w:tr2bl w:val="nil"/>
                  </w:tcBorders>
                  <w:noWrap w:val="0"/>
                  <w:vAlign w:val="center"/>
                </w:tcPr>
                <w:p w14:paraId="311592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烘干筒、筛分机</w:t>
                  </w:r>
                </w:p>
              </w:tc>
              <w:tc>
                <w:tcPr>
                  <w:tcW w:w="1839" w:type="dxa"/>
                  <w:tcBorders>
                    <w:tl2br w:val="nil"/>
                    <w:tr2bl w:val="nil"/>
                  </w:tcBorders>
                  <w:shd w:val="clear" w:color="auto" w:fill="auto"/>
                  <w:noWrap w:val="0"/>
                  <w:vAlign w:val="center"/>
                </w:tcPr>
                <w:p w14:paraId="008A4E1A">
                  <w:pPr>
                    <w:pStyle w:val="8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Cs w:val="21"/>
                      <w:lang w:val="en-US" w:eastAsia="zh-CN"/>
                    </w:rPr>
                    <w:t>骨料烘干、筛分</w:t>
                  </w:r>
                  <w:r>
                    <w:rPr>
                      <w:rFonts w:hint="default" w:ascii="Times New Roman" w:hAnsi="Times New Roman" w:cs="Times New Roman"/>
                      <w:b w:val="0"/>
                      <w:bCs/>
                      <w:color w:val="auto"/>
                      <w:kern w:val="0"/>
                      <w:szCs w:val="21"/>
                      <w:lang w:val="en-US" w:eastAsia="zh-CN"/>
                    </w:rPr>
                    <w:t>废气</w:t>
                  </w:r>
                </w:p>
              </w:tc>
              <w:tc>
                <w:tcPr>
                  <w:tcW w:w="1163" w:type="dxa"/>
                  <w:tcBorders>
                    <w:tl2br w:val="nil"/>
                    <w:tr2bl w:val="nil"/>
                  </w:tcBorders>
                  <w:noWrap w:val="0"/>
                  <w:vAlign w:val="center"/>
                </w:tcPr>
                <w:p w14:paraId="1ED531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color w:val="auto"/>
                      <w:kern w:val="0"/>
                      <w:szCs w:val="21"/>
                      <w:lang w:val="en-US" w:eastAsia="zh-CN"/>
                    </w:rPr>
                    <w:t>烘干、筛分</w:t>
                  </w:r>
                </w:p>
              </w:tc>
              <w:tc>
                <w:tcPr>
                  <w:tcW w:w="1991" w:type="dxa"/>
                  <w:tcBorders>
                    <w:tl2br w:val="nil"/>
                    <w:tr2bl w:val="nil"/>
                  </w:tcBorders>
                  <w:shd w:val="clear" w:color="auto" w:fill="auto"/>
                  <w:noWrap w:val="0"/>
                  <w:vAlign w:val="center"/>
                </w:tcPr>
                <w:p w14:paraId="651AC7A7">
                  <w:pPr>
                    <w:autoSpaceDN w:val="0"/>
                    <w:jc w:val="center"/>
                    <w:textAlignment w:val="bottom"/>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颗粒物</w:t>
                  </w:r>
                </w:p>
              </w:tc>
              <w:tc>
                <w:tcPr>
                  <w:tcW w:w="1233" w:type="dxa"/>
                  <w:tcBorders>
                    <w:tl2br w:val="nil"/>
                    <w:tr2bl w:val="nil"/>
                  </w:tcBorders>
                  <w:noWrap w:val="0"/>
                  <w:vAlign w:val="center"/>
                </w:tcPr>
                <w:p w14:paraId="7D6C3D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连续产生</w:t>
                  </w:r>
                </w:p>
              </w:tc>
            </w:tr>
            <w:tr w14:paraId="2E9FB1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1001" w:type="dxa"/>
                  <w:vMerge w:val="continue"/>
                  <w:tcBorders>
                    <w:tl2br w:val="nil"/>
                    <w:tr2bl w:val="nil"/>
                  </w:tcBorders>
                  <w:noWrap w:val="0"/>
                  <w:vAlign w:val="center"/>
                </w:tcPr>
                <w:p w14:paraId="4F1631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649" w:type="dxa"/>
                  <w:tcBorders>
                    <w:tl2br w:val="nil"/>
                    <w:tr2bl w:val="nil"/>
                  </w:tcBorders>
                  <w:noWrap w:val="0"/>
                  <w:vAlign w:val="center"/>
                </w:tcPr>
                <w:p w14:paraId="5F4E50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cs="Times New Roman"/>
                      <w:b w:val="0"/>
                      <w:bCs w:val="0"/>
                      <w:i w:val="0"/>
                      <w:iCs w:val="0"/>
                      <w:color w:val="auto"/>
                      <w:sz w:val="21"/>
                      <w:szCs w:val="21"/>
                      <w:u w:val="none"/>
                      <w:lang w:val="en-US" w:eastAsia="zh-CN"/>
                    </w:rPr>
                    <w:t>烘干筒</w:t>
                  </w:r>
                </w:p>
              </w:tc>
              <w:tc>
                <w:tcPr>
                  <w:tcW w:w="1839" w:type="dxa"/>
                  <w:tcBorders>
                    <w:tl2br w:val="nil"/>
                    <w:tr2bl w:val="nil"/>
                  </w:tcBorders>
                  <w:shd w:val="clear" w:color="auto" w:fill="auto"/>
                  <w:noWrap w:val="0"/>
                  <w:vAlign w:val="center"/>
                </w:tcPr>
                <w:p w14:paraId="7949F3DF">
                  <w:pPr>
                    <w:pStyle w:val="8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Cs w:val="21"/>
                      <w:lang w:val="en-US" w:eastAsia="zh-CN"/>
                    </w:rPr>
                  </w:pPr>
                  <w:r>
                    <w:rPr>
                      <w:rFonts w:hint="default" w:ascii="Times New Roman" w:hAnsi="Times New Roman" w:eastAsia="宋体" w:cs="Times New Roman"/>
                      <w:b w:val="0"/>
                      <w:bCs/>
                      <w:color w:val="auto"/>
                      <w:kern w:val="0"/>
                      <w:szCs w:val="21"/>
                      <w:lang w:val="en-US" w:eastAsia="zh-CN"/>
                    </w:rPr>
                    <w:t>燃烧废气</w:t>
                  </w:r>
                </w:p>
              </w:tc>
              <w:tc>
                <w:tcPr>
                  <w:tcW w:w="1163" w:type="dxa"/>
                  <w:tcBorders>
                    <w:tl2br w:val="nil"/>
                    <w:tr2bl w:val="nil"/>
                  </w:tcBorders>
                  <w:noWrap w:val="0"/>
                  <w:vAlign w:val="center"/>
                </w:tcPr>
                <w:p w14:paraId="4D8C38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kern w:val="0"/>
                      <w:szCs w:val="21"/>
                      <w:lang w:val="en-US" w:eastAsia="zh-CN"/>
                    </w:rPr>
                  </w:pPr>
                  <w:r>
                    <w:rPr>
                      <w:rFonts w:hint="default" w:ascii="Times New Roman" w:hAnsi="Times New Roman" w:cs="Times New Roman"/>
                      <w:b w:val="0"/>
                      <w:bCs/>
                      <w:color w:val="auto"/>
                      <w:kern w:val="0"/>
                      <w:szCs w:val="21"/>
                      <w:lang w:val="en-US" w:eastAsia="zh-CN"/>
                    </w:rPr>
                    <w:t>烘干</w:t>
                  </w:r>
                </w:p>
              </w:tc>
              <w:tc>
                <w:tcPr>
                  <w:tcW w:w="1991" w:type="dxa"/>
                  <w:tcBorders>
                    <w:tl2br w:val="nil"/>
                    <w:tr2bl w:val="nil"/>
                  </w:tcBorders>
                  <w:shd w:val="clear" w:color="auto" w:fill="auto"/>
                  <w:noWrap w:val="0"/>
                  <w:vAlign w:val="center"/>
                </w:tcPr>
                <w:p w14:paraId="5FCB4F16">
                  <w:pPr>
                    <w:autoSpaceDN w:val="0"/>
                    <w:jc w:val="center"/>
                    <w:textAlignment w:val="bottom"/>
                    <w:rPr>
                      <w:rFonts w:hint="default" w:ascii="Times New Roman" w:hAnsi="Times New Roman" w:cs="Times New Roman"/>
                      <w:color w:val="auto"/>
                      <w:szCs w:val="21"/>
                    </w:rPr>
                  </w:pPr>
                  <w:r>
                    <w:rPr>
                      <w:rFonts w:hint="default" w:ascii="Times New Roman" w:hAnsi="Times New Roman" w:cs="Times New Roman"/>
                      <w:color w:val="auto"/>
                      <w:szCs w:val="21"/>
                    </w:rPr>
                    <w:t>颗粒物、SO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、NOx</w:t>
                  </w:r>
                </w:p>
              </w:tc>
              <w:tc>
                <w:tcPr>
                  <w:tcW w:w="1233" w:type="dxa"/>
                  <w:tcBorders>
                    <w:tl2br w:val="nil"/>
                    <w:tr2bl w:val="nil"/>
                  </w:tcBorders>
                  <w:noWrap w:val="0"/>
                  <w:vAlign w:val="center"/>
                </w:tcPr>
                <w:p w14:paraId="37458E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连续产生</w:t>
                  </w:r>
                </w:p>
              </w:tc>
            </w:tr>
            <w:tr w14:paraId="647297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1001" w:type="dxa"/>
                  <w:vMerge w:val="continue"/>
                  <w:tcBorders>
                    <w:tl2br w:val="nil"/>
                    <w:tr2bl w:val="nil"/>
                  </w:tcBorders>
                  <w:noWrap w:val="0"/>
                  <w:vAlign w:val="center"/>
                </w:tcPr>
                <w:p w14:paraId="385FC6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649" w:type="dxa"/>
                  <w:tcBorders>
                    <w:tl2br w:val="nil"/>
                    <w:tr2bl w:val="nil"/>
                  </w:tcBorders>
                  <w:noWrap w:val="0"/>
                  <w:vAlign w:val="center"/>
                </w:tcPr>
                <w:p w14:paraId="5D2FB5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cs="Times New Roman"/>
                      <w:b w:val="0"/>
                      <w:bCs w:val="0"/>
                      <w:i w:val="0"/>
                      <w:iCs w:val="0"/>
                      <w:color w:val="auto"/>
                      <w:kern w:val="0"/>
                      <w:sz w:val="21"/>
                      <w:szCs w:val="21"/>
                      <w:u w:val="none"/>
                      <w:lang w:val="en-US" w:eastAsia="zh-CN" w:bidi="ar"/>
                    </w:rPr>
                    <w:t>骨料堆场</w:t>
                  </w:r>
                </w:p>
              </w:tc>
              <w:tc>
                <w:tcPr>
                  <w:tcW w:w="1839" w:type="dxa"/>
                  <w:tcBorders>
                    <w:tl2br w:val="nil"/>
                    <w:tr2bl w:val="nil"/>
                  </w:tcBorders>
                  <w:shd w:val="clear" w:color="auto" w:fill="auto"/>
                  <w:noWrap w:val="0"/>
                  <w:vAlign w:val="center"/>
                </w:tcPr>
                <w:p w14:paraId="31152EDF">
                  <w:pPr>
                    <w:pStyle w:val="8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Cs w:val="21"/>
                      <w:lang w:val="en-US" w:eastAsia="zh-CN"/>
                    </w:rPr>
                    <w:t>骨料堆场扬尘</w:t>
                  </w:r>
                </w:p>
              </w:tc>
              <w:tc>
                <w:tcPr>
                  <w:tcW w:w="1163" w:type="dxa"/>
                  <w:tcBorders>
                    <w:tl2br w:val="nil"/>
                    <w:tr2bl w:val="nil"/>
                  </w:tcBorders>
                  <w:noWrap w:val="0"/>
                  <w:vAlign w:val="center"/>
                </w:tcPr>
                <w:p w14:paraId="6DC667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储存</w:t>
                  </w:r>
                </w:p>
              </w:tc>
              <w:tc>
                <w:tcPr>
                  <w:tcW w:w="1991" w:type="dxa"/>
                  <w:tcBorders>
                    <w:tl2br w:val="nil"/>
                    <w:tr2bl w:val="nil"/>
                  </w:tcBorders>
                  <w:shd w:val="clear" w:color="auto" w:fill="auto"/>
                  <w:noWrap w:val="0"/>
                  <w:vAlign w:val="center"/>
                </w:tcPr>
                <w:p w14:paraId="166B31BD">
                  <w:pPr>
                    <w:autoSpaceDN w:val="0"/>
                    <w:jc w:val="center"/>
                    <w:textAlignment w:val="bottom"/>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颗粒物</w:t>
                  </w:r>
                </w:p>
              </w:tc>
              <w:tc>
                <w:tcPr>
                  <w:tcW w:w="1233" w:type="dxa"/>
                  <w:tcBorders>
                    <w:tl2br w:val="nil"/>
                    <w:tr2bl w:val="nil"/>
                  </w:tcBorders>
                  <w:noWrap w:val="0"/>
                  <w:vAlign w:val="center"/>
                </w:tcPr>
                <w:p w14:paraId="0FBEBA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连续产生</w:t>
                  </w:r>
                </w:p>
              </w:tc>
            </w:tr>
            <w:tr w14:paraId="20A6AC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1001" w:type="dxa"/>
                  <w:vMerge w:val="continue"/>
                  <w:tcBorders>
                    <w:tl2br w:val="nil"/>
                    <w:tr2bl w:val="nil"/>
                  </w:tcBorders>
                  <w:noWrap w:val="0"/>
                  <w:vAlign w:val="center"/>
                </w:tcPr>
                <w:p w14:paraId="2C2DC1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649" w:type="dxa"/>
                  <w:tcBorders>
                    <w:tl2br w:val="nil"/>
                    <w:tr2bl w:val="nil"/>
                  </w:tcBorders>
                  <w:noWrap w:val="0"/>
                  <w:vAlign w:val="center"/>
                </w:tcPr>
                <w:p w14:paraId="314630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厂区道路</w:t>
                  </w:r>
                </w:p>
              </w:tc>
              <w:tc>
                <w:tcPr>
                  <w:tcW w:w="1839" w:type="dxa"/>
                  <w:tcBorders>
                    <w:tl2br w:val="nil"/>
                    <w:tr2bl w:val="nil"/>
                  </w:tcBorders>
                  <w:shd w:val="clear" w:color="auto" w:fill="auto"/>
                  <w:noWrap w:val="0"/>
                  <w:vAlign w:val="center"/>
                </w:tcPr>
                <w:p w14:paraId="41078E6F">
                  <w:pPr>
                    <w:pStyle w:val="8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Cs w:val="21"/>
                      <w:lang w:val="en-US" w:eastAsia="zh-CN"/>
                    </w:rPr>
                    <w:t>运输道路扬尘</w:t>
                  </w:r>
                </w:p>
              </w:tc>
              <w:tc>
                <w:tcPr>
                  <w:tcW w:w="1163" w:type="dxa"/>
                  <w:tcBorders>
                    <w:tl2br w:val="nil"/>
                    <w:tr2bl w:val="nil"/>
                  </w:tcBorders>
                  <w:noWrap w:val="0"/>
                  <w:vAlign w:val="center"/>
                </w:tcPr>
                <w:p w14:paraId="0D7CC1F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运输</w:t>
                  </w:r>
                </w:p>
              </w:tc>
              <w:tc>
                <w:tcPr>
                  <w:tcW w:w="1991" w:type="dxa"/>
                  <w:tcBorders>
                    <w:tl2br w:val="nil"/>
                    <w:tr2bl w:val="nil"/>
                  </w:tcBorders>
                  <w:shd w:val="clear" w:color="auto" w:fill="auto"/>
                  <w:noWrap w:val="0"/>
                  <w:vAlign w:val="center"/>
                </w:tcPr>
                <w:p w14:paraId="6D356C10">
                  <w:pPr>
                    <w:autoSpaceDN w:val="0"/>
                    <w:jc w:val="center"/>
                    <w:textAlignment w:val="bottom"/>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Cs w:val="21"/>
                    </w:rPr>
                    <w:t>颗粒物</w:t>
                  </w:r>
                </w:p>
              </w:tc>
              <w:tc>
                <w:tcPr>
                  <w:tcW w:w="1233" w:type="dxa"/>
                  <w:tcBorders>
                    <w:tl2br w:val="nil"/>
                    <w:tr2bl w:val="nil"/>
                  </w:tcBorders>
                  <w:noWrap w:val="0"/>
                  <w:vAlign w:val="center"/>
                </w:tcPr>
                <w:p w14:paraId="0D57E6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间断产生</w:t>
                  </w:r>
                </w:p>
              </w:tc>
            </w:tr>
            <w:tr w14:paraId="2557EF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1001" w:type="dxa"/>
                  <w:vMerge w:val="continue"/>
                  <w:tcBorders>
                    <w:tl2br w:val="nil"/>
                    <w:tr2bl w:val="nil"/>
                  </w:tcBorders>
                  <w:noWrap w:val="0"/>
                  <w:vAlign w:val="center"/>
                </w:tcPr>
                <w:p w14:paraId="7269B0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649" w:type="dxa"/>
                  <w:tcBorders>
                    <w:tl2br w:val="nil"/>
                    <w:tr2bl w:val="nil"/>
                  </w:tcBorders>
                  <w:noWrap w:val="0"/>
                  <w:vAlign w:val="center"/>
                </w:tcPr>
                <w:p w14:paraId="606435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厂区内</w:t>
                  </w:r>
                </w:p>
              </w:tc>
              <w:tc>
                <w:tcPr>
                  <w:tcW w:w="1839" w:type="dxa"/>
                  <w:tcBorders>
                    <w:tl2br w:val="nil"/>
                    <w:tr2bl w:val="nil"/>
                  </w:tcBorders>
                  <w:shd w:val="clear" w:color="auto" w:fill="auto"/>
                  <w:noWrap w:val="0"/>
                  <w:vAlign w:val="center"/>
                </w:tcPr>
                <w:p w14:paraId="737DB1D5">
                  <w:pPr>
                    <w:pStyle w:val="8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Cs w:val="21"/>
                      <w:lang w:val="en-US" w:eastAsia="zh-CN"/>
                    </w:rPr>
                    <w:t>汽车尾气</w:t>
                  </w:r>
                </w:p>
              </w:tc>
              <w:tc>
                <w:tcPr>
                  <w:tcW w:w="1163" w:type="dxa"/>
                  <w:tcBorders>
                    <w:tl2br w:val="nil"/>
                    <w:tr2bl w:val="nil"/>
                  </w:tcBorders>
                  <w:noWrap w:val="0"/>
                  <w:vAlign w:val="center"/>
                </w:tcPr>
                <w:p w14:paraId="2C2D2C9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运输</w:t>
                  </w:r>
                </w:p>
              </w:tc>
              <w:tc>
                <w:tcPr>
                  <w:tcW w:w="1991" w:type="dxa"/>
                  <w:tcBorders>
                    <w:tl2br w:val="nil"/>
                    <w:tr2bl w:val="nil"/>
                  </w:tcBorders>
                  <w:shd w:val="clear" w:color="auto" w:fill="auto"/>
                  <w:noWrap w:val="0"/>
                  <w:vAlign w:val="center"/>
                </w:tcPr>
                <w:p w14:paraId="03590F70">
                  <w:pPr>
                    <w:autoSpaceDN w:val="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CO、NOx、THC 等</w:t>
                  </w:r>
                </w:p>
              </w:tc>
              <w:tc>
                <w:tcPr>
                  <w:tcW w:w="1233" w:type="dxa"/>
                  <w:tcBorders>
                    <w:tl2br w:val="nil"/>
                    <w:tr2bl w:val="nil"/>
                  </w:tcBorders>
                  <w:noWrap w:val="0"/>
                  <w:vAlign w:val="center"/>
                </w:tcPr>
                <w:p w14:paraId="1453A8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间断产生</w:t>
                  </w:r>
                </w:p>
              </w:tc>
            </w:tr>
            <w:tr w14:paraId="2D6C4D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1001" w:type="dxa"/>
                  <w:vMerge w:val="restart"/>
                  <w:tcBorders>
                    <w:tl2br w:val="nil"/>
                    <w:tr2bl w:val="nil"/>
                  </w:tcBorders>
                  <w:noWrap w:val="0"/>
                  <w:vAlign w:val="center"/>
                </w:tcPr>
                <w:p w14:paraId="1261E3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废水</w:t>
                  </w:r>
                </w:p>
              </w:tc>
              <w:tc>
                <w:tcPr>
                  <w:tcW w:w="1649" w:type="dxa"/>
                  <w:tcBorders>
                    <w:tl2br w:val="nil"/>
                    <w:tr2bl w:val="nil"/>
                  </w:tcBorders>
                  <w:noWrap w:val="0"/>
                  <w:vAlign w:val="center"/>
                </w:tcPr>
                <w:p w14:paraId="16B855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办公、食宿等</w:t>
                  </w:r>
                </w:p>
              </w:tc>
              <w:tc>
                <w:tcPr>
                  <w:tcW w:w="1839" w:type="dxa"/>
                  <w:tcBorders>
                    <w:tl2br w:val="nil"/>
                    <w:tr2bl w:val="nil"/>
                  </w:tcBorders>
                  <w:noWrap w:val="0"/>
                  <w:vAlign w:val="center"/>
                </w:tcPr>
                <w:p w14:paraId="074983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default" w:ascii="Times New Roman" w:hAnsi="Times New Roman" w:eastAsia="宋体" w:cs="Times New Roman"/>
                      <w:b w:val="0"/>
                      <w:bCs w:val="0"/>
                      <w:color w:val="auto"/>
                      <w:sz w:val="21"/>
                      <w:szCs w:val="21"/>
                      <w:vertAlign w:val="baseline"/>
                      <w:lang w:val="en-US" w:eastAsia="zh-CN"/>
                    </w:rPr>
                    <w:t>生活污水</w:t>
                  </w:r>
                </w:p>
              </w:tc>
              <w:tc>
                <w:tcPr>
                  <w:tcW w:w="1163" w:type="dxa"/>
                  <w:tcBorders>
                    <w:tl2br w:val="nil"/>
                    <w:tr2bl w:val="nil"/>
                  </w:tcBorders>
                  <w:noWrap w:val="0"/>
                  <w:vAlign w:val="center"/>
                </w:tcPr>
                <w:p w14:paraId="1A7D29D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办公生活</w:t>
                  </w:r>
                </w:p>
              </w:tc>
              <w:tc>
                <w:tcPr>
                  <w:tcW w:w="1991" w:type="dxa"/>
                  <w:tcBorders>
                    <w:tl2br w:val="nil"/>
                    <w:tr2bl w:val="nil"/>
                  </w:tcBorders>
                  <w:noWrap w:val="0"/>
                  <w:vAlign w:val="center"/>
                </w:tcPr>
                <w:p w14:paraId="1493D0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sz w:val="21"/>
                      <w:szCs w:val="21"/>
                      <w:u w:val="none"/>
                      <w:lang w:val="en-US"/>
                    </w:rPr>
                    <w:t>COD、BOD</w:t>
                  </w:r>
                  <w:r>
                    <w:rPr>
                      <w:rFonts w:hint="default" w:ascii="Times New Roman" w:hAnsi="Times New Roman" w:eastAsia="宋体" w:cs="Times New Roman"/>
                      <w:i w:val="0"/>
                      <w:iCs w:val="0"/>
                      <w:color w:val="auto"/>
                      <w:sz w:val="21"/>
                      <w:szCs w:val="21"/>
                      <w:u w:val="none"/>
                      <w:vertAlign w:val="subscript"/>
                      <w:lang w:val="en-US"/>
                    </w:rPr>
                    <w:t>5</w:t>
                  </w:r>
                  <w:r>
                    <w:rPr>
                      <w:rFonts w:hint="default" w:ascii="Times New Roman" w:hAnsi="Times New Roman" w:eastAsia="宋体" w:cs="Times New Roman"/>
                      <w:i w:val="0"/>
                      <w:iCs w:val="0"/>
                      <w:color w:val="auto"/>
                      <w:sz w:val="21"/>
                      <w:szCs w:val="21"/>
                      <w:u w:val="none"/>
                      <w:lang w:val="en-US"/>
                    </w:rPr>
                    <w:t>、</w:t>
                  </w:r>
                </w:p>
                <w:p w14:paraId="5CEFB3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sz w:val="21"/>
                      <w:szCs w:val="21"/>
                      <w:u w:val="none"/>
                      <w:lang w:val="en-US"/>
                    </w:rPr>
                    <w:t>NH</w:t>
                  </w:r>
                  <w:r>
                    <w:rPr>
                      <w:rFonts w:hint="default" w:ascii="Times New Roman" w:hAnsi="Times New Roman" w:eastAsia="宋体" w:cs="Times New Roman"/>
                      <w:i w:val="0"/>
                      <w:iCs w:val="0"/>
                      <w:color w:val="auto"/>
                      <w:sz w:val="21"/>
                      <w:szCs w:val="21"/>
                      <w:u w:val="none"/>
                      <w:vertAlign w:val="subscript"/>
                      <w:lang w:val="en-US"/>
                    </w:rPr>
                    <w:t>3</w:t>
                  </w:r>
                  <w:r>
                    <w:rPr>
                      <w:rFonts w:hint="default" w:ascii="Times New Roman" w:hAnsi="Times New Roman" w:eastAsia="宋体" w:cs="Times New Roman"/>
                      <w:i w:val="0"/>
                      <w:iCs w:val="0"/>
                      <w:color w:val="auto"/>
                      <w:sz w:val="21"/>
                      <w:szCs w:val="21"/>
                      <w:u w:val="none"/>
                      <w:lang w:val="en-US"/>
                    </w:rPr>
                    <w:t>-N等</w:t>
                  </w:r>
                </w:p>
              </w:tc>
              <w:tc>
                <w:tcPr>
                  <w:tcW w:w="1233" w:type="dxa"/>
                  <w:tcBorders>
                    <w:tl2br w:val="nil"/>
                    <w:tr2bl w:val="nil"/>
                  </w:tcBorders>
                  <w:noWrap w:val="0"/>
                  <w:vAlign w:val="center"/>
                </w:tcPr>
                <w:p w14:paraId="603529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w:t>
                  </w:r>
                </w:p>
              </w:tc>
            </w:tr>
            <w:tr w14:paraId="777D6F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1001" w:type="dxa"/>
                  <w:vMerge w:val="continue"/>
                  <w:tcBorders>
                    <w:tl2br w:val="nil"/>
                    <w:tr2bl w:val="nil"/>
                  </w:tcBorders>
                  <w:noWrap w:val="0"/>
                  <w:vAlign w:val="center"/>
                </w:tcPr>
                <w:p w14:paraId="7A3B0A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649" w:type="dxa"/>
                  <w:tcBorders>
                    <w:tl2br w:val="nil"/>
                    <w:tr2bl w:val="nil"/>
                  </w:tcBorders>
                  <w:shd w:val="clear" w:color="auto" w:fill="auto"/>
                  <w:noWrap w:val="0"/>
                  <w:vAlign w:val="center"/>
                </w:tcPr>
                <w:p w14:paraId="4B42F4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i w:val="0"/>
                      <w:iCs w:val="0"/>
                      <w:color w:val="auto"/>
                      <w:kern w:val="0"/>
                      <w:sz w:val="21"/>
                      <w:szCs w:val="21"/>
                      <w:u w:val="none"/>
                      <w:lang w:val="en-US" w:eastAsia="zh-CN" w:bidi="ar"/>
                    </w:rPr>
                  </w:pPr>
                  <w:r>
                    <w:rPr>
                      <w:rFonts w:hint="default" w:ascii="Times New Roman" w:hAnsi="Times New Roman" w:cs="Times New Roman"/>
                      <w:b w:val="0"/>
                      <w:bCs/>
                      <w:i w:val="0"/>
                      <w:iCs w:val="0"/>
                      <w:color w:val="auto"/>
                      <w:kern w:val="0"/>
                      <w:sz w:val="21"/>
                      <w:szCs w:val="21"/>
                      <w:u w:val="none"/>
                      <w:lang w:val="en-US" w:eastAsia="zh-CN" w:bidi="ar"/>
                    </w:rPr>
                    <w:t>场区内</w:t>
                  </w:r>
                </w:p>
              </w:tc>
              <w:tc>
                <w:tcPr>
                  <w:tcW w:w="1839" w:type="dxa"/>
                  <w:tcBorders>
                    <w:tl2br w:val="nil"/>
                    <w:tr2bl w:val="nil"/>
                  </w:tcBorders>
                  <w:shd w:val="clear" w:color="auto" w:fill="auto"/>
                  <w:noWrap w:val="0"/>
                  <w:vAlign w:val="center"/>
                </w:tcPr>
                <w:p w14:paraId="6139AA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地面冲洗废水</w:t>
                  </w:r>
                </w:p>
              </w:tc>
              <w:tc>
                <w:tcPr>
                  <w:tcW w:w="1163" w:type="dxa"/>
                  <w:tcBorders>
                    <w:tl2br w:val="nil"/>
                    <w:tr2bl w:val="nil"/>
                  </w:tcBorders>
                  <w:shd w:val="clear" w:color="auto" w:fill="auto"/>
                  <w:noWrap w:val="0"/>
                  <w:vAlign w:val="center"/>
                </w:tcPr>
                <w:p w14:paraId="050B83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lang w:val="en-US" w:eastAsia="zh-CN"/>
                    </w:rPr>
                    <w:t>清洁</w:t>
                  </w:r>
                </w:p>
              </w:tc>
              <w:tc>
                <w:tcPr>
                  <w:tcW w:w="1991" w:type="dxa"/>
                  <w:tcBorders>
                    <w:tl2br w:val="nil"/>
                    <w:tr2bl w:val="nil"/>
                  </w:tcBorders>
                  <w:shd w:val="clear" w:color="auto" w:fill="auto"/>
                  <w:noWrap w:val="0"/>
                  <w:vAlign w:val="center"/>
                </w:tcPr>
                <w:p w14:paraId="004658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i w:val="0"/>
                      <w:iCs w:val="0"/>
                      <w:color w:val="auto"/>
                      <w:kern w:val="2"/>
                      <w:sz w:val="21"/>
                      <w:szCs w:val="21"/>
                      <w:u w:val="none"/>
                      <w:lang w:val="en-US" w:eastAsia="zh-CN" w:bidi="ar-SA"/>
                    </w:rPr>
                    <w:t>SS</w:t>
                  </w:r>
                </w:p>
              </w:tc>
              <w:tc>
                <w:tcPr>
                  <w:tcW w:w="1233" w:type="dxa"/>
                  <w:tcBorders>
                    <w:tl2br w:val="nil"/>
                    <w:tr2bl w:val="nil"/>
                  </w:tcBorders>
                  <w:shd w:val="clear" w:color="auto" w:fill="auto"/>
                  <w:noWrap w:val="0"/>
                  <w:vAlign w:val="center"/>
                </w:tcPr>
                <w:p w14:paraId="63554E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w:t>
                  </w:r>
                </w:p>
              </w:tc>
            </w:tr>
            <w:tr w14:paraId="2E71B0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1001" w:type="dxa"/>
                  <w:vMerge w:val="continue"/>
                  <w:tcBorders>
                    <w:tl2br w:val="nil"/>
                    <w:tr2bl w:val="nil"/>
                  </w:tcBorders>
                  <w:noWrap w:val="0"/>
                  <w:vAlign w:val="center"/>
                </w:tcPr>
                <w:p w14:paraId="55C7BE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649" w:type="dxa"/>
                  <w:tcBorders>
                    <w:tl2br w:val="nil"/>
                    <w:tr2bl w:val="nil"/>
                  </w:tcBorders>
                  <w:noWrap w:val="0"/>
                  <w:vAlign w:val="center"/>
                </w:tcPr>
                <w:p w14:paraId="39FA86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车辆冲洗平台</w:t>
                  </w:r>
                </w:p>
              </w:tc>
              <w:tc>
                <w:tcPr>
                  <w:tcW w:w="1839" w:type="dxa"/>
                  <w:tcBorders>
                    <w:tl2br w:val="nil"/>
                    <w:tr2bl w:val="nil"/>
                  </w:tcBorders>
                  <w:noWrap w:val="0"/>
                  <w:vAlign w:val="center"/>
                </w:tcPr>
                <w:p w14:paraId="22C773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车辆冲洗废水</w:t>
                  </w:r>
                </w:p>
              </w:tc>
              <w:tc>
                <w:tcPr>
                  <w:tcW w:w="1163" w:type="dxa"/>
                  <w:tcBorders>
                    <w:tl2br w:val="nil"/>
                    <w:tr2bl w:val="nil"/>
                  </w:tcBorders>
                  <w:noWrap w:val="0"/>
                  <w:vAlign w:val="center"/>
                </w:tcPr>
                <w:p w14:paraId="30D0324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车辆冲洗</w:t>
                  </w:r>
                </w:p>
              </w:tc>
              <w:tc>
                <w:tcPr>
                  <w:tcW w:w="1991" w:type="dxa"/>
                  <w:tcBorders>
                    <w:tl2br w:val="nil"/>
                    <w:tr2bl w:val="nil"/>
                  </w:tcBorders>
                  <w:noWrap w:val="0"/>
                  <w:vAlign w:val="center"/>
                </w:tcPr>
                <w:p w14:paraId="07E4C1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SS</w:t>
                  </w:r>
                </w:p>
              </w:tc>
              <w:tc>
                <w:tcPr>
                  <w:tcW w:w="1233" w:type="dxa"/>
                  <w:tcBorders>
                    <w:tl2br w:val="nil"/>
                    <w:tr2bl w:val="nil"/>
                  </w:tcBorders>
                  <w:noWrap w:val="0"/>
                  <w:vAlign w:val="center"/>
                </w:tcPr>
                <w:p w14:paraId="08B508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w:t>
                  </w:r>
                </w:p>
              </w:tc>
            </w:tr>
            <w:tr w14:paraId="496D24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56" w:hRule="atLeast"/>
                <w:jc w:val="center"/>
              </w:trPr>
              <w:tc>
                <w:tcPr>
                  <w:tcW w:w="1001" w:type="dxa"/>
                  <w:vMerge w:val="continue"/>
                  <w:tcBorders>
                    <w:tl2br w:val="nil"/>
                    <w:tr2bl w:val="nil"/>
                  </w:tcBorders>
                  <w:noWrap w:val="0"/>
                  <w:vAlign w:val="center"/>
                </w:tcPr>
                <w:p w14:paraId="102A78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lang w:val="en-US" w:eastAsia="zh-CN"/>
                    </w:rPr>
                  </w:pPr>
                </w:p>
              </w:tc>
              <w:tc>
                <w:tcPr>
                  <w:tcW w:w="1649" w:type="dxa"/>
                  <w:tcBorders>
                    <w:tl2br w:val="nil"/>
                    <w:tr2bl w:val="nil"/>
                  </w:tcBorders>
                  <w:noWrap w:val="0"/>
                  <w:vAlign w:val="center"/>
                </w:tcPr>
                <w:p w14:paraId="5E2A9F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i w:val="0"/>
                      <w:iCs w:val="0"/>
                      <w:color w:val="auto"/>
                      <w:kern w:val="0"/>
                      <w:sz w:val="21"/>
                      <w:szCs w:val="21"/>
                      <w:u w:val="none"/>
                      <w:lang w:val="en-US" w:eastAsia="zh-CN" w:bidi="ar"/>
                    </w:rPr>
                  </w:pPr>
                  <w:r>
                    <w:rPr>
                      <w:rFonts w:hint="default" w:ascii="Times New Roman" w:hAnsi="Times New Roman" w:eastAsia="宋体" w:cs="Times New Roman"/>
                      <w:b w:val="0"/>
                      <w:bCs/>
                      <w:i w:val="0"/>
                      <w:iCs w:val="0"/>
                      <w:color w:val="auto"/>
                      <w:kern w:val="0"/>
                      <w:sz w:val="21"/>
                      <w:szCs w:val="21"/>
                      <w:u w:val="none"/>
                      <w:lang w:val="en-US" w:eastAsia="zh-CN" w:bidi="ar"/>
                    </w:rPr>
                    <w:t>场内外</w:t>
                  </w:r>
                </w:p>
              </w:tc>
              <w:tc>
                <w:tcPr>
                  <w:tcW w:w="1839" w:type="dxa"/>
                  <w:tcBorders>
                    <w:tl2br w:val="nil"/>
                    <w:tr2bl w:val="nil"/>
                  </w:tcBorders>
                  <w:noWrap w:val="0"/>
                  <w:vAlign w:val="center"/>
                </w:tcPr>
                <w:p w14:paraId="0C7CE0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i w:val="0"/>
                      <w:iCs w:val="0"/>
                      <w:color w:val="auto"/>
                      <w:kern w:val="0"/>
                      <w:sz w:val="21"/>
                      <w:szCs w:val="21"/>
                      <w:u w:val="none"/>
                      <w:lang w:val="en-US" w:eastAsia="zh-CN" w:bidi="ar"/>
                    </w:rPr>
                  </w:pPr>
                  <w:r>
                    <w:rPr>
                      <w:rStyle w:val="84"/>
                      <w:rFonts w:hint="default" w:ascii="Times New Roman" w:hAnsi="Times New Roman" w:eastAsia="宋体" w:cs="Times New Roman"/>
                      <w:color w:val="auto"/>
                      <w:szCs w:val="21"/>
                    </w:rPr>
                    <w:t>初期雨水</w:t>
                  </w:r>
                </w:p>
              </w:tc>
              <w:tc>
                <w:tcPr>
                  <w:tcW w:w="1163" w:type="dxa"/>
                  <w:tcBorders>
                    <w:tl2br w:val="nil"/>
                    <w:tr2bl w:val="nil"/>
                  </w:tcBorders>
                  <w:noWrap w:val="0"/>
                  <w:vAlign w:val="center"/>
                </w:tcPr>
                <w:p w14:paraId="228B47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w:t>
                  </w:r>
                </w:p>
              </w:tc>
              <w:tc>
                <w:tcPr>
                  <w:tcW w:w="1991" w:type="dxa"/>
                  <w:tcBorders>
                    <w:tl2br w:val="nil"/>
                    <w:tr2bl w:val="nil"/>
                  </w:tcBorders>
                  <w:noWrap w:val="0"/>
                  <w:vAlign w:val="center"/>
                </w:tcPr>
                <w:p w14:paraId="530E03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SS</w:t>
                  </w:r>
                </w:p>
              </w:tc>
              <w:tc>
                <w:tcPr>
                  <w:tcW w:w="1233" w:type="dxa"/>
                  <w:tcBorders>
                    <w:tl2br w:val="nil"/>
                    <w:tr2bl w:val="nil"/>
                  </w:tcBorders>
                  <w:noWrap w:val="0"/>
                  <w:vAlign w:val="center"/>
                </w:tcPr>
                <w:p w14:paraId="0FDA4D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w:t>
                  </w:r>
                </w:p>
              </w:tc>
            </w:tr>
            <w:tr w14:paraId="18D9E4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6" w:hRule="atLeast"/>
                <w:jc w:val="center"/>
              </w:trPr>
              <w:tc>
                <w:tcPr>
                  <w:tcW w:w="1001" w:type="dxa"/>
                  <w:tcBorders>
                    <w:tl2br w:val="nil"/>
                    <w:tr2bl w:val="nil"/>
                  </w:tcBorders>
                  <w:noWrap w:val="0"/>
                  <w:vAlign w:val="center"/>
                </w:tcPr>
                <w:p w14:paraId="29E842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噪声</w:t>
                  </w:r>
                </w:p>
              </w:tc>
              <w:tc>
                <w:tcPr>
                  <w:tcW w:w="1649" w:type="dxa"/>
                  <w:tcBorders>
                    <w:tl2br w:val="nil"/>
                    <w:tr2bl w:val="nil"/>
                  </w:tcBorders>
                  <w:noWrap w:val="0"/>
                  <w:vAlign w:val="center"/>
                </w:tcPr>
                <w:p w14:paraId="543457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val="0"/>
                      <w:color w:val="auto"/>
                      <w:sz w:val="21"/>
                      <w:szCs w:val="21"/>
                      <w:lang w:val="en-US" w:eastAsia="zh-CN"/>
                    </w:rPr>
                    <w:t>生产线各设备</w:t>
                  </w:r>
                </w:p>
              </w:tc>
              <w:tc>
                <w:tcPr>
                  <w:tcW w:w="1839" w:type="dxa"/>
                  <w:tcBorders>
                    <w:tl2br w:val="nil"/>
                    <w:tr2bl w:val="nil"/>
                  </w:tcBorders>
                  <w:noWrap w:val="0"/>
                  <w:vAlign w:val="center"/>
                </w:tcPr>
                <w:p w14:paraId="3E2FBE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噪声</w:t>
                  </w:r>
                </w:p>
              </w:tc>
              <w:tc>
                <w:tcPr>
                  <w:tcW w:w="1163" w:type="dxa"/>
                  <w:tcBorders>
                    <w:tl2br w:val="nil"/>
                    <w:tr2bl w:val="nil"/>
                  </w:tcBorders>
                  <w:noWrap w:val="0"/>
                  <w:vAlign w:val="center"/>
                </w:tcPr>
                <w:p w14:paraId="6336B6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val="0"/>
                      <w:color w:val="auto"/>
                      <w:sz w:val="21"/>
                      <w:szCs w:val="21"/>
                      <w:lang w:val="en-US" w:eastAsia="zh-CN"/>
                    </w:rPr>
                    <w:t>项目生产线</w:t>
                  </w:r>
                </w:p>
              </w:tc>
              <w:tc>
                <w:tcPr>
                  <w:tcW w:w="1991" w:type="dxa"/>
                  <w:tcBorders>
                    <w:tl2br w:val="nil"/>
                    <w:tr2bl w:val="nil"/>
                  </w:tcBorders>
                  <w:noWrap w:val="0"/>
                  <w:vAlign w:val="center"/>
                </w:tcPr>
                <w:p w14:paraId="5974DA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噪声</w:t>
                  </w:r>
                </w:p>
              </w:tc>
              <w:tc>
                <w:tcPr>
                  <w:tcW w:w="1233" w:type="dxa"/>
                  <w:tcBorders>
                    <w:tl2br w:val="nil"/>
                    <w:tr2bl w:val="nil"/>
                  </w:tcBorders>
                  <w:noWrap w:val="0"/>
                  <w:vAlign w:val="center"/>
                </w:tcPr>
                <w:p w14:paraId="57A0F9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连续产生</w:t>
                  </w:r>
                </w:p>
              </w:tc>
            </w:tr>
            <w:tr w14:paraId="0147C4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6" w:hRule="atLeast"/>
                <w:jc w:val="center"/>
              </w:trPr>
              <w:tc>
                <w:tcPr>
                  <w:tcW w:w="1001" w:type="dxa"/>
                  <w:vMerge w:val="restart"/>
                  <w:tcBorders>
                    <w:tl2br w:val="nil"/>
                    <w:tr2bl w:val="nil"/>
                  </w:tcBorders>
                  <w:noWrap w:val="0"/>
                  <w:vAlign w:val="center"/>
                </w:tcPr>
                <w:p w14:paraId="4D6A20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固废</w:t>
                  </w:r>
                </w:p>
              </w:tc>
              <w:tc>
                <w:tcPr>
                  <w:tcW w:w="1649" w:type="dxa"/>
                  <w:vMerge w:val="restart"/>
                  <w:tcBorders>
                    <w:tl2br w:val="nil"/>
                    <w:tr2bl w:val="nil"/>
                  </w:tcBorders>
                  <w:noWrap w:val="0"/>
                  <w:vAlign w:val="center"/>
                </w:tcPr>
                <w:p w14:paraId="3B03C1B7">
                  <w:pPr>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val="0"/>
                      <w:color w:val="auto"/>
                      <w:lang w:val="en-US" w:eastAsia="zh-CN"/>
                    </w:rPr>
                    <w:t>废水处理</w:t>
                  </w:r>
                </w:p>
              </w:tc>
              <w:tc>
                <w:tcPr>
                  <w:tcW w:w="1839" w:type="dxa"/>
                  <w:tcBorders>
                    <w:tl2br w:val="nil"/>
                    <w:tr2bl w:val="nil"/>
                  </w:tcBorders>
                  <w:noWrap w:val="0"/>
                  <w:vAlign w:val="center"/>
                </w:tcPr>
                <w:p w14:paraId="651F4F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sz w:val="21"/>
                      <w:szCs w:val="21"/>
                      <w:lang w:val="en-US" w:eastAsia="zh-CN"/>
                    </w:rPr>
                    <w:t>沉淀池沉渣</w:t>
                  </w:r>
                </w:p>
              </w:tc>
              <w:tc>
                <w:tcPr>
                  <w:tcW w:w="1163" w:type="dxa"/>
                  <w:tcBorders>
                    <w:tl2br w:val="nil"/>
                    <w:tr2bl w:val="nil"/>
                  </w:tcBorders>
                  <w:noWrap w:val="0"/>
                  <w:vAlign w:val="center"/>
                </w:tcPr>
                <w:p w14:paraId="66A5EBF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val="0"/>
                      <w:i w:val="0"/>
                      <w:iCs w:val="0"/>
                      <w:color w:val="auto"/>
                      <w:sz w:val="21"/>
                      <w:szCs w:val="21"/>
                      <w:lang w:val="en-US" w:eastAsia="zh-CN"/>
                    </w:rPr>
                    <w:t>生产废水处理</w:t>
                  </w:r>
                </w:p>
              </w:tc>
              <w:tc>
                <w:tcPr>
                  <w:tcW w:w="1991" w:type="dxa"/>
                  <w:tcBorders>
                    <w:tl2br w:val="nil"/>
                    <w:tr2bl w:val="nil"/>
                  </w:tcBorders>
                  <w:noWrap w:val="0"/>
                  <w:vAlign w:val="center"/>
                </w:tcPr>
                <w:p w14:paraId="100958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 w:val="0"/>
                      <w:bCs w:val="0"/>
                      <w:color w:val="auto"/>
                      <w:sz w:val="21"/>
                      <w:szCs w:val="21"/>
                      <w:lang w:val="en-US" w:eastAsia="zh-CN"/>
                    </w:rPr>
                    <w:t>沉渣</w:t>
                  </w:r>
                </w:p>
              </w:tc>
              <w:tc>
                <w:tcPr>
                  <w:tcW w:w="1233" w:type="dxa"/>
                  <w:tcBorders>
                    <w:tl2br w:val="nil"/>
                    <w:tr2bl w:val="nil"/>
                  </w:tcBorders>
                  <w:noWrap w:val="0"/>
                  <w:vAlign w:val="center"/>
                </w:tcPr>
                <w:p w14:paraId="1D8785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01F746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1001" w:type="dxa"/>
                  <w:vMerge w:val="continue"/>
                  <w:tcBorders>
                    <w:tl2br w:val="nil"/>
                    <w:tr2bl w:val="nil"/>
                  </w:tcBorders>
                  <w:noWrap w:val="0"/>
                  <w:vAlign w:val="center"/>
                </w:tcPr>
                <w:p w14:paraId="671A6D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lang w:val="en-US" w:eastAsia="zh-CN"/>
                    </w:rPr>
                  </w:pPr>
                </w:p>
              </w:tc>
              <w:tc>
                <w:tcPr>
                  <w:tcW w:w="1649" w:type="dxa"/>
                  <w:vMerge w:val="continue"/>
                  <w:tcBorders>
                    <w:tl2br w:val="nil"/>
                    <w:tr2bl w:val="nil"/>
                  </w:tcBorders>
                  <w:noWrap w:val="0"/>
                  <w:vAlign w:val="center"/>
                </w:tcPr>
                <w:p w14:paraId="0D7BB8E1">
                  <w:pPr>
                    <w:jc w:val="center"/>
                    <w:rPr>
                      <w:rFonts w:hint="default" w:ascii="Times New Roman" w:hAnsi="Times New Roman" w:eastAsia="宋体" w:cs="Times New Roman"/>
                      <w:b w:val="0"/>
                      <w:bCs w:val="0"/>
                      <w:color w:val="auto"/>
                      <w:lang w:val="en-US" w:eastAsia="zh-CN"/>
                    </w:rPr>
                  </w:pPr>
                </w:p>
              </w:tc>
              <w:tc>
                <w:tcPr>
                  <w:tcW w:w="1839" w:type="dxa"/>
                  <w:tcBorders>
                    <w:tl2br w:val="nil"/>
                    <w:tr2bl w:val="nil"/>
                  </w:tcBorders>
                  <w:shd w:val="clear" w:color="auto" w:fill="auto"/>
                  <w:noWrap w:val="0"/>
                  <w:vAlign w:val="center"/>
                </w:tcPr>
                <w:p w14:paraId="41BF47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eastAsia="宋体" w:cs="Times New Roman"/>
                      <w:i w:val="0"/>
                      <w:iCs w:val="0"/>
                      <w:color w:val="auto"/>
                      <w:sz w:val="21"/>
                      <w:szCs w:val="21"/>
                      <w:lang w:val="en-US" w:eastAsia="zh-CN"/>
                    </w:rPr>
                    <w:t>化粪池污泥</w:t>
                  </w:r>
                </w:p>
              </w:tc>
              <w:tc>
                <w:tcPr>
                  <w:tcW w:w="1163" w:type="dxa"/>
                  <w:tcBorders>
                    <w:tl2br w:val="nil"/>
                    <w:tr2bl w:val="nil"/>
                  </w:tcBorders>
                  <w:shd w:val="clear" w:color="auto" w:fill="auto"/>
                  <w:noWrap w:val="0"/>
                  <w:vAlign w:val="center"/>
                </w:tcPr>
                <w:p w14:paraId="5CE0CB9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 w:val="21"/>
                      <w:szCs w:val="21"/>
                      <w:lang w:val="en-US" w:eastAsia="zh-CN"/>
                    </w:rPr>
                    <w:t>生活污水处理</w:t>
                  </w:r>
                </w:p>
              </w:tc>
              <w:tc>
                <w:tcPr>
                  <w:tcW w:w="1991" w:type="dxa"/>
                  <w:tcBorders>
                    <w:tl2br w:val="nil"/>
                    <w:tr2bl w:val="nil"/>
                  </w:tcBorders>
                  <w:shd w:val="clear" w:color="auto" w:fill="auto"/>
                  <w:noWrap w:val="0"/>
                  <w:vAlign w:val="center"/>
                </w:tcPr>
                <w:p w14:paraId="3FFADE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污泥</w:t>
                  </w:r>
                </w:p>
              </w:tc>
              <w:tc>
                <w:tcPr>
                  <w:tcW w:w="1233" w:type="dxa"/>
                  <w:tcBorders>
                    <w:tl2br w:val="nil"/>
                    <w:tr2bl w:val="nil"/>
                  </w:tcBorders>
                  <w:noWrap w:val="0"/>
                  <w:vAlign w:val="center"/>
                </w:tcPr>
                <w:p w14:paraId="261708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4FFB22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1001" w:type="dxa"/>
                  <w:vMerge w:val="continue"/>
                  <w:tcBorders>
                    <w:tl2br w:val="nil"/>
                    <w:tr2bl w:val="nil"/>
                  </w:tcBorders>
                  <w:noWrap w:val="0"/>
                  <w:vAlign w:val="center"/>
                </w:tcPr>
                <w:p w14:paraId="190B46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lang w:val="en-US" w:eastAsia="zh-CN"/>
                    </w:rPr>
                  </w:pPr>
                </w:p>
              </w:tc>
              <w:tc>
                <w:tcPr>
                  <w:tcW w:w="1649" w:type="dxa"/>
                  <w:tcBorders>
                    <w:tl2br w:val="nil"/>
                    <w:tr2bl w:val="nil"/>
                  </w:tcBorders>
                  <w:noWrap w:val="0"/>
                  <w:vAlign w:val="center"/>
                </w:tcPr>
                <w:p w14:paraId="1A8E9F09">
                  <w:pPr>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除尘系统</w:t>
                  </w:r>
                </w:p>
              </w:tc>
              <w:tc>
                <w:tcPr>
                  <w:tcW w:w="1839" w:type="dxa"/>
                  <w:tcBorders>
                    <w:tl2br w:val="nil"/>
                    <w:tr2bl w:val="nil"/>
                  </w:tcBorders>
                  <w:shd w:val="clear" w:color="auto" w:fill="auto"/>
                  <w:noWrap w:val="0"/>
                  <w:vAlign w:val="center"/>
                </w:tcPr>
                <w:p w14:paraId="1FEE283B">
                  <w:pPr>
                    <w:tabs>
                      <w:tab w:val="left" w:pos="993"/>
                      <w:tab w:val="left" w:pos="1134"/>
                    </w:tabs>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highlight w:val="none"/>
                    </w:rPr>
                    <w:t>除尘器收尘</w:t>
                  </w:r>
                </w:p>
              </w:tc>
              <w:tc>
                <w:tcPr>
                  <w:tcW w:w="1163" w:type="dxa"/>
                  <w:tcBorders>
                    <w:tl2br w:val="nil"/>
                    <w:tr2bl w:val="nil"/>
                  </w:tcBorders>
                  <w:noWrap w:val="0"/>
                  <w:vAlign w:val="center"/>
                </w:tcPr>
                <w:p w14:paraId="7274F9B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i w:val="0"/>
                      <w:iCs w:val="0"/>
                      <w:color w:val="auto"/>
                      <w:sz w:val="21"/>
                      <w:szCs w:val="21"/>
                      <w:lang w:val="en-US" w:eastAsia="zh-CN"/>
                    </w:rPr>
                    <w:t>废气处理</w:t>
                  </w:r>
                </w:p>
              </w:tc>
              <w:tc>
                <w:tcPr>
                  <w:tcW w:w="1991" w:type="dxa"/>
                  <w:tcBorders>
                    <w:tl2br w:val="nil"/>
                    <w:tr2bl w:val="nil"/>
                  </w:tcBorders>
                  <w:noWrap w:val="0"/>
                  <w:vAlign w:val="center"/>
                </w:tcPr>
                <w:p w14:paraId="7F7C7B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color w:val="auto"/>
                      <w:szCs w:val="21"/>
                      <w:lang w:val="en-US" w:eastAsia="zh-CN"/>
                    </w:rPr>
                    <w:t>收尘灰</w:t>
                  </w:r>
                </w:p>
              </w:tc>
              <w:tc>
                <w:tcPr>
                  <w:tcW w:w="1233" w:type="dxa"/>
                  <w:tcBorders>
                    <w:tl2br w:val="nil"/>
                    <w:tr2bl w:val="nil"/>
                  </w:tcBorders>
                  <w:noWrap w:val="0"/>
                  <w:vAlign w:val="center"/>
                </w:tcPr>
                <w:p w14:paraId="212F3E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3683CE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6" w:hRule="atLeast"/>
                <w:jc w:val="center"/>
              </w:trPr>
              <w:tc>
                <w:tcPr>
                  <w:tcW w:w="1001" w:type="dxa"/>
                  <w:vMerge w:val="continue"/>
                  <w:tcBorders>
                    <w:tl2br w:val="nil"/>
                    <w:tr2bl w:val="nil"/>
                  </w:tcBorders>
                  <w:noWrap w:val="0"/>
                  <w:vAlign w:val="center"/>
                </w:tcPr>
                <w:p w14:paraId="33E4D9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lang w:val="en-US" w:eastAsia="zh-CN"/>
                    </w:rPr>
                  </w:pPr>
                </w:p>
              </w:tc>
              <w:tc>
                <w:tcPr>
                  <w:tcW w:w="1649" w:type="dxa"/>
                  <w:tcBorders>
                    <w:tl2br w:val="nil"/>
                    <w:tr2bl w:val="nil"/>
                  </w:tcBorders>
                  <w:noWrap w:val="0"/>
                  <w:vAlign w:val="center"/>
                </w:tcPr>
                <w:p w14:paraId="21C199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振动筛</w:t>
                  </w:r>
                </w:p>
              </w:tc>
              <w:tc>
                <w:tcPr>
                  <w:tcW w:w="1839" w:type="dxa"/>
                  <w:tcBorders>
                    <w:tl2br w:val="nil"/>
                    <w:tr2bl w:val="nil"/>
                  </w:tcBorders>
                  <w:shd w:val="clear" w:color="auto" w:fill="auto"/>
                  <w:noWrap w:val="0"/>
                  <w:vAlign w:val="center"/>
                </w:tcPr>
                <w:p w14:paraId="3430B862">
                  <w:pPr>
                    <w:tabs>
                      <w:tab w:val="left" w:pos="993"/>
                      <w:tab w:val="left" w:pos="1134"/>
                    </w:tabs>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振筛分选的不合格碎石</w:t>
                  </w:r>
                </w:p>
              </w:tc>
              <w:tc>
                <w:tcPr>
                  <w:tcW w:w="1163" w:type="dxa"/>
                  <w:tcBorders>
                    <w:tl2br w:val="nil"/>
                    <w:tr2bl w:val="nil"/>
                  </w:tcBorders>
                  <w:noWrap w:val="0"/>
                  <w:vAlign w:val="center"/>
                </w:tcPr>
                <w:p w14:paraId="5ED3A7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sz w:val="21"/>
                      <w:szCs w:val="21"/>
                      <w:lang w:val="en-US" w:eastAsia="zh-CN"/>
                    </w:rPr>
                  </w:pPr>
                  <w:r>
                    <w:rPr>
                      <w:rFonts w:hint="default" w:ascii="Times New Roman" w:hAnsi="Times New Roman" w:eastAsia="宋体" w:cs="Times New Roman"/>
                      <w:b w:val="0"/>
                      <w:bCs w:val="0"/>
                      <w:i w:val="0"/>
                      <w:iCs w:val="0"/>
                      <w:color w:val="auto"/>
                      <w:sz w:val="21"/>
                      <w:szCs w:val="21"/>
                      <w:lang w:val="en-US" w:eastAsia="zh-CN"/>
                    </w:rPr>
                    <w:t>筛分</w:t>
                  </w:r>
                </w:p>
              </w:tc>
              <w:tc>
                <w:tcPr>
                  <w:tcW w:w="1991" w:type="dxa"/>
                  <w:tcBorders>
                    <w:tl2br w:val="nil"/>
                    <w:tr2bl w:val="nil"/>
                  </w:tcBorders>
                  <w:noWrap w:val="0"/>
                  <w:vAlign w:val="center"/>
                </w:tcPr>
                <w:p w14:paraId="514EFF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砂石料</w:t>
                  </w:r>
                </w:p>
              </w:tc>
              <w:tc>
                <w:tcPr>
                  <w:tcW w:w="1233" w:type="dxa"/>
                  <w:tcBorders>
                    <w:tl2br w:val="nil"/>
                    <w:tr2bl w:val="nil"/>
                  </w:tcBorders>
                  <w:noWrap w:val="0"/>
                  <w:vAlign w:val="center"/>
                </w:tcPr>
                <w:p w14:paraId="42DA2A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2BED74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1001" w:type="dxa"/>
                  <w:vMerge w:val="continue"/>
                  <w:tcBorders>
                    <w:tl2br w:val="nil"/>
                    <w:tr2bl w:val="nil"/>
                  </w:tcBorders>
                  <w:noWrap w:val="0"/>
                  <w:vAlign w:val="center"/>
                </w:tcPr>
                <w:p w14:paraId="743988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lang w:val="en-US" w:eastAsia="zh-CN"/>
                    </w:rPr>
                  </w:pPr>
                </w:p>
              </w:tc>
              <w:tc>
                <w:tcPr>
                  <w:tcW w:w="1649" w:type="dxa"/>
                  <w:tcBorders>
                    <w:bottom w:val="single" w:color="auto" w:sz="2" w:space="0"/>
                    <w:tl2br w:val="nil"/>
                    <w:tr2bl w:val="nil"/>
                  </w:tcBorders>
                  <w:noWrap w:val="0"/>
                  <w:vAlign w:val="center"/>
                </w:tcPr>
                <w:p w14:paraId="51C940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搅拌缸</w:t>
                  </w:r>
                </w:p>
              </w:tc>
              <w:tc>
                <w:tcPr>
                  <w:tcW w:w="1839" w:type="dxa"/>
                  <w:tcBorders>
                    <w:bottom w:val="single" w:color="auto" w:sz="2" w:space="0"/>
                    <w:tl2br w:val="nil"/>
                    <w:tr2bl w:val="nil"/>
                  </w:tcBorders>
                  <w:shd w:val="clear" w:color="auto" w:fill="auto"/>
                  <w:noWrap w:val="0"/>
                  <w:vAlign w:val="center"/>
                </w:tcPr>
                <w:p w14:paraId="0600C1BB">
                  <w:pPr>
                    <w:tabs>
                      <w:tab w:val="left" w:pos="993"/>
                      <w:tab w:val="left" w:pos="1134"/>
                    </w:tabs>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拌和残渣</w:t>
                  </w:r>
                </w:p>
              </w:tc>
              <w:tc>
                <w:tcPr>
                  <w:tcW w:w="1163" w:type="dxa"/>
                  <w:tcBorders>
                    <w:bottom w:val="single" w:color="auto" w:sz="2" w:space="0"/>
                    <w:tl2br w:val="nil"/>
                    <w:tr2bl w:val="nil"/>
                  </w:tcBorders>
                  <w:noWrap w:val="0"/>
                  <w:vAlign w:val="center"/>
                </w:tcPr>
                <w:p w14:paraId="025F5E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sz w:val="21"/>
                      <w:szCs w:val="21"/>
                      <w:lang w:val="en-US" w:eastAsia="zh-CN"/>
                    </w:rPr>
                  </w:pPr>
                  <w:r>
                    <w:rPr>
                      <w:rFonts w:hint="default" w:ascii="Times New Roman" w:hAnsi="Times New Roman" w:eastAsia="宋体" w:cs="Times New Roman"/>
                      <w:b w:val="0"/>
                      <w:bCs w:val="0"/>
                      <w:i w:val="0"/>
                      <w:iCs w:val="0"/>
                      <w:color w:val="auto"/>
                      <w:sz w:val="21"/>
                      <w:szCs w:val="21"/>
                      <w:lang w:val="en-US" w:eastAsia="zh-CN"/>
                    </w:rPr>
                    <w:t>储存、搅拌</w:t>
                  </w:r>
                </w:p>
              </w:tc>
              <w:tc>
                <w:tcPr>
                  <w:tcW w:w="1991" w:type="dxa"/>
                  <w:tcBorders>
                    <w:tl2br w:val="nil"/>
                    <w:tr2bl w:val="nil"/>
                  </w:tcBorders>
                  <w:noWrap w:val="0"/>
                  <w:vAlign w:val="center"/>
                </w:tcPr>
                <w:p w14:paraId="04BADDE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Cs w:val="21"/>
                    </w:rPr>
                    <w:t>石油类、沉渣</w:t>
                  </w:r>
                </w:p>
              </w:tc>
              <w:tc>
                <w:tcPr>
                  <w:tcW w:w="1233" w:type="dxa"/>
                  <w:tcBorders>
                    <w:tl2br w:val="nil"/>
                    <w:tr2bl w:val="nil"/>
                  </w:tcBorders>
                  <w:noWrap w:val="0"/>
                  <w:vAlign w:val="center"/>
                </w:tcPr>
                <w:p w14:paraId="73E859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252047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1001" w:type="dxa"/>
                  <w:vMerge w:val="continue"/>
                  <w:tcBorders>
                    <w:tl2br w:val="nil"/>
                    <w:tr2bl w:val="nil"/>
                  </w:tcBorders>
                  <w:noWrap w:val="0"/>
                  <w:vAlign w:val="center"/>
                </w:tcPr>
                <w:p w14:paraId="03E497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lang w:val="en-US" w:eastAsia="zh-CN"/>
                    </w:rPr>
                  </w:pPr>
                </w:p>
              </w:tc>
              <w:tc>
                <w:tcPr>
                  <w:tcW w:w="1649" w:type="dxa"/>
                  <w:tcBorders>
                    <w:top w:val="single" w:color="auto" w:sz="2" w:space="0"/>
                    <w:tl2br w:val="nil"/>
                    <w:tr2bl w:val="nil"/>
                  </w:tcBorders>
                  <w:noWrap w:val="0"/>
                  <w:vAlign w:val="center"/>
                </w:tcPr>
                <w:p w14:paraId="0E3EAB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出料口</w:t>
                  </w:r>
                </w:p>
              </w:tc>
              <w:tc>
                <w:tcPr>
                  <w:tcW w:w="1839" w:type="dxa"/>
                  <w:tcBorders>
                    <w:top w:val="single" w:color="auto" w:sz="2" w:space="0"/>
                    <w:tl2br w:val="nil"/>
                    <w:tr2bl w:val="nil"/>
                  </w:tcBorders>
                  <w:shd w:val="clear" w:color="auto" w:fill="auto"/>
                  <w:noWrap w:val="0"/>
                  <w:vAlign w:val="center"/>
                </w:tcPr>
                <w:p w14:paraId="05BE9B81">
                  <w:pPr>
                    <w:tabs>
                      <w:tab w:val="left" w:pos="993"/>
                      <w:tab w:val="left" w:pos="1134"/>
                    </w:tabs>
                    <w:spacing w:line="240" w:lineRule="exact"/>
                    <w:jc w:val="center"/>
                    <w:rPr>
                      <w:rFonts w:hint="default" w:ascii="Times New Roman" w:hAnsi="Times New Roman" w:eastAsia="宋体" w:cs="Times New Roman"/>
                      <w:color w:val="auto"/>
                      <w:kern w:val="2"/>
                      <w:sz w:val="21"/>
                      <w:szCs w:val="21"/>
                      <w:highlight w:val="green"/>
                      <w:lang w:val="en-US" w:eastAsia="zh-CN" w:bidi="ar-SA"/>
                    </w:rPr>
                  </w:pPr>
                  <w:r>
                    <w:rPr>
                      <w:rFonts w:hint="default" w:ascii="Times New Roman" w:hAnsi="Times New Roman" w:eastAsia="宋体" w:cs="Times New Roman"/>
                      <w:color w:val="auto"/>
                      <w:szCs w:val="21"/>
                      <w:highlight w:val="none"/>
                    </w:rPr>
                    <w:t>不合格产品</w:t>
                  </w:r>
                </w:p>
              </w:tc>
              <w:tc>
                <w:tcPr>
                  <w:tcW w:w="1163" w:type="dxa"/>
                  <w:tcBorders>
                    <w:top w:val="single" w:color="auto" w:sz="2" w:space="0"/>
                    <w:bottom w:val="single" w:color="auto" w:sz="2" w:space="0"/>
                    <w:tl2br w:val="nil"/>
                    <w:tr2bl w:val="nil"/>
                  </w:tcBorders>
                  <w:noWrap w:val="0"/>
                  <w:vAlign w:val="center"/>
                </w:tcPr>
                <w:p w14:paraId="4484F4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auto"/>
                      <w:sz w:val="21"/>
                      <w:szCs w:val="21"/>
                      <w:lang w:val="en-US" w:eastAsia="zh-CN"/>
                    </w:rPr>
                  </w:pPr>
                  <w:r>
                    <w:rPr>
                      <w:rFonts w:hint="default" w:ascii="Times New Roman" w:hAnsi="Times New Roman" w:eastAsia="宋体" w:cs="Times New Roman"/>
                      <w:b w:val="0"/>
                      <w:bCs w:val="0"/>
                      <w:i w:val="0"/>
                      <w:iCs w:val="0"/>
                      <w:color w:val="auto"/>
                      <w:sz w:val="21"/>
                      <w:szCs w:val="21"/>
                      <w:lang w:val="en-US" w:eastAsia="zh-CN"/>
                    </w:rPr>
                    <w:t>出料</w:t>
                  </w:r>
                </w:p>
              </w:tc>
              <w:tc>
                <w:tcPr>
                  <w:tcW w:w="1991" w:type="dxa"/>
                  <w:tcBorders>
                    <w:tl2br w:val="nil"/>
                    <w:tr2bl w:val="nil"/>
                  </w:tcBorders>
                  <w:noWrap w:val="0"/>
                  <w:vAlign w:val="center"/>
                </w:tcPr>
                <w:p w14:paraId="1545FC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Style w:val="36"/>
                      <w:rFonts w:hint="default" w:ascii="Times New Roman" w:hAnsi="Times New Roman" w:cs="Times New Roman"/>
                      <w:color w:val="auto"/>
                      <w:lang w:val="en-US" w:eastAsia="zh-CN"/>
                    </w:rPr>
                    <w:t>不合格品</w:t>
                  </w:r>
                </w:p>
              </w:tc>
              <w:tc>
                <w:tcPr>
                  <w:tcW w:w="1233" w:type="dxa"/>
                  <w:tcBorders>
                    <w:tl2br w:val="nil"/>
                    <w:tr2bl w:val="nil"/>
                  </w:tcBorders>
                  <w:noWrap w:val="0"/>
                  <w:vAlign w:val="center"/>
                </w:tcPr>
                <w:p w14:paraId="105126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0F1A9E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1001" w:type="dxa"/>
                  <w:vMerge w:val="continue"/>
                  <w:tcBorders>
                    <w:tl2br w:val="nil"/>
                    <w:tr2bl w:val="nil"/>
                  </w:tcBorders>
                  <w:noWrap w:val="0"/>
                  <w:vAlign w:val="center"/>
                </w:tcPr>
                <w:p w14:paraId="47FA70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lang w:val="en-US" w:eastAsia="zh-CN"/>
                    </w:rPr>
                  </w:pPr>
                </w:p>
              </w:tc>
              <w:tc>
                <w:tcPr>
                  <w:tcW w:w="1649" w:type="dxa"/>
                  <w:tcBorders>
                    <w:tl2br w:val="nil"/>
                    <w:tr2bl w:val="nil"/>
                  </w:tcBorders>
                  <w:shd w:val="clear" w:color="auto" w:fill="auto"/>
                  <w:noWrap w:val="0"/>
                  <w:vAlign w:val="center"/>
                </w:tcPr>
                <w:p w14:paraId="677663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设备维护</w:t>
                  </w:r>
                </w:p>
              </w:tc>
              <w:tc>
                <w:tcPr>
                  <w:tcW w:w="1839" w:type="dxa"/>
                  <w:tcBorders>
                    <w:tl2br w:val="nil"/>
                    <w:tr2bl w:val="nil"/>
                  </w:tcBorders>
                  <w:shd w:val="clear" w:color="auto" w:fill="auto"/>
                  <w:noWrap w:val="0"/>
                  <w:vAlign w:val="center"/>
                </w:tcPr>
                <w:p w14:paraId="0D704DC1">
                  <w:pPr>
                    <w:tabs>
                      <w:tab w:val="left" w:pos="993"/>
                      <w:tab w:val="left" w:pos="1134"/>
                    </w:tabs>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废机油、废机油桶</w:t>
                  </w:r>
                </w:p>
              </w:tc>
              <w:tc>
                <w:tcPr>
                  <w:tcW w:w="1163" w:type="dxa"/>
                  <w:tcBorders>
                    <w:top w:val="single" w:color="auto" w:sz="2" w:space="0"/>
                    <w:tl2br w:val="nil"/>
                    <w:tr2bl w:val="nil"/>
                  </w:tcBorders>
                  <w:shd w:val="clear" w:color="auto" w:fill="auto"/>
                  <w:noWrap w:val="0"/>
                  <w:vAlign w:val="center"/>
                </w:tcPr>
                <w:p w14:paraId="2C084CC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 w:val="21"/>
                      <w:szCs w:val="21"/>
                      <w:lang w:val="en-US" w:eastAsia="zh-CN"/>
                    </w:rPr>
                    <w:t>设备保养</w:t>
                  </w:r>
                </w:p>
              </w:tc>
              <w:tc>
                <w:tcPr>
                  <w:tcW w:w="1991" w:type="dxa"/>
                  <w:tcBorders>
                    <w:tl2br w:val="nil"/>
                    <w:tr2bl w:val="nil"/>
                  </w:tcBorders>
                  <w:shd w:val="clear" w:color="auto" w:fill="auto"/>
                  <w:noWrap w:val="0"/>
                  <w:vAlign w:val="center"/>
                </w:tcPr>
                <w:p w14:paraId="2B3CDF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废油类</w:t>
                  </w:r>
                </w:p>
              </w:tc>
              <w:tc>
                <w:tcPr>
                  <w:tcW w:w="1233" w:type="dxa"/>
                  <w:tcBorders>
                    <w:tl2br w:val="nil"/>
                    <w:tr2bl w:val="nil"/>
                  </w:tcBorders>
                  <w:noWrap w:val="0"/>
                  <w:vAlign w:val="center"/>
                </w:tcPr>
                <w:p w14:paraId="514A63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14239C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1001" w:type="dxa"/>
                  <w:vMerge w:val="continue"/>
                  <w:tcBorders>
                    <w:tl2br w:val="nil"/>
                    <w:tr2bl w:val="nil"/>
                  </w:tcBorders>
                  <w:noWrap w:val="0"/>
                  <w:vAlign w:val="center"/>
                </w:tcPr>
                <w:p w14:paraId="22F089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lang w:val="en-US" w:eastAsia="zh-CN"/>
                    </w:rPr>
                  </w:pPr>
                </w:p>
              </w:tc>
              <w:tc>
                <w:tcPr>
                  <w:tcW w:w="1649" w:type="dxa"/>
                  <w:tcBorders>
                    <w:tl2br w:val="nil"/>
                    <w:tr2bl w:val="nil"/>
                  </w:tcBorders>
                  <w:shd w:val="clear" w:color="auto" w:fill="auto"/>
                  <w:noWrap w:val="0"/>
                  <w:vAlign w:val="center"/>
                </w:tcPr>
                <w:p w14:paraId="7D2CBC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设备维护</w:t>
                  </w:r>
                </w:p>
              </w:tc>
              <w:tc>
                <w:tcPr>
                  <w:tcW w:w="1839" w:type="dxa"/>
                  <w:tcBorders>
                    <w:tl2br w:val="nil"/>
                    <w:tr2bl w:val="nil"/>
                  </w:tcBorders>
                  <w:shd w:val="clear" w:color="auto" w:fill="auto"/>
                  <w:noWrap w:val="0"/>
                  <w:vAlign w:val="center"/>
                </w:tcPr>
                <w:p w14:paraId="508F67C9">
                  <w:pPr>
                    <w:tabs>
                      <w:tab w:val="left" w:pos="993"/>
                      <w:tab w:val="left" w:pos="1134"/>
                    </w:tabs>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废导热油</w:t>
                  </w:r>
                </w:p>
              </w:tc>
              <w:tc>
                <w:tcPr>
                  <w:tcW w:w="1163" w:type="dxa"/>
                  <w:tcBorders>
                    <w:tl2br w:val="nil"/>
                    <w:tr2bl w:val="nil"/>
                  </w:tcBorders>
                  <w:shd w:val="clear" w:color="auto" w:fill="auto"/>
                  <w:noWrap w:val="0"/>
                  <w:vAlign w:val="center"/>
                </w:tcPr>
                <w:p w14:paraId="2FF7D68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 w:val="21"/>
                      <w:szCs w:val="21"/>
                      <w:lang w:val="en-US" w:eastAsia="zh-CN"/>
                    </w:rPr>
                    <w:t>设备保养</w:t>
                  </w:r>
                </w:p>
              </w:tc>
              <w:tc>
                <w:tcPr>
                  <w:tcW w:w="1991" w:type="dxa"/>
                  <w:tcBorders>
                    <w:tl2br w:val="nil"/>
                    <w:tr2bl w:val="nil"/>
                  </w:tcBorders>
                  <w:shd w:val="clear" w:color="auto" w:fill="auto"/>
                  <w:noWrap w:val="0"/>
                  <w:vAlign w:val="center"/>
                </w:tcPr>
                <w:p w14:paraId="328D53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废油类</w:t>
                  </w:r>
                </w:p>
              </w:tc>
              <w:tc>
                <w:tcPr>
                  <w:tcW w:w="1233" w:type="dxa"/>
                  <w:tcBorders>
                    <w:tl2br w:val="nil"/>
                    <w:tr2bl w:val="nil"/>
                  </w:tcBorders>
                  <w:noWrap w:val="0"/>
                  <w:vAlign w:val="center"/>
                </w:tcPr>
                <w:p w14:paraId="6786C3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34D98F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3" w:hRule="atLeast"/>
                <w:jc w:val="center"/>
              </w:trPr>
              <w:tc>
                <w:tcPr>
                  <w:tcW w:w="1001" w:type="dxa"/>
                  <w:vMerge w:val="continue"/>
                  <w:tcBorders>
                    <w:tl2br w:val="nil"/>
                    <w:tr2bl w:val="nil"/>
                  </w:tcBorders>
                  <w:noWrap w:val="0"/>
                  <w:vAlign w:val="center"/>
                </w:tcPr>
                <w:p w14:paraId="31AF49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lang w:val="en-US" w:eastAsia="zh-CN"/>
                    </w:rPr>
                  </w:pPr>
                </w:p>
              </w:tc>
              <w:tc>
                <w:tcPr>
                  <w:tcW w:w="1649" w:type="dxa"/>
                  <w:tcBorders>
                    <w:tl2br w:val="nil"/>
                    <w:tr2bl w:val="nil"/>
                  </w:tcBorders>
                  <w:noWrap w:val="0"/>
                  <w:vAlign w:val="center"/>
                </w:tcPr>
                <w:p w14:paraId="0EAFFC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办公生活</w:t>
                  </w:r>
                </w:p>
              </w:tc>
              <w:tc>
                <w:tcPr>
                  <w:tcW w:w="1839" w:type="dxa"/>
                  <w:tcBorders>
                    <w:tl2br w:val="nil"/>
                    <w:tr2bl w:val="nil"/>
                  </w:tcBorders>
                  <w:shd w:val="clear" w:color="auto" w:fill="auto"/>
                  <w:noWrap w:val="0"/>
                  <w:vAlign w:val="center"/>
                </w:tcPr>
                <w:p w14:paraId="3EB5D933">
                  <w:pPr>
                    <w:tabs>
                      <w:tab w:val="left" w:pos="993"/>
                      <w:tab w:val="left" w:pos="1134"/>
                    </w:tabs>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生活垃圾</w:t>
                  </w:r>
                </w:p>
              </w:tc>
              <w:tc>
                <w:tcPr>
                  <w:tcW w:w="1163" w:type="dxa"/>
                  <w:tcBorders>
                    <w:tl2br w:val="nil"/>
                    <w:tr2bl w:val="nil"/>
                  </w:tcBorders>
                  <w:noWrap w:val="0"/>
                  <w:vAlign w:val="center"/>
                </w:tcPr>
                <w:p w14:paraId="202BB04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bCs w:val="0"/>
                      <w:i w:val="0"/>
                      <w:iCs w:val="0"/>
                      <w:color w:val="auto"/>
                      <w:kern w:val="2"/>
                      <w:sz w:val="21"/>
                      <w:szCs w:val="21"/>
                      <w:lang w:val="en-US" w:eastAsia="zh-CN" w:bidi="ar-SA"/>
                    </w:rPr>
                  </w:pPr>
                  <w:r>
                    <w:rPr>
                      <w:rFonts w:hint="default" w:ascii="Times New Roman" w:hAnsi="Times New Roman" w:eastAsia="宋体" w:cs="Times New Roman"/>
                      <w:b w:val="0"/>
                      <w:bCs w:val="0"/>
                      <w:i w:val="0"/>
                      <w:iCs w:val="0"/>
                      <w:color w:val="auto"/>
                      <w:sz w:val="21"/>
                      <w:szCs w:val="21"/>
                      <w:lang w:val="en-US" w:eastAsia="zh-CN"/>
                    </w:rPr>
                    <w:t>办公生活</w:t>
                  </w:r>
                </w:p>
              </w:tc>
              <w:tc>
                <w:tcPr>
                  <w:tcW w:w="1991" w:type="dxa"/>
                  <w:tcBorders>
                    <w:tl2br w:val="nil"/>
                    <w:tr2bl w:val="nil"/>
                  </w:tcBorders>
                  <w:noWrap w:val="0"/>
                  <w:vAlign w:val="center"/>
                </w:tcPr>
                <w:p w14:paraId="4FC091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233" w:type="dxa"/>
                  <w:tcBorders>
                    <w:tl2br w:val="nil"/>
                    <w:tr2bl w:val="nil"/>
                  </w:tcBorders>
                  <w:noWrap w:val="0"/>
                  <w:vAlign w:val="center"/>
                </w:tcPr>
                <w:p w14:paraId="59E5A7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bl>
          <w:p w14:paraId="7685AAEC">
            <w:pPr>
              <w:spacing w:line="360" w:lineRule="auto"/>
              <w:jc w:val="center"/>
              <w:rPr>
                <w:rFonts w:hint="default" w:ascii="Times New Roman" w:hAnsi="Times New Roman" w:eastAsia="宋体" w:cs="Times New Roman"/>
                <w:color w:val="auto"/>
              </w:rPr>
            </w:pPr>
          </w:p>
        </w:tc>
      </w:tr>
      <w:tr w14:paraId="2E867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3" w:hRule="atLeast"/>
          <w:jc w:val="center"/>
        </w:trPr>
        <w:tc>
          <w:tcPr>
            <w:tcW w:w="455" w:type="dxa"/>
            <w:vAlign w:val="center"/>
          </w:tcPr>
          <w:p w14:paraId="59DA3E54">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与项目有关的原有环境污染问题</w:t>
            </w:r>
          </w:p>
        </w:tc>
        <w:tc>
          <w:tcPr>
            <w:tcW w:w="9115" w:type="dxa"/>
            <w:vAlign w:val="center"/>
          </w:tcPr>
          <w:p w14:paraId="76AC8901">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项目为新建项目，</w:t>
            </w:r>
            <w:r>
              <w:rPr>
                <w:rFonts w:hint="default" w:ascii="Times New Roman" w:hAnsi="Times New Roman" w:eastAsia="宋体" w:cs="Times New Roman"/>
                <w:color w:val="auto"/>
                <w:sz w:val="24"/>
                <w:szCs w:val="24"/>
                <w:lang w:val="en-US" w:eastAsia="zh-CN"/>
              </w:rPr>
              <w:t>无与本项目有关的原有环境污染问题。</w:t>
            </w:r>
          </w:p>
        </w:tc>
      </w:tr>
    </w:tbl>
    <w:p w14:paraId="6D1ACEFF">
      <w:pPr>
        <w:pStyle w:val="64"/>
        <w:jc w:val="center"/>
        <w:rPr>
          <w:rFonts w:hint="default" w:ascii="Times New Roman" w:hAnsi="Times New Roman" w:eastAsia="黑体" w:cs="Times New Roman"/>
          <w:b w:val="0"/>
          <w:color w:val="auto"/>
          <w:sz w:val="30"/>
          <w:szCs w:val="30"/>
        </w:rPr>
        <w:sectPr>
          <w:footerReference r:id="rId7" w:type="default"/>
          <w:pgSz w:w="11906" w:h="16838"/>
          <w:pgMar w:top="1134" w:right="1134"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82CB830">
      <w:pPr>
        <w:pStyle w:val="64"/>
        <w:jc w:val="center"/>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三、区域环境质量现状、环境保护目标及评价标准</w:t>
      </w:r>
    </w:p>
    <w:tbl>
      <w:tblPr>
        <w:tblStyle w:val="29"/>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8778"/>
      </w:tblGrid>
      <w:tr w14:paraId="7827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6"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FEFEFE"/>
            <w:vAlign w:val="center"/>
          </w:tcPr>
          <w:p w14:paraId="6E57810C">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区域环境质量现状</w:t>
            </w:r>
          </w:p>
        </w:tc>
        <w:tc>
          <w:tcPr>
            <w:tcW w:w="8778" w:type="dxa"/>
            <w:tcBorders>
              <w:top w:val="single" w:color="auto" w:sz="4" w:space="0"/>
              <w:left w:val="single" w:color="auto" w:sz="4" w:space="0"/>
              <w:bottom w:val="single" w:color="auto" w:sz="4" w:space="0"/>
              <w:right w:val="single" w:color="auto" w:sz="4" w:space="0"/>
            </w:tcBorders>
            <w:shd w:val="clear" w:color="auto" w:fill="FEFEFE"/>
            <w:vAlign w:val="center"/>
          </w:tcPr>
          <w:p w14:paraId="6B759A53">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1、大气环境质量现状</w:t>
            </w:r>
          </w:p>
          <w:p w14:paraId="07A55637">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基本污染物现状</w:t>
            </w:r>
          </w:p>
          <w:p w14:paraId="69BF1C73">
            <w:pPr>
              <w:keepNext w:val="0"/>
              <w:keepLines w:val="0"/>
              <w:suppressLineNumbers w:val="0"/>
              <w:spacing w:before="0" w:beforeAutospacing="0" w:after="0" w:afterAutospacing="0" w:line="360" w:lineRule="auto"/>
              <w:ind w:left="0" w:right="0" w:firstLine="470" w:firstLineChars="196"/>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项目环境影响报告表编制技术指南（污染影响类）（试行）》中“常规污染物引用与建设项目距离近的有效数据，包括近3年的规划环境影响评价的监测数据，国家、地方环境空气质量监测网数据或生态环境主管部门公开发布的质量数据等。”的规定。本次评价采用达州市生态环境局202</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年1月公布的《</w:t>
            </w:r>
            <w:r>
              <w:rPr>
                <w:rFonts w:hint="default" w:ascii="Times New Roman" w:hAnsi="Times New Roman" w:cs="Times New Roman"/>
                <w:color w:val="auto"/>
                <w:kern w:val="0"/>
                <w:sz w:val="24"/>
              </w:rPr>
              <w:t>达州市202</w:t>
            </w:r>
            <w:r>
              <w:rPr>
                <w:rFonts w:hint="default" w:ascii="Times New Roman" w:hAnsi="Times New Roman" w:cs="Times New Roman"/>
                <w:color w:val="auto"/>
                <w:kern w:val="0"/>
                <w:sz w:val="24"/>
                <w:lang w:val="en-US" w:eastAsia="zh-CN"/>
              </w:rPr>
              <w:t>4</w:t>
            </w:r>
            <w:r>
              <w:rPr>
                <w:rFonts w:hint="default" w:ascii="Times New Roman" w:hAnsi="Times New Roman" w:cs="Times New Roman"/>
                <w:color w:val="auto"/>
                <w:kern w:val="0"/>
                <w:sz w:val="24"/>
              </w:rPr>
              <w:t>年环境空气质量现状</w:t>
            </w:r>
            <w:r>
              <w:rPr>
                <w:rFonts w:hint="default" w:ascii="Times New Roman" w:hAnsi="Times New Roman" w:cs="Times New Roman"/>
                <w:color w:val="auto"/>
                <w:sz w:val="24"/>
                <w:szCs w:val="24"/>
              </w:rPr>
              <w:t>》中相关数据和结论。</w:t>
            </w:r>
          </w:p>
          <w:p w14:paraId="240D2FBA">
            <w:pPr>
              <w:keepNext w:val="0"/>
              <w:keepLines w:val="0"/>
              <w:suppressLineNumbers w:val="0"/>
              <w:spacing w:before="0" w:beforeAutospacing="0" w:after="0" w:afterAutospacing="0" w:line="360" w:lineRule="auto"/>
              <w:ind w:left="0" w:right="0" w:firstLine="470" w:firstLineChars="196"/>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根据《</w:t>
            </w:r>
            <w:r>
              <w:rPr>
                <w:rFonts w:hint="default" w:ascii="Times New Roman" w:hAnsi="Times New Roman" w:cs="Times New Roman"/>
                <w:color w:val="auto"/>
                <w:kern w:val="0"/>
                <w:sz w:val="24"/>
              </w:rPr>
              <w:t>达州市202</w:t>
            </w:r>
            <w:r>
              <w:rPr>
                <w:rFonts w:hint="default" w:ascii="Times New Roman" w:hAnsi="Times New Roman" w:cs="Times New Roman"/>
                <w:color w:val="auto"/>
                <w:kern w:val="0"/>
                <w:sz w:val="24"/>
                <w:lang w:val="en-US" w:eastAsia="zh-CN"/>
              </w:rPr>
              <w:t>4</w:t>
            </w:r>
            <w:r>
              <w:rPr>
                <w:rFonts w:hint="default" w:ascii="Times New Roman" w:hAnsi="Times New Roman" w:cs="Times New Roman"/>
                <w:color w:val="auto"/>
                <w:kern w:val="0"/>
                <w:sz w:val="24"/>
              </w:rPr>
              <w:t>年环境空气质量状</w:t>
            </w:r>
            <w:r>
              <w:rPr>
                <w:rFonts w:hint="default" w:ascii="Times New Roman" w:hAnsi="Times New Roman" w:cs="Times New Roman"/>
                <w:color w:val="auto"/>
                <w:kern w:val="0"/>
                <w:sz w:val="24"/>
                <w:lang w:val="en-US" w:eastAsia="zh-CN"/>
              </w:rPr>
              <w:t>况</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宣汉县全年有效监测天数366天，达标天数342天，达标率为93.4%。其中：优187天，占51.1%，良155天，占42.3%，轻度污染18天，占4.9%，中度污染6天，占1.6%，重度污染0天，占0%。</w:t>
            </w:r>
          </w:p>
          <w:p w14:paraId="2D8FC93E">
            <w:pPr>
              <w:keepNext w:val="0"/>
              <w:keepLines w:val="0"/>
              <w:suppressLineNumbers w:val="0"/>
              <w:spacing w:before="0" w:beforeAutospacing="0" w:after="0" w:afterAutospacing="0" w:line="360" w:lineRule="auto"/>
              <w:ind w:left="0" w:right="0" w:firstLine="470" w:firstLineChars="196"/>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val="en-US" w:eastAsia="zh-CN"/>
              </w:rPr>
              <w:t>宣汉县</w:t>
            </w:r>
            <w:r>
              <w:rPr>
                <w:rFonts w:hint="default" w:ascii="Times New Roman" w:hAnsi="Times New Roman" w:cs="Times New Roman"/>
                <w:color w:val="auto"/>
                <w:sz w:val="24"/>
                <w:szCs w:val="24"/>
              </w:rPr>
              <w:t>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年均值为</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微克/立方米，NO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年均值为</w:t>
            </w:r>
            <w:r>
              <w:rPr>
                <w:rFonts w:hint="default" w:ascii="Times New Roman" w:hAnsi="Times New Roman" w:cs="Times New Roman"/>
                <w:color w:val="auto"/>
                <w:sz w:val="24"/>
                <w:szCs w:val="24"/>
                <w:lang w:val="en-US" w:eastAsia="zh-CN"/>
              </w:rPr>
              <w:t>18</w:t>
            </w:r>
            <w:r>
              <w:rPr>
                <w:rFonts w:hint="default" w:ascii="Times New Roman" w:hAnsi="Times New Roman" w:cs="Times New Roman"/>
                <w:color w:val="auto"/>
                <w:sz w:val="24"/>
                <w:szCs w:val="24"/>
              </w:rPr>
              <w:t>微克/立方米，CO年均值为1.</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毫克/立方米，O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年均值为</w:t>
            </w:r>
            <w:r>
              <w:rPr>
                <w:rFonts w:hint="default" w:ascii="Times New Roman" w:hAnsi="Times New Roman" w:cs="Times New Roman"/>
                <w:color w:val="auto"/>
                <w:sz w:val="24"/>
                <w:szCs w:val="24"/>
                <w:lang w:val="en-US" w:eastAsia="zh-CN"/>
              </w:rPr>
              <w:t>122</w:t>
            </w:r>
            <w:r>
              <w:rPr>
                <w:rFonts w:hint="default" w:ascii="Times New Roman" w:hAnsi="Times New Roman" w:cs="Times New Roman"/>
                <w:color w:val="auto"/>
                <w:sz w:val="24"/>
                <w:szCs w:val="24"/>
              </w:rPr>
              <w:t>微克/立方米，PM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年均值为</w:t>
            </w:r>
            <w:r>
              <w:rPr>
                <w:rFonts w:hint="default" w:ascii="Times New Roman" w:hAnsi="Times New Roman" w:cs="Times New Roman"/>
                <w:color w:val="auto"/>
                <w:sz w:val="24"/>
                <w:szCs w:val="24"/>
                <w:lang w:val="en-US" w:eastAsia="zh-CN"/>
              </w:rPr>
              <w:t>27</w:t>
            </w:r>
            <w:r>
              <w:rPr>
                <w:rFonts w:hint="default" w:ascii="Times New Roman" w:hAnsi="Times New Roman" w:cs="Times New Roman"/>
                <w:color w:val="auto"/>
                <w:sz w:val="24"/>
                <w:szCs w:val="24"/>
              </w:rPr>
              <w:t>微克/立方米，PM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年均值为</w:t>
            </w:r>
            <w:r>
              <w:rPr>
                <w:rFonts w:hint="default" w:ascii="Times New Roman" w:hAnsi="Times New Roman" w:cs="Times New Roman"/>
                <w:color w:val="auto"/>
                <w:sz w:val="24"/>
                <w:szCs w:val="24"/>
                <w:lang w:val="en-US" w:eastAsia="zh-CN"/>
              </w:rPr>
              <w:t>48</w:t>
            </w:r>
            <w:r>
              <w:rPr>
                <w:rFonts w:hint="default" w:ascii="Times New Roman" w:hAnsi="Times New Roman" w:cs="Times New Roman"/>
                <w:color w:val="auto"/>
                <w:sz w:val="24"/>
                <w:szCs w:val="24"/>
              </w:rPr>
              <w:t>微克/立方米</w:t>
            </w:r>
            <w:r>
              <w:rPr>
                <w:rFonts w:hint="default" w:ascii="Times New Roman" w:hAnsi="Times New Roman" w:cs="Times New Roman"/>
                <w:color w:val="auto"/>
                <w:sz w:val="24"/>
                <w:szCs w:val="24"/>
                <w:lang w:eastAsia="zh-CN"/>
              </w:rPr>
              <w:t>。</w:t>
            </w:r>
          </w:p>
          <w:p w14:paraId="74FBD076">
            <w:pPr>
              <w:spacing w:line="36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w:t>
            </w:r>
            <w:r>
              <w:rPr>
                <w:rFonts w:hint="default" w:ascii="Times New Roman" w:hAnsi="Times New Roman" w:cs="Times New Roman"/>
                <w:b/>
                <w:bCs/>
                <w:color w:val="auto"/>
                <w:szCs w:val="21"/>
                <w:lang w:val="en-US" w:eastAsia="zh-CN"/>
              </w:rPr>
              <w:t>3</w:t>
            </w:r>
            <w:r>
              <w:rPr>
                <w:rFonts w:hint="default" w:ascii="Times New Roman" w:hAnsi="Times New Roman" w:cs="Times New Roman"/>
                <w:b/>
                <w:bCs/>
                <w:color w:val="auto"/>
                <w:szCs w:val="21"/>
              </w:rPr>
              <w:t>-1 区域空气质量现状评价表</w:t>
            </w:r>
          </w:p>
          <w:tbl>
            <w:tblPr>
              <w:tblStyle w:val="29"/>
              <w:tblW w:w="86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276"/>
              <w:gridCol w:w="1449"/>
              <w:gridCol w:w="1760"/>
              <w:gridCol w:w="1717"/>
            </w:tblGrid>
            <w:tr w14:paraId="2E89A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3" w:hRule="atLeast"/>
                <w:tblHeader/>
                <w:jc w:val="center"/>
              </w:trPr>
              <w:tc>
                <w:tcPr>
                  <w:tcW w:w="821" w:type="pct"/>
                  <w:tcBorders>
                    <w:tl2br w:val="nil"/>
                    <w:tr2bl w:val="nil"/>
                  </w:tcBorders>
                  <w:vAlign w:val="center"/>
                </w:tcPr>
                <w:p w14:paraId="7B793EC4">
                  <w:pPr>
                    <w:pStyle w:val="108"/>
                    <w:spacing w:line="24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1320" w:type="pct"/>
                  <w:tcBorders>
                    <w:tl2br w:val="nil"/>
                    <w:tr2bl w:val="nil"/>
                  </w:tcBorders>
                  <w:vAlign w:val="center"/>
                </w:tcPr>
                <w:p w14:paraId="7569E7CD">
                  <w:pPr>
                    <w:pStyle w:val="108"/>
                    <w:spacing w:line="24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年评价指标</w:t>
                  </w:r>
                </w:p>
              </w:tc>
              <w:tc>
                <w:tcPr>
                  <w:tcW w:w="840" w:type="pct"/>
                  <w:tcBorders>
                    <w:tl2br w:val="nil"/>
                    <w:tr2bl w:val="nil"/>
                  </w:tcBorders>
                  <w:vAlign w:val="center"/>
                </w:tcPr>
                <w:p w14:paraId="7AEE9463">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rPr>
                    <w:t>现状浓度（μg/m</w:t>
                  </w:r>
                  <w:r>
                    <w:rPr>
                      <w:rFonts w:hint="default" w:ascii="Times New Roman" w:hAnsi="Times New Roman" w:cs="Times New Roman"/>
                      <w:b/>
                      <w:bCs/>
                      <w:color w:val="auto"/>
                      <w:kern w:val="0"/>
                      <w:szCs w:val="21"/>
                      <w:vertAlign w:val="superscript"/>
                    </w:rPr>
                    <w:t>3</w:t>
                  </w:r>
                  <w:r>
                    <w:rPr>
                      <w:rFonts w:hint="default" w:ascii="Times New Roman" w:hAnsi="Times New Roman" w:cs="Times New Roman"/>
                      <w:b/>
                      <w:bCs/>
                      <w:color w:val="auto"/>
                      <w:kern w:val="0"/>
                      <w:szCs w:val="21"/>
                    </w:rPr>
                    <w:t>）</w:t>
                  </w:r>
                </w:p>
              </w:tc>
              <w:tc>
                <w:tcPr>
                  <w:tcW w:w="1021" w:type="pct"/>
                  <w:tcBorders>
                    <w:tl2br w:val="nil"/>
                    <w:tr2bl w:val="nil"/>
                  </w:tcBorders>
                  <w:vAlign w:val="center"/>
                </w:tcPr>
                <w:p w14:paraId="2DBF8FFA">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rPr>
                    <w:t>标准值（μg/m</w:t>
                  </w:r>
                  <w:r>
                    <w:rPr>
                      <w:rFonts w:hint="default" w:ascii="Times New Roman" w:hAnsi="Times New Roman" w:cs="Times New Roman"/>
                      <w:b/>
                      <w:bCs/>
                      <w:color w:val="auto"/>
                      <w:kern w:val="0"/>
                      <w:szCs w:val="21"/>
                      <w:vertAlign w:val="superscript"/>
                    </w:rPr>
                    <w:t>3</w:t>
                  </w:r>
                  <w:r>
                    <w:rPr>
                      <w:rFonts w:hint="default" w:ascii="Times New Roman" w:hAnsi="Times New Roman" w:cs="Times New Roman"/>
                      <w:b/>
                      <w:bCs/>
                      <w:color w:val="auto"/>
                      <w:kern w:val="0"/>
                      <w:szCs w:val="21"/>
                    </w:rPr>
                    <w:t>）</w:t>
                  </w:r>
                </w:p>
              </w:tc>
              <w:tc>
                <w:tcPr>
                  <w:tcW w:w="996" w:type="pct"/>
                  <w:tcBorders>
                    <w:tl2br w:val="nil"/>
                    <w:tr2bl w:val="nil"/>
                  </w:tcBorders>
                  <w:vAlign w:val="center"/>
                </w:tcPr>
                <w:p w14:paraId="7DC5F65F">
                  <w:pPr>
                    <w:pStyle w:val="108"/>
                    <w:spacing w:line="24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达标情况</w:t>
                  </w:r>
                </w:p>
              </w:tc>
            </w:tr>
            <w:tr w14:paraId="76943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blHeader/>
                <w:jc w:val="center"/>
              </w:trPr>
              <w:tc>
                <w:tcPr>
                  <w:tcW w:w="821" w:type="pct"/>
                  <w:tcBorders>
                    <w:tl2br w:val="nil"/>
                    <w:tr2bl w:val="nil"/>
                  </w:tcBorders>
                  <w:shd w:val="clear" w:color="auto" w:fill="auto"/>
                  <w:vAlign w:val="center"/>
                </w:tcPr>
                <w:p w14:paraId="2DFA91A9">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SO</w:t>
                  </w:r>
                  <w:r>
                    <w:rPr>
                      <w:rFonts w:hint="default" w:ascii="Times New Roman" w:hAnsi="Times New Roman" w:cs="Times New Roman"/>
                      <w:color w:val="auto"/>
                      <w:kern w:val="0"/>
                      <w:szCs w:val="21"/>
                      <w:vertAlign w:val="subscript"/>
                    </w:rPr>
                    <w:t>2</w:t>
                  </w:r>
                </w:p>
              </w:tc>
              <w:tc>
                <w:tcPr>
                  <w:tcW w:w="1320" w:type="pct"/>
                  <w:tcBorders>
                    <w:tl2br w:val="nil"/>
                    <w:tr2bl w:val="nil"/>
                  </w:tcBorders>
                  <w:shd w:val="clear" w:color="auto" w:fill="auto"/>
                  <w:vAlign w:val="center"/>
                </w:tcPr>
                <w:p w14:paraId="12356F1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年平均</w:t>
                  </w:r>
                </w:p>
              </w:tc>
              <w:tc>
                <w:tcPr>
                  <w:tcW w:w="840" w:type="pct"/>
                  <w:tcBorders>
                    <w:tl2br w:val="nil"/>
                    <w:tr2bl w:val="nil"/>
                  </w:tcBorders>
                  <w:shd w:val="clear" w:color="auto" w:fill="auto"/>
                  <w:vAlign w:val="center"/>
                </w:tcPr>
                <w:p w14:paraId="410562E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7</w:t>
                  </w:r>
                </w:p>
              </w:tc>
              <w:tc>
                <w:tcPr>
                  <w:tcW w:w="1021" w:type="pct"/>
                  <w:tcBorders>
                    <w:tl2br w:val="nil"/>
                    <w:tr2bl w:val="nil"/>
                  </w:tcBorders>
                  <w:shd w:val="clear" w:color="auto" w:fill="auto"/>
                  <w:vAlign w:val="center"/>
                </w:tcPr>
                <w:p w14:paraId="7D1E107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60</w:t>
                  </w:r>
                </w:p>
              </w:tc>
              <w:tc>
                <w:tcPr>
                  <w:tcW w:w="996" w:type="pct"/>
                  <w:tcBorders>
                    <w:tl2br w:val="nil"/>
                    <w:tr2bl w:val="nil"/>
                  </w:tcBorders>
                  <w:shd w:val="clear" w:color="auto" w:fill="auto"/>
                  <w:vAlign w:val="center"/>
                </w:tcPr>
                <w:p w14:paraId="2C67BC2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Cs w:val="21"/>
                    </w:rPr>
                    <w:t>达标</w:t>
                  </w:r>
                </w:p>
              </w:tc>
            </w:tr>
            <w:tr w14:paraId="137967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21" w:type="pct"/>
                  <w:tcBorders>
                    <w:tl2br w:val="nil"/>
                    <w:tr2bl w:val="nil"/>
                  </w:tcBorders>
                  <w:shd w:val="clear" w:color="auto" w:fill="auto"/>
                  <w:vAlign w:val="center"/>
                </w:tcPr>
                <w:p w14:paraId="71825EE5">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NO</w:t>
                  </w:r>
                  <w:r>
                    <w:rPr>
                      <w:rFonts w:hint="default" w:ascii="Times New Roman" w:hAnsi="Times New Roman" w:cs="Times New Roman"/>
                      <w:color w:val="auto"/>
                      <w:kern w:val="0"/>
                      <w:szCs w:val="21"/>
                      <w:vertAlign w:val="subscript"/>
                    </w:rPr>
                    <w:t>2</w:t>
                  </w:r>
                </w:p>
              </w:tc>
              <w:tc>
                <w:tcPr>
                  <w:tcW w:w="1320" w:type="pct"/>
                  <w:tcBorders>
                    <w:tl2br w:val="nil"/>
                    <w:tr2bl w:val="nil"/>
                  </w:tcBorders>
                  <w:shd w:val="clear" w:color="auto" w:fill="auto"/>
                  <w:vAlign w:val="center"/>
                </w:tcPr>
                <w:p w14:paraId="317F6EC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年平均</w:t>
                  </w:r>
                </w:p>
              </w:tc>
              <w:tc>
                <w:tcPr>
                  <w:tcW w:w="840" w:type="pct"/>
                  <w:tcBorders>
                    <w:tl2br w:val="nil"/>
                    <w:tr2bl w:val="nil"/>
                  </w:tcBorders>
                  <w:shd w:val="clear" w:color="auto" w:fill="auto"/>
                  <w:vAlign w:val="center"/>
                </w:tcPr>
                <w:p w14:paraId="00C99E3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18</w:t>
                  </w:r>
                </w:p>
              </w:tc>
              <w:tc>
                <w:tcPr>
                  <w:tcW w:w="1021" w:type="pct"/>
                  <w:tcBorders>
                    <w:tl2br w:val="nil"/>
                    <w:tr2bl w:val="nil"/>
                  </w:tcBorders>
                  <w:shd w:val="clear" w:color="auto" w:fill="auto"/>
                  <w:vAlign w:val="center"/>
                </w:tcPr>
                <w:p w14:paraId="51C84AB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40</w:t>
                  </w:r>
                </w:p>
              </w:tc>
              <w:tc>
                <w:tcPr>
                  <w:tcW w:w="996" w:type="pct"/>
                  <w:tcBorders>
                    <w:tl2br w:val="nil"/>
                    <w:tr2bl w:val="nil"/>
                  </w:tcBorders>
                  <w:shd w:val="clear" w:color="auto" w:fill="auto"/>
                  <w:vAlign w:val="center"/>
                </w:tcPr>
                <w:p w14:paraId="6F4DB72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Cs w:val="21"/>
                    </w:rPr>
                    <w:t>达标</w:t>
                  </w:r>
                </w:p>
              </w:tc>
            </w:tr>
            <w:tr w14:paraId="73AD7A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821" w:type="pct"/>
                  <w:tcBorders>
                    <w:tl2br w:val="nil"/>
                    <w:tr2bl w:val="nil"/>
                  </w:tcBorders>
                  <w:shd w:val="clear" w:color="auto" w:fill="auto"/>
                  <w:vAlign w:val="center"/>
                </w:tcPr>
                <w:p w14:paraId="3383B89E">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CO</w:t>
                  </w:r>
                </w:p>
              </w:tc>
              <w:tc>
                <w:tcPr>
                  <w:tcW w:w="1320" w:type="pct"/>
                  <w:tcBorders>
                    <w:tl2br w:val="nil"/>
                    <w:tr2bl w:val="nil"/>
                  </w:tcBorders>
                  <w:shd w:val="clear" w:color="auto" w:fill="auto"/>
                  <w:vAlign w:val="center"/>
                </w:tcPr>
                <w:p w14:paraId="5F4E648E">
                  <w:pPr>
                    <w:pStyle w:val="10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24小时平均</w:t>
                  </w:r>
                </w:p>
              </w:tc>
              <w:tc>
                <w:tcPr>
                  <w:tcW w:w="840" w:type="pct"/>
                  <w:tcBorders>
                    <w:tl2br w:val="nil"/>
                    <w:tr2bl w:val="nil"/>
                  </w:tcBorders>
                  <w:shd w:val="clear" w:color="auto" w:fill="auto"/>
                  <w:vAlign w:val="center"/>
                </w:tcPr>
                <w:p w14:paraId="5D748FA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1.1mg/m</w:t>
                  </w:r>
                  <w:r>
                    <w:rPr>
                      <w:rFonts w:hint="default" w:ascii="Times New Roman" w:hAnsi="Times New Roman" w:cs="Times New Roman"/>
                      <w:color w:val="auto"/>
                      <w:szCs w:val="21"/>
                      <w:vertAlign w:val="superscript"/>
                    </w:rPr>
                    <w:t>3</w:t>
                  </w:r>
                </w:p>
              </w:tc>
              <w:tc>
                <w:tcPr>
                  <w:tcW w:w="1021" w:type="pct"/>
                  <w:tcBorders>
                    <w:tl2br w:val="nil"/>
                    <w:tr2bl w:val="nil"/>
                  </w:tcBorders>
                  <w:shd w:val="clear" w:color="auto" w:fill="auto"/>
                  <w:vAlign w:val="center"/>
                </w:tcPr>
                <w:p w14:paraId="5BB7BB0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4mg/m</w:t>
                  </w:r>
                  <w:r>
                    <w:rPr>
                      <w:rFonts w:hint="default" w:ascii="Times New Roman" w:hAnsi="Times New Roman" w:cs="Times New Roman"/>
                      <w:color w:val="auto"/>
                      <w:szCs w:val="21"/>
                      <w:vertAlign w:val="superscript"/>
                    </w:rPr>
                    <w:t>3</w:t>
                  </w:r>
                </w:p>
              </w:tc>
              <w:tc>
                <w:tcPr>
                  <w:tcW w:w="996" w:type="pct"/>
                  <w:tcBorders>
                    <w:tl2br w:val="nil"/>
                    <w:tr2bl w:val="nil"/>
                  </w:tcBorders>
                  <w:shd w:val="clear" w:color="auto" w:fill="auto"/>
                  <w:vAlign w:val="center"/>
                </w:tcPr>
                <w:p w14:paraId="0C5D55B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Cs w:val="21"/>
                    </w:rPr>
                    <w:t>达标</w:t>
                  </w:r>
                </w:p>
              </w:tc>
            </w:tr>
            <w:tr w14:paraId="6966C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821" w:type="pct"/>
                  <w:tcBorders>
                    <w:tl2br w:val="nil"/>
                    <w:tr2bl w:val="nil"/>
                  </w:tcBorders>
                  <w:shd w:val="clear" w:color="auto" w:fill="auto"/>
                  <w:vAlign w:val="center"/>
                </w:tcPr>
                <w:p w14:paraId="614E302B">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O</w:t>
                  </w:r>
                  <w:r>
                    <w:rPr>
                      <w:rFonts w:hint="default" w:ascii="Times New Roman" w:hAnsi="Times New Roman" w:cs="Times New Roman"/>
                      <w:color w:val="auto"/>
                      <w:kern w:val="0"/>
                      <w:szCs w:val="21"/>
                      <w:vertAlign w:val="subscript"/>
                    </w:rPr>
                    <w:t>3</w:t>
                  </w:r>
                </w:p>
              </w:tc>
              <w:tc>
                <w:tcPr>
                  <w:tcW w:w="1320" w:type="pct"/>
                  <w:tcBorders>
                    <w:tl2br w:val="nil"/>
                    <w:tr2bl w:val="nil"/>
                  </w:tcBorders>
                  <w:shd w:val="clear" w:color="auto" w:fill="auto"/>
                  <w:vAlign w:val="center"/>
                </w:tcPr>
                <w:p w14:paraId="0F9AC5F4">
                  <w:pPr>
                    <w:pStyle w:val="10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日最大8h平均</w:t>
                  </w:r>
                </w:p>
              </w:tc>
              <w:tc>
                <w:tcPr>
                  <w:tcW w:w="840" w:type="pct"/>
                  <w:tcBorders>
                    <w:tl2br w:val="nil"/>
                    <w:tr2bl w:val="nil"/>
                  </w:tcBorders>
                  <w:shd w:val="clear" w:color="auto" w:fill="auto"/>
                  <w:vAlign w:val="center"/>
                </w:tcPr>
                <w:p w14:paraId="3FA8DD6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122</w:t>
                  </w:r>
                </w:p>
              </w:tc>
              <w:tc>
                <w:tcPr>
                  <w:tcW w:w="1021" w:type="pct"/>
                  <w:tcBorders>
                    <w:tl2br w:val="nil"/>
                    <w:tr2bl w:val="nil"/>
                  </w:tcBorders>
                  <w:shd w:val="clear" w:color="auto" w:fill="auto"/>
                  <w:vAlign w:val="center"/>
                </w:tcPr>
                <w:p w14:paraId="4C43C33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160</w:t>
                  </w:r>
                </w:p>
              </w:tc>
              <w:tc>
                <w:tcPr>
                  <w:tcW w:w="996" w:type="pct"/>
                  <w:tcBorders>
                    <w:tl2br w:val="nil"/>
                    <w:tr2bl w:val="nil"/>
                  </w:tcBorders>
                  <w:shd w:val="clear" w:color="auto" w:fill="auto"/>
                  <w:vAlign w:val="center"/>
                </w:tcPr>
                <w:p w14:paraId="78C99BB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Cs w:val="21"/>
                    </w:rPr>
                    <w:t>达标</w:t>
                  </w:r>
                </w:p>
              </w:tc>
            </w:tr>
            <w:tr w14:paraId="0A787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821" w:type="pct"/>
                  <w:tcBorders>
                    <w:tl2br w:val="nil"/>
                    <w:tr2bl w:val="nil"/>
                  </w:tcBorders>
                  <w:vAlign w:val="center"/>
                </w:tcPr>
                <w:p w14:paraId="25E64C8B">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PM</w:t>
                  </w:r>
                  <w:r>
                    <w:rPr>
                      <w:rFonts w:hint="default" w:ascii="Times New Roman" w:hAnsi="Times New Roman" w:cs="Times New Roman"/>
                      <w:color w:val="auto"/>
                      <w:kern w:val="0"/>
                      <w:szCs w:val="21"/>
                      <w:vertAlign w:val="subscript"/>
                    </w:rPr>
                    <w:t>2.5</w:t>
                  </w:r>
                </w:p>
              </w:tc>
              <w:tc>
                <w:tcPr>
                  <w:tcW w:w="1320" w:type="pct"/>
                  <w:tcBorders>
                    <w:tl2br w:val="nil"/>
                    <w:tr2bl w:val="nil"/>
                  </w:tcBorders>
                  <w:vAlign w:val="center"/>
                </w:tcPr>
                <w:p w14:paraId="0F134911">
                  <w:pPr>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w:t>
                  </w:r>
                </w:p>
              </w:tc>
              <w:tc>
                <w:tcPr>
                  <w:tcW w:w="840" w:type="pct"/>
                  <w:tcBorders>
                    <w:tl2br w:val="nil"/>
                    <w:tr2bl w:val="nil"/>
                  </w:tcBorders>
                  <w:vAlign w:val="center"/>
                </w:tcPr>
                <w:p w14:paraId="71E6B91C">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27</w:t>
                  </w:r>
                </w:p>
              </w:tc>
              <w:tc>
                <w:tcPr>
                  <w:tcW w:w="1021" w:type="pct"/>
                  <w:tcBorders>
                    <w:tl2br w:val="nil"/>
                    <w:tr2bl w:val="nil"/>
                  </w:tcBorders>
                  <w:vAlign w:val="center"/>
                </w:tcPr>
                <w:p w14:paraId="3B586042">
                  <w:pPr>
                    <w:jc w:val="center"/>
                    <w:rPr>
                      <w:rFonts w:hint="default" w:ascii="Times New Roman" w:hAnsi="Times New Roman" w:cs="Times New Roman"/>
                      <w:color w:val="auto"/>
                      <w:szCs w:val="21"/>
                    </w:rPr>
                  </w:pPr>
                  <w:r>
                    <w:rPr>
                      <w:rFonts w:hint="default" w:ascii="Times New Roman" w:hAnsi="Times New Roman" w:cs="Times New Roman"/>
                      <w:color w:val="auto"/>
                      <w:szCs w:val="21"/>
                    </w:rPr>
                    <w:t>35</w:t>
                  </w:r>
                </w:p>
              </w:tc>
              <w:tc>
                <w:tcPr>
                  <w:tcW w:w="996" w:type="pct"/>
                  <w:tcBorders>
                    <w:tl2br w:val="nil"/>
                    <w:tr2bl w:val="nil"/>
                  </w:tcBorders>
                  <w:vAlign w:val="center"/>
                </w:tcPr>
                <w:p w14:paraId="470E4BA3">
                  <w:pPr>
                    <w:jc w:val="center"/>
                    <w:rPr>
                      <w:rFonts w:hint="default" w:ascii="Times New Roman" w:hAnsi="Times New Roman" w:cs="Times New Roman"/>
                      <w:b/>
                      <w:bCs/>
                      <w:color w:val="auto"/>
                      <w:szCs w:val="21"/>
                    </w:rPr>
                  </w:pPr>
                  <w:r>
                    <w:rPr>
                      <w:rFonts w:hint="default" w:ascii="Times New Roman" w:hAnsi="Times New Roman" w:cs="Times New Roman"/>
                      <w:bCs/>
                      <w:color w:val="auto"/>
                      <w:szCs w:val="21"/>
                    </w:rPr>
                    <w:t>达标</w:t>
                  </w:r>
                </w:p>
              </w:tc>
            </w:tr>
            <w:tr w14:paraId="4C513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21" w:type="pct"/>
                  <w:tcBorders>
                    <w:tl2br w:val="nil"/>
                    <w:tr2bl w:val="nil"/>
                  </w:tcBorders>
                  <w:shd w:val="clear" w:color="auto" w:fill="auto"/>
                  <w:vAlign w:val="center"/>
                </w:tcPr>
                <w:p w14:paraId="5440A5D3">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PM</w:t>
                  </w:r>
                  <w:r>
                    <w:rPr>
                      <w:rFonts w:hint="default" w:ascii="Times New Roman" w:hAnsi="Times New Roman" w:cs="Times New Roman"/>
                      <w:color w:val="auto"/>
                      <w:kern w:val="0"/>
                      <w:szCs w:val="21"/>
                      <w:vertAlign w:val="subscript"/>
                    </w:rPr>
                    <w:t>10</w:t>
                  </w:r>
                </w:p>
              </w:tc>
              <w:tc>
                <w:tcPr>
                  <w:tcW w:w="1320" w:type="pct"/>
                  <w:tcBorders>
                    <w:tl2br w:val="nil"/>
                    <w:tr2bl w:val="nil"/>
                  </w:tcBorders>
                  <w:shd w:val="clear" w:color="auto" w:fill="auto"/>
                  <w:vAlign w:val="center"/>
                </w:tcPr>
                <w:p w14:paraId="4F265F3A">
                  <w:pPr>
                    <w:pStyle w:val="10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年平均</w:t>
                  </w:r>
                </w:p>
              </w:tc>
              <w:tc>
                <w:tcPr>
                  <w:tcW w:w="840" w:type="pct"/>
                  <w:tcBorders>
                    <w:tl2br w:val="nil"/>
                    <w:tr2bl w:val="nil"/>
                  </w:tcBorders>
                  <w:shd w:val="clear" w:color="auto" w:fill="auto"/>
                  <w:vAlign w:val="center"/>
                </w:tcPr>
                <w:p w14:paraId="0E200A2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48</w:t>
                  </w:r>
                </w:p>
              </w:tc>
              <w:tc>
                <w:tcPr>
                  <w:tcW w:w="1021" w:type="pct"/>
                  <w:tcBorders>
                    <w:tl2br w:val="nil"/>
                    <w:tr2bl w:val="nil"/>
                  </w:tcBorders>
                  <w:shd w:val="clear" w:color="auto" w:fill="auto"/>
                  <w:vAlign w:val="center"/>
                </w:tcPr>
                <w:p w14:paraId="7E32BBC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70</w:t>
                  </w:r>
                </w:p>
              </w:tc>
              <w:tc>
                <w:tcPr>
                  <w:tcW w:w="996" w:type="pct"/>
                  <w:tcBorders>
                    <w:tl2br w:val="nil"/>
                    <w:tr2bl w:val="nil"/>
                  </w:tcBorders>
                  <w:shd w:val="clear" w:color="auto" w:fill="auto"/>
                  <w:vAlign w:val="center"/>
                </w:tcPr>
                <w:p w14:paraId="65CEDF16">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达标</w:t>
                  </w:r>
                </w:p>
              </w:tc>
            </w:tr>
          </w:tbl>
          <w:p w14:paraId="2710A136">
            <w:pPr>
              <w:spacing w:line="360" w:lineRule="auto"/>
              <w:ind w:firstLine="411" w:firstLineChars="196"/>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注：O</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浓度为日最大8小时滑动平均值的第90百分位数，CO浓度为24小时平均第95百分位数，其余各项为平均浓度。</w:t>
            </w:r>
          </w:p>
          <w:p w14:paraId="62EE2A26">
            <w:pPr>
              <w:spacing w:line="360" w:lineRule="auto"/>
              <w:ind w:firstLine="470" w:firstLineChars="196"/>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 大气环境》（HJ2.2-2018），城市环境空气质量达标情况评价指标为SO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、CO和O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，六项污染物全部达标即为城市环境空气质量达标，根据上述描述，六项污染物全部达标，</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所在地空气环境质量基本符合《环境空气质量标准》（GB3095-2012）中二级标准，环境空气质量良好。</w:t>
            </w:r>
          </w:p>
          <w:p w14:paraId="64CBFA3E">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（2）其他污染物环境质量现状评价</w:t>
            </w:r>
          </w:p>
          <w:p w14:paraId="2DE3DCD2">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为了解区域大气环境</w:t>
            </w:r>
            <w:r>
              <w:rPr>
                <w:rFonts w:hint="default" w:ascii="Times New Roman" w:hAnsi="Times New Roman" w:cs="Times New Roman"/>
                <w:color w:val="auto"/>
                <w:sz w:val="24"/>
                <w:szCs w:val="24"/>
                <w:lang w:eastAsia="zh-CN"/>
              </w:rPr>
              <w:t>（TSP、</w:t>
            </w:r>
            <w:r>
              <w:rPr>
                <w:rFonts w:hint="default" w:ascii="Times New Roman" w:hAnsi="Times New Roman" w:cs="Times New Roman"/>
                <w:color w:val="auto"/>
                <w:sz w:val="24"/>
                <w:szCs w:val="24"/>
                <w:lang w:val="en-US" w:eastAsia="zh-CN"/>
              </w:rPr>
              <w:t>非甲烷总烃</w:t>
            </w:r>
            <w:r>
              <w:rPr>
                <w:rFonts w:hint="default" w:ascii="Times New Roman" w:hAnsi="Times New Roman" w:cs="Times New Roman"/>
                <w:color w:val="auto"/>
                <w:sz w:val="24"/>
                <w:szCs w:val="24"/>
                <w:lang w:eastAsia="zh-CN"/>
              </w:rPr>
              <w:t>、苯并[a]芘）</w:t>
            </w:r>
            <w:r>
              <w:rPr>
                <w:rFonts w:hint="default" w:ascii="Times New Roman" w:hAnsi="Times New Roman" w:cs="Times New Roman"/>
                <w:color w:val="auto"/>
                <w:sz w:val="24"/>
                <w:szCs w:val="24"/>
              </w:rPr>
              <w:t>质量现状，本次评价委托达州恒福环境监测服务有限公司于</w:t>
            </w:r>
            <w:r>
              <w:rPr>
                <w:rFonts w:hint="default" w:ascii="Times New Roman" w:hAnsi="Times New Roman" w:cs="Times New Roman"/>
                <w:color w:val="auto"/>
                <w:sz w:val="24"/>
                <w:szCs w:val="24"/>
                <w:highlight w:val="none"/>
              </w:rPr>
              <w:t>202</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27</w:t>
            </w:r>
            <w:r>
              <w:rPr>
                <w:rFonts w:hint="default" w:ascii="Times New Roman" w:hAnsi="Times New Roman" w:cs="Times New Roman"/>
                <w:color w:val="auto"/>
                <w:sz w:val="24"/>
                <w:szCs w:val="24"/>
                <w:highlight w:val="none"/>
              </w:rPr>
              <w:t>日</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日</w:t>
            </w:r>
            <w:r>
              <w:rPr>
                <w:rFonts w:hint="default" w:ascii="Times New Roman" w:hAnsi="Times New Roman" w:cs="Times New Roman"/>
                <w:color w:val="auto"/>
                <w:sz w:val="24"/>
                <w:szCs w:val="24"/>
              </w:rPr>
              <w:t>对区域大气环境质量现状进行监测</w:t>
            </w:r>
            <w:r>
              <w:rPr>
                <w:rFonts w:hint="default" w:ascii="Times New Roman" w:hAnsi="Times New Roman" w:cs="Times New Roman"/>
                <w:color w:val="auto"/>
                <w:sz w:val="24"/>
                <w:szCs w:val="24"/>
                <w:lang w:val="en-US" w:eastAsia="zh-CN"/>
              </w:rPr>
              <w:t>。</w:t>
            </w:r>
          </w:p>
          <w:p w14:paraId="4B326476">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1）监测项目</w:t>
            </w:r>
          </w:p>
          <w:p w14:paraId="534C75D3">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TSP、</w:t>
            </w:r>
            <w:r>
              <w:rPr>
                <w:rFonts w:hint="default" w:ascii="Times New Roman" w:hAnsi="Times New Roman" w:cs="Times New Roman"/>
                <w:color w:val="auto"/>
                <w:sz w:val="24"/>
                <w:szCs w:val="24"/>
                <w:lang w:val="en-US" w:eastAsia="zh-CN"/>
              </w:rPr>
              <w:t>非甲烷总烃</w:t>
            </w:r>
            <w:r>
              <w:rPr>
                <w:rFonts w:hint="default" w:ascii="Times New Roman" w:hAnsi="Times New Roman" w:cs="Times New Roman"/>
                <w:color w:val="auto"/>
                <w:sz w:val="24"/>
                <w:szCs w:val="24"/>
                <w:lang w:eastAsia="zh-CN"/>
              </w:rPr>
              <w:t>、苯并[a]芘</w:t>
            </w:r>
          </w:p>
          <w:p w14:paraId="292E9555">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2）监测时间</w:t>
            </w:r>
          </w:p>
          <w:p w14:paraId="0A242ED5">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202</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27</w:t>
            </w:r>
            <w:r>
              <w:rPr>
                <w:rFonts w:hint="default" w:ascii="Times New Roman" w:hAnsi="Times New Roman" w:cs="Times New Roman"/>
                <w:color w:val="auto"/>
                <w:sz w:val="24"/>
                <w:szCs w:val="24"/>
                <w:highlight w:val="none"/>
              </w:rPr>
              <w:t>日</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日，共</w:t>
            </w:r>
            <w:r>
              <w:rPr>
                <w:rFonts w:hint="default"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天。</w:t>
            </w:r>
          </w:p>
          <w:p w14:paraId="670A4583">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3）监测结果</w:t>
            </w:r>
          </w:p>
          <w:p w14:paraId="4C073905">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本次大气环境质量现状监测数据见表3-</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p>
          <w:p w14:paraId="0739DF3D">
            <w:pPr>
              <w:pStyle w:val="8"/>
              <w:spacing w:before="0" w:after="120" w:afterLines="50" w:line="400" w:lineRule="exact"/>
              <w:jc w:val="center"/>
              <w:rPr>
                <w:rFonts w:hint="default" w:ascii="Times New Roman" w:hAnsi="Times New Roman" w:eastAsia="黑体" w:cs="Times New Roman"/>
                <w:b/>
                <w:bCs/>
                <w:color w:val="auto"/>
                <w:kern w:val="0"/>
                <w:sz w:val="20"/>
                <w:szCs w:val="20"/>
                <w:vertAlign w:val="superscript"/>
                <w:lang w:val="en-US" w:eastAsia="zh-CN" w:bidi="ar-SA"/>
              </w:rPr>
            </w:pPr>
            <w:r>
              <w:rPr>
                <w:rFonts w:hint="default" w:ascii="Times New Roman" w:hAnsi="Times New Roman" w:eastAsia="宋体" w:cs="Times New Roman"/>
                <w:b/>
                <w:bCs/>
                <w:color w:val="auto"/>
                <w:kern w:val="2"/>
                <w:sz w:val="21"/>
                <w:szCs w:val="21"/>
                <w:lang w:val="en-US" w:eastAsia="zh-CN" w:bidi="ar-SA"/>
              </w:rPr>
              <w:t xml:space="preserve">表3-2  环境空气检测结果表  </w:t>
            </w:r>
            <w:r>
              <w:rPr>
                <w:rFonts w:hint="default" w:ascii="Times New Roman" w:hAnsi="Times New Roman" w:eastAsia="黑体" w:cs="Times New Roman"/>
                <w:b/>
                <w:bCs/>
                <w:color w:val="auto"/>
                <w:kern w:val="0"/>
                <w:sz w:val="20"/>
                <w:szCs w:val="20"/>
                <w:lang w:val="en-US" w:eastAsia="zh-CN" w:bidi="ar-SA"/>
              </w:rPr>
              <w:t xml:space="preserve">   单位：mg/m</w:t>
            </w:r>
            <w:r>
              <w:rPr>
                <w:rFonts w:hint="default" w:ascii="Times New Roman" w:hAnsi="Times New Roman" w:eastAsia="黑体" w:cs="Times New Roman"/>
                <w:b/>
                <w:bCs/>
                <w:color w:val="auto"/>
                <w:kern w:val="0"/>
                <w:sz w:val="20"/>
                <w:szCs w:val="20"/>
                <w:vertAlign w:val="superscript"/>
                <w:lang w:val="en-US" w:eastAsia="zh-CN" w:bidi="ar-SA"/>
              </w:rPr>
              <w:t>3</w:t>
            </w:r>
          </w:p>
          <w:tbl>
            <w:tblPr>
              <w:tblStyle w:val="29"/>
              <w:tblW w:w="85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28" w:type="dxa"/>
                <w:bottom w:w="0" w:type="dxa"/>
                <w:right w:w="28" w:type="dxa"/>
              </w:tblCellMar>
            </w:tblPr>
            <w:tblGrid>
              <w:gridCol w:w="924"/>
              <w:gridCol w:w="1000"/>
              <w:gridCol w:w="953"/>
              <w:gridCol w:w="953"/>
              <w:gridCol w:w="953"/>
              <w:gridCol w:w="953"/>
              <w:gridCol w:w="953"/>
              <w:gridCol w:w="953"/>
              <w:gridCol w:w="953"/>
            </w:tblGrid>
            <w:tr w14:paraId="3EAEA27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567" w:hRule="atLeast"/>
                <w:tblHeader/>
                <w:jc w:val="center"/>
              </w:trPr>
              <w:tc>
                <w:tcPr>
                  <w:tcW w:w="924" w:type="dxa"/>
                  <w:vMerge w:val="restart"/>
                  <w:tcBorders>
                    <w:top w:val="single" w:color="auto" w:sz="12" w:space="0"/>
                    <w:bottom w:val="single" w:color="auto" w:sz="4" w:space="0"/>
                    <w:right w:val="single" w:color="auto" w:sz="4" w:space="0"/>
                  </w:tcBorders>
                  <w:noWrap w:val="0"/>
                  <w:vAlign w:val="center"/>
                </w:tcPr>
                <w:p w14:paraId="53D8AB36">
                  <w:pPr>
                    <w:jc w:val="center"/>
                    <w:rPr>
                      <w:rFonts w:hint="default" w:ascii="Times New Roman" w:hAnsi="Times New Roman" w:cs="Times New Roman"/>
                      <w:b/>
                      <w:color w:val="auto"/>
                    </w:rPr>
                  </w:pPr>
                  <w:r>
                    <w:rPr>
                      <w:rFonts w:hint="default" w:ascii="Times New Roman" w:hAnsi="Times New Roman" w:cs="Times New Roman"/>
                      <w:b/>
                      <w:color w:val="auto"/>
                    </w:rPr>
                    <w:t>检测点编号及位置</w:t>
                  </w:r>
                </w:p>
              </w:tc>
              <w:tc>
                <w:tcPr>
                  <w:tcW w:w="1000" w:type="dxa"/>
                  <w:vMerge w:val="restart"/>
                  <w:tcBorders>
                    <w:top w:val="single" w:color="auto" w:sz="12" w:space="0"/>
                    <w:left w:val="single" w:color="auto" w:sz="4" w:space="0"/>
                    <w:bottom w:val="single" w:color="auto" w:sz="4" w:space="0"/>
                    <w:right w:val="single" w:color="auto" w:sz="4" w:space="0"/>
                  </w:tcBorders>
                  <w:noWrap w:val="0"/>
                  <w:vAlign w:val="center"/>
                </w:tcPr>
                <w:p w14:paraId="47411918">
                  <w:pPr>
                    <w:jc w:val="center"/>
                    <w:rPr>
                      <w:rFonts w:hint="default" w:ascii="Times New Roman" w:hAnsi="Times New Roman" w:cs="Times New Roman"/>
                      <w:b/>
                      <w:color w:val="auto"/>
                    </w:rPr>
                  </w:pPr>
                  <w:r>
                    <w:rPr>
                      <w:rFonts w:hint="default" w:ascii="Times New Roman" w:hAnsi="Times New Roman" w:cs="Times New Roman"/>
                      <w:b/>
                      <w:color w:val="auto"/>
                    </w:rPr>
                    <w:t>检测因子</w:t>
                  </w:r>
                </w:p>
              </w:tc>
              <w:tc>
                <w:tcPr>
                  <w:tcW w:w="6671" w:type="dxa"/>
                  <w:gridSpan w:val="7"/>
                  <w:tcBorders>
                    <w:top w:val="single" w:color="auto" w:sz="12" w:space="0"/>
                    <w:left w:val="single" w:color="auto" w:sz="4" w:space="0"/>
                    <w:bottom w:val="single" w:color="auto" w:sz="4" w:space="0"/>
                  </w:tcBorders>
                  <w:noWrap w:val="0"/>
                  <w:vAlign w:val="center"/>
                </w:tcPr>
                <w:p w14:paraId="70920AE8">
                  <w:pPr>
                    <w:pStyle w:val="82"/>
                    <w:spacing w:before="0" w:after="0"/>
                    <w:rPr>
                      <w:rFonts w:hint="default" w:ascii="Times New Roman" w:hAnsi="Times New Roman" w:cs="Times New Roman"/>
                      <w:b/>
                      <w:bCs/>
                      <w:color w:val="auto"/>
                      <w:sz w:val="21"/>
                      <w:szCs w:val="21"/>
                    </w:rPr>
                  </w:pPr>
                  <w:r>
                    <w:rPr>
                      <w:rFonts w:hint="default" w:ascii="Times New Roman" w:hAnsi="Times New Roman" w:cs="Times New Roman"/>
                      <w:b/>
                      <w:color w:val="auto"/>
                      <w:sz w:val="21"/>
                      <w:szCs w:val="21"/>
                    </w:rPr>
                    <w:t>检测日期及检测结果</w:t>
                  </w:r>
                </w:p>
              </w:tc>
            </w:tr>
            <w:tr w14:paraId="5535C44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567" w:hRule="atLeast"/>
                <w:tblHeader/>
                <w:jc w:val="center"/>
              </w:trPr>
              <w:tc>
                <w:tcPr>
                  <w:tcW w:w="924" w:type="dxa"/>
                  <w:vMerge w:val="continue"/>
                  <w:tcBorders>
                    <w:top w:val="single" w:color="auto" w:sz="4" w:space="0"/>
                    <w:bottom w:val="single" w:color="auto" w:sz="12" w:space="0"/>
                    <w:right w:val="single" w:color="auto" w:sz="4" w:space="0"/>
                  </w:tcBorders>
                  <w:noWrap w:val="0"/>
                  <w:vAlign w:val="top"/>
                </w:tcPr>
                <w:p w14:paraId="0EEF5601">
                  <w:pPr>
                    <w:jc w:val="center"/>
                    <w:rPr>
                      <w:rFonts w:hint="default" w:ascii="Times New Roman" w:hAnsi="Times New Roman" w:cs="Times New Roman"/>
                      <w:b/>
                      <w:color w:val="auto"/>
                      <w:szCs w:val="21"/>
                    </w:rPr>
                  </w:pPr>
                </w:p>
              </w:tc>
              <w:tc>
                <w:tcPr>
                  <w:tcW w:w="1000" w:type="dxa"/>
                  <w:vMerge w:val="continue"/>
                  <w:tcBorders>
                    <w:top w:val="single" w:color="auto" w:sz="4" w:space="0"/>
                    <w:left w:val="single" w:color="auto" w:sz="4" w:space="0"/>
                    <w:bottom w:val="single" w:color="auto" w:sz="12" w:space="0"/>
                    <w:right w:val="single" w:color="auto" w:sz="4" w:space="0"/>
                  </w:tcBorders>
                  <w:noWrap w:val="0"/>
                  <w:vAlign w:val="top"/>
                </w:tcPr>
                <w:p w14:paraId="6FD2987C">
                  <w:pPr>
                    <w:autoSpaceDE w:val="0"/>
                    <w:autoSpaceDN w:val="0"/>
                    <w:jc w:val="center"/>
                    <w:textAlignment w:val="center"/>
                    <w:rPr>
                      <w:rFonts w:hint="default" w:ascii="Times New Roman" w:hAnsi="Times New Roman" w:cs="Times New Roman"/>
                      <w:color w:val="auto"/>
                      <w:szCs w:val="21"/>
                    </w:rPr>
                  </w:pPr>
                </w:p>
              </w:tc>
              <w:tc>
                <w:tcPr>
                  <w:tcW w:w="953" w:type="dxa"/>
                  <w:tcBorders>
                    <w:top w:val="single" w:color="auto" w:sz="4" w:space="0"/>
                    <w:left w:val="single" w:color="auto" w:sz="4" w:space="0"/>
                    <w:bottom w:val="single" w:color="auto" w:sz="12" w:space="0"/>
                    <w:right w:val="single" w:color="auto" w:sz="4" w:space="0"/>
                  </w:tcBorders>
                  <w:shd w:val="clear" w:color="auto" w:fill="auto"/>
                  <w:noWrap w:val="0"/>
                  <w:vAlign w:val="center"/>
                </w:tcPr>
                <w:p w14:paraId="69EEDF62">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b/>
                      <w:color w:val="auto"/>
                      <w:szCs w:val="21"/>
                    </w:rPr>
                    <w:t>202</w:t>
                  </w:r>
                  <w:r>
                    <w:rPr>
                      <w:rFonts w:hint="default" w:ascii="Times New Roman" w:hAnsi="Times New Roman" w:cs="Times New Roman"/>
                      <w:b/>
                      <w:color w:val="auto"/>
                      <w:szCs w:val="21"/>
                      <w:lang w:val="en-US" w:eastAsia="zh-CN"/>
                    </w:rPr>
                    <w:t>5</w:t>
                  </w:r>
                  <w:r>
                    <w:rPr>
                      <w:rFonts w:hint="default" w:ascii="Times New Roman" w:hAnsi="Times New Roman" w:cs="Times New Roman"/>
                      <w:b/>
                      <w:color w:val="auto"/>
                      <w:szCs w:val="21"/>
                    </w:rPr>
                    <w:t>.</w:t>
                  </w:r>
                  <w:r>
                    <w:rPr>
                      <w:rFonts w:hint="default" w:ascii="Times New Roman" w:hAnsi="Times New Roman" w:cs="Times New Roman"/>
                      <w:b/>
                      <w:color w:val="auto"/>
                      <w:szCs w:val="21"/>
                      <w:lang w:val="en-US" w:eastAsia="zh-CN"/>
                    </w:rPr>
                    <w:t>06</w:t>
                  </w:r>
                  <w:r>
                    <w:rPr>
                      <w:rFonts w:hint="default" w:ascii="Times New Roman" w:hAnsi="Times New Roman" w:cs="Times New Roman"/>
                      <w:b/>
                      <w:color w:val="auto"/>
                      <w:szCs w:val="21"/>
                    </w:rPr>
                    <w:t>.</w:t>
                  </w:r>
                  <w:r>
                    <w:rPr>
                      <w:rFonts w:hint="default" w:ascii="Times New Roman" w:hAnsi="Times New Roman" w:cs="Times New Roman"/>
                      <w:b/>
                      <w:color w:val="auto"/>
                      <w:szCs w:val="21"/>
                      <w:lang w:val="en-US" w:eastAsia="zh-CN"/>
                    </w:rPr>
                    <w:t>27</w:t>
                  </w:r>
                </w:p>
              </w:tc>
              <w:tc>
                <w:tcPr>
                  <w:tcW w:w="953" w:type="dxa"/>
                  <w:tcBorders>
                    <w:top w:val="single" w:color="auto" w:sz="4" w:space="0"/>
                    <w:left w:val="single" w:color="auto" w:sz="4" w:space="0"/>
                    <w:bottom w:val="single" w:color="auto" w:sz="12" w:space="0"/>
                    <w:right w:val="single" w:color="auto" w:sz="4" w:space="0"/>
                  </w:tcBorders>
                  <w:shd w:val="clear" w:color="auto" w:fill="auto"/>
                  <w:noWrap w:val="0"/>
                  <w:vAlign w:val="center"/>
                </w:tcPr>
                <w:p w14:paraId="7A4FFFF0">
                  <w:pPr>
                    <w:keepNext w:val="0"/>
                    <w:keepLines w:val="0"/>
                    <w:pageBreakBefore w:val="0"/>
                    <w:widowControl w:val="0"/>
                    <w:kinsoku/>
                    <w:wordWrap/>
                    <w:overflowPunct/>
                    <w:topLinePunct w:val="0"/>
                    <w:autoSpaceDE/>
                    <w:autoSpaceDN/>
                    <w:bidi w:val="0"/>
                    <w:adjustRightInd/>
                    <w:snapToGrid/>
                    <w:spacing w:before="0" w:after="0" w:line="240" w:lineRule="auto"/>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color w:val="auto"/>
                      <w:szCs w:val="21"/>
                    </w:rPr>
                    <w:t>202</w:t>
                  </w:r>
                  <w:r>
                    <w:rPr>
                      <w:rFonts w:hint="default" w:ascii="Times New Roman" w:hAnsi="Times New Roman" w:cs="Times New Roman"/>
                      <w:b/>
                      <w:color w:val="auto"/>
                      <w:szCs w:val="21"/>
                      <w:lang w:val="en-US" w:eastAsia="zh-CN"/>
                    </w:rPr>
                    <w:t>5</w:t>
                  </w:r>
                  <w:r>
                    <w:rPr>
                      <w:rFonts w:hint="default" w:ascii="Times New Roman" w:hAnsi="Times New Roman" w:cs="Times New Roman"/>
                      <w:b/>
                      <w:color w:val="auto"/>
                      <w:szCs w:val="21"/>
                    </w:rPr>
                    <w:t>.</w:t>
                  </w:r>
                  <w:r>
                    <w:rPr>
                      <w:rFonts w:hint="default" w:ascii="Times New Roman" w:hAnsi="Times New Roman" w:cs="Times New Roman"/>
                      <w:b/>
                      <w:color w:val="auto"/>
                      <w:szCs w:val="21"/>
                      <w:lang w:val="en-US" w:eastAsia="zh-CN"/>
                    </w:rPr>
                    <w:t>06</w:t>
                  </w:r>
                  <w:r>
                    <w:rPr>
                      <w:rFonts w:hint="default" w:ascii="Times New Roman" w:hAnsi="Times New Roman" w:cs="Times New Roman"/>
                      <w:b/>
                      <w:color w:val="auto"/>
                      <w:szCs w:val="21"/>
                    </w:rPr>
                    <w:t>.</w:t>
                  </w:r>
                  <w:r>
                    <w:rPr>
                      <w:rFonts w:hint="default" w:ascii="Times New Roman" w:hAnsi="Times New Roman" w:cs="Times New Roman"/>
                      <w:b/>
                      <w:color w:val="auto"/>
                      <w:szCs w:val="21"/>
                      <w:lang w:val="en-US" w:eastAsia="zh-CN"/>
                    </w:rPr>
                    <w:t>28</w:t>
                  </w:r>
                </w:p>
              </w:tc>
              <w:tc>
                <w:tcPr>
                  <w:tcW w:w="953" w:type="dxa"/>
                  <w:tcBorders>
                    <w:top w:val="single" w:color="auto" w:sz="4" w:space="0"/>
                    <w:left w:val="single" w:color="auto" w:sz="4" w:space="0"/>
                    <w:bottom w:val="single" w:color="auto" w:sz="12" w:space="0"/>
                    <w:right w:val="single" w:color="auto" w:sz="4" w:space="0"/>
                  </w:tcBorders>
                  <w:shd w:val="clear" w:color="auto" w:fill="auto"/>
                  <w:noWrap w:val="0"/>
                  <w:vAlign w:val="center"/>
                </w:tcPr>
                <w:p w14:paraId="4F472128">
                  <w:pPr>
                    <w:keepNext w:val="0"/>
                    <w:keepLines w:val="0"/>
                    <w:pageBreakBefore w:val="0"/>
                    <w:widowControl w:val="0"/>
                    <w:kinsoku/>
                    <w:wordWrap/>
                    <w:overflowPunct/>
                    <w:topLinePunct w:val="0"/>
                    <w:autoSpaceDE/>
                    <w:autoSpaceDN/>
                    <w:bidi w:val="0"/>
                    <w:adjustRightInd/>
                    <w:snapToGrid/>
                    <w:spacing w:before="0" w:after="0" w:line="240" w:lineRule="auto"/>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color w:val="auto"/>
                      <w:szCs w:val="21"/>
                    </w:rPr>
                    <w:t>202</w:t>
                  </w:r>
                  <w:r>
                    <w:rPr>
                      <w:rFonts w:hint="default" w:ascii="Times New Roman" w:hAnsi="Times New Roman" w:cs="Times New Roman"/>
                      <w:b/>
                      <w:color w:val="auto"/>
                      <w:szCs w:val="21"/>
                      <w:lang w:val="en-US" w:eastAsia="zh-CN"/>
                    </w:rPr>
                    <w:t>5</w:t>
                  </w:r>
                  <w:r>
                    <w:rPr>
                      <w:rFonts w:hint="default" w:ascii="Times New Roman" w:hAnsi="Times New Roman" w:cs="Times New Roman"/>
                      <w:b/>
                      <w:color w:val="auto"/>
                      <w:szCs w:val="21"/>
                    </w:rPr>
                    <w:t>.</w:t>
                  </w:r>
                  <w:r>
                    <w:rPr>
                      <w:rFonts w:hint="default" w:ascii="Times New Roman" w:hAnsi="Times New Roman" w:cs="Times New Roman"/>
                      <w:b/>
                      <w:color w:val="auto"/>
                      <w:szCs w:val="21"/>
                      <w:lang w:val="en-US" w:eastAsia="zh-CN"/>
                    </w:rPr>
                    <w:t>06</w:t>
                  </w:r>
                  <w:r>
                    <w:rPr>
                      <w:rFonts w:hint="default" w:ascii="Times New Roman" w:hAnsi="Times New Roman" w:cs="Times New Roman"/>
                      <w:b/>
                      <w:color w:val="auto"/>
                      <w:szCs w:val="21"/>
                    </w:rPr>
                    <w:t>.</w:t>
                  </w:r>
                  <w:r>
                    <w:rPr>
                      <w:rFonts w:hint="default" w:ascii="Times New Roman" w:hAnsi="Times New Roman" w:cs="Times New Roman"/>
                      <w:b/>
                      <w:color w:val="auto"/>
                      <w:szCs w:val="21"/>
                      <w:lang w:val="en-US" w:eastAsia="zh-CN"/>
                    </w:rPr>
                    <w:t>29</w:t>
                  </w:r>
                </w:p>
              </w:tc>
              <w:tc>
                <w:tcPr>
                  <w:tcW w:w="953" w:type="dxa"/>
                  <w:tcBorders>
                    <w:top w:val="single" w:color="auto" w:sz="4" w:space="0"/>
                    <w:left w:val="single" w:color="auto" w:sz="4" w:space="0"/>
                    <w:bottom w:val="single" w:color="auto" w:sz="12" w:space="0"/>
                    <w:right w:val="single" w:color="auto" w:sz="4" w:space="0"/>
                  </w:tcBorders>
                  <w:shd w:val="clear" w:color="auto" w:fill="auto"/>
                  <w:noWrap w:val="0"/>
                  <w:vAlign w:val="center"/>
                </w:tcPr>
                <w:p w14:paraId="536ED60E">
                  <w:pPr>
                    <w:keepNext w:val="0"/>
                    <w:keepLines w:val="0"/>
                    <w:pageBreakBefore w:val="0"/>
                    <w:widowControl w:val="0"/>
                    <w:kinsoku/>
                    <w:wordWrap/>
                    <w:overflowPunct/>
                    <w:topLinePunct w:val="0"/>
                    <w:autoSpaceDE/>
                    <w:autoSpaceDN/>
                    <w:bidi w:val="0"/>
                    <w:adjustRightInd/>
                    <w:snapToGrid/>
                    <w:spacing w:before="0" w:after="0" w:line="240" w:lineRule="auto"/>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color w:val="auto"/>
                      <w:szCs w:val="21"/>
                    </w:rPr>
                    <w:t>202</w:t>
                  </w:r>
                  <w:r>
                    <w:rPr>
                      <w:rFonts w:hint="default" w:ascii="Times New Roman" w:hAnsi="Times New Roman" w:cs="Times New Roman"/>
                      <w:b/>
                      <w:color w:val="auto"/>
                      <w:szCs w:val="21"/>
                      <w:lang w:val="en-US" w:eastAsia="zh-CN"/>
                    </w:rPr>
                    <w:t>5</w:t>
                  </w:r>
                  <w:r>
                    <w:rPr>
                      <w:rFonts w:hint="default" w:ascii="Times New Roman" w:hAnsi="Times New Roman" w:cs="Times New Roman"/>
                      <w:b/>
                      <w:color w:val="auto"/>
                      <w:szCs w:val="21"/>
                    </w:rPr>
                    <w:t>.</w:t>
                  </w:r>
                  <w:r>
                    <w:rPr>
                      <w:rFonts w:hint="default" w:ascii="Times New Roman" w:hAnsi="Times New Roman" w:cs="Times New Roman"/>
                      <w:b/>
                      <w:color w:val="auto"/>
                      <w:szCs w:val="21"/>
                      <w:lang w:val="en-US" w:eastAsia="zh-CN"/>
                    </w:rPr>
                    <w:t>06</w:t>
                  </w:r>
                  <w:r>
                    <w:rPr>
                      <w:rFonts w:hint="default" w:ascii="Times New Roman" w:hAnsi="Times New Roman" w:cs="Times New Roman"/>
                      <w:b/>
                      <w:color w:val="auto"/>
                      <w:szCs w:val="21"/>
                    </w:rPr>
                    <w:t>.</w:t>
                  </w:r>
                  <w:r>
                    <w:rPr>
                      <w:rFonts w:hint="default" w:ascii="Times New Roman" w:hAnsi="Times New Roman" w:cs="Times New Roman"/>
                      <w:b/>
                      <w:color w:val="auto"/>
                      <w:szCs w:val="21"/>
                      <w:lang w:val="en-US" w:eastAsia="zh-CN"/>
                    </w:rPr>
                    <w:t>30</w:t>
                  </w:r>
                </w:p>
              </w:tc>
              <w:tc>
                <w:tcPr>
                  <w:tcW w:w="953" w:type="dxa"/>
                  <w:tcBorders>
                    <w:top w:val="single" w:color="auto" w:sz="4" w:space="0"/>
                    <w:left w:val="single" w:color="auto" w:sz="4" w:space="0"/>
                    <w:bottom w:val="single" w:color="auto" w:sz="12" w:space="0"/>
                    <w:right w:val="single" w:color="auto" w:sz="4" w:space="0"/>
                  </w:tcBorders>
                  <w:shd w:val="clear" w:color="auto" w:fill="auto"/>
                  <w:noWrap w:val="0"/>
                  <w:vAlign w:val="center"/>
                </w:tcPr>
                <w:p w14:paraId="313CA32E">
                  <w:pPr>
                    <w:keepNext w:val="0"/>
                    <w:keepLines w:val="0"/>
                    <w:pageBreakBefore w:val="0"/>
                    <w:widowControl w:val="0"/>
                    <w:kinsoku/>
                    <w:wordWrap/>
                    <w:overflowPunct/>
                    <w:topLinePunct w:val="0"/>
                    <w:autoSpaceDE/>
                    <w:autoSpaceDN/>
                    <w:bidi w:val="0"/>
                    <w:adjustRightInd/>
                    <w:snapToGrid/>
                    <w:spacing w:before="0" w:after="0" w:line="240" w:lineRule="auto"/>
                    <w:ind w:left="-105" w:leftChars="-50" w:right="-105" w:rightChars="-50"/>
                    <w:jc w:val="center"/>
                    <w:textAlignment w:val="auto"/>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cs="Times New Roman"/>
                      <w:b/>
                      <w:color w:val="auto"/>
                      <w:szCs w:val="21"/>
                    </w:rPr>
                    <w:t>202</w:t>
                  </w:r>
                  <w:r>
                    <w:rPr>
                      <w:rFonts w:hint="default" w:ascii="Times New Roman" w:hAnsi="Times New Roman" w:cs="Times New Roman"/>
                      <w:b/>
                      <w:color w:val="auto"/>
                      <w:szCs w:val="21"/>
                      <w:lang w:val="en-US" w:eastAsia="zh-CN"/>
                    </w:rPr>
                    <w:t>5</w:t>
                  </w:r>
                  <w:r>
                    <w:rPr>
                      <w:rFonts w:hint="default" w:ascii="Times New Roman" w:hAnsi="Times New Roman" w:cs="Times New Roman"/>
                      <w:b/>
                      <w:color w:val="auto"/>
                      <w:szCs w:val="21"/>
                    </w:rPr>
                    <w:t>.</w:t>
                  </w:r>
                  <w:r>
                    <w:rPr>
                      <w:rFonts w:hint="default" w:ascii="Times New Roman" w:hAnsi="Times New Roman" w:cs="Times New Roman"/>
                      <w:b/>
                      <w:color w:val="auto"/>
                      <w:szCs w:val="21"/>
                      <w:lang w:val="en-US" w:eastAsia="zh-CN"/>
                    </w:rPr>
                    <w:t>07</w:t>
                  </w:r>
                  <w:r>
                    <w:rPr>
                      <w:rFonts w:hint="default" w:ascii="Times New Roman" w:hAnsi="Times New Roman" w:cs="Times New Roman"/>
                      <w:b/>
                      <w:color w:val="auto"/>
                      <w:szCs w:val="21"/>
                    </w:rPr>
                    <w:t>.</w:t>
                  </w:r>
                  <w:r>
                    <w:rPr>
                      <w:rFonts w:hint="default" w:ascii="Times New Roman" w:hAnsi="Times New Roman" w:cs="Times New Roman"/>
                      <w:b/>
                      <w:color w:val="auto"/>
                      <w:szCs w:val="21"/>
                      <w:lang w:val="en-US" w:eastAsia="zh-CN"/>
                    </w:rPr>
                    <w:t>01</w:t>
                  </w:r>
                </w:p>
              </w:tc>
              <w:tc>
                <w:tcPr>
                  <w:tcW w:w="953" w:type="dxa"/>
                  <w:tcBorders>
                    <w:top w:val="single" w:color="auto" w:sz="4" w:space="0"/>
                    <w:left w:val="single" w:color="auto" w:sz="4" w:space="0"/>
                    <w:bottom w:val="single" w:color="auto" w:sz="12" w:space="0"/>
                    <w:right w:val="single" w:color="auto" w:sz="4" w:space="0"/>
                  </w:tcBorders>
                  <w:shd w:val="clear" w:color="auto" w:fill="auto"/>
                  <w:noWrap w:val="0"/>
                  <w:vAlign w:val="center"/>
                </w:tcPr>
                <w:p w14:paraId="3D504A5F">
                  <w:pPr>
                    <w:keepNext w:val="0"/>
                    <w:keepLines w:val="0"/>
                    <w:pageBreakBefore w:val="0"/>
                    <w:widowControl w:val="0"/>
                    <w:kinsoku/>
                    <w:wordWrap/>
                    <w:overflowPunct/>
                    <w:topLinePunct w:val="0"/>
                    <w:autoSpaceDE/>
                    <w:autoSpaceDN/>
                    <w:bidi w:val="0"/>
                    <w:adjustRightInd/>
                    <w:snapToGrid/>
                    <w:spacing w:before="0" w:after="0" w:line="240" w:lineRule="auto"/>
                    <w:ind w:left="-105" w:leftChars="-50" w:right="-105" w:rightChars="-50"/>
                    <w:jc w:val="center"/>
                    <w:textAlignment w:val="auto"/>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cs="Times New Roman"/>
                      <w:b/>
                      <w:color w:val="auto"/>
                      <w:szCs w:val="21"/>
                    </w:rPr>
                    <w:t>202</w:t>
                  </w:r>
                  <w:r>
                    <w:rPr>
                      <w:rFonts w:hint="default" w:ascii="Times New Roman" w:hAnsi="Times New Roman" w:cs="Times New Roman"/>
                      <w:b/>
                      <w:color w:val="auto"/>
                      <w:szCs w:val="21"/>
                      <w:lang w:val="en-US" w:eastAsia="zh-CN"/>
                    </w:rPr>
                    <w:t>5</w:t>
                  </w:r>
                  <w:r>
                    <w:rPr>
                      <w:rFonts w:hint="default" w:ascii="Times New Roman" w:hAnsi="Times New Roman" w:cs="Times New Roman"/>
                      <w:b/>
                      <w:color w:val="auto"/>
                      <w:szCs w:val="21"/>
                    </w:rPr>
                    <w:t>.</w:t>
                  </w:r>
                  <w:r>
                    <w:rPr>
                      <w:rFonts w:hint="default" w:ascii="Times New Roman" w:hAnsi="Times New Roman" w:cs="Times New Roman"/>
                      <w:b/>
                      <w:color w:val="auto"/>
                      <w:szCs w:val="21"/>
                      <w:lang w:val="en-US" w:eastAsia="zh-CN"/>
                    </w:rPr>
                    <w:t>07</w:t>
                  </w:r>
                  <w:r>
                    <w:rPr>
                      <w:rFonts w:hint="default" w:ascii="Times New Roman" w:hAnsi="Times New Roman" w:cs="Times New Roman"/>
                      <w:b/>
                      <w:color w:val="auto"/>
                      <w:szCs w:val="21"/>
                    </w:rPr>
                    <w:t>.</w:t>
                  </w:r>
                  <w:r>
                    <w:rPr>
                      <w:rFonts w:hint="default" w:ascii="Times New Roman" w:hAnsi="Times New Roman" w:cs="Times New Roman"/>
                      <w:b/>
                      <w:color w:val="auto"/>
                      <w:szCs w:val="21"/>
                      <w:lang w:val="en-US" w:eastAsia="zh-CN"/>
                    </w:rPr>
                    <w:t>02</w:t>
                  </w:r>
                </w:p>
              </w:tc>
              <w:tc>
                <w:tcPr>
                  <w:tcW w:w="953" w:type="dxa"/>
                  <w:tcBorders>
                    <w:top w:val="single" w:color="auto" w:sz="4" w:space="0"/>
                    <w:left w:val="single" w:color="auto" w:sz="4" w:space="0"/>
                    <w:bottom w:val="single" w:color="auto" w:sz="12" w:space="0"/>
                  </w:tcBorders>
                  <w:noWrap w:val="0"/>
                  <w:vAlign w:val="center"/>
                </w:tcPr>
                <w:p w14:paraId="0D873C08">
                  <w:pPr>
                    <w:keepNext w:val="0"/>
                    <w:keepLines w:val="0"/>
                    <w:pageBreakBefore w:val="0"/>
                    <w:widowControl w:val="0"/>
                    <w:kinsoku/>
                    <w:wordWrap/>
                    <w:overflowPunct/>
                    <w:topLinePunct w:val="0"/>
                    <w:autoSpaceDE/>
                    <w:autoSpaceDN/>
                    <w:bidi w:val="0"/>
                    <w:adjustRightInd/>
                    <w:snapToGrid/>
                    <w:spacing w:before="0" w:after="0" w:line="240" w:lineRule="auto"/>
                    <w:ind w:left="-105" w:leftChars="-50" w:right="-105" w:rightChars="-50"/>
                    <w:jc w:val="center"/>
                    <w:textAlignment w:val="auto"/>
                    <w:rPr>
                      <w:rFonts w:hint="default" w:ascii="Times New Roman" w:hAnsi="Times New Roman" w:eastAsia="宋体" w:cs="Times New Roman"/>
                      <w:b/>
                      <w:color w:val="auto"/>
                      <w:kern w:val="0"/>
                      <w:sz w:val="21"/>
                      <w:szCs w:val="21"/>
                      <w:lang w:val="en-US" w:eastAsia="zh-CN"/>
                    </w:rPr>
                  </w:pPr>
                  <w:r>
                    <w:rPr>
                      <w:rFonts w:hint="default" w:ascii="Times New Roman" w:hAnsi="Times New Roman" w:cs="Times New Roman"/>
                      <w:b/>
                      <w:color w:val="auto"/>
                      <w:kern w:val="0"/>
                      <w:sz w:val="21"/>
                      <w:szCs w:val="21"/>
                      <w:lang w:val="en-US" w:eastAsia="zh-CN"/>
                    </w:rPr>
                    <w:t>2025.07.03</w:t>
                  </w:r>
                </w:p>
              </w:tc>
            </w:tr>
            <w:tr w14:paraId="5D64A10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567" w:hRule="atLeast"/>
                <w:jc w:val="center"/>
              </w:trPr>
              <w:tc>
                <w:tcPr>
                  <w:tcW w:w="924" w:type="dxa"/>
                  <w:vMerge w:val="restart"/>
                  <w:tcBorders>
                    <w:top w:val="single" w:color="auto" w:sz="12" w:space="0"/>
                    <w:bottom w:val="single" w:color="auto" w:sz="4" w:space="0"/>
                    <w:right w:val="single" w:color="auto" w:sz="4" w:space="0"/>
                  </w:tcBorders>
                  <w:noWrap w:val="0"/>
                  <w:vAlign w:val="center"/>
                </w:tcPr>
                <w:p w14:paraId="5D69F67D">
                  <w:pPr>
                    <w:jc w:val="center"/>
                    <w:rPr>
                      <w:rFonts w:hint="default" w:ascii="Times New Roman" w:hAnsi="Times New Roman" w:cs="Times New Roman"/>
                      <w:color w:val="auto"/>
                    </w:rPr>
                  </w:pPr>
                  <w:r>
                    <w:rPr>
                      <w:rFonts w:hint="default" w:ascii="Times New Roman" w:hAnsi="Times New Roman" w:cs="Times New Roman"/>
                      <w:color w:val="auto"/>
                      <w:szCs w:val="21"/>
                      <w:lang w:val="en-US" w:eastAsia="zh-CN"/>
                    </w:rPr>
                    <w:t>G1，</w:t>
                  </w:r>
                  <w:r>
                    <w:rPr>
                      <w:rFonts w:hint="default" w:ascii="Times New Roman" w:hAnsi="Times New Roman" w:cs="Times New Roman"/>
                      <w:color w:val="auto"/>
                      <w:szCs w:val="21"/>
                    </w:rPr>
                    <w:t>项目下风向</w:t>
                  </w:r>
                </w:p>
              </w:tc>
              <w:tc>
                <w:tcPr>
                  <w:tcW w:w="1000" w:type="dxa"/>
                  <w:tcBorders>
                    <w:top w:val="single" w:color="auto" w:sz="12" w:space="0"/>
                    <w:left w:val="single" w:color="auto" w:sz="4" w:space="0"/>
                    <w:bottom w:val="single" w:color="auto" w:sz="4" w:space="0"/>
                    <w:right w:val="single" w:color="auto" w:sz="4" w:space="0"/>
                  </w:tcBorders>
                  <w:noWrap w:val="0"/>
                  <w:vAlign w:val="center"/>
                </w:tcPr>
                <w:p w14:paraId="44EDD65F">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TSP</w:t>
                  </w:r>
                </w:p>
              </w:tc>
              <w:tc>
                <w:tcPr>
                  <w:tcW w:w="953" w:type="dxa"/>
                  <w:tcBorders>
                    <w:top w:val="single" w:color="auto" w:sz="12" w:space="0"/>
                    <w:left w:val="single" w:color="auto" w:sz="4" w:space="0"/>
                    <w:bottom w:val="single" w:color="auto" w:sz="4" w:space="0"/>
                    <w:right w:val="single" w:color="auto" w:sz="4" w:space="0"/>
                  </w:tcBorders>
                  <w:noWrap w:val="0"/>
                  <w:vAlign w:val="center"/>
                </w:tcPr>
                <w:p w14:paraId="735FE03B">
                  <w:pPr>
                    <w:autoSpaceDE w:val="0"/>
                    <w:autoSpaceDN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0.139</w:t>
                  </w:r>
                </w:p>
              </w:tc>
              <w:tc>
                <w:tcPr>
                  <w:tcW w:w="953" w:type="dxa"/>
                  <w:tcBorders>
                    <w:top w:val="single" w:color="auto" w:sz="12" w:space="0"/>
                    <w:left w:val="single" w:color="auto" w:sz="4" w:space="0"/>
                    <w:bottom w:val="single" w:color="auto" w:sz="4" w:space="0"/>
                    <w:right w:val="single" w:color="auto" w:sz="4" w:space="0"/>
                  </w:tcBorders>
                  <w:noWrap w:val="0"/>
                  <w:vAlign w:val="center"/>
                </w:tcPr>
                <w:p w14:paraId="1400FA84">
                  <w:pPr>
                    <w:autoSpaceDE w:val="0"/>
                    <w:autoSpaceDN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0.145</w:t>
                  </w:r>
                </w:p>
              </w:tc>
              <w:tc>
                <w:tcPr>
                  <w:tcW w:w="953" w:type="dxa"/>
                  <w:tcBorders>
                    <w:top w:val="single" w:color="auto" w:sz="12" w:space="0"/>
                    <w:left w:val="single" w:color="auto" w:sz="4" w:space="0"/>
                    <w:bottom w:val="single" w:color="auto" w:sz="4" w:space="0"/>
                    <w:right w:val="single" w:color="auto" w:sz="4" w:space="0"/>
                  </w:tcBorders>
                  <w:noWrap w:val="0"/>
                  <w:vAlign w:val="center"/>
                </w:tcPr>
                <w:p w14:paraId="22A83966">
                  <w:pPr>
                    <w:autoSpaceDE w:val="0"/>
                    <w:autoSpaceDN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0.129</w:t>
                  </w:r>
                </w:p>
              </w:tc>
              <w:tc>
                <w:tcPr>
                  <w:tcW w:w="953" w:type="dxa"/>
                  <w:tcBorders>
                    <w:top w:val="single" w:color="auto" w:sz="12" w:space="0"/>
                    <w:left w:val="single" w:color="auto" w:sz="4" w:space="0"/>
                    <w:bottom w:val="single" w:color="auto" w:sz="4" w:space="0"/>
                    <w:right w:val="single" w:color="auto" w:sz="4" w:space="0"/>
                  </w:tcBorders>
                  <w:noWrap w:val="0"/>
                  <w:vAlign w:val="center"/>
                </w:tcPr>
                <w:p w14:paraId="5FC1CFEC">
                  <w:pPr>
                    <w:autoSpaceDE w:val="0"/>
                    <w:autoSpaceDN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0.134</w:t>
                  </w:r>
                </w:p>
              </w:tc>
              <w:tc>
                <w:tcPr>
                  <w:tcW w:w="953" w:type="dxa"/>
                  <w:tcBorders>
                    <w:top w:val="single" w:color="auto" w:sz="12" w:space="0"/>
                    <w:left w:val="single" w:color="auto" w:sz="4" w:space="0"/>
                    <w:bottom w:val="single" w:color="auto" w:sz="4" w:space="0"/>
                    <w:right w:val="single" w:color="auto" w:sz="4" w:space="0"/>
                  </w:tcBorders>
                  <w:noWrap w:val="0"/>
                  <w:vAlign w:val="center"/>
                </w:tcPr>
                <w:p w14:paraId="541C8298">
                  <w:pPr>
                    <w:autoSpaceDE w:val="0"/>
                    <w:autoSpaceDN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125</w:t>
                  </w:r>
                </w:p>
              </w:tc>
              <w:tc>
                <w:tcPr>
                  <w:tcW w:w="953" w:type="dxa"/>
                  <w:tcBorders>
                    <w:top w:val="single" w:color="auto" w:sz="12" w:space="0"/>
                    <w:left w:val="single" w:color="auto" w:sz="4" w:space="0"/>
                    <w:bottom w:val="single" w:color="auto" w:sz="4" w:space="0"/>
                    <w:right w:val="single" w:color="auto" w:sz="4" w:space="0"/>
                  </w:tcBorders>
                  <w:noWrap w:val="0"/>
                  <w:vAlign w:val="center"/>
                </w:tcPr>
                <w:p w14:paraId="7A53116D">
                  <w:pPr>
                    <w:jc w:val="center"/>
                    <w:rPr>
                      <w:rFonts w:hint="default" w:ascii="Times New Roman" w:hAnsi="Times New Roman" w:eastAsia="宋体" w:cs="Times New Roman"/>
                      <w:iCs/>
                      <w:color w:val="auto"/>
                      <w:szCs w:val="21"/>
                      <w:lang w:val="en-US" w:eastAsia="zh-CN"/>
                    </w:rPr>
                  </w:pP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118</w:t>
                  </w:r>
                </w:p>
              </w:tc>
              <w:tc>
                <w:tcPr>
                  <w:tcW w:w="953" w:type="dxa"/>
                  <w:tcBorders>
                    <w:top w:val="single" w:color="auto" w:sz="12" w:space="0"/>
                    <w:left w:val="single" w:color="auto" w:sz="4" w:space="0"/>
                    <w:bottom w:val="single" w:color="auto" w:sz="4" w:space="0"/>
                  </w:tcBorders>
                  <w:noWrap w:val="0"/>
                  <w:vAlign w:val="center"/>
                </w:tcPr>
                <w:p w14:paraId="71C9D441">
                  <w:pPr>
                    <w:jc w:val="center"/>
                    <w:rPr>
                      <w:rFonts w:hint="default" w:ascii="Times New Roman" w:hAnsi="Times New Roman" w:eastAsia="宋体" w:cs="Times New Roman"/>
                      <w:iCs/>
                      <w:color w:val="auto"/>
                      <w:szCs w:val="21"/>
                      <w:lang w:val="en-US" w:eastAsia="zh-CN"/>
                    </w:rPr>
                  </w:pP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113</w:t>
                  </w:r>
                </w:p>
              </w:tc>
            </w:tr>
            <w:tr w14:paraId="64A7F39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567" w:hRule="atLeast"/>
                <w:jc w:val="center"/>
              </w:trPr>
              <w:tc>
                <w:tcPr>
                  <w:tcW w:w="924" w:type="dxa"/>
                  <w:vMerge w:val="continue"/>
                  <w:tcBorders>
                    <w:top w:val="single" w:color="auto" w:sz="4" w:space="0"/>
                    <w:bottom w:val="single" w:color="auto" w:sz="4" w:space="0"/>
                    <w:right w:val="single" w:color="auto" w:sz="4" w:space="0"/>
                  </w:tcBorders>
                  <w:noWrap w:val="0"/>
                  <w:vAlign w:val="center"/>
                </w:tcPr>
                <w:p w14:paraId="7DCA21F7">
                  <w:pPr>
                    <w:jc w:val="center"/>
                    <w:rPr>
                      <w:rFonts w:hint="default" w:ascii="Times New Roman" w:hAnsi="Times New Roman" w:cs="Times New Roman"/>
                      <w:color w:val="auto"/>
                    </w:rPr>
                  </w:pPr>
                </w:p>
              </w:tc>
              <w:tc>
                <w:tcPr>
                  <w:tcW w:w="1000" w:type="dxa"/>
                  <w:tcBorders>
                    <w:top w:val="single" w:color="auto" w:sz="4" w:space="0"/>
                    <w:left w:val="single" w:color="auto" w:sz="4" w:space="0"/>
                    <w:bottom w:val="single" w:color="auto" w:sz="4" w:space="0"/>
                    <w:right w:val="single" w:color="auto" w:sz="4" w:space="0"/>
                  </w:tcBorders>
                  <w:noWrap w:val="0"/>
                  <w:vAlign w:val="center"/>
                </w:tcPr>
                <w:p w14:paraId="584A2E65">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非甲烷总烃</w:t>
                  </w:r>
                </w:p>
              </w:tc>
              <w:tc>
                <w:tcPr>
                  <w:tcW w:w="953" w:type="dxa"/>
                  <w:tcBorders>
                    <w:top w:val="single" w:color="auto" w:sz="4" w:space="0"/>
                    <w:left w:val="single" w:color="auto" w:sz="4" w:space="0"/>
                    <w:bottom w:val="single" w:color="auto" w:sz="4" w:space="0"/>
                    <w:right w:val="single" w:color="auto" w:sz="4" w:space="0"/>
                  </w:tcBorders>
                  <w:noWrap w:val="0"/>
                  <w:vAlign w:val="center"/>
                </w:tcPr>
                <w:p w14:paraId="0175422C">
                  <w:pPr>
                    <w:autoSpaceDE w:val="0"/>
                    <w:autoSpaceDN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iCs/>
                      <w:color w:val="auto"/>
                      <w:sz w:val="21"/>
                      <w:szCs w:val="21"/>
                    </w:rPr>
                    <w:t>1.38</w:t>
                  </w:r>
                </w:p>
              </w:tc>
              <w:tc>
                <w:tcPr>
                  <w:tcW w:w="953" w:type="dxa"/>
                  <w:tcBorders>
                    <w:top w:val="single" w:color="auto" w:sz="4" w:space="0"/>
                    <w:left w:val="single" w:color="auto" w:sz="4" w:space="0"/>
                    <w:bottom w:val="single" w:color="auto" w:sz="4" w:space="0"/>
                    <w:right w:val="single" w:color="auto" w:sz="4" w:space="0"/>
                  </w:tcBorders>
                  <w:noWrap w:val="0"/>
                  <w:vAlign w:val="center"/>
                </w:tcPr>
                <w:p w14:paraId="0F3B65B2">
                  <w:pPr>
                    <w:autoSpaceDE w:val="0"/>
                    <w:autoSpaceDN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iCs/>
                      <w:color w:val="auto"/>
                      <w:sz w:val="21"/>
                      <w:szCs w:val="21"/>
                    </w:rPr>
                    <w:t>1.30</w:t>
                  </w:r>
                </w:p>
              </w:tc>
              <w:tc>
                <w:tcPr>
                  <w:tcW w:w="953" w:type="dxa"/>
                  <w:tcBorders>
                    <w:top w:val="single" w:color="auto" w:sz="4" w:space="0"/>
                    <w:left w:val="single" w:color="auto" w:sz="4" w:space="0"/>
                    <w:bottom w:val="single" w:color="auto" w:sz="4" w:space="0"/>
                    <w:right w:val="single" w:color="auto" w:sz="4" w:space="0"/>
                  </w:tcBorders>
                  <w:noWrap w:val="0"/>
                  <w:vAlign w:val="center"/>
                </w:tcPr>
                <w:p w14:paraId="3581F9A9">
                  <w:pPr>
                    <w:autoSpaceDE w:val="0"/>
                    <w:autoSpaceDN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iCs/>
                      <w:color w:val="auto"/>
                      <w:sz w:val="21"/>
                      <w:szCs w:val="21"/>
                    </w:rPr>
                    <w:t>1.16</w:t>
                  </w:r>
                </w:p>
              </w:tc>
              <w:tc>
                <w:tcPr>
                  <w:tcW w:w="953" w:type="dxa"/>
                  <w:tcBorders>
                    <w:top w:val="single" w:color="auto" w:sz="4" w:space="0"/>
                    <w:left w:val="single" w:color="auto" w:sz="4" w:space="0"/>
                    <w:bottom w:val="single" w:color="auto" w:sz="4" w:space="0"/>
                    <w:right w:val="single" w:color="auto" w:sz="4" w:space="0"/>
                  </w:tcBorders>
                  <w:noWrap w:val="0"/>
                  <w:vAlign w:val="center"/>
                </w:tcPr>
                <w:p w14:paraId="53A32479">
                  <w:pPr>
                    <w:autoSpaceDE w:val="0"/>
                    <w:autoSpaceDN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iCs/>
                      <w:color w:val="auto"/>
                      <w:sz w:val="21"/>
                      <w:szCs w:val="21"/>
                    </w:rPr>
                    <w:t>1.16</w:t>
                  </w:r>
                </w:p>
              </w:tc>
              <w:tc>
                <w:tcPr>
                  <w:tcW w:w="953" w:type="dxa"/>
                  <w:tcBorders>
                    <w:top w:val="single" w:color="auto" w:sz="4" w:space="0"/>
                    <w:left w:val="single" w:color="auto" w:sz="4" w:space="0"/>
                    <w:bottom w:val="single" w:color="auto" w:sz="4" w:space="0"/>
                    <w:right w:val="single" w:color="auto" w:sz="4" w:space="0"/>
                  </w:tcBorders>
                  <w:noWrap w:val="0"/>
                  <w:vAlign w:val="center"/>
                </w:tcPr>
                <w:p w14:paraId="12B10601">
                  <w:pPr>
                    <w:autoSpaceDE w:val="0"/>
                    <w:autoSpaceDN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iCs/>
                      <w:color w:val="auto"/>
                      <w:sz w:val="21"/>
                      <w:szCs w:val="21"/>
                    </w:rPr>
                    <w:t>1.29</w:t>
                  </w:r>
                </w:p>
              </w:tc>
              <w:tc>
                <w:tcPr>
                  <w:tcW w:w="953" w:type="dxa"/>
                  <w:tcBorders>
                    <w:top w:val="single" w:color="auto" w:sz="4" w:space="0"/>
                    <w:left w:val="single" w:color="auto" w:sz="4" w:space="0"/>
                    <w:bottom w:val="single" w:color="auto" w:sz="4" w:space="0"/>
                    <w:right w:val="single" w:color="auto" w:sz="4" w:space="0"/>
                  </w:tcBorders>
                  <w:noWrap w:val="0"/>
                  <w:vAlign w:val="center"/>
                </w:tcPr>
                <w:p w14:paraId="34D87DE0">
                  <w:pPr>
                    <w:jc w:val="center"/>
                    <w:rPr>
                      <w:rFonts w:hint="default" w:ascii="Times New Roman" w:hAnsi="Times New Roman" w:eastAsia="宋体" w:cs="Times New Roman"/>
                      <w:iCs/>
                      <w:color w:val="auto"/>
                      <w:szCs w:val="21"/>
                      <w:lang w:val="en-US" w:eastAsia="zh-CN"/>
                    </w:rPr>
                  </w:pPr>
                  <w:r>
                    <w:rPr>
                      <w:rFonts w:hint="default" w:ascii="Times New Roman" w:hAnsi="Times New Roman" w:cs="Times New Roman"/>
                      <w:iCs/>
                      <w:color w:val="auto"/>
                      <w:sz w:val="21"/>
                      <w:szCs w:val="21"/>
                    </w:rPr>
                    <w:t>1.43</w:t>
                  </w:r>
                </w:p>
              </w:tc>
              <w:tc>
                <w:tcPr>
                  <w:tcW w:w="953" w:type="dxa"/>
                  <w:tcBorders>
                    <w:top w:val="single" w:color="auto" w:sz="4" w:space="0"/>
                    <w:left w:val="single" w:color="auto" w:sz="4" w:space="0"/>
                    <w:bottom w:val="single" w:color="auto" w:sz="4" w:space="0"/>
                  </w:tcBorders>
                  <w:noWrap w:val="0"/>
                  <w:vAlign w:val="center"/>
                </w:tcPr>
                <w:p w14:paraId="0DEB6C7F">
                  <w:pPr>
                    <w:jc w:val="center"/>
                    <w:rPr>
                      <w:rFonts w:hint="default" w:ascii="Times New Roman" w:hAnsi="Times New Roman" w:eastAsia="宋体" w:cs="Times New Roman"/>
                      <w:iCs/>
                      <w:color w:val="auto"/>
                      <w:szCs w:val="21"/>
                      <w:lang w:val="en-US" w:eastAsia="zh-CN"/>
                    </w:rPr>
                  </w:pPr>
                  <w:r>
                    <w:rPr>
                      <w:rFonts w:hint="default" w:ascii="Times New Roman" w:hAnsi="Times New Roman" w:cs="Times New Roman"/>
                      <w:iCs/>
                      <w:color w:val="auto"/>
                      <w:szCs w:val="21"/>
                    </w:rPr>
                    <w:t>1.20</w:t>
                  </w:r>
                </w:p>
              </w:tc>
            </w:tr>
            <w:tr w14:paraId="7BBB5E5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567" w:hRule="atLeast"/>
                <w:jc w:val="center"/>
              </w:trPr>
              <w:tc>
                <w:tcPr>
                  <w:tcW w:w="924" w:type="dxa"/>
                  <w:vMerge w:val="continue"/>
                  <w:tcBorders>
                    <w:top w:val="single" w:color="auto" w:sz="4" w:space="0"/>
                    <w:bottom w:val="single" w:color="auto" w:sz="12" w:space="0"/>
                    <w:right w:val="single" w:color="auto" w:sz="4" w:space="0"/>
                  </w:tcBorders>
                  <w:noWrap w:val="0"/>
                  <w:vAlign w:val="center"/>
                </w:tcPr>
                <w:p w14:paraId="79B13424">
                  <w:pPr>
                    <w:jc w:val="center"/>
                    <w:rPr>
                      <w:rFonts w:hint="default" w:ascii="Times New Roman" w:hAnsi="Times New Roman" w:cs="Times New Roman"/>
                      <w:color w:val="auto"/>
                    </w:rPr>
                  </w:pPr>
                </w:p>
              </w:tc>
              <w:tc>
                <w:tcPr>
                  <w:tcW w:w="1000" w:type="dxa"/>
                  <w:tcBorders>
                    <w:top w:val="single" w:color="auto" w:sz="4" w:space="0"/>
                    <w:left w:val="single" w:color="auto" w:sz="4" w:space="0"/>
                    <w:bottom w:val="single" w:color="auto" w:sz="12" w:space="0"/>
                    <w:right w:val="single" w:color="auto" w:sz="4" w:space="0"/>
                  </w:tcBorders>
                  <w:noWrap w:val="0"/>
                  <w:vAlign w:val="center"/>
                </w:tcPr>
                <w:p w14:paraId="59ECEAEF">
                  <w:pPr>
                    <w:jc w:val="center"/>
                    <w:rPr>
                      <w:rFonts w:hint="default" w:ascii="Times New Roman" w:hAnsi="Times New Roman" w:cs="Times New Roman"/>
                      <w:color w:val="auto"/>
                    </w:rPr>
                  </w:pPr>
                  <w:r>
                    <w:rPr>
                      <w:rFonts w:hint="default" w:ascii="Times New Roman" w:hAnsi="Times New Roman" w:cs="Times New Roman"/>
                      <w:color w:val="auto"/>
                      <w:szCs w:val="21"/>
                      <w:lang w:val="en-US" w:eastAsia="zh-CN"/>
                    </w:rPr>
                    <w:t>苯并[a]芘</w:t>
                  </w:r>
                </w:p>
              </w:tc>
              <w:tc>
                <w:tcPr>
                  <w:tcW w:w="953" w:type="dxa"/>
                  <w:tcBorders>
                    <w:top w:val="single" w:color="auto" w:sz="4" w:space="0"/>
                    <w:left w:val="single" w:color="auto" w:sz="4" w:space="0"/>
                    <w:bottom w:val="single" w:color="auto" w:sz="12" w:space="0"/>
                    <w:right w:val="single" w:color="auto" w:sz="4" w:space="0"/>
                  </w:tcBorders>
                  <w:noWrap w:val="0"/>
                  <w:vAlign w:val="center"/>
                </w:tcPr>
                <w:p w14:paraId="3DB64242">
                  <w:pPr>
                    <w:autoSpaceDE w:val="0"/>
                    <w:autoSpaceDN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&lt;</w:t>
                  </w:r>
                  <w:r>
                    <w:rPr>
                      <w:rFonts w:hint="default" w:ascii="Times New Roman" w:hAnsi="Times New Roman" w:cs="Times New Roman"/>
                      <w:color w:val="auto"/>
                      <w:szCs w:val="21"/>
                      <w:lang w:val="en-US" w:eastAsia="zh-CN"/>
                    </w:rPr>
                    <w:t>1.0×10</w:t>
                  </w:r>
                  <w:r>
                    <w:rPr>
                      <w:rFonts w:hint="default" w:ascii="Times New Roman" w:hAnsi="Times New Roman" w:cs="Times New Roman"/>
                      <w:color w:val="auto"/>
                      <w:szCs w:val="21"/>
                      <w:vertAlign w:val="superscript"/>
                      <w:lang w:val="en-US" w:eastAsia="zh-CN"/>
                    </w:rPr>
                    <w:t>-7</w:t>
                  </w:r>
                </w:p>
              </w:tc>
              <w:tc>
                <w:tcPr>
                  <w:tcW w:w="953" w:type="dxa"/>
                  <w:tcBorders>
                    <w:top w:val="single" w:color="auto" w:sz="4" w:space="0"/>
                    <w:left w:val="single" w:color="auto" w:sz="4" w:space="0"/>
                    <w:bottom w:val="single" w:color="auto" w:sz="12" w:space="0"/>
                    <w:right w:val="single" w:color="auto" w:sz="4" w:space="0"/>
                  </w:tcBorders>
                  <w:noWrap w:val="0"/>
                  <w:vAlign w:val="center"/>
                </w:tcPr>
                <w:p w14:paraId="2F2CBFDE">
                  <w:pPr>
                    <w:autoSpaceDE w:val="0"/>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&lt;</w:t>
                  </w:r>
                  <w:r>
                    <w:rPr>
                      <w:rFonts w:hint="default" w:ascii="Times New Roman" w:hAnsi="Times New Roman" w:cs="Times New Roman"/>
                      <w:color w:val="auto"/>
                      <w:szCs w:val="21"/>
                      <w:lang w:val="en-US" w:eastAsia="zh-CN"/>
                    </w:rPr>
                    <w:t>1.0×10</w:t>
                  </w:r>
                  <w:r>
                    <w:rPr>
                      <w:rFonts w:hint="default" w:ascii="Times New Roman" w:hAnsi="Times New Roman" w:cs="Times New Roman"/>
                      <w:color w:val="auto"/>
                      <w:szCs w:val="21"/>
                      <w:vertAlign w:val="superscript"/>
                      <w:lang w:val="en-US" w:eastAsia="zh-CN"/>
                    </w:rPr>
                    <w:t>-7</w:t>
                  </w:r>
                </w:p>
              </w:tc>
              <w:tc>
                <w:tcPr>
                  <w:tcW w:w="953" w:type="dxa"/>
                  <w:tcBorders>
                    <w:top w:val="single" w:color="auto" w:sz="4" w:space="0"/>
                    <w:left w:val="single" w:color="auto" w:sz="4" w:space="0"/>
                    <w:bottom w:val="single" w:color="auto" w:sz="12" w:space="0"/>
                    <w:right w:val="single" w:color="auto" w:sz="4" w:space="0"/>
                  </w:tcBorders>
                  <w:noWrap w:val="0"/>
                  <w:vAlign w:val="center"/>
                </w:tcPr>
                <w:p w14:paraId="05DC82D5">
                  <w:pPr>
                    <w:autoSpaceDE w:val="0"/>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&lt;</w:t>
                  </w:r>
                  <w:r>
                    <w:rPr>
                      <w:rFonts w:hint="default" w:ascii="Times New Roman" w:hAnsi="Times New Roman" w:cs="Times New Roman"/>
                      <w:color w:val="auto"/>
                      <w:szCs w:val="21"/>
                      <w:lang w:val="en-US" w:eastAsia="zh-CN"/>
                    </w:rPr>
                    <w:t>1.0×10</w:t>
                  </w:r>
                  <w:r>
                    <w:rPr>
                      <w:rFonts w:hint="default" w:ascii="Times New Roman" w:hAnsi="Times New Roman" w:cs="Times New Roman"/>
                      <w:color w:val="auto"/>
                      <w:szCs w:val="21"/>
                      <w:vertAlign w:val="superscript"/>
                      <w:lang w:val="en-US" w:eastAsia="zh-CN"/>
                    </w:rPr>
                    <w:t>-7</w:t>
                  </w:r>
                </w:p>
              </w:tc>
              <w:tc>
                <w:tcPr>
                  <w:tcW w:w="953" w:type="dxa"/>
                  <w:tcBorders>
                    <w:top w:val="single" w:color="auto" w:sz="4" w:space="0"/>
                    <w:left w:val="single" w:color="auto" w:sz="4" w:space="0"/>
                    <w:bottom w:val="single" w:color="auto" w:sz="12" w:space="0"/>
                    <w:right w:val="single" w:color="auto" w:sz="4" w:space="0"/>
                  </w:tcBorders>
                  <w:noWrap w:val="0"/>
                  <w:vAlign w:val="center"/>
                </w:tcPr>
                <w:p w14:paraId="5A312E9D">
                  <w:pPr>
                    <w:autoSpaceDE w:val="0"/>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&lt;</w:t>
                  </w:r>
                  <w:r>
                    <w:rPr>
                      <w:rFonts w:hint="default" w:ascii="Times New Roman" w:hAnsi="Times New Roman" w:cs="Times New Roman"/>
                      <w:color w:val="auto"/>
                      <w:szCs w:val="21"/>
                      <w:lang w:val="en-US" w:eastAsia="zh-CN"/>
                    </w:rPr>
                    <w:t>1.0×10</w:t>
                  </w:r>
                  <w:r>
                    <w:rPr>
                      <w:rFonts w:hint="default" w:ascii="Times New Roman" w:hAnsi="Times New Roman" w:cs="Times New Roman"/>
                      <w:color w:val="auto"/>
                      <w:szCs w:val="21"/>
                      <w:vertAlign w:val="superscript"/>
                      <w:lang w:val="en-US" w:eastAsia="zh-CN"/>
                    </w:rPr>
                    <w:t>-7</w:t>
                  </w:r>
                </w:p>
              </w:tc>
              <w:tc>
                <w:tcPr>
                  <w:tcW w:w="953" w:type="dxa"/>
                  <w:tcBorders>
                    <w:top w:val="single" w:color="auto" w:sz="4" w:space="0"/>
                    <w:left w:val="single" w:color="auto" w:sz="4" w:space="0"/>
                    <w:bottom w:val="single" w:color="auto" w:sz="12" w:space="0"/>
                    <w:right w:val="single" w:color="auto" w:sz="4" w:space="0"/>
                  </w:tcBorders>
                  <w:noWrap w:val="0"/>
                  <w:vAlign w:val="center"/>
                </w:tcPr>
                <w:p w14:paraId="0C5A5295">
                  <w:pPr>
                    <w:autoSpaceDE w:val="0"/>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&lt;</w:t>
                  </w:r>
                  <w:r>
                    <w:rPr>
                      <w:rFonts w:hint="default" w:ascii="Times New Roman" w:hAnsi="Times New Roman" w:cs="Times New Roman"/>
                      <w:color w:val="auto"/>
                      <w:szCs w:val="21"/>
                      <w:lang w:val="en-US" w:eastAsia="zh-CN"/>
                    </w:rPr>
                    <w:t>1.0×10</w:t>
                  </w:r>
                  <w:r>
                    <w:rPr>
                      <w:rFonts w:hint="default" w:ascii="Times New Roman" w:hAnsi="Times New Roman" w:cs="Times New Roman"/>
                      <w:color w:val="auto"/>
                      <w:szCs w:val="21"/>
                      <w:vertAlign w:val="superscript"/>
                      <w:lang w:val="en-US" w:eastAsia="zh-CN"/>
                    </w:rPr>
                    <w:t>-7</w:t>
                  </w:r>
                </w:p>
              </w:tc>
              <w:tc>
                <w:tcPr>
                  <w:tcW w:w="953" w:type="dxa"/>
                  <w:tcBorders>
                    <w:top w:val="single" w:color="auto" w:sz="4" w:space="0"/>
                    <w:left w:val="single" w:color="auto" w:sz="4" w:space="0"/>
                    <w:bottom w:val="single" w:color="auto" w:sz="12" w:space="0"/>
                    <w:right w:val="single" w:color="auto" w:sz="4" w:space="0"/>
                  </w:tcBorders>
                  <w:noWrap w:val="0"/>
                  <w:vAlign w:val="center"/>
                </w:tcPr>
                <w:p w14:paraId="51FEBA76">
                  <w:pPr>
                    <w:jc w:val="center"/>
                    <w:rPr>
                      <w:rFonts w:hint="default" w:ascii="Times New Roman" w:hAnsi="Times New Roman" w:cs="Times New Roman"/>
                      <w:iCs/>
                      <w:color w:val="auto"/>
                      <w:szCs w:val="21"/>
                    </w:rPr>
                  </w:pPr>
                  <w:r>
                    <w:rPr>
                      <w:rFonts w:hint="default" w:ascii="Times New Roman" w:hAnsi="Times New Roman" w:cs="Times New Roman"/>
                      <w:color w:val="auto"/>
                      <w:szCs w:val="21"/>
                    </w:rPr>
                    <w:t>&lt;</w:t>
                  </w:r>
                  <w:r>
                    <w:rPr>
                      <w:rFonts w:hint="default" w:ascii="Times New Roman" w:hAnsi="Times New Roman" w:cs="Times New Roman"/>
                      <w:color w:val="auto"/>
                      <w:szCs w:val="21"/>
                      <w:lang w:val="en-US" w:eastAsia="zh-CN"/>
                    </w:rPr>
                    <w:t>1.0×10</w:t>
                  </w:r>
                  <w:r>
                    <w:rPr>
                      <w:rFonts w:hint="default" w:ascii="Times New Roman" w:hAnsi="Times New Roman" w:cs="Times New Roman"/>
                      <w:color w:val="auto"/>
                      <w:szCs w:val="21"/>
                      <w:vertAlign w:val="superscript"/>
                      <w:lang w:val="en-US" w:eastAsia="zh-CN"/>
                    </w:rPr>
                    <w:t>-7</w:t>
                  </w:r>
                </w:p>
              </w:tc>
              <w:tc>
                <w:tcPr>
                  <w:tcW w:w="953" w:type="dxa"/>
                  <w:tcBorders>
                    <w:top w:val="single" w:color="auto" w:sz="4" w:space="0"/>
                    <w:left w:val="single" w:color="auto" w:sz="4" w:space="0"/>
                    <w:bottom w:val="single" w:color="auto" w:sz="12" w:space="0"/>
                  </w:tcBorders>
                  <w:noWrap w:val="0"/>
                  <w:vAlign w:val="center"/>
                </w:tcPr>
                <w:p w14:paraId="0F9B3245">
                  <w:pPr>
                    <w:jc w:val="center"/>
                    <w:rPr>
                      <w:rFonts w:hint="default" w:ascii="Times New Roman" w:hAnsi="Times New Roman" w:cs="Times New Roman"/>
                      <w:iCs/>
                      <w:color w:val="auto"/>
                      <w:szCs w:val="21"/>
                    </w:rPr>
                  </w:pPr>
                  <w:r>
                    <w:rPr>
                      <w:rFonts w:hint="default" w:ascii="Times New Roman" w:hAnsi="Times New Roman" w:cs="Times New Roman"/>
                      <w:color w:val="auto"/>
                      <w:szCs w:val="21"/>
                    </w:rPr>
                    <w:t>&lt;</w:t>
                  </w:r>
                  <w:r>
                    <w:rPr>
                      <w:rFonts w:hint="default" w:ascii="Times New Roman" w:hAnsi="Times New Roman" w:cs="Times New Roman"/>
                      <w:color w:val="auto"/>
                      <w:szCs w:val="21"/>
                      <w:lang w:val="en-US" w:eastAsia="zh-CN"/>
                    </w:rPr>
                    <w:t>1.0×10</w:t>
                  </w:r>
                  <w:r>
                    <w:rPr>
                      <w:rFonts w:hint="default" w:ascii="Times New Roman" w:hAnsi="Times New Roman" w:cs="Times New Roman"/>
                      <w:color w:val="auto"/>
                      <w:szCs w:val="21"/>
                      <w:vertAlign w:val="superscript"/>
                      <w:lang w:val="en-US" w:eastAsia="zh-CN"/>
                    </w:rPr>
                    <w:t>-7</w:t>
                  </w:r>
                </w:p>
              </w:tc>
            </w:tr>
          </w:tbl>
          <w:p w14:paraId="20571797">
            <w:pPr>
              <w:spacing w:line="360" w:lineRule="auto"/>
              <w:ind w:firstLine="482" w:firstLineChars="20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（3）大气环境质量现状评价</w:t>
            </w:r>
          </w:p>
          <w:p w14:paraId="57384888">
            <w:pPr>
              <w:spacing w:line="360" w:lineRule="auto"/>
              <w:ind w:firstLine="482" w:firstLineChars="20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1）评价因子</w:t>
            </w:r>
          </w:p>
          <w:p w14:paraId="77D6972F">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eastAsia="zh-CN"/>
              </w:rPr>
              <w:t>TSP、</w:t>
            </w:r>
            <w:r>
              <w:rPr>
                <w:rFonts w:hint="default" w:ascii="Times New Roman" w:hAnsi="Times New Roman" w:cs="Times New Roman"/>
                <w:color w:val="auto"/>
                <w:sz w:val="24"/>
                <w:szCs w:val="24"/>
                <w:lang w:val="en-US" w:eastAsia="zh-CN"/>
              </w:rPr>
              <w:t>非甲烷总烃</w:t>
            </w:r>
            <w:r>
              <w:rPr>
                <w:rFonts w:hint="default" w:ascii="Times New Roman" w:hAnsi="Times New Roman" w:cs="Times New Roman"/>
                <w:color w:val="auto"/>
                <w:sz w:val="24"/>
                <w:szCs w:val="24"/>
                <w:lang w:eastAsia="zh-CN"/>
              </w:rPr>
              <w:t>、苯并[a]芘</w:t>
            </w:r>
          </w:p>
          <w:p w14:paraId="279FE39E">
            <w:pPr>
              <w:spacing w:line="360" w:lineRule="auto"/>
              <w:ind w:firstLine="482" w:firstLineChars="20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2）评价标准</w:t>
            </w:r>
          </w:p>
          <w:p w14:paraId="6F3CB44E">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color w:val="auto"/>
                <w:sz w:val="24"/>
                <w:szCs w:val="24"/>
              </w:rPr>
              <w:t>《环境空气质量标准》（GB3095-2012）二级标准限值</w:t>
            </w:r>
          </w:p>
          <w:p w14:paraId="40EA71A9">
            <w:pPr>
              <w:spacing w:line="360" w:lineRule="auto"/>
              <w:ind w:firstLine="482" w:firstLineChars="20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3）评价方法</w:t>
            </w:r>
          </w:p>
          <w:p w14:paraId="2581AA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采用</w:t>
            </w:r>
            <w:r>
              <w:rPr>
                <w:rFonts w:hint="default" w:ascii="Times New Roman" w:hAnsi="Times New Roman" w:cs="Times New Roman"/>
                <w:color w:val="auto"/>
                <w:sz w:val="24"/>
                <w:szCs w:val="24"/>
                <w:lang w:val="en-US" w:eastAsia="zh-CN"/>
              </w:rPr>
              <w:t>最大浓度占标率</w:t>
            </w:r>
            <w:r>
              <w:rPr>
                <w:rFonts w:hint="default" w:ascii="Times New Roman" w:hAnsi="Times New Roman" w:eastAsia="宋体" w:cs="Times New Roman"/>
                <w:color w:val="auto"/>
                <w:sz w:val="24"/>
                <w:szCs w:val="24"/>
              </w:rPr>
              <w:t>法，公式为：</w:t>
            </w:r>
          </w:p>
          <w:p w14:paraId="617561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i/>
                <w:color w:val="auto"/>
                <w:sz w:val="24"/>
                <w:szCs w:val="24"/>
                <w:lang w:val="en-US" w:eastAsia="zh-CN"/>
              </w:rPr>
            </w:pPr>
            <w:r>
              <w:rPr>
                <w:rFonts w:hint="default" w:ascii="Times New Roman" w:hAnsi="Times New Roman" w:eastAsia="宋体" w:cs="Times New Roman"/>
                <w:i/>
                <w:color w:val="auto"/>
                <w:sz w:val="24"/>
                <w:szCs w:val="24"/>
              </w:rPr>
              <w:t>P</w:t>
            </w:r>
            <w:r>
              <w:rPr>
                <w:rFonts w:hint="default" w:ascii="Times New Roman" w:hAnsi="Times New Roman" w:eastAsia="宋体" w:cs="Times New Roman"/>
                <w:i/>
                <w:color w:val="auto"/>
                <w:sz w:val="24"/>
                <w:szCs w:val="24"/>
                <w:vertAlign w:val="subscript"/>
              </w:rPr>
              <w:t>i</w:t>
            </w:r>
            <w:r>
              <w:rPr>
                <w:rFonts w:hint="default" w:ascii="Times New Roman" w:hAnsi="Times New Roman" w:eastAsia="宋体" w:cs="Times New Roman"/>
                <w:color w:val="auto"/>
                <w:sz w:val="24"/>
                <w:szCs w:val="24"/>
              </w:rPr>
              <w:t xml:space="preserve"> =</w:t>
            </w:r>
            <m:oMath>
              <m:r>
                <m:rPr>
                  <m:nor/>
                  <m:sty m:val="p"/>
                </m:rPr>
                <w:rPr>
                  <w:rFonts w:hint="default" w:ascii="Times New Roman" w:hAnsi="Times New Roman" w:cs="Times New Roman"/>
                  <w:b w:val="0"/>
                  <w:i w:val="0"/>
                  <w:color w:val="auto"/>
                  <w:sz w:val="24"/>
                  <w:szCs w:val="24"/>
                  <w:lang w:eastAsia="zh-CN"/>
                </w:rPr>
                <m:t>（</m:t>
              </m:r>
              <m:r>
                <m:rPr>
                  <m:nor/>
                </m:rPr>
                <w:rPr>
                  <w:rFonts w:hint="default" w:ascii="Times New Roman" w:hAnsi="Times New Roman" w:cs="Times New Roman"/>
                  <w:i/>
                  <w:color w:val="auto"/>
                  <w:szCs w:val="24"/>
                </w:rPr>
                <m:t>C</m:t>
              </m:r>
              <m:r>
                <m:rPr>
                  <m:nor/>
                </m:rPr>
                <w:rPr>
                  <w:rFonts w:hint="default" w:ascii="Times New Roman" w:hAnsi="Times New Roman" w:cs="Times New Roman"/>
                  <w:i/>
                  <w:color w:val="auto"/>
                  <w:szCs w:val="24"/>
                  <w:vertAlign w:val="subscript"/>
                </w:rPr>
                <m:t>i</m:t>
              </m:r>
              <m:r>
                <m:rPr>
                  <m:nor/>
                  <m:sty m:val="p"/>
                </m:rPr>
                <w:rPr>
                  <w:rFonts w:hint="default" w:ascii="Times New Roman" w:hAnsi="Times New Roman" w:cs="Times New Roman"/>
                  <w:b w:val="0"/>
                  <w:i w:val="0"/>
                  <w:color w:val="auto"/>
                  <w:szCs w:val="24"/>
                </w:rPr>
                <m:t>/</m:t>
              </m:r>
              <m:r>
                <m:rPr>
                  <m:nor/>
                </m:rPr>
                <w:rPr>
                  <w:rFonts w:hint="default" w:ascii="Times New Roman" w:hAnsi="Times New Roman" w:cs="Times New Roman"/>
                  <w:i/>
                  <w:color w:val="auto"/>
                  <w:szCs w:val="24"/>
                </w:rPr>
                <m:t>S</m:t>
              </m:r>
              <m:r>
                <m:rPr>
                  <m:nor/>
                </m:rPr>
                <w:rPr>
                  <w:rFonts w:hint="default" w:ascii="Times New Roman" w:hAnsi="Times New Roman" w:cs="Times New Roman"/>
                  <w:i/>
                  <w:color w:val="auto"/>
                  <w:szCs w:val="24"/>
                  <w:vertAlign w:val="subscript"/>
                </w:rPr>
                <m:t>i</m:t>
              </m:r>
              <m:r>
                <m:rPr>
                  <m:nor/>
                  <m:sty m:val="p"/>
                </m:rPr>
                <w:rPr>
                  <w:rFonts w:hint="default" w:ascii="Times New Roman" w:hAnsi="Times New Roman" w:cs="Times New Roman"/>
                  <w:b w:val="0"/>
                  <w:i w:val="0"/>
                  <w:color w:val="auto"/>
                  <w:szCs w:val="24"/>
                  <w:vertAlign w:val="subscript"/>
                  <w:lang w:eastAsia="zh-CN"/>
                </w:rPr>
                <m:t>）</m:t>
              </m:r>
              <m:r>
                <m:rPr>
                  <m:nor/>
                  <m:sty m:val="p"/>
                </m:rPr>
                <w:rPr>
                  <w:rFonts w:hint="default" w:ascii="Times New Roman" w:hAnsi="Times New Roman" w:cs="Times New Roman"/>
                  <w:b w:val="0"/>
                  <w:i w:val="0"/>
                  <w:color w:val="auto"/>
                  <w:sz w:val="24"/>
                  <w:szCs w:val="36"/>
                </w:rPr>
                <m:t>×</m:t>
              </m:r>
              <m:r>
                <m:rPr>
                  <m:nor/>
                  <m:sty m:val="p"/>
                </m:rPr>
                <w:rPr>
                  <w:rFonts w:hint="default" w:ascii="Times New Roman" w:hAnsi="Times New Roman" w:cs="Times New Roman"/>
                  <w:b w:val="0"/>
                  <w:i w:val="0"/>
                  <w:color w:val="auto"/>
                  <w:sz w:val="24"/>
                  <w:szCs w:val="36"/>
                  <w:lang w:val="en-US" w:eastAsia="zh-CN"/>
                </w:rPr>
                <m:t>1</m:t>
              </m:r>
            </m:oMath>
            <w:r>
              <w:rPr>
                <w:rFonts w:hint="default" w:ascii="Times New Roman" w:hAnsi="Times New Roman" w:cs="Times New Roman"/>
                <w:i w:val="0"/>
                <w:iCs/>
                <w:color w:val="auto"/>
                <w:sz w:val="24"/>
                <w:szCs w:val="36"/>
                <w:lang w:val="en-US" w:eastAsia="zh-CN"/>
              </w:rPr>
              <w:t>00%</w:t>
            </w:r>
          </w:p>
          <w:p w14:paraId="380DAD75">
            <w:pPr>
              <w:pStyle w:val="1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color w:val="auto"/>
                <w:sz w:val="24"/>
                <w:szCs w:val="24"/>
              </w:rPr>
              <w:t>P</w:t>
            </w:r>
            <w:r>
              <w:rPr>
                <w:rFonts w:hint="default" w:ascii="Times New Roman" w:hAnsi="Times New Roman" w:eastAsia="宋体" w:cs="Times New Roman"/>
                <w:i/>
                <w:color w:val="auto"/>
                <w:sz w:val="24"/>
                <w:szCs w:val="24"/>
                <w:vertAlign w:val="subscript"/>
              </w:rPr>
              <w:t>i</w:t>
            </w:r>
            <w:r>
              <w:rPr>
                <w:rFonts w:hint="default" w:ascii="Times New Roman" w:hAnsi="Times New Roman" w:eastAsia="宋体" w:cs="Times New Roman"/>
                <w:color w:val="auto"/>
                <w:sz w:val="24"/>
                <w:szCs w:val="24"/>
              </w:rPr>
              <w:t>——第</w:t>
            </w:r>
            <w:r>
              <w:rPr>
                <w:rFonts w:hint="default" w:ascii="Times New Roman" w:hAnsi="Times New Roman" w:eastAsia="宋体" w:cs="Times New Roman"/>
                <w:i/>
                <w:color w:val="auto"/>
                <w:sz w:val="24"/>
                <w:szCs w:val="24"/>
              </w:rPr>
              <w:t>i</w:t>
            </w:r>
            <w:r>
              <w:rPr>
                <w:rFonts w:hint="default" w:ascii="Times New Roman" w:hAnsi="Times New Roman" w:eastAsia="宋体" w:cs="Times New Roman"/>
                <w:color w:val="auto"/>
                <w:sz w:val="24"/>
                <w:szCs w:val="24"/>
              </w:rPr>
              <w:t>个污染物</w:t>
            </w:r>
            <w:r>
              <w:rPr>
                <w:rFonts w:hint="default" w:ascii="Times New Roman" w:hAnsi="Times New Roman" w:cs="Times New Roman"/>
                <w:color w:val="auto"/>
                <w:sz w:val="24"/>
                <w:szCs w:val="24"/>
                <w:lang w:eastAsia="zh-CN"/>
              </w:rPr>
              <w:t>的</w:t>
            </w:r>
            <w:r>
              <w:rPr>
                <w:rFonts w:hint="default" w:ascii="Times New Roman" w:hAnsi="Times New Roman" w:cs="Times New Roman"/>
                <w:color w:val="auto"/>
                <w:sz w:val="24"/>
                <w:szCs w:val="24"/>
                <w:lang w:val="en-US" w:eastAsia="zh-CN"/>
              </w:rPr>
              <w:t>最大地面空气浓度占标率</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val="en-US" w:eastAsia="zh-CN"/>
              </w:rPr>
              <w:t>%</w:t>
            </w:r>
          </w:p>
          <w:p w14:paraId="3B879628">
            <w:pPr>
              <w:pStyle w:val="1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宋体" w:cs="Times New Roman"/>
                <w:i/>
                <w:iCs/>
                <w:color w:val="auto"/>
                <w:sz w:val="24"/>
                <w:szCs w:val="24"/>
              </w:rPr>
            </w:pPr>
            <w:r>
              <w:rPr>
                <w:rFonts w:hint="default" w:ascii="Times New Roman" w:hAnsi="Times New Roman" w:eastAsia="宋体" w:cs="Times New Roman"/>
                <w:i/>
                <w:color w:val="auto"/>
                <w:sz w:val="24"/>
                <w:szCs w:val="24"/>
              </w:rPr>
              <w:t>C</w:t>
            </w:r>
            <w:r>
              <w:rPr>
                <w:rFonts w:hint="default" w:ascii="Times New Roman" w:hAnsi="Times New Roman" w:eastAsia="宋体" w:cs="Times New Roman"/>
                <w:i/>
                <w:color w:val="auto"/>
                <w:sz w:val="24"/>
                <w:szCs w:val="24"/>
                <w:vertAlign w:val="subscript"/>
              </w:rPr>
              <w:t>i</w:t>
            </w:r>
            <w:r>
              <w:rPr>
                <w:rFonts w:hint="default" w:ascii="Times New Roman" w:hAnsi="Times New Roman" w:eastAsia="宋体" w:cs="Times New Roman"/>
                <w:color w:val="auto"/>
                <w:sz w:val="24"/>
                <w:szCs w:val="24"/>
              </w:rPr>
              <w:t>——第</w:t>
            </w:r>
            <w:r>
              <w:rPr>
                <w:rFonts w:hint="default" w:ascii="Times New Roman" w:hAnsi="Times New Roman" w:eastAsia="宋体" w:cs="Times New Roman"/>
                <w:i/>
                <w:color w:val="auto"/>
                <w:sz w:val="24"/>
                <w:szCs w:val="24"/>
              </w:rPr>
              <w:t>i</w:t>
            </w:r>
            <w:r>
              <w:rPr>
                <w:rFonts w:hint="default" w:ascii="Times New Roman" w:hAnsi="Times New Roman" w:eastAsia="宋体" w:cs="Times New Roman"/>
                <w:color w:val="auto"/>
                <w:sz w:val="24"/>
                <w:szCs w:val="24"/>
              </w:rPr>
              <w:t>个污染物实测浓度值，mg/m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14:paraId="5E4CDD1D">
            <w:pPr>
              <w:pStyle w:val="1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S</w:t>
            </w:r>
            <w:r>
              <w:rPr>
                <w:rFonts w:hint="default" w:ascii="Times New Roman" w:hAnsi="Times New Roman" w:eastAsia="宋体" w:cs="Times New Roman"/>
                <w:i/>
                <w:color w:val="auto"/>
                <w:sz w:val="24"/>
                <w:szCs w:val="24"/>
                <w:vertAlign w:val="subscript"/>
              </w:rPr>
              <w:t>i</w:t>
            </w:r>
            <w:r>
              <w:rPr>
                <w:rFonts w:hint="default" w:ascii="Times New Roman" w:hAnsi="Times New Roman" w:eastAsia="宋体" w:cs="Times New Roman"/>
                <w:color w:val="auto"/>
                <w:sz w:val="24"/>
                <w:szCs w:val="24"/>
              </w:rPr>
              <w:t>——第</w:t>
            </w:r>
            <w:r>
              <w:rPr>
                <w:rFonts w:hint="default" w:ascii="Times New Roman" w:hAnsi="Times New Roman" w:eastAsia="宋体" w:cs="Times New Roman"/>
                <w:i/>
                <w:color w:val="auto"/>
                <w:sz w:val="24"/>
                <w:szCs w:val="24"/>
              </w:rPr>
              <w:t>i</w:t>
            </w:r>
            <w:r>
              <w:rPr>
                <w:rFonts w:hint="default" w:ascii="Times New Roman" w:hAnsi="Times New Roman" w:eastAsia="宋体" w:cs="Times New Roman"/>
                <w:color w:val="auto"/>
                <w:sz w:val="24"/>
                <w:szCs w:val="24"/>
              </w:rPr>
              <w:t>个污染物评价标准限值，mg/m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14:paraId="762AE6C4">
            <w:pPr>
              <w:pStyle w:val="1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cs="Times New Roman" w:eastAsiaTheme="minorEastAsia"/>
                <w:color w:val="auto"/>
                <w:sz w:val="24"/>
                <w:szCs w:val="24"/>
              </w:rPr>
            </w:pPr>
            <w:r>
              <w:rPr>
                <w:rFonts w:hint="default" w:ascii="Times New Roman" w:hAnsi="Times New Roman" w:eastAsia="宋体" w:cs="Times New Roman"/>
                <w:color w:val="auto"/>
                <w:sz w:val="24"/>
                <w:szCs w:val="24"/>
              </w:rPr>
              <w:t>当</w:t>
            </w:r>
            <w:r>
              <w:rPr>
                <w:rFonts w:hint="default" w:ascii="Times New Roman" w:hAnsi="Times New Roman" w:eastAsia="宋体" w:cs="Times New Roman"/>
                <w:i/>
                <w:color w:val="auto"/>
                <w:sz w:val="24"/>
                <w:szCs w:val="24"/>
              </w:rPr>
              <w:t>P</w:t>
            </w:r>
            <w:r>
              <w:rPr>
                <w:rFonts w:hint="default" w:ascii="Times New Roman" w:hAnsi="Times New Roman" w:eastAsia="宋体" w:cs="Times New Roman"/>
                <w:i/>
                <w:color w:val="auto"/>
                <w:sz w:val="24"/>
                <w:szCs w:val="24"/>
                <w:vertAlign w:val="subscript"/>
              </w:rPr>
              <w:t>i</w:t>
            </w:r>
            <w:r>
              <w:rPr>
                <w:rFonts w:hint="default" w:ascii="Times New Roman" w:hAnsi="Times New Roman" w:eastAsia="宋体" w:cs="Times New Roman"/>
                <w:color w:val="auto"/>
                <w:sz w:val="24"/>
                <w:szCs w:val="24"/>
              </w:rPr>
              <w:t>值大于1</w:t>
            </w:r>
            <w:r>
              <w:rPr>
                <w:rFonts w:hint="default" w:ascii="Times New Roman" w:hAnsi="Times New Roman" w:cs="Times New Roman"/>
                <w:color w:val="auto"/>
                <w:sz w:val="24"/>
                <w:szCs w:val="24"/>
                <w:lang w:val="en-US" w:eastAsia="zh-CN"/>
              </w:rPr>
              <w:t>.0</w:t>
            </w:r>
            <w:r>
              <w:rPr>
                <w:rFonts w:hint="default" w:ascii="Times New Roman" w:hAnsi="Times New Roman" w:eastAsia="宋体" w:cs="Times New Roman"/>
                <w:color w:val="auto"/>
                <w:sz w:val="24"/>
                <w:szCs w:val="24"/>
              </w:rPr>
              <w:t>时，表明大气环境已受到该项评价因子所表征的污染物的污染。</w:t>
            </w:r>
            <w:r>
              <w:rPr>
                <w:rFonts w:hint="default" w:ascii="Times New Roman" w:hAnsi="Times New Roman" w:eastAsia="宋体" w:cs="Times New Roman"/>
                <w:i/>
                <w:color w:val="auto"/>
                <w:sz w:val="24"/>
                <w:szCs w:val="24"/>
              </w:rPr>
              <w:t>P</w:t>
            </w:r>
            <w:r>
              <w:rPr>
                <w:rFonts w:hint="default" w:ascii="Times New Roman" w:hAnsi="Times New Roman" w:eastAsia="宋体" w:cs="Times New Roman"/>
                <w:i/>
                <w:color w:val="auto"/>
                <w:sz w:val="24"/>
                <w:szCs w:val="24"/>
                <w:vertAlign w:val="subscript"/>
              </w:rPr>
              <w:t>i</w:t>
            </w:r>
            <w:r>
              <w:rPr>
                <w:rFonts w:hint="default" w:ascii="Times New Roman" w:hAnsi="Times New Roman" w:eastAsia="宋体" w:cs="Times New Roman"/>
                <w:color w:val="auto"/>
                <w:sz w:val="24"/>
                <w:szCs w:val="24"/>
              </w:rPr>
              <w:t>值越大，受污染程度越重；</w:t>
            </w:r>
            <w:r>
              <w:rPr>
                <w:rFonts w:hint="default" w:ascii="Times New Roman" w:hAnsi="Times New Roman" w:eastAsia="宋体" w:cs="Times New Roman"/>
                <w:i/>
                <w:color w:val="auto"/>
                <w:sz w:val="24"/>
                <w:szCs w:val="24"/>
              </w:rPr>
              <w:t>P</w:t>
            </w:r>
            <w:r>
              <w:rPr>
                <w:rFonts w:hint="default" w:ascii="Times New Roman" w:hAnsi="Times New Roman" w:eastAsia="宋体" w:cs="Times New Roman"/>
                <w:i/>
                <w:color w:val="auto"/>
                <w:sz w:val="24"/>
                <w:szCs w:val="24"/>
                <w:vertAlign w:val="subscript"/>
              </w:rPr>
              <w:t>i</w:t>
            </w:r>
            <w:r>
              <w:rPr>
                <w:rFonts w:hint="default" w:ascii="Times New Roman" w:hAnsi="Times New Roman" w:eastAsia="宋体" w:cs="Times New Roman"/>
                <w:color w:val="auto"/>
                <w:sz w:val="24"/>
                <w:szCs w:val="24"/>
              </w:rPr>
              <w:t>值越小，受污染程度越轻。</w:t>
            </w:r>
          </w:p>
          <w:p w14:paraId="131F4561">
            <w:pPr>
              <w:spacing w:line="360" w:lineRule="auto"/>
              <w:ind w:firstLine="482" w:firstLineChars="20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4）评价结果</w:t>
            </w:r>
          </w:p>
          <w:p w14:paraId="08EDB01F">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本项目所在区域大气环境质量现状评价结果见表3-</w:t>
            </w: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w:t>
            </w:r>
          </w:p>
          <w:p w14:paraId="3A8F14E0">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lang w:val="en-US" w:eastAsia="zh-CN" w:bidi="ar-SA"/>
              </w:rPr>
            </w:pPr>
            <w:r>
              <w:rPr>
                <w:rFonts w:hint="default" w:ascii="Times New Roman" w:hAnsi="Times New Roman" w:eastAsia="黑体" w:cs="Times New Roman"/>
                <w:b/>
                <w:bCs/>
                <w:color w:val="auto"/>
                <w:kern w:val="0"/>
                <w:sz w:val="21"/>
                <w:szCs w:val="21"/>
                <w:lang w:val="en-US" w:eastAsia="zh-CN" w:bidi="ar-SA"/>
              </w:rPr>
              <w:t>表3-3 大气环境质量现状评价结果</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94"/>
              <w:gridCol w:w="1874"/>
              <w:gridCol w:w="1473"/>
              <w:gridCol w:w="1297"/>
              <w:gridCol w:w="1089"/>
              <w:gridCol w:w="1532"/>
            </w:tblGrid>
            <w:tr w14:paraId="6DE07A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1294" w:type="dxa"/>
                  <w:tcBorders>
                    <w:tl2br w:val="nil"/>
                    <w:tr2bl w:val="nil"/>
                  </w:tcBorders>
                  <w:vAlign w:val="center"/>
                </w:tcPr>
                <w:p w14:paraId="6CD4B1AE">
                  <w:pPr>
                    <w:pStyle w:val="57"/>
                    <w:rPr>
                      <w:rFonts w:hint="default" w:ascii="Times New Roman" w:hAnsi="Times New Roman" w:cs="Times New Roman"/>
                      <w:bCs/>
                      <w:color w:val="auto"/>
                      <w:szCs w:val="21"/>
                    </w:rPr>
                  </w:pPr>
                  <w:r>
                    <w:rPr>
                      <w:rFonts w:hint="default" w:ascii="Times New Roman" w:hAnsi="Times New Roman" w:cs="Times New Roman"/>
                      <w:bCs/>
                      <w:color w:val="auto"/>
                      <w:szCs w:val="21"/>
                    </w:rPr>
                    <w:t>评价因子</w:t>
                  </w:r>
                </w:p>
              </w:tc>
              <w:tc>
                <w:tcPr>
                  <w:tcW w:w="1874" w:type="dxa"/>
                  <w:tcBorders>
                    <w:tl2br w:val="nil"/>
                    <w:tr2bl w:val="nil"/>
                  </w:tcBorders>
                  <w:vAlign w:val="center"/>
                </w:tcPr>
                <w:p w14:paraId="249C220E">
                  <w:pPr>
                    <w:pStyle w:val="57"/>
                    <w:rPr>
                      <w:rFonts w:hint="default" w:ascii="Times New Roman" w:hAnsi="Times New Roman" w:cs="Times New Roman"/>
                      <w:bCs/>
                      <w:color w:val="auto"/>
                      <w:szCs w:val="21"/>
                    </w:rPr>
                  </w:pPr>
                  <w:r>
                    <w:rPr>
                      <w:rFonts w:hint="default" w:ascii="Times New Roman" w:hAnsi="Times New Roman" w:cs="Times New Roman"/>
                      <w:bCs/>
                      <w:color w:val="auto"/>
                      <w:szCs w:val="21"/>
                    </w:rPr>
                    <w:t>浓度max（mg/m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w:t>
                  </w:r>
                </w:p>
              </w:tc>
              <w:tc>
                <w:tcPr>
                  <w:tcW w:w="1473" w:type="dxa"/>
                  <w:tcBorders>
                    <w:tl2br w:val="nil"/>
                    <w:tr2bl w:val="nil"/>
                  </w:tcBorders>
                  <w:vAlign w:val="center"/>
                </w:tcPr>
                <w:p w14:paraId="6CD7B5BE">
                  <w:pPr>
                    <w:pStyle w:val="55"/>
                    <w:rPr>
                      <w:rFonts w:hint="default" w:ascii="Times New Roman" w:hAnsi="Times New Roman" w:cs="Times New Roman"/>
                      <w:b/>
                      <w:color w:val="auto"/>
                      <w:sz w:val="21"/>
                    </w:rPr>
                  </w:pPr>
                  <w:r>
                    <w:rPr>
                      <w:rFonts w:hint="default" w:ascii="Times New Roman" w:hAnsi="Times New Roman" w:cs="Times New Roman"/>
                      <w:b/>
                      <w:color w:val="auto"/>
                      <w:sz w:val="21"/>
                    </w:rPr>
                    <w:t>标准值（mg/m</w:t>
                  </w:r>
                  <w:r>
                    <w:rPr>
                      <w:rFonts w:hint="default" w:ascii="Times New Roman" w:hAnsi="Times New Roman" w:cs="Times New Roman"/>
                      <w:b/>
                      <w:color w:val="auto"/>
                      <w:sz w:val="21"/>
                      <w:vertAlign w:val="superscript"/>
                    </w:rPr>
                    <w:t>3</w:t>
                  </w:r>
                  <w:r>
                    <w:rPr>
                      <w:rFonts w:hint="default" w:ascii="Times New Roman" w:hAnsi="Times New Roman" w:cs="Times New Roman"/>
                      <w:b/>
                      <w:color w:val="auto"/>
                      <w:sz w:val="21"/>
                    </w:rPr>
                    <w:t>）</w:t>
                  </w:r>
                </w:p>
              </w:tc>
              <w:tc>
                <w:tcPr>
                  <w:tcW w:w="1297" w:type="dxa"/>
                  <w:tcBorders>
                    <w:tl2br w:val="nil"/>
                    <w:tr2bl w:val="nil"/>
                  </w:tcBorders>
                  <w:vAlign w:val="center"/>
                </w:tcPr>
                <w:p w14:paraId="5D2598B5">
                  <w:pPr>
                    <w:pStyle w:val="57"/>
                    <w:rPr>
                      <w:rFonts w:hint="default" w:ascii="Times New Roman" w:hAnsi="Times New Roman" w:eastAsia="宋体" w:cs="Times New Roman"/>
                      <w:bCs/>
                      <w:color w:val="auto"/>
                      <w:szCs w:val="21"/>
                      <w:lang w:eastAsia="zh-CN"/>
                    </w:rPr>
                  </w:pPr>
                  <w:r>
                    <w:rPr>
                      <w:rFonts w:hint="default" w:ascii="Times New Roman" w:hAnsi="Times New Roman" w:cs="Times New Roman"/>
                      <w:bCs/>
                      <w:i/>
                      <w:color w:val="auto"/>
                      <w:szCs w:val="21"/>
                    </w:rPr>
                    <w:t>P</w:t>
                  </w:r>
                  <w:r>
                    <w:rPr>
                      <w:rFonts w:hint="default" w:ascii="Times New Roman" w:hAnsi="Times New Roman" w:cs="Times New Roman"/>
                      <w:bCs/>
                      <w:i/>
                      <w:color w:val="auto"/>
                      <w:szCs w:val="21"/>
                      <w:vertAlign w:val="subscript"/>
                    </w:rPr>
                    <w:t>max</w:t>
                  </w:r>
                  <w:r>
                    <w:rPr>
                      <w:rFonts w:hint="default" w:ascii="Times New Roman" w:hAnsi="Times New Roman" w:cs="Times New Roman"/>
                      <w:bCs/>
                      <w:i w:val="0"/>
                      <w:iCs/>
                      <w:color w:val="auto"/>
                      <w:szCs w:val="21"/>
                      <w:vertAlign w:val="baseline"/>
                      <w:lang w:eastAsia="zh-CN"/>
                    </w:rPr>
                    <w:t>（</w:t>
                  </w:r>
                  <w:r>
                    <w:rPr>
                      <w:rFonts w:hint="default" w:ascii="Times New Roman" w:hAnsi="Times New Roman" w:cs="Times New Roman"/>
                      <w:bCs/>
                      <w:i w:val="0"/>
                      <w:iCs/>
                      <w:color w:val="auto"/>
                      <w:szCs w:val="21"/>
                      <w:vertAlign w:val="baseline"/>
                      <w:lang w:val="en-US" w:eastAsia="zh-CN"/>
                    </w:rPr>
                    <w:t>%</w:t>
                  </w:r>
                  <w:r>
                    <w:rPr>
                      <w:rFonts w:hint="default" w:ascii="Times New Roman" w:hAnsi="Times New Roman" w:cs="Times New Roman"/>
                      <w:bCs/>
                      <w:i w:val="0"/>
                      <w:iCs/>
                      <w:color w:val="auto"/>
                      <w:szCs w:val="21"/>
                      <w:vertAlign w:val="baseline"/>
                      <w:lang w:eastAsia="zh-CN"/>
                    </w:rPr>
                    <w:t>）</w:t>
                  </w:r>
                </w:p>
              </w:tc>
              <w:tc>
                <w:tcPr>
                  <w:tcW w:w="1089" w:type="dxa"/>
                  <w:tcBorders>
                    <w:tl2br w:val="nil"/>
                    <w:tr2bl w:val="nil"/>
                  </w:tcBorders>
                  <w:vAlign w:val="center"/>
                </w:tcPr>
                <w:p w14:paraId="093A8E18">
                  <w:pPr>
                    <w:pStyle w:val="57"/>
                    <w:rPr>
                      <w:rFonts w:hint="default" w:ascii="Times New Roman" w:hAnsi="Times New Roman" w:cs="Times New Roman"/>
                      <w:bCs/>
                      <w:color w:val="auto"/>
                      <w:szCs w:val="21"/>
                    </w:rPr>
                  </w:pPr>
                  <w:r>
                    <w:rPr>
                      <w:rFonts w:hint="default" w:ascii="Times New Roman" w:hAnsi="Times New Roman" w:cs="Times New Roman"/>
                      <w:bCs/>
                      <w:color w:val="auto"/>
                      <w:szCs w:val="21"/>
                    </w:rPr>
                    <w:t>超标个数</w:t>
                  </w:r>
                </w:p>
              </w:tc>
              <w:tc>
                <w:tcPr>
                  <w:tcW w:w="1532" w:type="dxa"/>
                  <w:tcBorders>
                    <w:tl2br w:val="nil"/>
                    <w:tr2bl w:val="nil"/>
                  </w:tcBorders>
                  <w:vAlign w:val="center"/>
                </w:tcPr>
                <w:p w14:paraId="5289AC55">
                  <w:pPr>
                    <w:pStyle w:val="57"/>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达标情况</w:t>
                  </w:r>
                </w:p>
              </w:tc>
            </w:tr>
            <w:tr w14:paraId="4D288D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94" w:type="dxa"/>
                  <w:tcBorders>
                    <w:tl2br w:val="nil"/>
                    <w:tr2bl w:val="nil"/>
                  </w:tcBorders>
                  <w:shd w:val="clear" w:color="auto" w:fill="auto"/>
                  <w:vAlign w:val="center"/>
                </w:tcPr>
                <w:p w14:paraId="3843F3F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TSP</w:t>
                  </w:r>
                </w:p>
              </w:tc>
              <w:tc>
                <w:tcPr>
                  <w:tcW w:w="1874" w:type="dxa"/>
                  <w:tcBorders>
                    <w:tl2br w:val="nil"/>
                    <w:tr2bl w:val="nil"/>
                  </w:tcBorders>
                  <w:shd w:val="clear" w:color="auto" w:fill="auto"/>
                  <w:vAlign w:val="center"/>
                </w:tcPr>
                <w:p w14:paraId="3E0C621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0.145</w:t>
                  </w:r>
                </w:p>
              </w:tc>
              <w:tc>
                <w:tcPr>
                  <w:tcW w:w="1473" w:type="dxa"/>
                  <w:tcBorders>
                    <w:tl2br w:val="nil"/>
                    <w:tr2bl w:val="nil"/>
                  </w:tcBorders>
                  <w:shd w:val="clear" w:color="auto" w:fill="auto"/>
                  <w:vAlign w:val="top"/>
                </w:tcPr>
                <w:p w14:paraId="34948B89">
                  <w:pPr>
                    <w:pStyle w:val="57"/>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cs="Times New Roman"/>
                      <w:b w:val="0"/>
                      <w:color w:val="auto"/>
                      <w:szCs w:val="21"/>
                      <w:lang w:val="en-US" w:eastAsia="zh-CN"/>
                    </w:rPr>
                    <w:t>0.3</w:t>
                  </w:r>
                </w:p>
              </w:tc>
              <w:tc>
                <w:tcPr>
                  <w:tcW w:w="1297" w:type="dxa"/>
                  <w:tcBorders>
                    <w:tl2br w:val="nil"/>
                    <w:tr2bl w:val="nil"/>
                  </w:tcBorders>
                  <w:shd w:val="clear" w:color="auto" w:fill="auto"/>
                  <w:vAlign w:val="center"/>
                </w:tcPr>
                <w:p w14:paraId="1722A559">
                  <w:pPr>
                    <w:pStyle w:val="57"/>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cs="Times New Roman"/>
                      <w:b w:val="0"/>
                      <w:color w:val="auto"/>
                      <w:kern w:val="2"/>
                      <w:sz w:val="21"/>
                      <w:szCs w:val="21"/>
                      <w:lang w:val="en-US" w:eastAsia="zh-CN" w:bidi="ar-SA"/>
                    </w:rPr>
                    <w:t>48.3</w:t>
                  </w:r>
                </w:p>
              </w:tc>
              <w:tc>
                <w:tcPr>
                  <w:tcW w:w="1089" w:type="dxa"/>
                  <w:tcBorders>
                    <w:tl2br w:val="nil"/>
                    <w:tr2bl w:val="nil"/>
                  </w:tcBorders>
                  <w:shd w:val="clear" w:color="auto" w:fill="auto"/>
                  <w:vAlign w:val="center"/>
                </w:tcPr>
                <w:p w14:paraId="00772B4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c>
                <w:tcPr>
                  <w:tcW w:w="1532" w:type="dxa"/>
                  <w:tcBorders>
                    <w:tl2br w:val="nil"/>
                    <w:tr2bl w:val="nil"/>
                  </w:tcBorders>
                  <w:shd w:val="clear" w:color="auto" w:fill="auto"/>
                  <w:vAlign w:val="center"/>
                </w:tcPr>
                <w:p w14:paraId="6190BC4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达标</w:t>
                  </w:r>
                </w:p>
              </w:tc>
            </w:tr>
            <w:tr w14:paraId="035148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1294" w:type="dxa"/>
                  <w:tcBorders>
                    <w:tl2br w:val="nil"/>
                    <w:tr2bl w:val="nil"/>
                  </w:tcBorders>
                  <w:vAlign w:val="center"/>
                </w:tcPr>
                <w:p w14:paraId="3ED70CDB">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非甲烷总烃</w:t>
                  </w:r>
                </w:p>
              </w:tc>
              <w:tc>
                <w:tcPr>
                  <w:tcW w:w="1874" w:type="dxa"/>
                  <w:tcBorders>
                    <w:tl2br w:val="nil"/>
                    <w:tr2bl w:val="nil"/>
                  </w:tcBorders>
                  <w:vAlign w:val="center"/>
                </w:tcPr>
                <w:p w14:paraId="61D7302A">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iCs/>
                      <w:color w:val="auto"/>
                      <w:sz w:val="21"/>
                      <w:szCs w:val="21"/>
                    </w:rPr>
                    <w:t>1.43</w:t>
                  </w:r>
                </w:p>
              </w:tc>
              <w:tc>
                <w:tcPr>
                  <w:tcW w:w="1473" w:type="dxa"/>
                  <w:tcBorders>
                    <w:tl2br w:val="nil"/>
                    <w:tr2bl w:val="nil"/>
                  </w:tcBorders>
                </w:tcPr>
                <w:p w14:paraId="2DCC9133">
                  <w:pPr>
                    <w:pStyle w:val="57"/>
                    <w:rPr>
                      <w:rFonts w:hint="default" w:ascii="Times New Roman" w:hAnsi="Times New Roman" w:eastAsia="宋体" w:cs="Times New Roman"/>
                      <w:b w:val="0"/>
                      <w:color w:val="auto"/>
                      <w:szCs w:val="21"/>
                      <w:lang w:val="en-US" w:eastAsia="zh-CN"/>
                    </w:rPr>
                  </w:pPr>
                  <w:r>
                    <w:rPr>
                      <w:rFonts w:hint="default" w:ascii="Times New Roman" w:hAnsi="Times New Roman" w:cs="Times New Roman"/>
                      <w:b w:val="0"/>
                      <w:color w:val="auto"/>
                      <w:szCs w:val="21"/>
                      <w:lang w:val="en-US" w:eastAsia="zh-CN"/>
                    </w:rPr>
                    <w:t>2</w:t>
                  </w:r>
                </w:p>
              </w:tc>
              <w:tc>
                <w:tcPr>
                  <w:tcW w:w="1297" w:type="dxa"/>
                  <w:tcBorders>
                    <w:tl2br w:val="nil"/>
                    <w:tr2bl w:val="nil"/>
                  </w:tcBorders>
                  <w:vAlign w:val="center"/>
                </w:tcPr>
                <w:p w14:paraId="3A89D442">
                  <w:pPr>
                    <w:pStyle w:val="57"/>
                    <w:rPr>
                      <w:rFonts w:hint="default" w:ascii="Times New Roman" w:hAnsi="Times New Roman" w:eastAsia="宋体" w:cs="Times New Roman"/>
                      <w:b w:val="0"/>
                      <w:color w:val="auto"/>
                      <w:szCs w:val="21"/>
                      <w:lang w:val="en-US" w:eastAsia="zh-CN"/>
                    </w:rPr>
                  </w:pPr>
                  <w:r>
                    <w:rPr>
                      <w:rFonts w:hint="default" w:ascii="Times New Roman" w:hAnsi="Times New Roman" w:cs="Times New Roman"/>
                      <w:b w:val="0"/>
                      <w:color w:val="auto"/>
                      <w:szCs w:val="21"/>
                      <w:lang w:val="en-US" w:eastAsia="zh-CN"/>
                    </w:rPr>
                    <w:t>71.5</w:t>
                  </w:r>
                </w:p>
              </w:tc>
              <w:tc>
                <w:tcPr>
                  <w:tcW w:w="1089" w:type="dxa"/>
                  <w:tcBorders>
                    <w:tl2br w:val="nil"/>
                    <w:tr2bl w:val="nil"/>
                  </w:tcBorders>
                  <w:vAlign w:val="center"/>
                </w:tcPr>
                <w:p w14:paraId="33885C31">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1532" w:type="dxa"/>
                  <w:tcBorders>
                    <w:tl2br w:val="nil"/>
                    <w:tr2bl w:val="nil"/>
                  </w:tcBorders>
                  <w:vAlign w:val="center"/>
                </w:tcPr>
                <w:p w14:paraId="3179A88D">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达标</w:t>
                  </w:r>
                </w:p>
              </w:tc>
            </w:tr>
            <w:tr w14:paraId="639BC9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1294" w:type="dxa"/>
                  <w:tcBorders>
                    <w:tl2br w:val="nil"/>
                    <w:tr2bl w:val="nil"/>
                  </w:tcBorders>
                  <w:vAlign w:val="center"/>
                </w:tcPr>
                <w:p w14:paraId="4543EAE7">
                  <w:pPr>
                    <w:jc w:val="center"/>
                    <w:rPr>
                      <w:rFonts w:hint="default" w:ascii="Times New Roman" w:hAnsi="Times New Roman" w:cs="Times New Roman"/>
                      <w:color w:val="auto"/>
                      <w:szCs w:val="21"/>
                    </w:rPr>
                  </w:pPr>
                  <w:r>
                    <w:rPr>
                      <w:rFonts w:hint="default" w:ascii="Times New Roman" w:hAnsi="Times New Roman" w:cs="Times New Roman"/>
                      <w:color w:val="auto"/>
                      <w:szCs w:val="21"/>
                    </w:rPr>
                    <w:t>苯并[a]芘</w:t>
                  </w:r>
                </w:p>
              </w:tc>
              <w:tc>
                <w:tcPr>
                  <w:tcW w:w="1874" w:type="dxa"/>
                  <w:tcBorders>
                    <w:tl2br w:val="nil"/>
                    <w:tr2bl w:val="nil"/>
                  </w:tcBorders>
                  <w:vAlign w:val="center"/>
                </w:tcPr>
                <w:p w14:paraId="5172C57B">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&lt;</w:t>
                  </w:r>
                  <w:r>
                    <w:rPr>
                      <w:rFonts w:hint="default" w:ascii="Times New Roman" w:hAnsi="Times New Roman" w:cs="Times New Roman"/>
                      <w:color w:val="auto"/>
                      <w:kern w:val="0"/>
                      <w:szCs w:val="21"/>
                      <w:lang w:val="en-US" w:eastAsia="zh-CN"/>
                    </w:rPr>
                    <w:t>1.0×10</w:t>
                  </w:r>
                  <w:r>
                    <w:rPr>
                      <w:rFonts w:hint="default" w:ascii="Times New Roman" w:hAnsi="Times New Roman" w:cs="Times New Roman"/>
                      <w:color w:val="auto"/>
                      <w:kern w:val="0"/>
                      <w:szCs w:val="21"/>
                      <w:vertAlign w:val="superscript"/>
                      <w:lang w:val="en-US" w:eastAsia="zh-CN"/>
                    </w:rPr>
                    <w:t>-7</w:t>
                  </w:r>
                </w:p>
              </w:tc>
              <w:tc>
                <w:tcPr>
                  <w:tcW w:w="1473" w:type="dxa"/>
                  <w:tcBorders>
                    <w:tl2br w:val="nil"/>
                    <w:tr2bl w:val="nil"/>
                  </w:tcBorders>
                </w:tcPr>
                <w:p w14:paraId="2F36216A">
                  <w:pPr>
                    <w:pStyle w:val="57"/>
                    <w:rPr>
                      <w:rFonts w:hint="default" w:ascii="Times New Roman" w:hAnsi="Times New Roman" w:eastAsia="宋体" w:cs="Times New Roman"/>
                      <w:b w:val="0"/>
                      <w:color w:val="auto"/>
                      <w:szCs w:val="21"/>
                      <w:lang w:val="en-US" w:eastAsia="zh-CN"/>
                    </w:rPr>
                  </w:pPr>
                  <w:r>
                    <w:rPr>
                      <w:rFonts w:hint="default" w:ascii="Times New Roman" w:hAnsi="Times New Roman" w:cs="Times New Roman"/>
                      <w:b w:val="0"/>
                      <w:color w:val="auto"/>
                      <w:szCs w:val="21"/>
                      <w:lang w:val="en-US" w:eastAsia="zh-CN"/>
                    </w:rPr>
                    <w:t>0.0000025</w:t>
                  </w:r>
                </w:p>
              </w:tc>
              <w:tc>
                <w:tcPr>
                  <w:tcW w:w="1297" w:type="dxa"/>
                  <w:tcBorders>
                    <w:tl2br w:val="nil"/>
                    <w:tr2bl w:val="nil"/>
                  </w:tcBorders>
                  <w:vAlign w:val="center"/>
                </w:tcPr>
                <w:p w14:paraId="3958FC1B">
                  <w:pPr>
                    <w:pStyle w:val="57"/>
                    <w:rPr>
                      <w:rFonts w:hint="default" w:ascii="Times New Roman" w:hAnsi="Times New Roman" w:eastAsia="宋体" w:cs="Times New Roman"/>
                      <w:b w:val="0"/>
                      <w:color w:val="auto"/>
                      <w:szCs w:val="21"/>
                      <w:lang w:val="en-US" w:eastAsia="zh-CN"/>
                    </w:rPr>
                  </w:pPr>
                  <w:r>
                    <w:rPr>
                      <w:rFonts w:hint="default" w:ascii="Times New Roman" w:hAnsi="Times New Roman" w:cs="Times New Roman"/>
                      <w:b w:val="0"/>
                      <w:color w:val="auto"/>
                      <w:szCs w:val="21"/>
                      <w:lang w:val="en-US" w:eastAsia="zh-CN"/>
                    </w:rPr>
                    <w:t>2</w:t>
                  </w:r>
                </w:p>
              </w:tc>
              <w:tc>
                <w:tcPr>
                  <w:tcW w:w="1089" w:type="dxa"/>
                  <w:tcBorders>
                    <w:tl2br w:val="nil"/>
                    <w:tr2bl w:val="nil"/>
                  </w:tcBorders>
                  <w:vAlign w:val="center"/>
                </w:tcPr>
                <w:p w14:paraId="32039A97">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1532" w:type="dxa"/>
                  <w:tcBorders>
                    <w:tl2br w:val="nil"/>
                    <w:tr2bl w:val="nil"/>
                  </w:tcBorders>
                  <w:vAlign w:val="center"/>
                </w:tcPr>
                <w:p w14:paraId="5DBD297B">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达标</w:t>
                  </w:r>
                </w:p>
              </w:tc>
            </w:tr>
            <w:tr w14:paraId="51D4B7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8559" w:type="dxa"/>
                  <w:gridSpan w:val="6"/>
                  <w:tcBorders>
                    <w:tl2br w:val="nil"/>
                    <w:tr2bl w:val="nil"/>
                  </w:tcBorders>
                  <w:vAlign w:val="center"/>
                </w:tcPr>
                <w:p w14:paraId="788FCD30">
                  <w:pPr>
                    <w:jc w:val="both"/>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注：浓度max指检测结果7天中的最大值。小于检出限以1/2检出限参与计算。</w:t>
                  </w:r>
                </w:p>
              </w:tc>
            </w:tr>
          </w:tbl>
          <w:p w14:paraId="17735A94">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由上表可知，监测及评价结果分析表明：评价区域环境空气中的</w:t>
            </w:r>
            <w:r>
              <w:rPr>
                <w:rFonts w:hint="default" w:ascii="Times New Roman" w:hAnsi="Times New Roman" w:cs="Times New Roman"/>
                <w:color w:val="auto"/>
                <w:sz w:val="24"/>
                <w:szCs w:val="24"/>
                <w:lang w:eastAsia="zh-CN"/>
              </w:rPr>
              <w:t>TSP、苯并[a]芘</w:t>
            </w:r>
            <w:r>
              <w:rPr>
                <w:rFonts w:hint="default" w:ascii="Times New Roman" w:hAnsi="Times New Roman" w:cs="Times New Roman"/>
                <w:color w:val="auto"/>
                <w:sz w:val="24"/>
                <w:szCs w:val="24"/>
              </w:rPr>
              <w:t>满足《环境空气质量标准》（GB3095-2012）二级标准限值</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非甲烷总烃满足《大气污染物综合排放标准详解》的要求</w:t>
            </w:r>
            <w:r>
              <w:rPr>
                <w:rFonts w:hint="default" w:ascii="Times New Roman" w:hAnsi="Times New Roman" w:cs="Times New Roman"/>
                <w:color w:val="auto"/>
                <w:sz w:val="24"/>
                <w:szCs w:val="24"/>
              </w:rPr>
              <w:t>，项目所在区域环境空气质量良好。</w:t>
            </w:r>
          </w:p>
          <w:p w14:paraId="5745FB74">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2、地表水环境质量现状</w:t>
            </w:r>
          </w:p>
          <w:p w14:paraId="0074318C">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本项目区域河流为州河水系。根据《建设项目环境影响报告表编制技术指南（污染影响类）（试行）》中“引用与建设项目距离近的有效数据，包括近3年的规划环境影响评价的监测数据，所在流域控制单元内国家、地方控制断面监测数据，生态环境主管部门发布的水环境质量数据或地表水达标情况的结论”的规定，</w:t>
            </w:r>
            <w:r>
              <w:rPr>
                <w:rFonts w:hint="default" w:ascii="Times New Roman" w:hAnsi="Times New Roman"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次</w:t>
            </w:r>
            <w:r>
              <w:rPr>
                <w:rFonts w:hint="default" w:ascii="Times New Roman" w:hAnsi="Times New Roman" w:eastAsia="宋体" w:cs="Times New Roman"/>
                <w:color w:val="auto"/>
                <w:sz w:val="24"/>
                <w:szCs w:val="24"/>
              </w:rPr>
              <w:t>根据达州市生态环境局202</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default"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default" w:ascii="Times New Roman" w:hAnsi="Times New Roman" w:cs="Times New Roman"/>
                <w:color w:val="auto"/>
                <w:sz w:val="24"/>
                <w:szCs w:val="24"/>
                <w:lang w:val="en-US" w:eastAsia="zh-CN"/>
              </w:rPr>
              <w:t>11</w:t>
            </w:r>
            <w:r>
              <w:rPr>
                <w:rFonts w:hint="default" w:ascii="Times New Roman" w:hAnsi="Times New Roman" w:eastAsia="宋体" w:cs="Times New Roman"/>
                <w:color w:val="auto"/>
                <w:sz w:val="24"/>
                <w:szCs w:val="24"/>
              </w:rPr>
              <w:t>日发布的202</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default"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rPr>
              <w:t>月达州市地表水水质月报</w:t>
            </w:r>
            <w:r>
              <w:rPr>
                <w:rFonts w:hint="default" w:ascii="Times New Roman" w:hAnsi="Times New Roman" w:cs="Times New Roman"/>
                <w:color w:val="auto"/>
                <w:sz w:val="24"/>
                <w:szCs w:val="24"/>
                <w:lang w:eastAsia="zh-CN"/>
              </w:rPr>
              <w:t>（https://sthjj.dazhou.gov.cn/news-show-23544.html）</w:t>
            </w:r>
            <w:r>
              <w:rPr>
                <w:rFonts w:hint="default" w:ascii="Times New Roman" w:hAnsi="Times New Roman" w:eastAsia="宋体" w:cs="Times New Roman"/>
                <w:color w:val="auto"/>
                <w:sz w:val="24"/>
                <w:szCs w:val="24"/>
              </w:rPr>
              <w:t>。</w:t>
            </w:r>
          </w:p>
          <w:p w14:paraId="453CEEDB">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2025 年 6 月全市 37 个河流断面中，优（I~II 类）、良（III 类）水质断面 36 个，占比 97.3%，施家河岩登坡桥断面为 IV 类，轻度污染。</w:t>
            </w:r>
          </w:p>
          <w:p w14:paraId="398799D0">
            <w:pPr>
              <w:spacing w:line="360" w:lineRule="auto"/>
              <w:ind w:firstLine="48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项目区域地表水有联系的监测断面水质评价结</w:t>
            </w:r>
            <w:r>
              <w:rPr>
                <w:rFonts w:hint="default" w:ascii="Times New Roman" w:hAnsi="Times New Roman" w:eastAsia="宋体" w:cs="Times New Roman"/>
                <w:color w:val="auto"/>
                <w:sz w:val="21"/>
                <w:szCs w:val="21"/>
              </w:rPr>
              <w:t>果情况见下表所示。</w:t>
            </w:r>
          </w:p>
          <w:p w14:paraId="3007BACD">
            <w:pPr>
              <w:snapToGrid w:val="0"/>
              <w:ind w:firstLine="482"/>
              <w:jc w:val="center"/>
              <w:rPr>
                <w:rFonts w:hint="default" w:ascii="Times New Roman" w:hAnsi="Times New Roman" w:eastAsia="黑体" w:cs="Times New Roman"/>
                <w:b/>
                <w:bCs/>
                <w:color w:val="auto"/>
                <w:kern w:val="0"/>
                <w:sz w:val="21"/>
                <w:szCs w:val="21"/>
              </w:rPr>
            </w:pPr>
            <w:r>
              <w:rPr>
                <w:rFonts w:hint="default" w:ascii="Times New Roman" w:hAnsi="Times New Roman" w:eastAsia="黑体" w:cs="Times New Roman"/>
                <w:b/>
                <w:bCs/>
                <w:color w:val="auto"/>
                <w:kern w:val="0"/>
                <w:sz w:val="21"/>
                <w:szCs w:val="21"/>
              </w:rPr>
              <w:t>表3-</w:t>
            </w:r>
            <w:r>
              <w:rPr>
                <w:rFonts w:hint="default" w:ascii="Times New Roman" w:hAnsi="Times New Roman" w:eastAsia="黑体" w:cs="Times New Roman"/>
                <w:b/>
                <w:bCs/>
                <w:color w:val="auto"/>
                <w:kern w:val="0"/>
                <w:sz w:val="21"/>
                <w:szCs w:val="21"/>
                <w:lang w:val="en-US" w:eastAsia="zh-CN"/>
              </w:rPr>
              <w:t>4</w:t>
            </w:r>
            <w:r>
              <w:rPr>
                <w:rFonts w:hint="default" w:ascii="Times New Roman" w:hAnsi="Times New Roman" w:eastAsia="黑体" w:cs="Times New Roman"/>
                <w:b/>
                <w:bCs/>
                <w:color w:val="auto"/>
                <w:kern w:val="0"/>
                <w:sz w:val="21"/>
                <w:szCs w:val="21"/>
              </w:rPr>
              <w:t xml:space="preserve">  202</w:t>
            </w:r>
            <w:r>
              <w:rPr>
                <w:rFonts w:hint="default" w:ascii="Times New Roman" w:hAnsi="Times New Roman" w:eastAsia="黑体" w:cs="Times New Roman"/>
                <w:b/>
                <w:bCs/>
                <w:color w:val="auto"/>
                <w:kern w:val="0"/>
                <w:sz w:val="21"/>
                <w:szCs w:val="21"/>
                <w:lang w:val="en-US" w:eastAsia="zh-CN"/>
              </w:rPr>
              <w:t>5</w:t>
            </w:r>
            <w:r>
              <w:rPr>
                <w:rFonts w:hint="default" w:ascii="Times New Roman" w:hAnsi="Times New Roman" w:eastAsia="黑体" w:cs="Times New Roman"/>
                <w:b/>
                <w:bCs/>
                <w:color w:val="auto"/>
                <w:kern w:val="0"/>
                <w:sz w:val="21"/>
                <w:szCs w:val="21"/>
              </w:rPr>
              <w:t>年</w:t>
            </w:r>
            <w:r>
              <w:rPr>
                <w:rFonts w:hint="default" w:ascii="Times New Roman" w:hAnsi="Times New Roman" w:eastAsia="黑体" w:cs="Times New Roman"/>
                <w:b/>
                <w:bCs/>
                <w:color w:val="auto"/>
                <w:kern w:val="0"/>
                <w:sz w:val="21"/>
                <w:szCs w:val="21"/>
                <w:lang w:val="en-US" w:eastAsia="zh-CN"/>
              </w:rPr>
              <w:t>6</w:t>
            </w:r>
            <w:r>
              <w:rPr>
                <w:rFonts w:hint="default" w:ascii="Times New Roman" w:hAnsi="Times New Roman" w:eastAsia="黑体" w:cs="Times New Roman"/>
                <w:b/>
                <w:bCs/>
                <w:color w:val="auto"/>
                <w:kern w:val="0"/>
                <w:sz w:val="21"/>
                <w:szCs w:val="21"/>
              </w:rPr>
              <w:t>月达州市河流水质评价结果表</w:t>
            </w:r>
          </w:p>
          <w:tbl>
            <w:tblPr>
              <w:tblStyle w:val="29"/>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77"/>
              <w:gridCol w:w="770"/>
              <w:gridCol w:w="705"/>
              <w:gridCol w:w="1095"/>
              <w:gridCol w:w="2200"/>
              <w:gridCol w:w="1020"/>
              <w:gridCol w:w="735"/>
              <w:gridCol w:w="795"/>
              <w:gridCol w:w="760"/>
            </w:tblGrid>
            <w:tr w14:paraId="444AE0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vAlign w:val="center"/>
                </w:tcPr>
                <w:p w14:paraId="75490DC4">
                  <w:pPr>
                    <w:pStyle w:val="80"/>
                    <w:rPr>
                      <w:rFonts w:hint="default" w:ascii="Times New Roman" w:hAnsi="Times New Roman" w:cs="Times New Roman"/>
                      <w:b/>
                      <w:color w:val="auto"/>
                    </w:rPr>
                  </w:pPr>
                  <w:r>
                    <w:rPr>
                      <w:rFonts w:hint="default" w:ascii="Times New Roman" w:hAnsi="Times New Roman" w:cs="Times New Roman"/>
                      <w:b/>
                      <w:color w:val="auto"/>
                    </w:rPr>
                    <w:t>序号</w:t>
                  </w:r>
                </w:p>
              </w:tc>
              <w:tc>
                <w:tcPr>
                  <w:tcW w:w="861" w:type="pct"/>
                  <w:gridSpan w:val="2"/>
                  <w:tcBorders>
                    <w:tl2br w:val="nil"/>
                    <w:tr2bl w:val="nil"/>
                  </w:tcBorders>
                  <w:vAlign w:val="center"/>
                </w:tcPr>
                <w:p w14:paraId="17D5374E">
                  <w:pPr>
                    <w:pStyle w:val="80"/>
                    <w:rPr>
                      <w:rFonts w:hint="default" w:ascii="Times New Roman" w:hAnsi="Times New Roman" w:cs="Times New Roman"/>
                      <w:b/>
                      <w:color w:val="auto"/>
                    </w:rPr>
                  </w:pPr>
                  <w:r>
                    <w:rPr>
                      <w:rFonts w:hint="default" w:ascii="Times New Roman" w:hAnsi="Times New Roman" w:cs="Times New Roman"/>
                      <w:b/>
                      <w:color w:val="auto"/>
                    </w:rPr>
                    <w:t>河流</w:t>
                  </w:r>
                </w:p>
              </w:tc>
              <w:tc>
                <w:tcPr>
                  <w:tcW w:w="639" w:type="pct"/>
                  <w:tcBorders>
                    <w:tl2br w:val="nil"/>
                    <w:tr2bl w:val="nil"/>
                  </w:tcBorders>
                  <w:vAlign w:val="center"/>
                </w:tcPr>
                <w:p w14:paraId="5A4C6BED">
                  <w:pPr>
                    <w:pStyle w:val="80"/>
                    <w:rPr>
                      <w:rFonts w:hint="default" w:ascii="Times New Roman" w:hAnsi="Times New Roman" w:cs="Times New Roman"/>
                      <w:b/>
                      <w:color w:val="auto"/>
                    </w:rPr>
                  </w:pPr>
                  <w:r>
                    <w:rPr>
                      <w:rFonts w:hint="default" w:ascii="Times New Roman" w:hAnsi="Times New Roman" w:cs="Times New Roman"/>
                      <w:b/>
                      <w:color w:val="auto"/>
                    </w:rPr>
                    <w:t>断面名称</w:t>
                  </w:r>
                </w:p>
              </w:tc>
              <w:tc>
                <w:tcPr>
                  <w:tcW w:w="1285" w:type="pct"/>
                  <w:tcBorders>
                    <w:tl2br w:val="nil"/>
                    <w:tr2bl w:val="nil"/>
                  </w:tcBorders>
                  <w:vAlign w:val="center"/>
                </w:tcPr>
                <w:p w14:paraId="0562547A">
                  <w:pPr>
                    <w:pStyle w:val="80"/>
                    <w:rPr>
                      <w:rFonts w:hint="default" w:ascii="Times New Roman" w:hAnsi="Times New Roman" w:cs="Times New Roman"/>
                      <w:b/>
                      <w:color w:val="auto"/>
                    </w:rPr>
                  </w:pPr>
                  <w:r>
                    <w:rPr>
                      <w:rFonts w:hint="default" w:ascii="Times New Roman" w:hAnsi="Times New Roman" w:cs="Times New Roman"/>
                      <w:b/>
                      <w:color w:val="auto"/>
                    </w:rPr>
                    <w:t>交</w:t>
                  </w:r>
                  <w:r>
                    <w:rPr>
                      <w:rFonts w:hint="default" w:ascii="Times New Roman" w:hAnsi="Times New Roman" w:cs="Times New Roman"/>
                      <w:b/>
                      <w:color w:val="auto"/>
                      <w:lang w:val="en-US" w:eastAsia="zh-CN"/>
                    </w:rPr>
                    <w:t>界</w:t>
                  </w:r>
                  <w:r>
                    <w:rPr>
                      <w:rFonts w:hint="default" w:ascii="Times New Roman" w:hAnsi="Times New Roman" w:cs="Times New Roman"/>
                      <w:b/>
                      <w:color w:val="auto"/>
                    </w:rPr>
                    <w:t>情况</w:t>
                  </w:r>
                </w:p>
              </w:tc>
              <w:tc>
                <w:tcPr>
                  <w:tcW w:w="596" w:type="pct"/>
                  <w:tcBorders>
                    <w:tl2br w:val="nil"/>
                    <w:tr2bl w:val="nil"/>
                  </w:tcBorders>
                  <w:vAlign w:val="center"/>
                </w:tcPr>
                <w:p w14:paraId="24B53A0C">
                  <w:pPr>
                    <w:pStyle w:val="80"/>
                    <w:rPr>
                      <w:rFonts w:hint="default" w:ascii="Times New Roman" w:hAnsi="Times New Roman" w:cs="Times New Roman"/>
                      <w:b/>
                      <w:color w:val="auto"/>
                    </w:rPr>
                  </w:pPr>
                  <w:r>
                    <w:rPr>
                      <w:rFonts w:hint="default" w:ascii="Times New Roman" w:hAnsi="Times New Roman" w:cs="Times New Roman"/>
                      <w:b/>
                      <w:color w:val="auto"/>
                    </w:rPr>
                    <w:t>断面性质</w:t>
                  </w:r>
                </w:p>
              </w:tc>
              <w:tc>
                <w:tcPr>
                  <w:tcW w:w="429" w:type="pct"/>
                  <w:tcBorders>
                    <w:tl2br w:val="nil"/>
                    <w:tr2bl w:val="nil"/>
                  </w:tcBorders>
                  <w:vAlign w:val="center"/>
                </w:tcPr>
                <w:p w14:paraId="75549AFD">
                  <w:pPr>
                    <w:pStyle w:val="80"/>
                    <w:rPr>
                      <w:rFonts w:hint="default" w:ascii="Times New Roman" w:hAnsi="Times New Roman" w:cs="Times New Roman"/>
                      <w:b/>
                      <w:color w:val="auto"/>
                    </w:rPr>
                  </w:pPr>
                  <w:r>
                    <w:rPr>
                      <w:rFonts w:hint="default" w:ascii="Times New Roman" w:hAnsi="Times New Roman" w:cs="Times New Roman"/>
                      <w:b/>
                      <w:color w:val="auto"/>
                    </w:rPr>
                    <w:t>上年同期</w:t>
                  </w:r>
                </w:p>
              </w:tc>
              <w:tc>
                <w:tcPr>
                  <w:tcW w:w="464" w:type="pct"/>
                  <w:tcBorders>
                    <w:tl2br w:val="nil"/>
                    <w:tr2bl w:val="nil"/>
                  </w:tcBorders>
                  <w:vAlign w:val="center"/>
                </w:tcPr>
                <w:p w14:paraId="504B8756">
                  <w:pPr>
                    <w:pStyle w:val="80"/>
                    <w:rPr>
                      <w:rFonts w:hint="default" w:ascii="Times New Roman" w:hAnsi="Times New Roman" w:cs="Times New Roman"/>
                      <w:b/>
                      <w:color w:val="auto"/>
                    </w:rPr>
                  </w:pPr>
                  <w:r>
                    <w:rPr>
                      <w:rFonts w:hint="default" w:ascii="Times New Roman" w:hAnsi="Times New Roman" w:cs="Times New Roman"/>
                      <w:b/>
                      <w:color w:val="auto"/>
                    </w:rPr>
                    <w:t>上月类别</w:t>
                  </w:r>
                </w:p>
              </w:tc>
              <w:tc>
                <w:tcPr>
                  <w:tcW w:w="444" w:type="pct"/>
                  <w:tcBorders>
                    <w:tl2br w:val="nil"/>
                    <w:tr2bl w:val="nil"/>
                  </w:tcBorders>
                  <w:vAlign w:val="center"/>
                </w:tcPr>
                <w:p w14:paraId="3394FA92">
                  <w:pPr>
                    <w:pStyle w:val="80"/>
                    <w:rPr>
                      <w:rFonts w:hint="default" w:ascii="Times New Roman" w:hAnsi="Times New Roman" w:cs="Times New Roman"/>
                      <w:b/>
                      <w:color w:val="auto"/>
                    </w:rPr>
                  </w:pPr>
                  <w:r>
                    <w:rPr>
                      <w:rFonts w:hint="default" w:ascii="Times New Roman" w:hAnsi="Times New Roman" w:cs="Times New Roman"/>
                      <w:b/>
                      <w:color w:val="auto"/>
                    </w:rPr>
                    <w:t>本月类别</w:t>
                  </w:r>
                </w:p>
              </w:tc>
            </w:tr>
            <w:tr w14:paraId="129915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vAlign w:val="center"/>
                </w:tcPr>
                <w:p w14:paraId="21BA3387">
                  <w:pPr>
                    <w:pStyle w:val="80"/>
                    <w:rPr>
                      <w:rFonts w:hint="default" w:ascii="Times New Roman" w:hAnsi="Times New Roman" w:cs="Times New Roman"/>
                      <w:bCs/>
                      <w:color w:val="auto"/>
                    </w:rPr>
                  </w:pPr>
                  <w:r>
                    <w:rPr>
                      <w:rFonts w:hint="default" w:ascii="Times New Roman" w:hAnsi="Times New Roman" w:cs="Times New Roman"/>
                      <w:bCs/>
                      <w:color w:val="auto"/>
                    </w:rPr>
                    <w:t>1</w:t>
                  </w:r>
                </w:p>
              </w:tc>
              <w:tc>
                <w:tcPr>
                  <w:tcW w:w="449" w:type="pct"/>
                  <w:tcBorders>
                    <w:tl2br w:val="nil"/>
                    <w:tr2bl w:val="nil"/>
                  </w:tcBorders>
                  <w:vAlign w:val="center"/>
                </w:tcPr>
                <w:p w14:paraId="379DD053">
                  <w:pPr>
                    <w:pStyle w:val="80"/>
                    <w:rPr>
                      <w:rFonts w:hint="default" w:ascii="Times New Roman" w:hAnsi="Times New Roman" w:cs="Times New Roman"/>
                      <w:bCs/>
                      <w:color w:val="auto"/>
                    </w:rPr>
                  </w:pPr>
                  <w:r>
                    <w:rPr>
                      <w:rFonts w:hint="default" w:ascii="Times New Roman" w:hAnsi="Times New Roman" w:cs="Times New Roman"/>
                      <w:bCs/>
                      <w:color w:val="auto"/>
                    </w:rPr>
                    <w:t>州河水系</w:t>
                  </w:r>
                </w:p>
              </w:tc>
              <w:tc>
                <w:tcPr>
                  <w:tcW w:w="411" w:type="pct"/>
                  <w:tcBorders>
                    <w:tl2br w:val="nil"/>
                    <w:tr2bl w:val="nil"/>
                  </w:tcBorders>
                  <w:vAlign w:val="center"/>
                </w:tcPr>
                <w:p w14:paraId="337101CC">
                  <w:pPr>
                    <w:pStyle w:val="80"/>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新宁河</w:t>
                  </w:r>
                </w:p>
              </w:tc>
              <w:tc>
                <w:tcPr>
                  <w:tcW w:w="639" w:type="pct"/>
                  <w:tcBorders>
                    <w:tl2br w:val="nil"/>
                    <w:tr2bl w:val="nil"/>
                  </w:tcBorders>
                  <w:vAlign w:val="center"/>
                </w:tcPr>
                <w:p w14:paraId="637BA12C">
                  <w:pPr>
                    <w:pStyle w:val="8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大石堡</w:t>
                  </w:r>
                </w:p>
                <w:p w14:paraId="786754FF">
                  <w:pPr>
                    <w:pStyle w:val="80"/>
                    <w:rPr>
                      <w:rFonts w:hint="default" w:ascii="Times New Roman" w:hAnsi="Times New Roman" w:eastAsia="宋体" w:cs="Times New Roman"/>
                      <w:bCs/>
                      <w:color w:val="auto"/>
                      <w:lang w:val="en-US" w:eastAsia="zh-CN"/>
                    </w:rPr>
                  </w:pPr>
                  <w:r>
                    <w:rPr>
                      <w:rFonts w:hint="default" w:ascii="Times New Roman" w:hAnsi="Times New Roman" w:cs="Times New Roman"/>
                      <w:bCs/>
                      <w:color w:val="auto"/>
                      <w:lang w:val="en-US" w:eastAsia="zh-CN"/>
                    </w:rPr>
                    <w:t>平桥</w:t>
                  </w:r>
                </w:p>
              </w:tc>
              <w:tc>
                <w:tcPr>
                  <w:tcW w:w="1285" w:type="pct"/>
                  <w:tcBorders>
                    <w:tl2br w:val="nil"/>
                    <w:tr2bl w:val="nil"/>
                  </w:tcBorders>
                  <w:vAlign w:val="center"/>
                </w:tcPr>
                <w:p w14:paraId="6253EE8B">
                  <w:pPr>
                    <w:pStyle w:val="80"/>
                    <w:rPr>
                      <w:rFonts w:hint="default" w:ascii="Times New Roman" w:hAnsi="Times New Roman" w:cs="Times New Roman"/>
                      <w:bCs/>
                      <w:color w:val="auto"/>
                    </w:rPr>
                  </w:pPr>
                  <w:r>
                    <w:rPr>
                      <w:rFonts w:hint="default" w:ascii="Times New Roman" w:hAnsi="Times New Roman" w:cs="Times New Roman"/>
                      <w:bCs/>
                      <w:color w:val="auto"/>
                    </w:rPr>
                    <w:t>县界</w:t>
                  </w:r>
                </w:p>
                <w:p w14:paraId="5E600821">
                  <w:pPr>
                    <w:pStyle w:val="80"/>
                    <w:rPr>
                      <w:rFonts w:hint="default" w:ascii="Times New Roman" w:hAnsi="Times New Roman" w:cs="Times New Roman"/>
                      <w:bCs/>
                      <w:color w:val="auto"/>
                    </w:rPr>
                  </w:pPr>
                  <w:r>
                    <w:rPr>
                      <w:rFonts w:hint="default" w:ascii="Times New Roman" w:hAnsi="Times New Roman" w:cs="Times New Roman"/>
                      <w:bCs/>
                      <w:color w:val="auto"/>
                    </w:rPr>
                    <w:t>(开江县→宣汉县)</w:t>
                  </w:r>
                </w:p>
              </w:tc>
              <w:tc>
                <w:tcPr>
                  <w:tcW w:w="596" w:type="pct"/>
                  <w:tcBorders>
                    <w:tl2br w:val="nil"/>
                    <w:tr2bl w:val="nil"/>
                  </w:tcBorders>
                  <w:vAlign w:val="center"/>
                </w:tcPr>
                <w:p w14:paraId="28F6DB71">
                  <w:pPr>
                    <w:pStyle w:val="80"/>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省控考核评价</w:t>
                  </w:r>
                </w:p>
              </w:tc>
              <w:tc>
                <w:tcPr>
                  <w:tcW w:w="429" w:type="pct"/>
                  <w:tcBorders>
                    <w:tl2br w:val="nil"/>
                    <w:tr2bl w:val="nil"/>
                  </w:tcBorders>
                  <w:vAlign w:val="center"/>
                </w:tcPr>
                <w:p w14:paraId="1904B033">
                  <w:pPr>
                    <w:jc w:val="center"/>
                    <w:rPr>
                      <w:rFonts w:hint="default" w:ascii="Times New Roman" w:hAnsi="Times New Roman" w:eastAsia="宋体" w:cs="Times New Roman"/>
                      <w:bCs/>
                      <w:color w:val="auto"/>
                      <w:sz w:val="21"/>
                      <w:lang w:val="en-US" w:eastAsia="zh-CN"/>
                    </w:rPr>
                  </w:pPr>
                  <w:r>
                    <w:rPr>
                      <w:rFonts w:hint="default" w:ascii="Times New Roman" w:hAnsi="Times New Roman" w:cs="Times New Roman"/>
                      <w:bCs/>
                      <w:color w:val="auto"/>
                      <w:sz w:val="21"/>
                      <w:lang w:val="en-US" w:eastAsia="zh-CN"/>
                    </w:rPr>
                    <w:t>Ⅲ</w:t>
                  </w:r>
                </w:p>
              </w:tc>
              <w:tc>
                <w:tcPr>
                  <w:tcW w:w="464" w:type="pct"/>
                  <w:tcBorders>
                    <w:tl2br w:val="nil"/>
                    <w:tr2bl w:val="nil"/>
                  </w:tcBorders>
                  <w:vAlign w:val="center"/>
                </w:tcPr>
                <w:p w14:paraId="4716B03A">
                  <w:pPr>
                    <w:jc w:val="center"/>
                    <w:rPr>
                      <w:rFonts w:hint="default" w:ascii="Times New Roman" w:hAnsi="Times New Roman" w:eastAsia="宋体" w:cs="Times New Roman"/>
                      <w:bCs/>
                      <w:color w:val="auto"/>
                      <w:sz w:val="21"/>
                      <w:lang w:val="en-US" w:eastAsia="zh-CN"/>
                    </w:rPr>
                  </w:pPr>
                  <w:r>
                    <w:rPr>
                      <w:rFonts w:hint="default" w:ascii="Times New Roman" w:hAnsi="Times New Roman" w:cs="Times New Roman"/>
                      <w:bCs/>
                      <w:color w:val="auto"/>
                      <w:sz w:val="21"/>
                      <w:lang w:val="en-US" w:eastAsia="zh-CN"/>
                    </w:rPr>
                    <w:t>Ⅲ</w:t>
                  </w:r>
                </w:p>
              </w:tc>
              <w:tc>
                <w:tcPr>
                  <w:tcW w:w="444" w:type="pct"/>
                  <w:tcBorders>
                    <w:tl2br w:val="nil"/>
                    <w:tr2bl w:val="nil"/>
                  </w:tcBorders>
                  <w:vAlign w:val="center"/>
                </w:tcPr>
                <w:p w14:paraId="33ECA761">
                  <w:pPr>
                    <w:jc w:val="center"/>
                    <w:rPr>
                      <w:rFonts w:hint="default" w:ascii="Times New Roman" w:hAnsi="Times New Roman" w:eastAsia="宋体" w:cs="Times New Roman"/>
                      <w:bCs/>
                      <w:color w:val="auto"/>
                      <w:sz w:val="21"/>
                      <w:lang w:val="en-US" w:eastAsia="zh-CN"/>
                    </w:rPr>
                  </w:pPr>
                  <w:r>
                    <w:rPr>
                      <w:rFonts w:hint="default" w:ascii="Times New Roman" w:hAnsi="Times New Roman" w:cs="Times New Roman"/>
                      <w:bCs/>
                      <w:color w:val="auto"/>
                      <w:sz w:val="21"/>
                      <w:lang w:val="en-US" w:eastAsia="zh-CN"/>
                    </w:rPr>
                    <w:t>Ⅲ</w:t>
                  </w:r>
                </w:p>
              </w:tc>
            </w:tr>
          </w:tbl>
          <w:p w14:paraId="69BF3485">
            <w:pPr>
              <w:spacing w:line="360" w:lineRule="auto"/>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本</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位于</w:t>
            </w:r>
            <w:r>
              <w:rPr>
                <w:rFonts w:hint="default" w:ascii="Times New Roman" w:hAnsi="Times New Roman" w:cs="Times New Roman"/>
                <w:color w:val="auto"/>
                <w:sz w:val="24"/>
                <w:szCs w:val="24"/>
                <w:lang w:val="en-US" w:eastAsia="zh-CN"/>
              </w:rPr>
              <w:t>宣汉县天生镇峨城社区4组</w:t>
            </w:r>
            <w:r>
              <w:rPr>
                <w:rFonts w:hint="default" w:ascii="Times New Roman" w:hAnsi="Times New Roman" w:cs="Times New Roman"/>
                <w:color w:val="auto"/>
                <w:sz w:val="24"/>
                <w:szCs w:val="24"/>
              </w:rPr>
              <w:t>，参考断面为“大石堡平桥”，由上表可知，该断面水质可达到《地表水环境质量标准》（GB3838-2002）中的</w:t>
            </w:r>
            <w:r>
              <w:rPr>
                <w:rFonts w:hint="default" w:ascii="Times New Roman" w:hAnsi="Times New Roman" w:cs="Times New Roman"/>
                <w:color w:val="auto"/>
                <w:sz w:val="24"/>
                <w:szCs w:val="24"/>
                <w:lang w:eastAsia="zh-CN"/>
              </w:rPr>
              <w:t>Ⅲ类</w:t>
            </w:r>
            <w:r>
              <w:rPr>
                <w:rFonts w:hint="default" w:ascii="Times New Roman" w:hAnsi="Times New Roman" w:cs="Times New Roman"/>
                <w:color w:val="auto"/>
                <w:sz w:val="24"/>
                <w:szCs w:val="24"/>
              </w:rPr>
              <w:t>水域标准</w:t>
            </w:r>
            <w:r>
              <w:rPr>
                <w:rFonts w:hint="default" w:ascii="Times New Roman" w:hAnsi="Times New Roman" w:cs="Times New Roman"/>
                <w:color w:val="auto"/>
                <w:sz w:val="24"/>
                <w:szCs w:val="24"/>
                <w:lang w:eastAsia="zh-CN"/>
              </w:rPr>
              <w:t>。</w:t>
            </w:r>
          </w:p>
          <w:p w14:paraId="26EFAA08">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3、声环境质量现状</w:t>
            </w:r>
          </w:p>
          <w:p w14:paraId="64153C1C">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为了解区域声环境质量现状，本次环评区域噪声委托达州恒福环境监测服务有限公司于</w:t>
            </w:r>
            <w:r>
              <w:rPr>
                <w:rFonts w:hint="default" w:ascii="Times New Roman" w:hAnsi="Times New Roman" w:cs="Times New Roman"/>
                <w:color w:val="auto"/>
                <w:sz w:val="24"/>
                <w:szCs w:val="24"/>
                <w:highlight w:val="none"/>
              </w:rPr>
              <w:t>202</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27</w:t>
            </w:r>
            <w:r>
              <w:rPr>
                <w:rFonts w:hint="default" w:ascii="Times New Roman" w:hAnsi="Times New Roman" w:cs="Times New Roman"/>
                <w:color w:val="auto"/>
                <w:sz w:val="24"/>
                <w:szCs w:val="24"/>
                <w:highlight w:val="none"/>
              </w:rPr>
              <w:t>日</w:t>
            </w:r>
            <w:r>
              <w:rPr>
                <w:rFonts w:hint="default" w:ascii="Times New Roman" w:hAnsi="Times New Roman" w:cs="Times New Roman"/>
                <w:color w:val="auto"/>
                <w:sz w:val="24"/>
                <w:szCs w:val="24"/>
              </w:rPr>
              <w:t>对区域声质量现状进行监测</w:t>
            </w:r>
            <w:r>
              <w:rPr>
                <w:rFonts w:hint="default" w:ascii="Times New Roman" w:hAnsi="Times New Roman" w:cs="Times New Roman"/>
                <w:color w:val="auto"/>
                <w:sz w:val="24"/>
                <w:szCs w:val="24"/>
                <w:lang w:val="en-US" w:eastAsia="zh-CN"/>
              </w:rPr>
              <w:t>。</w:t>
            </w:r>
          </w:p>
          <w:p w14:paraId="7AD1D8AF">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lang w:val="en-US" w:eastAsia="zh-CN"/>
              </w:rPr>
              <w:t>1</w:t>
            </w: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rPr>
              <w:t>监测点位</w:t>
            </w:r>
          </w:p>
          <w:p w14:paraId="74C83C92">
            <w:pPr>
              <w:spacing w:line="360" w:lineRule="auto"/>
              <w:ind w:firstLine="480" w:firstLineChars="200"/>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本次环评共设噪声监测点4个，监测点位置见表3-</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w:t>
            </w:r>
          </w:p>
          <w:p w14:paraId="738B7C07">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lang w:val="en-US" w:eastAsia="zh-CN" w:bidi="ar-SA"/>
              </w:rPr>
            </w:pPr>
            <w:r>
              <w:rPr>
                <w:rFonts w:hint="default" w:ascii="Times New Roman" w:hAnsi="Times New Roman" w:eastAsia="黑体" w:cs="Times New Roman"/>
                <w:b/>
                <w:bCs/>
                <w:color w:val="auto"/>
                <w:kern w:val="0"/>
                <w:sz w:val="21"/>
                <w:szCs w:val="21"/>
                <w:lang w:val="en-US" w:eastAsia="zh-CN" w:bidi="ar-SA"/>
              </w:rPr>
              <w:t>表3-5  噪声监测点位表</w:t>
            </w:r>
          </w:p>
          <w:tbl>
            <w:tblPr>
              <w:tblStyle w:val="30"/>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6151"/>
            </w:tblGrid>
            <w:tr w14:paraId="18CD3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1" w:type="dxa"/>
                  <w:tcBorders>
                    <w:tl2br w:val="nil"/>
                    <w:tr2bl w:val="nil"/>
                  </w:tcBorders>
                  <w:vAlign w:val="center"/>
                </w:tcPr>
                <w:p w14:paraId="279E2F91">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编号</w:t>
                  </w:r>
                </w:p>
              </w:tc>
              <w:tc>
                <w:tcPr>
                  <w:tcW w:w="6151" w:type="dxa"/>
                  <w:tcBorders>
                    <w:tl2br w:val="nil"/>
                    <w:tr2bl w:val="nil"/>
                  </w:tcBorders>
                  <w:vAlign w:val="center"/>
                </w:tcPr>
                <w:p w14:paraId="10FB7A58">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监测点名称</w:t>
                  </w:r>
                </w:p>
              </w:tc>
            </w:tr>
            <w:tr w14:paraId="102FF6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1" w:type="dxa"/>
                  <w:tcBorders>
                    <w:tl2br w:val="nil"/>
                    <w:tr2bl w:val="nil"/>
                  </w:tcBorders>
                  <w:vAlign w:val="center"/>
                </w:tcPr>
                <w:p w14:paraId="60605E1A">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N</w:t>
                  </w:r>
                  <w:r>
                    <w:rPr>
                      <w:rFonts w:hint="default" w:ascii="Times New Roman" w:hAnsi="Times New Roman" w:cs="Times New Roman"/>
                      <w:color w:val="auto"/>
                      <w:szCs w:val="21"/>
                    </w:rPr>
                    <w:t>1</w:t>
                  </w:r>
                </w:p>
              </w:tc>
              <w:tc>
                <w:tcPr>
                  <w:tcW w:w="6151" w:type="dxa"/>
                  <w:tcBorders>
                    <w:tl2br w:val="nil"/>
                    <w:tr2bl w:val="nil"/>
                  </w:tcBorders>
                  <w:vAlign w:val="center"/>
                </w:tcPr>
                <w:p w14:paraId="6F623EFE">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本项目北厂界外1m处</w:t>
                  </w:r>
                </w:p>
              </w:tc>
            </w:tr>
            <w:tr w14:paraId="4C23F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1" w:type="dxa"/>
                  <w:tcBorders>
                    <w:tl2br w:val="nil"/>
                    <w:tr2bl w:val="nil"/>
                  </w:tcBorders>
                  <w:vAlign w:val="center"/>
                </w:tcPr>
                <w:p w14:paraId="3D9F5535">
                  <w:pPr>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eastAsia="zh-CN"/>
                    </w:rPr>
                    <w:t>N2</w:t>
                  </w:r>
                </w:p>
              </w:tc>
              <w:tc>
                <w:tcPr>
                  <w:tcW w:w="6151" w:type="dxa"/>
                  <w:tcBorders>
                    <w:tl2br w:val="nil"/>
                    <w:tr2bl w:val="nil"/>
                  </w:tcBorders>
                  <w:vAlign w:val="center"/>
                </w:tcPr>
                <w:p w14:paraId="5920C7BD">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本项目东厂界外1m处</w:t>
                  </w:r>
                </w:p>
              </w:tc>
            </w:tr>
            <w:tr w14:paraId="1BA303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1" w:type="dxa"/>
                  <w:tcBorders>
                    <w:tl2br w:val="nil"/>
                    <w:tr2bl w:val="nil"/>
                  </w:tcBorders>
                  <w:vAlign w:val="center"/>
                </w:tcPr>
                <w:p w14:paraId="27BB006E">
                  <w:pPr>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eastAsia="zh-CN"/>
                    </w:rPr>
                    <w:t>N3</w:t>
                  </w:r>
                </w:p>
              </w:tc>
              <w:tc>
                <w:tcPr>
                  <w:tcW w:w="6151" w:type="dxa"/>
                  <w:tcBorders>
                    <w:tl2br w:val="nil"/>
                    <w:tr2bl w:val="nil"/>
                  </w:tcBorders>
                  <w:vAlign w:val="center"/>
                </w:tcPr>
                <w:p w14:paraId="13C86B1B">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本项目南厂界外1m处</w:t>
                  </w:r>
                </w:p>
              </w:tc>
            </w:tr>
            <w:tr w14:paraId="23A8DA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1" w:type="dxa"/>
                  <w:tcBorders>
                    <w:tl2br w:val="nil"/>
                    <w:tr2bl w:val="nil"/>
                  </w:tcBorders>
                  <w:vAlign w:val="center"/>
                </w:tcPr>
                <w:p w14:paraId="197FBAD5">
                  <w:pPr>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eastAsia="zh-CN"/>
                    </w:rPr>
                    <w:t>N4</w:t>
                  </w:r>
                </w:p>
              </w:tc>
              <w:tc>
                <w:tcPr>
                  <w:tcW w:w="6151" w:type="dxa"/>
                  <w:tcBorders>
                    <w:tl2br w:val="nil"/>
                    <w:tr2bl w:val="nil"/>
                  </w:tcBorders>
                  <w:vAlign w:val="center"/>
                </w:tcPr>
                <w:p w14:paraId="76B78013">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本项目西厂界外1m处</w:t>
                  </w:r>
                </w:p>
              </w:tc>
            </w:tr>
          </w:tbl>
          <w:p w14:paraId="19DB3A08">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lang w:val="en-US" w:eastAsia="zh-CN"/>
              </w:rPr>
              <w:t>2</w:t>
            </w: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rPr>
              <w:t>监测时间</w:t>
            </w:r>
          </w:p>
          <w:p w14:paraId="4C7F3E6B">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202</w:t>
            </w:r>
            <w:r>
              <w:rPr>
                <w:rFonts w:hint="default" w:ascii="Times New Roman" w:hAnsi="Times New Roman" w:cs="Times New Roman"/>
                <w:color w:val="auto"/>
                <w:sz w:val="24"/>
                <w:szCs w:val="24"/>
                <w:highlight w:val="none"/>
                <w:lang w:val="en-US" w:eastAsia="zh-CN"/>
              </w:rPr>
              <w:t>5年6月27日</w:t>
            </w:r>
            <w:r>
              <w:rPr>
                <w:rFonts w:hint="default" w:ascii="Times New Roman" w:hAnsi="Times New Roman" w:cs="Times New Roman"/>
                <w:color w:val="auto"/>
                <w:sz w:val="24"/>
                <w:szCs w:val="24"/>
                <w:highlight w:val="none"/>
              </w:rPr>
              <w:t>，共</w:t>
            </w:r>
            <w:r>
              <w:rPr>
                <w:rFonts w:hint="default" w:ascii="Times New Roman" w:hAnsi="Times New Roman" w:cs="Times New Roman"/>
                <w:color w:val="auto"/>
                <w:sz w:val="24"/>
                <w:szCs w:val="24"/>
              </w:rPr>
              <w:t>监测</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天，昼夜各监测1次。</w:t>
            </w:r>
          </w:p>
          <w:p w14:paraId="7E10880D">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lang w:val="en-US" w:eastAsia="zh-CN"/>
              </w:rPr>
              <w:t>3</w:t>
            </w: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rPr>
              <w:t>评价标准</w:t>
            </w:r>
          </w:p>
          <w:p w14:paraId="77A29B4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zh-CN"/>
              </w:rPr>
              <w:t>执行《声环境质量标准》（GB3096-2008）</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zh-CN"/>
              </w:rPr>
              <w:t>类标准</w:t>
            </w:r>
            <w:r>
              <w:rPr>
                <w:rFonts w:hint="default" w:ascii="Times New Roman" w:hAnsi="Times New Roman" w:cs="Times New Roman"/>
                <w:color w:val="auto"/>
                <w:sz w:val="24"/>
                <w:szCs w:val="24"/>
              </w:rPr>
              <w:t>。</w:t>
            </w:r>
          </w:p>
          <w:p w14:paraId="233F172B">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lang w:val="en-US" w:eastAsia="zh-CN"/>
              </w:rPr>
              <w:t>4</w:t>
            </w: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rPr>
              <w:t>评价结果</w:t>
            </w:r>
          </w:p>
          <w:p w14:paraId="445A4F1D">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区域声环境质量现状监测结果见表3-</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w:t>
            </w:r>
          </w:p>
          <w:p w14:paraId="51C897C3">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lang w:val="en-US" w:eastAsia="zh-CN" w:bidi="ar-SA"/>
              </w:rPr>
            </w:pPr>
            <w:r>
              <w:rPr>
                <w:rFonts w:hint="default" w:ascii="Times New Roman" w:hAnsi="Times New Roman" w:eastAsia="黑体" w:cs="Times New Roman"/>
                <w:b/>
                <w:bCs/>
                <w:color w:val="auto"/>
                <w:kern w:val="0"/>
                <w:sz w:val="21"/>
                <w:szCs w:val="21"/>
                <w:lang w:val="en-US" w:eastAsia="zh-CN" w:bidi="ar-SA"/>
              </w:rPr>
              <w:t>表3-6 声环境质量现状评价结果</w:t>
            </w:r>
          </w:p>
          <w:tbl>
            <w:tblPr>
              <w:tblStyle w:val="29"/>
              <w:tblW w:w="85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3"/>
              <w:gridCol w:w="859"/>
              <w:gridCol w:w="2534"/>
              <w:gridCol w:w="1289"/>
              <w:gridCol w:w="960"/>
              <w:gridCol w:w="1389"/>
              <w:gridCol w:w="943"/>
            </w:tblGrid>
            <w:tr w14:paraId="71AE7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583" w:type="dxa"/>
                  <w:vMerge w:val="restart"/>
                  <w:tcBorders>
                    <w:tl2br w:val="nil"/>
                    <w:tr2bl w:val="nil"/>
                  </w:tcBorders>
                  <w:vAlign w:val="center"/>
                </w:tcPr>
                <w:p w14:paraId="45B89ACD">
                  <w:pPr>
                    <w:pStyle w:val="82"/>
                    <w:snapToGrid w:val="0"/>
                    <w:spacing w:before="0" w:after="0"/>
                    <w:ind w:left="-105" w:leftChars="-50" w:right="-105" w:rightChars="-5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检测因子</w:t>
                  </w:r>
                </w:p>
              </w:tc>
              <w:tc>
                <w:tcPr>
                  <w:tcW w:w="859" w:type="dxa"/>
                  <w:vMerge w:val="restart"/>
                  <w:tcBorders>
                    <w:tl2br w:val="nil"/>
                    <w:tr2bl w:val="nil"/>
                  </w:tcBorders>
                  <w:vAlign w:val="center"/>
                </w:tcPr>
                <w:p w14:paraId="7D4B6EF6">
                  <w:pPr>
                    <w:pStyle w:val="82"/>
                    <w:snapToGrid w:val="0"/>
                    <w:spacing w:before="0" w:after="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检测日期</w:t>
                  </w:r>
                </w:p>
              </w:tc>
              <w:tc>
                <w:tcPr>
                  <w:tcW w:w="2534" w:type="dxa"/>
                  <w:vMerge w:val="restart"/>
                  <w:tcBorders>
                    <w:tl2br w:val="nil"/>
                    <w:tr2bl w:val="nil"/>
                  </w:tcBorders>
                  <w:vAlign w:val="center"/>
                </w:tcPr>
                <w:p w14:paraId="613B85FD">
                  <w:pPr>
                    <w:spacing w:line="300" w:lineRule="exact"/>
                    <w:jc w:val="center"/>
                    <w:rPr>
                      <w:rFonts w:hint="default" w:ascii="Times New Roman" w:hAnsi="Times New Roman" w:cs="Times New Roman"/>
                      <w:b/>
                      <w:bCs/>
                      <w:color w:val="auto"/>
                      <w:szCs w:val="21"/>
                    </w:rPr>
                  </w:pPr>
                  <w:r>
                    <w:rPr>
                      <w:rFonts w:hint="default" w:ascii="Times New Roman" w:hAnsi="Times New Roman" w:cs="Times New Roman"/>
                      <w:b/>
                      <w:color w:val="auto"/>
                      <w:szCs w:val="21"/>
                    </w:rPr>
                    <w:t>检测点编号及位置</w:t>
                  </w:r>
                </w:p>
              </w:tc>
              <w:tc>
                <w:tcPr>
                  <w:tcW w:w="2249" w:type="dxa"/>
                  <w:gridSpan w:val="2"/>
                  <w:tcBorders>
                    <w:tl2br w:val="nil"/>
                    <w:tr2bl w:val="nil"/>
                  </w:tcBorders>
                  <w:vAlign w:val="center"/>
                </w:tcPr>
                <w:p w14:paraId="5F36AD9B">
                  <w:pPr>
                    <w:jc w:val="center"/>
                    <w:rPr>
                      <w:rFonts w:hint="default" w:ascii="Times New Roman" w:hAnsi="Times New Roman" w:cs="Times New Roman"/>
                      <w:b/>
                      <w:bCs/>
                      <w:color w:val="auto"/>
                      <w:szCs w:val="21"/>
                    </w:rPr>
                  </w:pPr>
                  <w:r>
                    <w:rPr>
                      <w:rFonts w:hint="default" w:ascii="Times New Roman" w:hAnsi="Times New Roman" w:cs="Times New Roman"/>
                      <w:b/>
                      <w:color w:val="auto"/>
                      <w:szCs w:val="21"/>
                    </w:rPr>
                    <w:t>昼间</w:t>
                  </w:r>
                </w:p>
              </w:tc>
              <w:tc>
                <w:tcPr>
                  <w:tcW w:w="2332" w:type="dxa"/>
                  <w:gridSpan w:val="2"/>
                  <w:tcBorders>
                    <w:tl2br w:val="nil"/>
                    <w:tr2bl w:val="nil"/>
                  </w:tcBorders>
                  <w:vAlign w:val="center"/>
                </w:tcPr>
                <w:p w14:paraId="06150E95">
                  <w:pPr>
                    <w:jc w:val="center"/>
                    <w:rPr>
                      <w:rFonts w:hint="default" w:ascii="Times New Roman" w:hAnsi="Times New Roman" w:cs="Times New Roman"/>
                      <w:b/>
                      <w:bCs/>
                      <w:color w:val="auto"/>
                      <w:szCs w:val="21"/>
                    </w:rPr>
                  </w:pPr>
                  <w:r>
                    <w:rPr>
                      <w:rFonts w:hint="default" w:ascii="Times New Roman" w:hAnsi="Times New Roman" w:cs="Times New Roman"/>
                      <w:b/>
                      <w:color w:val="auto"/>
                      <w:szCs w:val="21"/>
                    </w:rPr>
                    <w:t>夜间</w:t>
                  </w:r>
                </w:p>
              </w:tc>
            </w:tr>
            <w:tr w14:paraId="173F8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tblHeader/>
                <w:jc w:val="center"/>
              </w:trPr>
              <w:tc>
                <w:tcPr>
                  <w:tcW w:w="583" w:type="dxa"/>
                  <w:vMerge w:val="continue"/>
                  <w:tcBorders>
                    <w:tl2br w:val="nil"/>
                    <w:tr2bl w:val="nil"/>
                  </w:tcBorders>
                  <w:vAlign w:val="center"/>
                </w:tcPr>
                <w:p w14:paraId="4F6EC65B">
                  <w:pPr>
                    <w:jc w:val="center"/>
                    <w:rPr>
                      <w:rFonts w:hint="default" w:ascii="Times New Roman" w:hAnsi="Times New Roman" w:cs="Times New Roman"/>
                      <w:b/>
                      <w:color w:val="auto"/>
                      <w:szCs w:val="21"/>
                    </w:rPr>
                  </w:pPr>
                </w:p>
              </w:tc>
              <w:tc>
                <w:tcPr>
                  <w:tcW w:w="859" w:type="dxa"/>
                  <w:vMerge w:val="continue"/>
                  <w:tcBorders>
                    <w:tl2br w:val="nil"/>
                    <w:tr2bl w:val="nil"/>
                  </w:tcBorders>
                  <w:vAlign w:val="center"/>
                </w:tcPr>
                <w:p w14:paraId="4E60B42D">
                  <w:pPr>
                    <w:jc w:val="center"/>
                    <w:rPr>
                      <w:rFonts w:hint="default" w:ascii="Times New Roman" w:hAnsi="Times New Roman" w:cs="Times New Roman"/>
                      <w:b/>
                      <w:color w:val="auto"/>
                      <w:szCs w:val="21"/>
                    </w:rPr>
                  </w:pPr>
                </w:p>
              </w:tc>
              <w:tc>
                <w:tcPr>
                  <w:tcW w:w="2534" w:type="dxa"/>
                  <w:vMerge w:val="continue"/>
                  <w:tcBorders>
                    <w:tl2br w:val="nil"/>
                    <w:tr2bl w:val="nil"/>
                  </w:tcBorders>
                  <w:vAlign w:val="center"/>
                </w:tcPr>
                <w:p w14:paraId="1243C045">
                  <w:pPr>
                    <w:jc w:val="center"/>
                    <w:rPr>
                      <w:rFonts w:hint="default" w:ascii="Times New Roman" w:hAnsi="Times New Roman" w:cs="Times New Roman"/>
                      <w:b/>
                      <w:color w:val="auto"/>
                      <w:szCs w:val="21"/>
                    </w:rPr>
                  </w:pPr>
                </w:p>
              </w:tc>
              <w:tc>
                <w:tcPr>
                  <w:tcW w:w="1289" w:type="dxa"/>
                  <w:tcBorders>
                    <w:tl2br w:val="nil"/>
                    <w:tr2bl w:val="nil"/>
                  </w:tcBorders>
                  <w:vAlign w:val="center"/>
                </w:tcPr>
                <w:p w14:paraId="0A71C474">
                  <w:pPr>
                    <w:ind w:left="-105" w:leftChars="-50" w:right="-105" w:rightChars="-5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检测时段</w:t>
                  </w:r>
                </w:p>
              </w:tc>
              <w:tc>
                <w:tcPr>
                  <w:tcW w:w="960" w:type="dxa"/>
                  <w:tcBorders>
                    <w:tl2br w:val="nil"/>
                    <w:tr2bl w:val="nil"/>
                  </w:tcBorders>
                  <w:vAlign w:val="center"/>
                </w:tcPr>
                <w:p w14:paraId="00CAE90F">
                  <w:pPr>
                    <w:ind w:left="-105" w:leftChars="-50" w:right="-105" w:rightChars="-5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检测结果</w:t>
                  </w:r>
                </w:p>
              </w:tc>
              <w:tc>
                <w:tcPr>
                  <w:tcW w:w="1389" w:type="dxa"/>
                  <w:tcBorders>
                    <w:tl2br w:val="nil"/>
                    <w:tr2bl w:val="nil"/>
                  </w:tcBorders>
                  <w:vAlign w:val="center"/>
                </w:tcPr>
                <w:p w14:paraId="6386E870">
                  <w:pPr>
                    <w:ind w:left="-105" w:leftChars="-50" w:right="-105" w:rightChars="-5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检测时段</w:t>
                  </w:r>
                </w:p>
              </w:tc>
              <w:tc>
                <w:tcPr>
                  <w:tcW w:w="943" w:type="dxa"/>
                  <w:tcBorders>
                    <w:tl2br w:val="nil"/>
                    <w:tr2bl w:val="nil"/>
                  </w:tcBorders>
                  <w:vAlign w:val="center"/>
                </w:tcPr>
                <w:p w14:paraId="4DE46F00">
                  <w:pPr>
                    <w:ind w:left="-105" w:leftChars="-50" w:right="-105" w:rightChars="-5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检测结果</w:t>
                  </w:r>
                </w:p>
              </w:tc>
            </w:tr>
            <w:tr w14:paraId="570AB0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583" w:type="dxa"/>
                  <w:vMerge w:val="restart"/>
                  <w:tcBorders>
                    <w:tl2br w:val="nil"/>
                    <w:tr2bl w:val="nil"/>
                  </w:tcBorders>
                  <w:vAlign w:val="center"/>
                </w:tcPr>
                <w:p w14:paraId="349FBA4C">
                  <w:pPr>
                    <w:jc w:val="center"/>
                    <w:rPr>
                      <w:rFonts w:hint="default" w:ascii="Times New Roman" w:hAnsi="Times New Roman" w:cs="Times New Roman"/>
                      <w:bCs/>
                      <w:color w:val="auto"/>
                      <w:kern w:val="0"/>
                      <w:szCs w:val="21"/>
                    </w:rPr>
                  </w:pPr>
                  <w:r>
                    <w:rPr>
                      <w:rFonts w:hint="default" w:ascii="Times New Roman" w:hAnsi="Times New Roman" w:cs="Times New Roman"/>
                      <w:snapToGrid w:val="0"/>
                      <w:color w:val="auto"/>
                      <w:szCs w:val="21"/>
                    </w:rPr>
                    <w:t>L</w:t>
                  </w:r>
                  <w:r>
                    <w:rPr>
                      <w:rFonts w:hint="default" w:ascii="Times New Roman" w:hAnsi="Times New Roman" w:cs="Times New Roman"/>
                      <w:snapToGrid w:val="0"/>
                      <w:color w:val="auto"/>
                      <w:szCs w:val="21"/>
                      <w:vertAlign w:val="subscript"/>
                    </w:rPr>
                    <w:t>eq</w:t>
                  </w:r>
                </w:p>
              </w:tc>
              <w:tc>
                <w:tcPr>
                  <w:tcW w:w="859" w:type="dxa"/>
                  <w:vMerge w:val="restart"/>
                  <w:tcBorders>
                    <w:tl2br w:val="nil"/>
                    <w:tr2bl w:val="nil"/>
                  </w:tcBorders>
                  <w:vAlign w:val="center"/>
                </w:tcPr>
                <w:p w14:paraId="27DE11BB">
                  <w:pPr>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bCs/>
                      <w:color w:val="auto"/>
                      <w:szCs w:val="21"/>
                      <w:highlight w:val="none"/>
                    </w:rPr>
                    <w:t>202</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val="en-US" w:eastAsia="zh-CN"/>
                    </w:rPr>
                    <w:t>06.27</w:t>
                  </w:r>
                </w:p>
              </w:tc>
              <w:tc>
                <w:tcPr>
                  <w:tcW w:w="2534" w:type="dxa"/>
                  <w:tcBorders>
                    <w:tl2br w:val="nil"/>
                    <w:tr2bl w:val="nil"/>
                  </w:tcBorders>
                  <w:vAlign w:val="center"/>
                </w:tcPr>
                <w:p w14:paraId="7A9B5B2C">
                  <w:pPr>
                    <w:jc w:val="center"/>
                    <w:rPr>
                      <w:rFonts w:hint="default" w:ascii="Times New Roman" w:hAnsi="Times New Roman" w:cs="Times New Roman"/>
                      <w:color w:val="auto"/>
                      <w:szCs w:val="21"/>
                    </w:rPr>
                  </w:pPr>
                  <w:r>
                    <w:rPr>
                      <w:rFonts w:hint="default" w:ascii="Times New Roman" w:hAnsi="Times New Roman" w:cs="Times New Roman"/>
                      <w:bCs/>
                      <w:color w:val="auto"/>
                      <w:szCs w:val="21"/>
                    </w:rPr>
                    <w:t>N1，项目北厂界外1m处</w:t>
                  </w:r>
                </w:p>
              </w:tc>
              <w:tc>
                <w:tcPr>
                  <w:tcW w:w="1289" w:type="dxa"/>
                  <w:tcBorders>
                    <w:tl2br w:val="nil"/>
                    <w:tr2bl w:val="nil"/>
                  </w:tcBorders>
                  <w:shd w:val="clear" w:color="auto" w:fill="auto"/>
                  <w:vAlign w:val="center"/>
                </w:tcPr>
                <w:p w14:paraId="0BCC2E8B">
                  <w:pPr>
                    <w:pStyle w:val="82"/>
                    <w:snapToGrid w:val="0"/>
                    <w:spacing w:before="0" w:after="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12:06-12:16</w:t>
                  </w:r>
                </w:p>
              </w:tc>
              <w:tc>
                <w:tcPr>
                  <w:tcW w:w="960" w:type="dxa"/>
                  <w:tcBorders>
                    <w:tl2br w:val="nil"/>
                    <w:tr2bl w:val="nil"/>
                  </w:tcBorders>
                  <w:shd w:val="clear" w:color="auto" w:fill="auto"/>
                  <w:vAlign w:val="center"/>
                </w:tcPr>
                <w:p w14:paraId="2FA24FBE">
                  <w:pPr>
                    <w:pStyle w:val="82"/>
                    <w:snapToGrid w:val="0"/>
                    <w:spacing w:before="0" w:after="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54</w:t>
                  </w:r>
                </w:p>
              </w:tc>
              <w:tc>
                <w:tcPr>
                  <w:tcW w:w="1389" w:type="dxa"/>
                  <w:tcBorders>
                    <w:tl2br w:val="nil"/>
                    <w:tr2bl w:val="nil"/>
                  </w:tcBorders>
                  <w:shd w:val="clear" w:color="auto" w:fill="auto"/>
                  <w:vAlign w:val="center"/>
                </w:tcPr>
                <w:p w14:paraId="798EB907">
                  <w:pPr>
                    <w:pStyle w:val="82"/>
                    <w:snapToGrid w:val="0"/>
                    <w:spacing w:before="0" w:after="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22:00-22:10</w:t>
                  </w:r>
                </w:p>
              </w:tc>
              <w:tc>
                <w:tcPr>
                  <w:tcW w:w="943" w:type="dxa"/>
                  <w:tcBorders>
                    <w:tl2br w:val="nil"/>
                    <w:tr2bl w:val="nil"/>
                  </w:tcBorders>
                  <w:shd w:val="clear" w:color="auto" w:fill="auto"/>
                  <w:vAlign w:val="center"/>
                </w:tcPr>
                <w:p w14:paraId="601121CC">
                  <w:pPr>
                    <w:pStyle w:val="82"/>
                    <w:snapToGrid w:val="0"/>
                    <w:spacing w:before="0" w:after="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47</w:t>
                  </w:r>
                </w:p>
              </w:tc>
            </w:tr>
            <w:tr w14:paraId="043C0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583" w:type="dxa"/>
                  <w:vMerge w:val="continue"/>
                  <w:tcBorders>
                    <w:tl2br w:val="nil"/>
                    <w:tr2bl w:val="nil"/>
                  </w:tcBorders>
                  <w:vAlign w:val="center"/>
                </w:tcPr>
                <w:p w14:paraId="3B91B674">
                  <w:pPr>
                    <w:jc w:val="center"/>
                    <w:rPr>
                      <w:rFonts w:hint="default" w:ascii="Times New Roman" w:hAnsi="Times New Roman" w:cs="Times New Roman"/>
                      <w:snapToGrid w:val="0"/>
                      <w:color w:val="auto"/>
                      <w:szCs w:val="21"/>
                    </w:rPr>
                  </w:pPr>
                </w:p>
              </w:tc>
              <w:tc>
                <w:tcPr>
                  <w:tcW w:w="859" w:type="dxa"/>
                  <w:vMerge w:val="continue"/>
                  <w:tcBorders>
                    <w:tl2br w:val="nil"/>
                    <w:tr2bl w:val="nil"/>
                  </w:tcBorders>
                  <w:vAlign w:val="center"/>
                </w:tcPr>
                <w:p w14:paraId="539A69C4">
                  <w:pPr>
                    <w:jc w:val="center"/>
                    <w:rPr>
                      <w:rFonts w:hint="default" w:ascii="Times New Roman" w:hAnsi="Times New Roman" w:cs="Times New Roman"/>
                      <w:snapToGrid w:val="0"/>
                      <w:color w:val="auto"/>
                      <w:szCs w:val="21"/>
                    </w:rPr>
                  </w:pPr>
                </w:p>
              </w:tc>
              <w:tc>
                <w:tcPr>
                  <w:tcW w:w="2534" w:type="dxa"/>
                  <w:tcBorders>
                    <w:tl2br w:val="nil"/>
                    <w:tr2bl w:val="nil"/>
                  </w:tcBorders>
                  <w:vAlign w:val="center"/>
                </w:tcPr>
                <w:p w14:paraId="7901D160">
                  <w:pPr>
                    <w:jc w:val="center"/>
                    <w:rPr>
                      <w:rFonts w:hint="default" w:ascii="Times New Roman" w:hAnsi="Times New Roman" w:cs="Times New Roman"/>
                      <w:color w:val="auto"/>
                      <w:szCs w:val="21"/>
                    </w:rPr>
                  </w:pPr>
                  <w:r>
                    <w:rPr>
                      <w:rFonts w:hint="default" w:ascii="Times New Roman" w:hAnsi="Times New Roman" w:cs="Times New Roman"/>
                      <w:bCs/>
                      <w:color w:val="auto"/>
                      <w:szCs w:val="21"/>
                    </w:rPr>
                    <w:t>N2，项目东厂界外1m处</w:t>
                  </w:r>
                </w:p>
              </w:tc>
              <w:tc>
                <w:tcPr>
                  <w:tcW w:w="1289" w:type="dxa"/>
                  <w:tcBorders>
                    <w:tl2br w:val="nil"/>
                    <w:tr2bl w:val="nil"/>
                  </w:tcBorders>
                  <w:shd w:val="clear" w:color="auto" w:fill="auto"/>
                  <w:vAlign w:val="center"/>
                </w:tcPr>
                <w:p w14:paraId="47F69F1A">
                  <w:pPr>
                    <w:pStyle w:val="82"/>
                    <w:snapToGrid w:val="0"/>
                    <w:spacing w:before="0" w:after="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12:20-12:30</w:t>
                  </w:r>
                </w:p>
              </w:tc>
              <w:tc>
                <w:tcPr>
                  <w:tcW w:w="960" w:type="dxa"/>
                  <w:tcBorders>
                    <w:tl2br w:val="nil"/>
                    <w:tr2bl w:val="nil"/>
                  </w:tcBorders>
                  <w:shd w:val="clear" w:color="auto" w:fill="auto"/>
                  <w:vAlign w:val="center"/>
                </w:tcPr>
                <w:p w14:paraId="575804F5">
                  <w:pPr>
                    <w:pStyle w:val="82"/>
                    <w:snapToGrid w:val="0"/>
                    <w:spacing w:before="0" w:after="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55</w:t>
                  </w:r>
                </w:p>
              </w:tc>
              <w:tc>
                <w:tcPr>
                  <w:tcW w:w="1389" w:type="dxa"/>
                  <w:tcBorders>
                    <w:tl2br w:val="nil"/>
                    <w:tr2bl w:val="nil"/>
                  </w:tcBorders>
                  <w:shd w:val="clear" w:color="auto" w:fill="auto"/>
                  <w:vAlign w:val="center"/>
                </w:tcPr>
                <w:p w14:paraId="1F6B14ED">
                  <w:pPr>
                    <w:pStyle w:val="82"/>
                    <w:snapToGrid w:val="0"/>
                    <w:spacing w:before="0" w:after="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22:15-22:25</w:t>
                  </w:r>
                </w:p>
              </w:tc>
              <w:tc>
                <w:tcPr>
                  <w:tcW w:w="943" w:type="dxa"/>
                  <w:tcBorders>
                    <w:tl2br w:val="nil"/>
                    <w:tr2bl w:val="nil"/>
                  </w:tcBorders>
                  <w:shd w:val="clear" w:color="auto" w:fill="auto"/>
                  <w:vAlign w:val="center"/>
                </w:tcPr>
                <w:p w14:paraId="1BE5CF1B">
                  <w:pPr>
                    <w:pStyle w:val="82"/>
                    <w:snapToGrid w:val="0"/>
                    <w:spacing w:before="0" w:after="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47</w:t>
                  </w:r>
                </w:p>
              </w:tc>
            </w:tr>
            <w:tr w14:paraId="33354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583" w:type="dxa"/>
                  <w:vMerge w:val="continue"/>
                  <w:tcBorders>
                    <w:tl2br w:val="nil"/>
                    <w:tr2bl w:val="nil"/>
                  </w:tcBorders>
                  <w:vAlign w:val="center"/>
                </w:tcPr>
                <w:p w14:paraId="1C667EF8">
                  <w:pPr>
                    <w:jc w:val="center"/>
                    <w:rPr>
                      <w:rFonts w:hint="default" w:ascii="Times New Roman" w:hAnsi="Times New Roman" w:cs="Times New Roman"/>
                      <w:snapToGrid w:val="0"/>
                      <w:color w:val="auto"/>
                      <w:szCs w:val="21"/>
                    </w:rPr>
                  </w:pPr>
                </w:p>
              </w:tc>
              <w:tc>
                <w:tcPr>
                  <w:tcW w:w="859" w:type="dxa"/>
                  <w:vMerge w:val="continue"/>
                  <w:tcBorders>
                    <w:tl2br w:val="nil"/>
                    <w:tr2bl w:val="nil"/>
                  </w:tcBorders>
                  <w:vAlign w:val="center"/>
                </w:tcPr>
                <w:p w14:paraId="4B9FB649">
                  <w:pPr>
                    <w:jc w:val="center"/>
                    <w:rPr>
                      <w:rFonts w:hint="default" w:ascii="Times New Roman" w:hAnsi="Times New Roman" w:cs="Times New Roman"/>
                      <w:snapToGrid w:val="0"/>
                      <w:color w:val="auto"/>
                      <w:szCs w:val="21"/>
                    </w:rPr>
                  </w:pPr>
                </w:p>
              </w:tc>
              <w:tc>
                <w:tcPr>
                  <w:tcW w:w="2534" w:type="dxa"/>
                  <w:tcBorders>
                    <w:tl2br w:val="nil"/>
                    <w:tr2bl w:val="nil"/>
                  </w:tcBorders>
                  <w:vAlign w:val="center"/>
                </w:tcPr>
                <w:p w14:paraId="15976E1A">
                  <w:pPr>
                    <w:jc w:val="center"/>
                    <w:rPr>
                      <w:rFonts w:hint="default" w:ascii="Times New Roman" w:hAnsi="Times New Roman" w:cs="Times New Roman"/>
                      <w:color w:val="auto"/>
                      <w:szCs w:val="21"/>
                    </w:rPr>
                  </w:pPr>
                  <w:r>
                    <w:rPr>
                      <w:rFonts w:hint="default" w:ascii="Times New Roman" w:hAnsi="Times New Roman" w:cs="Times New Roman"/>
                      <w:bCs/>
                      <w:color w:val="auto"/>
                      <w:szCs w:val="21"/>
                    </w:rPr>
                    <w:t>N3，项目南厂界外1m处</w:t>
                  </w:r>
                </w:p>
              </w:tc>
              <w:tc>
                <w:tcPr>
                  <w:tcW w:w="1289" w:type="dxa"/>
                  <w:tcBorders>
                    <w:tl2br w:val="nil"/>
                    <w:tr2bl w:val="nil"/>
                  </w:tcBorders>
                  <w:shd w:val="clear" w:color="auto" w:fill="auto"/>
                  <w:vAlign w:val="center"/>
                </w:tcPr>
                <w:p w14:paraId="5B0426C7">
                  <w:pPr>
                    <w:pStyle w:val="82"/>
                    <w:snapToGrid w:val="0"/>
                    <w:spacing w:before="0" w:after="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12:35-12:45</w:t>
                  </w:r>
                </w:p>
              </w:tc>
              <w:tc>
                <w:tcPr>
                  <w:tcW w:w="960" w:type="dxa"/>
                  <w:tcBorders>
                    <w:tl2br w:val="nil"/>
                    <w:tr2bl w:val="nil"/>
                  </w:tcBorders>
                  <w:shd w:val="clear" w:color="auto" w:fill="auto"/>
                  <w:vAlign w:val="center"/>
                </w:tcPr>
                <w:p w14:paraId="28D67F69">
                  <w:pPr>
                    <w:pStyle w:val="82"/>
                    <w:snapToGrid w:val="0"/>
                    <w:spacing w:before="0" w:after="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55</w:t>
                  </w:r>
                </w:p>
              </w:tc>
              <w:tc>
                <w:tcPr>
                  <w:tcW w:w="1389" w:type="dxa"/>
                  <w:tcBorders>
                    <w:tl2br w:val="nil"/>
                    <w:tr2bl w:val="nil"/>
                  </w:tcBorders>
                  <w:shd w:val="clear" w:color="auto" w:fill="auto"/>
                  <w:vAlign w:val="center"/>
                </w:tcPr>
                <w:p w14:paraId="1B2CC577">
                  <w:pPr>
                    <w:pStyle w:val="82"/>
                    <w:snapToGrid w:val="0"/>
                    <w:spacing w:before="0" w:after="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22:30-22:40</w:t>
                  </w:r>
                </w:p>
              </w:tc>
              <w:tc>
                <w:tcPr>
                  <w:tcW w:w="943" w:type="dxa"/>
                  <w:tcBorders>
                    <w:tl2br w:val="nil"/>
                    <w:tr2bl w:val="nil"/>
                  </w:tcBorders>
                  <w:shd w:val="clear" w:color="auto" w:fill="auto"/>
                  <w:vAlign w:val="center"/>
                </w:tcPr>
                <w:p w14:paraId="198810D5">
                  <w:pPr>
                    <w:pStyle w:val="82"/>
                    <w:snapToGrid w:val="0"/>
                    <w:spacing w:before="0" w:after="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46</w:t>
                  </w:r>
                </w:p>
              </w:tc>
            </w:tr>
            <w:tr w14:paraId="29FFC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83" w:type="dxa"/>
                  <w:vMerge w:val="continue"/>
                  <w:tcBorders>
                    <w:tl2br w:val="nil"/>
                    <w:tr2bl w:val="nil"/>
                  </w:tcBorders>
                  <w:vAlign w:val="center"/>
                </w:tcPr>
                <w:p w14:paraId="0CBB66BF">
                  <w:pPr>
                    <w:jc w:val="center"/>
                    <w:rPr>
                      <w:rFonts w:hint="default" w:ascii="Times New Roman" w:hAnsi="Times New Roman" w:cs="Times New Roman"/>
                      <w:snapToGrid w:val="0"/>
                      <w:color w:val="auto"/>
                      <w:szCs w:val="21"/>
                    </w:rPr>
                  </w:pPr>
                </w:p>
              </w:tc>
              <w:tc>
                <w:tcPr>
                  <w:tcW w:w="859" w:type="dxa"/>
                  <w:vMerge w:val="continue"/>
                  <w:tcBorders>
                    <w:tl2br w:val="nil"/>
                    <w:tr2bl w:val="nil"/>
                  </w:tcBorders>
                  <w:vAlign w:val="center"/>
                </w:tcPr>
                <w:p w14:paraId="6A5A0D4A">
                  <w:pPr>
                    <w:jc w:val="center"/>
                    <w:rPr>
                      <w:rFonts w:hint="default" w:ascii="Times New Roman" w:hAnsi="Times New Roman" w:cs="Times New Roman"/>
                      <w:snapToGrid w:val="0"/>
                      <w:color w:val="auto"/>
                      <w:szCs w:val="21"/>
                    </w:rPr>
                  </w:pPr>
                </w:p>
              </w:tc>
              <w:tc>
                <w:tcPr>
                  <w:tcW w:w="2534" w:type="dxa"/>
                  <w:tcBorders>
                    <w:tl2br w:val="nil"/>
                    <w:tr2bl w:val="nil"/>
                  </w:tcBorders>
                  <w:vAlign w:val="center"/>
                </w:tcPr>
                <w:p w14:paraId="3D9B7A54">
                  <w:pPr>
                    <w:jc w:val="center"/>
                    <w:rPr>
                      <w:rFonts w:hint="default" w:ascii="Times New Roman" w:hAnsi="Times New Roman" w:cs="Times New Roman"/>
                      <w:color w:val="auto"/>
                      <w:szCs w:val="21"/>
                    </w:rPr>
                  </w:pPr>
                  <w:r>
                    <w:rPr>
                      <w:rFonts w:hint="default" w:ascii="Times New Roman" w:hAnsi="Times New Roman" w:cs="Times New Roman"/>
                      <w:bCs/>
                      <w:color w:val="auto"/>
                      <w:szCs w:val="21"/>
                    </w:rPr>
                    <w:t>N4，项目西厂界外1m处</w:t>
                  </w:r>
                </w:p>
              </w:tc>
              <w:tc>
                <w:tcPr>
                  <w:tcW w:w="1289" w:type="dxa"/>
                  <w:tcBorders>
                    <w:tl2br w:val="nil"/>
                    <w:tr2bl w:val="nil"/>
                  </w:tcBorders>
                  <w:shd w:val="clear" w:color="auto" w:fill="auto"/>
                  <w:vAlign w:val="center"/>
                </w:tcPr>
                <w:p w14:paraId="2463850E">
                  <w:pPr>
                    <w:pStyle w:val="82"/>
                    <w:snapToGrid w:val="0"/>
                    <w:spacing w:before="0" w:after="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12:50-13:00</w:t>
                  </w:r>
                </w:p>
              </w:tc>
              <w:tc>
                <w:tcPr>
                  <w:tcW w:w="960" w:type="dxa"/>
                  <w:tcBorders>
                    <w:tl2br w:val="nil"/>
                    <w:tr2bl w:val="nil"/>
                  </w:tcBorders>
                  <w:shd w:val="clear" w:color="auto" w:fill="auto"/>
                  <w:vAlign w:val="center"/>
                </w:tcPr>
                <w:p w14:paraId="3EB3CDF9">
                  <w:pPr>
                    <w:pStyle w:val="82"/>
                    <w:snapToGrid w:val="0"/>
                    <w:spacing w:before="0" w:after="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56</w:t>
                  </w:r>
                </w:p>
              </w:tc>
              <w:tc>
                <w:tcPr>
                  <w:tcW w:w="1389" w:type="dxa"/>
                  <w:tcBorders>
                    <w:tl2br w:val="nil"/>
                    <w:tr2bl w:val="nil"/>
                  </w:tcBorders>
                  <w:shd w:val="clear" w:color="auto" w:fill="auto"/>
                  <w:vAlign w:val="center"/>
                </w:tcPr>
                <w:p w14:paraId="4C89FDE0">
                  <w:pPr>
                    <w:pStyle w:val="82"/>
                    <w:snapToGrid w:val="0"/>
                    <w:spacing w:before="0" w:after="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22:45-22:55</w:t>
                  </w:r>
                </w:p>
              </w:tc>
              <w:tc>
                <w:tcPr>
                  <w:tcW w:w="943" w:type="dxa"/>
                  <w:tcBorders>
                    <w:tl2br w:val="nil"/>
                    <w:tr2bl w:val="nil"/>
                  </w:tcBorders>
                  <w:shd w:val="clear" w:color="auto" w:fill="auto"/>
                  <w:vAlign w:val="center"/>
                </w:tcPr>
                <w:p w14:paraId="4F1CDB86">
                  <w:pPr>
                    <w:pStyle w:val="82"/>
                    <w:snapToGrid w:val="0"/>
                    <w:spacing w:before="0" w:after="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44</w:t>
                  </w:r>
                </w:p>
              </w:tc>
            </w:tr>
          </w:tbl>
          <w:p w14:paraId="7714E66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结果表明，区域各监测点噪声值均达到《声环境质量标准》（GB3096-2008）</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类标准，区域声环境质量良好。</w:t>
            </w:r>
          </w:p>
          <w:p w14:paraId="789CA1A8">
            <w:pPr>
              <w:spacing w:line="360" w:lineRule="auto"/>
              <w:ind w:firstLine="482" w:firstLineChars="200"/>
              <w:rPr>
                <w:rFonts w:hint="default" w:ascii="Times New Roman" w:hAnsi="Times New Roman" w:cs="Times New Roman"/>
                <w:b/>
                <w:bCs/>
                <w:color w:val="auto"/>
                <w:sz w:val="24"/>
                <w:szCs w:val="32"/>
                <w:lang w:bidi="ar"/>
              </w:rPr>
            </w:pPr>
            <w:r>
              <w:rPr>
                <w:rFonts w:hint="default" w:ascii="Times New Roman" w:hAnsi="Times New Roman" w:cs="Times New Roman"/>
                <w:b/>
                <w:bCs/>
                <w:color w:val="auto"/>
                <w:sz w:val="24"/>
                <w:szCs w:val="24"/>
              </w:rPr>
              <w:t>4、</w:t>
            </w:r>
            <w:r>
              <w:rPr>
                <w:rFonts w:hint="default" w:ascii="Times New Roman" w:hAnsi="Times New Roman" w:cs="Times New Roman"/>
                <w:b/>
                <w:bCs/>
                <w:color w:val="auto"/>
                <w:sz w:val="24"/>
                <w:szCs w:val="32"/>
                <w:lang w:bidi="ar"/>
              </w:rPr>
              <w:t>土壤环境质量现状</w:t>
            </w:r>
          </w:p>
          <w:p w14:paraId="122328D4">
            <w:pPr>
              <w:spacing w:line="360" w:lineRule="auto"/>
              <w:ind w:firstLine="482" w:firstLineChars="200"/>
              <w:rPr>
                <w:rFonts w:hint="default" w:ascii="Times New Roman" w:hAnsi="Times New Roman" w:cs="Times New Roman"/>
                <w:b/>
                <w:bCs/>
                <w:color w:val="auto"/>
                <w:sz w:val="24"/>
                <w:szCs w:val="32"/>
                <w:lang w:bidi="ar"/>
              </w:rPr>
            </w:pPr>
            <w:r>
              <w:rPr>
                <w:rFonts w:hint="default" w:ascii="Times New Roman" w:hAnsi="Times New Roman" w:cs="Times New Roman"/>
                <w:b/>
                <w:bCs/>
                <w:color w:val="auto"/>
                <w:sz w:val="24"/>
                <w:szCs w:val="32"/>
                <w:lang w:bidi="ar"/>
              </w:rPr>
              <w:t>（1）监测点位基本信息</w:t>
            </w:r>
          </w:p>
          <w:p w14:paraId="19F3360B">
            <w:pPr>
              <w:spacing w:line="360" w:lineRule="auto"/>
              <w:ind w:firstLine="480" w:firstLineChars="200"/>
              <w:rPr>
                <w:rFonts w:hint="default" w:ascii="Times New Roman" w:hAnsi="Times New Roman" w:eastAsia="宋体" w:cs="Times New Roman"/>
                <w:color w:val="auto"/>
                <w:sz w:val="24"/>
                <w:szCs w:val="32"/>
                <w:lang w:eastAsia="zh-CN" w:bidi="ar"/>
              </w:rPr>
            </w:pPr>
            <w:r>
              <w:rPr>
                <w:rFonts w:hint="default" w:ascii="Times New Roman" w:hAnsi="Times New Roman" w:cs="Times New Roman"/>
                <w:color w:val="auto"/>
                <w:sz w:val="24"/>
                <w:szCs w:val="32"/>
                <w:lang w:bidi="ar"/>
              </w:rPr>
              <w:t>为了解区域土壤环境质量现状，本次环评委托达州恒福环境监测服务有限公司于202</w:t>
            </w:r>
            <w:r>
              <w:rPr>
                <w:rFonts w:hint="default" w:ascii="Times New Roman" w:hAnsi="Times New Roman" w:cs="Times New Roman"/>
                <w:color w:val="auto"/>
                <w:sz w:val="24"/>
                <w:szCs w:val="32"/>
                <w:lang w:val="en-US" w:eastAsia="zh-CN" w:bidi="ar"/>
              </w:rPr>
              <w:t>5</w:t>
            </w:r>
            <w:r>
              <w:rPr>
                <w:rFonts w:hint="default" w:ascii="Times New Roman" w:hAnsi="Times New Roman" w:cs="Times New Roman"/>
                <w:color w:val="auto"/>
                <w:sz w:val="24"/>
                <w:szCs w:val="32"/>
                <w:lang w:bidi="ar"/>
              </w:rPr>
              <w:t>年</w:t>
            </w:r>
            <w:r>
              <w:rPr>
                <w:rFonts w:hint="default" w:ascii="Times New Roman" w:hAnsi="Times New Roman" w:cs="Times New Roman"/>
                <w:color w:val="auto"/>
                <w:sz w:val="24"/>
                <w:szCs w:val="32"/>
                <w:lang w:val="en-US" w:eastAsia="zh-CN" w:bidi="ar"/>
              </w:rPr>
              <w:t>6</w:t>
            </w:r>
            <w:r>
              <w:rPr>
                <w:rFonts w:hint="default" w:ascii="Times New Roman" w:hAnsi="Times New Roman" w:cs="Times New Roman"/>
                <w:color w:val="auto"/>
                <w:sz w:val="24"/>
                <w:szCs w:val="32"/>
                <w:lang w:bidi="ar"/>
              </w:rPr>
              <w:t>月</w:t>
            </w:r>
            <w:r>
              <w:rPr>
                <w:rFonts w:hint="default" w:ascii="Times New Roman" w:hAnsi="Times New Roman" w:cs="Times New Roman"/>
                <w:color w:val="auto"/>
                <w:sz w:val="24"/>
                <w:szCs w:val="32"/>
                <w:lang w:val="en-US" w:eastAsia="zh-CN" w:bidi="ar"/>
              </w:rPr>
              <w:t>26</w:t>
            </w:r>
            <w:r>
              <w:rPr>
                <w:rFonts w:hint="default" w:ascii="Times New Roman" w:hAnsi="Times New Roman" w:cs="Times New Roman"/>
                <w:color w:val="auto"/>
                <w:sz w:val="24"/>
                <w:szCs w:val="32"/>
                <w:lang w:bidi="ar"/>
              </w:rPr>
              <w:t>日对区域土壤环境进行监测</w:t>
            </w:r>
            <w:r>
              <w:rPr>
                <w:rFonts w:hint="default" w:ascii="Times New Roman" w:hAnsi="Times New Roman" w:cs="Times New Roman"/>
                <w:color w:val="auto"/>
                <w:sz w:val="24"/>
                <w:szCs w:val="24"/>
                <w:lang w:val="en-US" w:eastAsia="zh-CN"/>
              </w:rPr>
              <w:t>。</w:t>
            </w:r>
          </w:p>
          <w:p w14:paraId="18E72795">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szCs w:val="32"/>
                <w:lang w:bidi="ar"/>
              </w:rPr>
              <w:t>本次环评共设土壤监测点</w:t>
            </w:r>
            <w:r>
              <w:rPr>
                <w:rFonts w:hint="default" w:ascii="Times New Roman" w:hAnsi="Times New Roman" w:cs="Times New Roman"/>
                <w:color w:val="auto"/>
                <w:sz w:val="24"/>
                <w:szCs w:val="32"/>
                <w:lang w:val="en-US" w:eastAsia="zh-CN" w:bidi="ar"/>
              </w:rPr>
              <w:t>3</w:t>
            </w:r>
            <w:r>
              <w:rPr>
                <w:rFonts w:hint="default" w:ascii="Times New Roman" w:hAnsi="Times New Roman" w:cs="Times New Roman"/>
                <w:color w:val="auto"/>
                <w:sz w:val="24"/>
                <w:szCs w:val="32"/>
                <w:lang w:bidi="ar"/>
              </w:rPr>
              <w:t>个，监测点基本信息见下表3-</w:t>
            </w:r>
            <w:r>
              <w:rPr>
                <w:rFonts w:hint="default" w:ascii="Times New Roman" w:hAnsi="Times New Roman" w:cs="Times New Roman"/>
                <w:color w:val="auto"/>
                <w:sz w:val="24"/>
                <w:szCs w:val="32"/>
                <w:lang w:val="en-US" w:eastAsia="zh-CN" w:bidi="ar"/>
              </w:rPr>
              <w:t>7</w:t>
            </w:r>
            <w:r>
              <w:rPr>
                <w:rFonts w:hint="default" w:ascii="Times New Roman" w:hAnsi="Times New Roman" w:cs="Times New Roman"/>
                <w:color w:val="auto"/>
                <w:sz w:val="24"/>
                <w:szCs w:val="32"/>
                <w:lang w:bidi="ar"/>
              </w:rPr>
              <w:t>。</w:t>
            </w:r>
          </w:p>
          <w:p w14:paraId="637E0B96">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lang w:val="en-US" w:eastAsia="zh-CN" w:bidi="ar-SA"/>
              </w:rPr>
            </w:pPr>
            <w:r>
              <w:rPr>
                <w:rFonts w:hint="default" w:ascii="Times New Roman" w:hAnsi="Times New Roman" w:eastAsia="黑体" w:cs="Times New Roman"/>
                <w:b/>
                <w:bCs/>
                <w:color w:val="auto"/>
                <w:kern w:val="0"/>
                <w:sz w:val="21"/>
                <w:szCs w:val="21"/>
                <w:lang w:val="en-US" w:eastAsia="zh-CN" w:bidi="ar-SA"/>
              </w:rPr>
              <w:t>表3-7 土壤监测点基本信息表</w:t>
            </w:r>
          </w:p>
          <w:tbl>
            <w:tblPr>
              <w:tblStyle w:val="30"/>
              <w:tblW w:w="498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4"/>
              <w:gridCol w:w="2061"/>
              <w:gridCol w:w="5690"/>
            </w:tblGrid>
            <w:tr w14:paraId="0FF963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84" w:type="dxa"/>
                  <w:tcBorders>
                    <w:tl2br w:val="nil"/>
                    <w:tr2bl w:val="nil"/>
                  </w:tcBorders>
                  <w:vAlign w:val="center"/>
                </w:tcPr>
                <w:p w14:paraId="4EAFBE6F">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编号</w:t>
                  </w:r>
                </w:p>
              </w:tc>
              <w:tc>
                <w:tcPr>
                  <w:tcW w:w="2061" w:type="dxa"/>
                  <w:tcBorders>
                    <w:tl2br w:val="nil"/>
                    <w:tr2bl w:val="nil"/>
                  </w:tcBorders>
                  <w:vAlign w:val="center"/>
                </w:tcPr>
                <w:p w14:paraId="3C2AE787">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监测区域</w:t>
                  </w:r>
                </w:p>
              </w:tc>
              <w:tc>
                <w:tcPr>
                  <w:tcW w:w="5690" w:type="dxa"/>
                  <w:tcBorders>
                    <w:tl2br w:val="nil"/>
                    <w:tr2bl w:val="nil"/>
                  </w:tcBorders>
                  <w:vAlign w:val="center"/>
                </w:tcPr>
                <w:p w14:paraId="3A0B9EF2">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检测项目</w:t>
                  </w:r>
                </w:p>
              </w:tc>
            </w:tr>
            <w:tr w14:paraId="107BB1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84" w:type="dxa"/>
                  <w:tcBorders>
                    <w:tl2br w:val="nil"/>
                    <w:tr2bl w:val="nil"/>
                  </w:tcBorders>
                  <w:vAlign w:val="center"/>
                </w:tcPr>
                <w:p w14:paraId="34FE2774">
                  <w:pPr>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T1</w:t>
                  </w:r>
                </w:p>
              </w:tc>
              <w:tc>
                <w:tcPr>
                  <w:tcW w:w="2061" w:type="dxa"/>
                  <w:tcBorders>
                    <w:tl2br w:val="nil"/>
                    <w:tr2bl w:val="nil"/>
                  </w:tcBorders>
                  <w:shd w:val="clear" w:color="auto" w:fill="auto"/>
                  <w:vAlign w:val="center"/>
                </w:tcPr>
                <w:p w14:paraId="5054B40F">
                  <w:pPr>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拟建项目占地范围内（生产区域）</w:t>
                  </w:r>
                </w:p>
              </w:tc>
              <w:tc>
                <w:tcPr>
                  <w:tcW w:w="5690" w:type="dxa"/>
                  <w:tcBorders>
                    <w:tl2br w:val="nil"/>
                    <w:tr2bl w:val="nil"/>
                  </w:tcBorders>
                  <w:vAlign w:val="center"/>
                </w:tcPr>
                <w:p w14:paraId="6F602F13">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bCs/>
                      <w:color w:val="auto"/>
                      <w:szCs w:val="21"/>
                    </w:rPr>
                    <w:t>石油烃</w:t>
                  </w:r>
                  <w:r>
                    <w:rPr>
                      <w:rFonts w:hint="default" w:ascii="Times New Roman" w:hAnsi="Times New Roman" w:cs="Times New Roman"/>
                      <w:color w:val="auto"/>
                      <w:kern w:val="0"/>
                      <w:szCs w:val="21"/>
                      <w:lang w:bidi="ar"/>
                    </w:rPr>
                    <w:t>（C</w:t>
                  </w:r>
                  <w:r>
                    <w:rPr>
                      <w:rFonts w:hint="default" w:ascii="Times New Roman" w:hAnsi="Times New Roman" w:cs="Times New Roman"/>
                      <w:color w:val="auto"/>
                      <w:kern w:val="0"/>
                      <w:szCs w:val="21"/>
                      <w:vertAlign w:val="subscript"/>
                      <w:lang w:bidi="ar"/>
                    </w:rPr>
                    <w:t>10</w:t>
                  </w:r>
                  <w:r>
                    <w:rPr>
                      <w:rFonts w:hint="default" w:ascii="Times New Roman" w:hAnsi="Times New Roman" w:cs="Times New Roman"/>
                      <w:color w:val="auto"/>
                      <w:kern w:val="0"/>
                      <w:szCs w:val="21"/>
                      <w:lang w:bidi="ar"/>
                    </w:rPr>
                    <w:t>-C</w:t>
                  </w:r>
                  <w:r>
                    <w:rPr>
                      <w:rFonts w:hint="default" w:ascii="Times New Roman" w:hAnsi="Times New Roman" w:cs="Times New Roman"/>
                      <w:color w:val="auto"/>
                      <w:kern w:val="0"/>
                      <w:szCs w:val="21"/>
                      <w:vertAlign w:val="subscript"/>
                      <w:lang w:bidi="ar"/>
                    </w:rPr>
                    <w:t>40</w:t>
                  </w:r>
                  <w:r>
                    <w:rPr>
                      <w:rFonts w:hint="default" w:ascii="Times New Roman" w:hAnsi="Times New Roman" w:cs="Times New Roman"/>
                      <w:color w:val="auto"/>
                      <w:kern w:val="0"/>
                      <w:szCs w:val="21"/>
                      <w:lang w:bidi="ar"/>
                    </w:rPr>
                    <w:t>）</w:t>
                  </w:r>
                  <w:r>
                    <w:rPr>
                      <w:rFonts w:hint="default" w:ascii="Times New Roman" w:hAnsi="Times New Roman" w:cs="Times New Roman"/>
                      <w:color w:val="auto"/>
                      <w:spacing w:val="-2"/>
                      <w:kern w:val="0"/>
                      <w:szCs w:val="21"/>
                    </w:rPr>
                    <w:t>、砷、镉、六价铬、铜、铅、汞、镍、四氯化碳、氯仿、1,1-二氯乙烷、1,2-二氯乙烷、1,1-二氯乙烯、顺-1,2-二氯乙烯、反-1,2-二氯乙烯、二氯甲烷、1,2-二氯丙烷、1,1,1,2-四氯乙烷、1,1,2,2-四氯乙烷、四氯乙烯、1,1,1-三氯乙烷、1,1,2-三氯乙烷、三氯乙烯、1,2,3-三氯丙烷、氯乙烯、苯、氯苯、1,2-二氯苯、1,4-二氯苯、乙苯、苯乙烯、甲苯、间,对-二甲苯、邻-二甲苯、苯并[a]蒽、苯并[a]芘、苯并[b]荧蒽、苯并[k]荧蒽、䓛、二苯并[a,h]蒽、茚并[1,2,3-cd]芘、萘、氯甲烷*、硝基苯*、苯胺*、2-氯酚*</w:t>
                  </w:r>
                </w:p>
              </w:tc>
            </w:tr>
            <w:tr w14:paraId="74B63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0" w:type="auto"/>
                  <w:vAlign w:val="center"/>
                </w:tcPr>
                <w:p w14:paraId="5C84E5FD">
                  <w:pPr>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T</w:t>
                  </w:r>
                  <w:r>
                    <w:rPr>
                      <w:rFonts w:hint="default" w:ascii="Times New Roman" w:hAnsi="Times New Roman" w:cs="Times New Roman"/>
                      <w:color w:val="auto"/>
                      <w:szCs w:val="21"/>
                      <w:lang w:val="en-US" w:eastAsia="zh-CN"/>
                    </w:rPr>
                    <w:t>2</w:t>
                  </w:r>
                </w:p>
              </w:tc>
              <w:tc>
                <w:tcPr>
                  <w:tcW w:w="2061" w:type="dxa"/>
                  <w:shd w:val="clear" w:color="auto" w:fill="auto"/>
                  <w:vAlign w:val="center"/>
                </w:tcPr>
                <w:p w14:paraId="3A607CAB">
                  <w:pPr>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拟建项目占地范围内（储罐区域）</w:t>
                  </w:r>
                </w:p>
              </w:tc>
              <w:tc>
                <w:tcPr>
                  <w:tcW w:w="5690" w:type="dxa"/>
                  <w:shd w:val="clear" w:color="auto" w:fill="auto"/>
                  <w:vAlign w:val="center"/>
                </w:tcPr>
                <w:p w14:paraId="380E04EC">
                  <w:pPr>
                    <w:keepNext w:val="0"/>
                    <w:keepLines w:val="0"/>
                    <w:widowControl/>
                    <w:suppressLineNumbers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2"/>
                      <w:szCs w:val="22"/>
                      <w:lang w:val="en-US" w:eastAsia="zh-CN" w:bidi="ar"/>
                    </w:rPr>
                    <w:t>苯并[a]芘、石油烃</w:t>
                  </w:r>
                  <w:r>
                    <w:rPr>
                      <w:rFonts w:hint="default" w:ascii="Times New Roman" w:hAnsi="Times New Roman" w:cs="Times New Roman"/>
                      <w:color w:val="auto"/>
                      <w:kern w:val="0"/>
                      <w:sz w:val="22"/>
                      <w:szCs w:val="22"/>
                      <w:lang w:val="en-US" w:eastAsia="zh-CN" w:bidi="ar"/>
                    </w:rPr>
                    <w:t>（C</w:t>
                  </w:r>
                  <w:r>
                    <w:rPr>
                      <w:rFonts w:hint="default" w:ascii="Times New Roman" w:hAnsi="Times New Roman" w:cs="Times New Roman"/>
                      <w:color w:val="auto"/>
                      <w:kern w:val="0"/>
                      <w:sz w:val="22"/>
                      <w:szCs w:val="22"/>
                      <w:vertAlign w:val="subscript"/>
                      <w:lang w:val="en-US" w:eastAsia="zh-CN" w:bidi="ar"/>
                    </w:rPr>
                    <w:t>10</w:t>
                  </w:r>
                  <w:r>
                    <w:rPr>
                      <w:rFonts w:hint="default" w:ascii="Times New Roman" w:hAnsi="Times New Roman" w:cs="Times New Roman"/>
                      <w:color w:val="auto"/>
                      <w:kern w:val="0"/>
                      <w:sz w:val="22"/>
                      <w:szCs w:val="22"/>
                      <w:lang w:val="en-US" w:eastAsia="zh-CN" w:bidi="ar"/>
                    </w:rPr>
                    <w:t>-C</w:t>
                  </w:r>
                  <w:r>
                    <w:rPr>
                      <w:rFonts w:hint="default" w:ascii="Times New Roman" w:hAnsi="Times New Roman" w:cs="Times New Roman"/>
                      <w:color w:val="auto"/>
                      <w:kern w:val="0"/>
                      <w:sz w:val="22"/>
                      <w:szCs w:val="22"/>
                      <w:vertAlign w:val="subscript"/>
                      <w:lang w:val="en-US" w:eastAsia="zh-CN" w:bidi="ar"/>
                    </w:rPr>
                    <w:t>40</w:t>
                  </w:r>
                  <w:r>
                    <w:rPr>
                      <w:rFonts w:hint="default" w:ascii="Times New Roman" w:hAnsi="Times New Roman" w:cs="Times New Roman"/>
                      <w:color w:val="auto"/>
                      <w:kern w:val="0"/>
                      <w:sz w:val="22"/>
                      <w:szCs w:val="22"/>
                      <w:lang w:val="en-US" w:eastAsia="zh-CN" w:bidi="ar"/>
                    </w:rPr>
                    <w:t>）</w:t>
                  </w:r>
                </w:p>
              </w:tc>
            </w:tr>
            <w:tr w14:paraId="2D005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0" w:type="auto"/>
                  <w:vAlign w:val="center"/>
                </w:tcPr>
                <w:p w14:paraId="72AE3614">
                  <w:pPr>
                    <w:ind w:left="0" w:leftChars="0" w:right="0" w:rightChars="0"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T</w:t>
                  </w:r>
                  <w:r>
                    <w:rPr>
                      <w:rFonts w:hint="default" w:ascii="Times New Roman" w:hAnsi="Times New Roman" w:cs="Times New Roman"/>
                      <w:color w:val="auto"/>
                      <w:szCs w:val="21"/>
                      <w:lang w:val="en-US" w:eastAsia="zh-CN"/>
                    </w:rPr>
                    <w:t>3</w:t>
                  </w:r>
                </w:p>
              </w:tc>
              <w:tc>
                <w:tcPr>
                  <w:tcW w:w="2061" w:type="dxa"/>
                  <w:shd w:val="clear" w:color="auto" w:fill="auto"/>
                  <w:vAlign w:val="center"/>
                </w:tcPr>
                <w:p w14:paraId="2B70C617">
                  <w:pPr>
                    <w:spacing w:line="30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拟建项目占地范围内（物料堆场）</w:t>
                  </w:r>
                </w:p>
              </w:tc>
              <w:tc>
                <w:tcPr>
                  <w:tcW w:w="5690" w:type="dxa"/>
                  <w:shd w:val="clear" w:color="auto" w:fill="auto"/>
                  <w:vAlign w:val="center"/>
                </w:tcPr>
                <w:p w14:paraId="0EB02E40">
                  <w:pPr>
                    <w:spacing w:line="30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2"/>
                      <w:szCs w:val="22"/>
                      <w:lang w:val="en-US" w:eastAsia="zh-CN" w:bidi="ar"/>
                    </w:rPr>
                    <w:t>苯并[a]芘、石油烃</w:t>
                  </w:r>
                  <w:r>
                    <w:rPr>
                      <w:rFonts w:hint="default" w:ascii="Times New Roman" w:hAnsi="Times New Roman" w:cs="Times New Roman"/>
                      <w:color w:val="auto"/>
                      <w:kern w:val="0"/>
                      <w:sz w:val="22"/>
                      <w:szCs w:val="22"/>
                      <w:lang w:val="en-US" w:eastAsia="zh-CN" w:bidi="ar"/>
                    </w:rPr>
                    <w:t>（C</w:t>
                  </w:r>
                  <w:r>
                    <w:rPr>
                      <w:rFonts w:hint="default" w:ascii="Times New Roman" w:hAnsi="Times New Roman" w:cs="Times New Roman"/>
                      <w:color w:val="auto"/>
                      <w:kern w:val="0"/>
                      <w:sz w:val="22"/>
                      <w:szCs w:val="22"/>
                      <w:vertAlign w:val="subscript"/>
                      <w:lang w:val="en-US" w:eastAsia="zh-CN" w:bidi="ar"/>
                    </w:rPr>
                    <w:t>10</w:t>
                  </w:r>
                  <w:r>
                    <w:rPr>
                      <w:rFonts w:hint="default" w:ascii="Times New Roman" w:hAnsi="Times New Roman" w:cs="Times New Roman"/>
                      <w:color w:val="auto"/>
                      <w:kern w:val="0"/>
                      <w:sz w:val="22"/>
                      <w:szCs w:val="22"/>
                      <w:lang w:val="en-US" w:eastAsia="zh-CN" w:bidi="ar"/>
                    </w:rPr>
                    <w:t>-C</w:t>
                  </w:r>
                  <w:r>
                    <w:rPr>
                      <w:rFonts w:hint="default" w:ascii="Times New Roman" w:hAnsi="Times New Roman" w:cs="Times New Roman"/>
                      <w:color w:val="auto"/>
                      <w:kern w:val="0"/>
                      <w:sz w:val="22"/>
                      <w:szCs w:val="22"/>
                      <w:vertAlign w:val="subscript"/>
                      <w:lang w:val="en-US" w:eastAsia="zh-CN" w:bidi="ar"/>
                    </w:rPr>
                    <w:t>40</w:t>
                  </w:r>
                  <w:r>
                    <w:rPr>
                      <w:rFonts w:hint="default" w:ascii="Times New Roman" w:hAnsi="Times New Roman" w:cs="Times New Roman"/>
                      <w:color w:val="auto"/>
                      <w:kern w:val="0"/>
                      <w:sz w:val="22"/>
                      <w:szCs w:val="22"/>
                      <w:lang w:val="en-US" w:eastAsia="zh-CN" w:bidi="ar"/>
                    </w:rPr>
                    <w:t>）</w:t>
                  </w:r>
                </w:p>
              </w:tc>
            </w:tr>
          </w:tbl>
          <w:p w14:paraId="5E9951E7">
            <w:pPr>
              <w:spacing w:line="360" w:lineRule="auto"/>
              <w:ind w:firstLine="482" w:firstLineChars="200"/>
              <w:rPr>
                <w:rFonts w:hint="default" w:ascii="Times New Roman" w:hAnsi="Times New Roman" w:cs="Times New Roman"/>
                <w:b/>
                <w:bCs/>
                <w:color w:val="auto"/>
                <w:sz w:val="24"/>
                <w:szCs w:val="32"/>
                <w:lang w:bidi="ar"/>
              </w:rPr>
            </w:pPr>
            <w:r>
              <w:rPr>
                <w:rFonts w:hint="default" w:ascii="Times New Roman" w:hAnsi="Times New Roman" w:cs="Times New Roman"/>
                <w:b/>
                <w:bCs/>
                <w:color w:val="auto"/>
                <w:sz w:val="24"/>
                <w:szCs w:val="32"/>
                <w:lang w:bidi="ar"/>
              </w:rPr>
              <w:t>（2）评价标准</w:t>
            </w:r>
          </w:p>
          <w:p w14:paraId="524C7F05">
            <w:pPr>
              <w:spacing w:line="360" w:lineRule="auto"/>
              <w:ind w:firstLine="480" w:firstLineChars="200"/>
              <w:rPr>
                <w:rFonts w:hint="default" w:ascii="Times New Roman" w:hAnsi="Times New Roman" w:cs="Times New Roman"/>
                <w:color w:val="auto"/>
                <w:sz w:val="24"/>
                <w:szCs w:val="32"/>
                <w:lang w:bidi="ar"/>
              </w:rPr>
            </w:pPr>
            <w:r>
              <w:rPr>
                <w:rFonts w:hint="default" w:ascii="Times New Roman" w:hAnsi="Times New Roman" w:cs="Times New Roman"/>
                <w:color w:val="auto"/>
                <w:sz w:val="24"/>
                <w:szCs w:val="32"/>
                <w:lang w:bidi="ar"/>
              </w:rPr>
              <w:t>执行《土壤环境质量建设用地土壤污染风险管控标准（试行）》（GB36600-2018）中二类用地筛选值。</w:t>
            </w:r>
          </w:p>
          <w:p w14:paraId="5FD1A62D">
            <w:pPr>
              <w:spacing w:line="360" w:lineRule="auto"/>
              <w:ind w:firstLine="482" w:firstLineChars="200"/>
              <w:rPr>
                <w:rFonts w:hint="default" w:ascii="Times New Roman" w:hAnsi="Times New Roman" w:cs="Times New Roman"/>
                <w:b/>
                <w:bCs/>
                <w:color w:val="auto"/>
                <w:sz w:val="24"/>
                <w:szCs w:val="32"/>
                <w:lang w:bidi="ar"/>
              </w:rPr>
            </w:pPr>
            <w:r>
              <w:rPr>
                <w:rFonts w:hint="default" w:ascii="Times New Roman" w:hAnsi="Times New Roman" w:cs="Times New Roman"/>
                <w:b/>
                <w:bCs/>
                <w:color w:val="auto"/>
                <w:sz w:val="24"/>
                <w:szCs w:val="32"/>
                <w:lang w:bidi="ar"/>
              </w:rPr>
              <w:t>（3）评价方法</w:t>
            </w:r>
          </w:p>
          <w:p w14:paraId="64352398">
            <w:pPr>
              <w:spacing w:line="360" w:lineRule="auto"/>
              <w:ind w:firstLine="480" w:firstLineChars="200"/>
              <w:rPr>
                <w:rFonts w:hint="default" w:ascii="Times New Roman" w:hAnsi="Times New Roman" w:cs="Times New Roman"/>
                <w:color w:val="auto"/>
                <w:sz w:val="24"/>
                <w:szCs w:val="32"/>
                <w:lang w:bidi="ar"/>
              </w:rPr>
            </w:pPr>
            <w:r>
              <w:rPr>
                <w:rFonts w:hint="default" w:ascii="Times New Roman" w:hAnsi="Times New Roman" w:cs="Times New Roman"/>
                <w:color w:val="auto"/>
                <w:sz w:val="24"/>
                <w:szCs w:val="32"/>
                <w:lang w:bidi="ar"/>
              </w:rPr>
              <w:t>据HJ964-2018规定，土壤环境质量现状评价采用标准指数法。标准指数&gt;1，表明该因子已超标，标准指数越大，超标越严重。</w:t>
            </w:r>
          </w:p>
          <w:p w14:paraId="02575AB3">
            <w:pPr>
              <w:spacing w:line="360" w:lineRule="auto"/>
              <w:ind w:firstLine="480" w:firstLineChars="200"/>
              <w:rPr>
                <w:rFonts w:hint="default" w:ascii="Times New Roman" w:hAnsi="Times New Roman" w:cs="Times New Roman"/>
                <w:color w:val="auto"/>
                <w:sz w:val="24"/>
                <w:szCs w:val="32"/>
                <w:lang w:bidi="ar"/>
              </w:rPr>
            </w:pPr>
            <w:r>
              <w:rPr>
                <w:rFonts w:hint="default" w:ascii="Times New Roman" w:hAnsi="Times New Roman" w:cs="Times New Roman"/>
                <w:color w:val="auto"/>
                <w:sz w:val="24"/>
                <w:szCs w:val="32"/>
                <w:lang w:bidi="ar"/>
              </w:rPr>
              <w:t>土壤现状评价采用单项分指数法评价，公式如下：</w:t>
            </w:r>
          </w:p>
          <w:p w14:paraId="4ED7E488">
            <w:pPr>
              <w:spacing w:line="360" w:lineRule="auto"/>
              <w:jc w:val="center"/>
              <w:rPr>
                <w:rFonts w:hint="default" w:ascii="Times New Roman" w:hAnsi="Times New Roman" w:cs="Times New Roman"/>
                <w:color w:val="auto"/>
                <w:sz w:val="24"/>
                <w:szCs w:val="32"/>
                <w:lang w:bidi="ar"/>
              </w:rPr>
            </w:pPr>
            <w:r>
              <w:rPr>
                <w:rFonts w:hint="default" w:ascii="Times New Roman" w:hAnsi="Times New Roman" w:cs="Times New Roman"/>
                <w:color w:val="auto"/>
                <w:sz w:val="24"/>
                <w:szCs w:val="32"/>
                <w:lang w:bidi="ar"/>
              </w:rPr>
              <w:t>Ki=Ci/Si</w:t>
            </w:r>
          </w:p>
          <w:p w14:paraId="5BCF1F11">
            <w:pPr>
              <w:spacing w:line="360" w:lineRule="auto"/>
              <w:ind w:firstLine="480" w:firstLineChars="200"/>
              <w:rPr>
                <w:rFonts w:hint="default" w:ascii="Times New Roman" w:hAnsi="Times New Roman" w:cs="Times New Roman"/>
                <w:color w:val="auto"/>
                <w:sz w:val="24"/>
                <w:szCs w:val="32"/>
                <w:lang w:bidi="ar"/>
              </w:rPr>
            </w:pPr>
            <w:r>
              <w:rPr>
                <w:rFonts w:hint="default" w:ascii="Times New Roman" w:hAnsi="Times New Roman" w:cs="Times New Roman"/>
                <w:color w:val="auto"/>
                <w:sz w:val="24"/>
                <w:szCs w:val="32"/>
                <w:lang w:bidi="ar"/>
              </w:rPr>
              <w:t>式中：Ki—第i项参数的分指数；</w:t>
            </w:r>
          </w:p>
          <w:p w14:paraId="69E20974">
            <w:pPr>
              <w:spacing w:line="360" w:lineRule="auto"/>
              <w:ind w:firstLine="1200" w:firstLineChars="500"/>
              <w:rPr>
                <w:rFonts w:hint="default" w:ascii="Times New Roman" w:hAnsi="Times New Roman" w:cs="Times New Roman"/>
                <w:color w:val="auto"/>
                <w:sz w:val="24"/>
                <w:szCs w:val="32"/>
                <w:lang w:bidi="ar"/>
              </w:rPr>
            </w:pPr>
            <w:r>
              <w:rPr>
                <w:rFonts w:hint="default" w:ascii="Times New Roman" w:hAnsi="Times New Roman" w:cs="Times New Roman"/>
                <w:color w:val="auto"/>
                <w:sz w:val="24"/>
                <w:szCs w:val="32"/>
                <w:lang w:bidi="ar"/>
              </w:rPr>
              <w:t>Ci—第i项参数的实测值；</w:t>
            </w:r>
          </w:p>
          <w:p w14:paraId="28FCDCB1">
            <w:pPr>
              <w:spacing w:line="360" w:lineRule="auto"/>
              <w:ind w:firstLine="1200" w:firstLineChars="500"/>
              <w:rPr>
                <w:rFonts w:hint="default" w:ascii="Times New Roman" w:hAnsi="Times New Roman" w:cs="Times New Roman"/>
                <w:color w:val="auto"/>
                <w:sz w:val="24"/>
                <w:szCs w:val="32"/>
                <w:lang w:bidi="ar"/>
              </w:rPr>
            </w:pPr>
            <w:r>
              <w:rPr>
                <w:rFonts w:hint="default" w:ascii="Times New Roman" w:hAnsi="Times New Roman" w:cs="Times New Roman"/>
                <w:color w:val="auto"/>
                <w:sz w:val="24"/>
                <w:szCs w:val="32"/>
                <w:lang w:bidi="ar"/>
              </w:rPr>
              <w:t>Si—第i项参数的标准值。</w:t>
            </w:r>
          </w:p>
          <w:p w14:paraId="68D8DACD">
            <w:pPr>
              <w:spacing w:line="360" w:lineRule="auto"/>
              <w:ind w:firstLine="482" w:firstLineChars="200"/>
              <w:rPr>
                <w:rFonts w:hint="default" w:ascii="Times New Roman" w:hAnsi="Times New Roman" w:cs="Times New Roman"/>
                <w:b/>
                <w:bCs/>
                <w:color w:val="auto"/>
                <w:sz w:val="24"/>
                <w:szCs w:val="32"/>
                <w:lang w:bidi="ar"/>
              </w:rPr>
            </w:pPr>
            <w:r>
              <w:rPr>
                <w:rFonts w:hint="default" w:ascii="Times New Roman" w:hAnsi="Times New Roman" w:cs="Times New Roman"/>
                <w:b/>
                <w:bCs/>
                <w:color w:val="auto"/>
                <w:sz w:val="24"/>
                <w:szCs w:val="32"/>
                <w:lang w:bidi="ar"/>
              </w:rPr>
              <w:t>（4）监测结果及评价结果</w:t>
            </w:r>
          </w:p>
          <w:p w14:paraId="1D0133DE">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表3-8 土壤环境质量现状监测及评价结果表  单位：mg/kg</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553"/>
              <w:gridCol w:w="2959"/>
              <w:gridCol w:w="1591"/>
              <w:gridCol w:w="1293"/>
            </w:tblGrid>
            <w:tr w14:paraId="11A36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63" w:type="dxa"/>
                  <w:vMerge w:val="restart"/>
                  <w:tcBorders>
                    <w:tl2br w:val="nil"/>
                    <w:tr2bl w:val="nil"/>
                  </w:tcBorders>
                  <w:vAlign w:val="center"/>
                </w:tcPr>
                <w:p w14:paraId="50ED622A">
                  <w:pPr>
                    <w:jc w:val="center"/>
                    <w:rPr>
                      <w:rFonts w:hint="default" w:ascii="Times New Roman" w:hAnsi="Times New Roman" w:cs="Times New Roman"/>
                      <w:b/>
                      <w:bCs/>
                      <w:color w:val="auto"/>
                    </w:rPr>
                  </w:pPr>
                  <w:r>
                    <w:rPr>
                      <w:rFonts w:hint="default" w:ascii="Times New Roman" w:hAnsi="Times New Roman" w:cs="Times New Roman"/>
                      <w:b/>
                      <w:bCs/>
                      <w:color w:val="auto"/>
                    </w:rPr>
                    <w:t>采样日期</w:t>
                  </w:r>
                </w:p>
              </w:tc>
              <w:tc>
                <w:tcPr>
                  <w:tcW w:w="1553" w:type="dxa"/>
                  <w:vMerge w:val="restart"/>
                  <w:tcBorders>
                    <w:tl2br w:val="nil"/>
                    <w:tr2bl w:val="nil"/>
                  </w:tcBorders>
                  <w:vAlign w:val="center"/>
                </w:tcPr>
                <w:p w14:paraId="26779A4B">
                  <w:pPr>
                    <w:jc w:val="center"/>
                    <w:rPr>
                      <w:rFonts w:hint="default" w:ascii="Times New Roman" w:hAnsi="Times New Roman" w:cs="Times New Roman"/>
                      <w:b/>
                      <w:bCs/>
                      <w:color w:val="auto"/>
                    </w:rPr>
                  </w:pPr>
                  <w:r>
                    <w:rPr>
                      <w:rFonts w:hint="default" w:ascii="Times New Roman" w:hAnsi="Times New Roman" w:cs="Times New Roman"/>
                      <w:b/>
                      <w:bCs/>
                      <w:color w:val="auto"/>
                    </w:rPr>
                    <w:t>检测因子</w:t>
                  </w:r>
                </w:p>
              </w:tc>
              <w:tc>
                <w:tcPr>
                  <w:tcW w:w="2959" w:type="dxa"/>
                  <w:tcBorders>
                    <w:tl2br w:val="nil"/>
                    <w:tr2bl w:val="nil"/>
                  </w:tcBorders>
                  <w:vAlign w:val="center"/>
                </w:tcPr>
                <w:p w14:paraId="26F140A8">
                  <w:pPr>
                    <w:jc w:val="center"/>
                    <w:rPr>
                      <w:rFonts w:hint="default" w:ascii="Times New Roman" w:hAnsi="Times New Roman" w:cs="Times New Roman"/>
                      <w:b/>
                      <w:bCs/>
                      <w:color w:val="auto"/>
                    </w:rPr>
                  </w:pPr>
                  <w:r>
                    <w:rPr>
                      <w:rFonts w:hint="default" w:ascii="Times New Roman" w:hAnsi="Times New Roman" w:cs="Times New Roman"/>
                      <w:b/>
                      <w:bCs/>
                      <w:color w:val="auto"/>
                      <w:sz w:val="24"/>
                      <w:szCs w:val="32"/>
                      <w:lang w:bidi="ar"/>
                    </w:rPr>
                    <w:t>Ci</w:t>
                  </w:r>
                </w:p>
              </w:tc>
              <w:tc>
                <w:tcPr>
                  <w:tcW w:w="1591" w:type="dxa"/>
                  <w:tcBorders>
                    <w:tl2br w:val="nil"/>
                    <w:tr2bl w:val="nil"/>
                  </w:tcBorders>
                  <w:vAlign w:val="center"/>
                </w:tcPr>
                <w:p w14:paraId="47A0E6C8">
                  <w:pPr>
                    <w:jc w:val="center"/>
                    <w:rPr>
                      <w:rFonts w:hint="default" w:ascii="Times New Roman" w:hAnsi="Times New Roman" w:cs="Times New Roman"/>
                      <w:b/>
                      <w:bCs/>
                      <w:color w:val="auto"/>
                    </w:rPr>
                  </w:pPr>
                  <w:r>
                    <w:rPr>
                      <w:rFonts w:hint="default" w:ascii="Times New Roman" w:hAnsi="Times New Roman" w:cs="Times New Roman"/>
                      <w:b/>
                      <w:bCs/>
                      <w:color w:val="auto"/>
                      <w:sz w:val="24"/>
                      <w:szCs w:val="32"/>
                      <w:lang w:bidi="ar"/>
                    </w:rPr>
                    <w:t>Si</w:t>
                  </w:r>
                </w:p>
              </w:tc>
              <w:tc>
                <w:tcPr>
                  <w:tcW w:w="1293" w:type="dxa"/>
                  <w:vMerge w:val="restart"/>
                  <w:tcBorders>
                    <w:tl2br w:val="nil"/>
                    <w:tr2bl w:val="nil"/>
                  </w:tcBorders>
                  <w:vAlign w:val="center"/>
                </w:tcPr>
                <w:p w14:paraId="039F063D">
                  <w:pPr>
                    <w:jc w:val="center"/>
                    <w:rPr>
                      <w:rFonts w:hint="default" w:ascii="Times New Roman" w:hAnsi="Times New Roman" w:cs="Times New Roman"/>
                      <w:b/>
                      <w:bCs/>
                      <w:color w:val="auto"/>
                    </w:rPr>
                  </w:pPr>
                  <w:r>
                    <w:rPr>
                      <w:rFonts w:hint="default" w:ascii="Times New Roman" w:hAnsi="Times New Roman" w:cs="Times New Roman"/>
                      <w:b/>
                      <w:bCs/>
                      <w:color w:val="auto"/>
                      <w:sz w:val="24"/>
                      <w:szCs w:val="32"/>
                      <w:lang w:bidi="ar"/>
                    </w:rPr>
                    <w:t>Ki</w:t>
                  </w:r>
                </w:p>
              </w:tc>
            </w:tr>
            <w:tr w14:paraId="2047F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63" w:type="dxa"/>
                  <w:vMerge w:val="continue"/>
                  <w:tcBorders>
                    <w:tl2br w:val="nil"/>
                    <w:tr2bl w:val="nil"/>
                  </w:tcBorders>
                  <w:vAlign w:val="center"/>
                </w:tcPr>
                <w:p w14:paraId="43F61BAA">
                  <w:pPr>
                    <w:jc w:val="center"/>
                    <w:rPr>
                      <w:rFonts w:hint="default" w:ascii="Times New Roman" w:hAnsi="Times New Roman" w:cs="Times New Roman"/>
                      <w:color w:val="auto"/>
                    </w:rPr>
                  </w:pPr>
                </w:p>
              </w:tc>
              <w:tc>
                <w:tcPr>
                  <w:tcW w:w="1553" w:type="dxa"/>
                  <w:vMerge w:val="continue"/>
                  <w:tcBorders>
                    <w:tl2br w:val="nil"/>
                    <w:tr2bl w:val="nil"/>
                  </w:tcBorders>
                  <w:vAlign w:val="center"/>
                </w:tcPr>
                <w:p w14:paraId="1A1F8EC9">
                  <w:pPr>
                    <w:jc w:val="center"/>
                    <w:rPr>
                      <w:rFonts w:hint="default" w:ascii="Times New Roman" w:hAnsi="Times New Roman" w:cs="Times New Roman"/>
                      <w:b/>
                      <w:bCs/>
                      <w:color w:val="auto"/>
                    </w:rPr>
                  </w:pPr>
                </w:p>
              </w:tc>
              <w:tc>
                <w:tcPr>
                  <w:tcW w:w="2959" w:type="dxa"/>
                  <w:tcBorders>
                    <w:tl2br w:val="nil"/>
                    <w:tr2bl w:val="nil"/>
                  </w:tcBorders>
                  <w:vAlign w:val="center"/>
                </w:tcPr>
                <w:p w14:paraId="7B61DD0A">
                  <w:pPr>
                    <w:jc w:val="center"/>
                    <w:rPr>
                      <w:rFonts w:hint="default" w:ascii="Times New Roman" w:hAnsi="Times New Roman" w:cs="Times New Roman"/>
                      <w:b/>
                      <w:color w:val="auto"/>
                    </w:rPr>
                  </w:pPr>
                  <w:r>
                    <w:rPr>
                      <w:rFonts w:hint="default" w:ascii="Times New Roman" w:hAnsi="Times New Roman" w:cs="Times New Roman"/>
                      <w:b/>
                      <w:bCs/>
                      <w:color w:val="auto"/>
                      <w:szCs w:val="21"/>
                    </w:rPr>
                    <w:t>T1</w:t>
                  </w:r>
                  <w:r>
                    <w:rPr>
                      <w:rFonts w:hint="default" w:ascii="Times New Roman" w:hAnsi="Times New Roman" w:cs="Times New Roman"/>
                      <w:b/>
                      <w:bCs/>
                      <w:color w:val="auto"/>
                      <w:szCs w:val="21"/>
                      <w:lang w:eastAsia="zh-CN"/>
                    </w:rPr>
                    <w:t>，拟建项目占地范围</w:t>
                  </w:r>
                </w:p>
              </w:tc>
              <w:tc>
                <w:tcPr>
                  <w:tcW w:w="1591" w:type="dxa"/>
                  <w:tcBorders>
                    <w:tl2br w:val="nil"/>
                    <w:tr2bl w:val="nil"/>
                  </w:tcBorders>
                  <w:vAlign w:val="center"/>
                </w:tcPr>
                <w:p w14:paraId="1EBC27CD">
                  <w:pPr>
                    <w:jc w:val="center"/>
                    <w:rPr>
                      <w:rFonts w:hint="default" w:ascii="Times New Roman" w:hAnsi="Times New Roman" w:cs="Times New Roman"/>
                      <w:b/>
                      <w:color w:val="auto"/>
                    </w:rPr>
                  </w:pPr>
                  <w:r>
                    <w:rPr>
                      <w:rFonts w:hint="default" w:ascii="Times New Roman" w:hAnsi="Times New Roman" w:cs="Times New Roman"/>
                      <w:b/>
                      <w:color w:val="auto"/>
                    </w:rPr>
                    <w:t>第二类用地</w:t>
                  </w:r>
                </w:p>
              </w:tc>
              <w:tc>
                <w:tcPr>
                  <w:tcW w:w="1293" w:type="dxa"/>
                  <w:vMerge w:val="continue"/>
                  <w:tcBorders>
                    <w:tl2br w:val="nil"/>
                    <w:tr2bl w:val="nil"/>
                  </w:tcBorders>
                  <w:vAlign w:val="center"/>
                </w:tcPr>
                <w:p w14:paraId="6ABEB878">
                  <w:pPr>
                    <w:jc w:val="center"/>
                    <w:rPr>
                      <w:rFonts w:hint="default" w:ascii="Times New Roman" w:hAnsi="Times New Roman" w:cs="Times New Roman"/>
                      <w:bCs/>
                      <w:color w:val="auto"/>
                    </w:rPr>
                  </w:pPr>
                </w:p>
              </w:tc>
            </w:tr>
            <w:tr w14:paraId="61414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restart"/>
                  <w:tcBorders>
                    <w:tl2br w:val="nil"/>
                    <w:tr2bl w:val="nil"/>
                  </w:tcBorders>
                  <w:vAlign w:val="center"/>
                </w:tcPr>
                <w:p w14:paraId="2FF3BCE3">
                  <w:pPr>
                    <w:jc w:val="center"/>
                    <w:rPr>
                      <w:rFonts w:hint="default" w:ascii="Times New Roman" w:hAnsi="Times New Roman" w:cs="Times New Roman"/>
                      <w:bCs/>
                      <w:color w:val="auto"/>
                      <w:lang w:val="en-US"/>
                    </w:rPr>
                  </w:pPr>
                  <w:r>
                    <w:rPr>
                      <w:rFonts w:hint="default" w:ascii="Times New Roman" w:hAnsi="Times New Roman" w:cs="Times New Roman"/>
                      <w:bCs/>
                      <w:color w:val="auto"/>
                      <w:kern w:val="0"/>
                      <w:szCs w:val="21"/>
                    </w:rPr>
                    <w:t>202</w:t>
                  </w:r>
                  <w:r>
                    <w:rPr>
                      <w:rFonts w:hint="default" w:ascii="Times New Roman" w:hAnsi="Times New Roman" w:cs="Times New Roman"/>
                      <w:bCs/>
                      <w:color w:val="auto"/>
                      <w:kern w:val="0"/>
                      <w:szCs w:val="21"/>
                      <w:lang w:val="en-US" w:eastAsia="zh-CN"/>
                    </w:rPr>
                    <w:t>5</w:t>
                  </w:r>
                  <w:r>
                    <w:rPr>
                      <w:rFonts w:hint="default" w:ascii="Times New Roman" w:hAnsi="Times New Roman" w:cs="Times New Roman"/>
                      <w:bCs/>
                      <w:color w:val="auto"/>
                      <w:kern w:val="0"/>
                      <w:szCs w:val="21"/>
                    </w:rPr>
                    <w:t>.</w:t>
                  </w:r>
                  <w:r>
                    <w:rPr>
                      <w:rFonts w:hint="default" w:ascii="Times New Roman" w:hAnsi="Times New Roman" w:cs="Times New Roman"/>
                      <w:bCs/>
                      <w:color w:val="auto"/>
                      <w:kern w:val="0"/>
                      <w:szCs w:val="21"/>
                      <w:lang w:val="en-US" w:eastAsia="zh-CN"/>
                    </w:rPr>
                    <w:t>6</w:t>
                  </w:r>
                  <w:r>
                    <w:rPr>
                      <w:rFonts w:hint="default" w:ascii="Times New Roman" w:hAnsi="Times New Roman" w:cs="Times New Roman"/>
                      <w:bCs/>
                      <w:color w:val="auto"/>
                      <w:kern w:val="0"/>
                      <w:szCs w:val="21"/>
                    </w:rPr>
                    <w:t>.</w:t>
                  </w:r>
                  <w:r>
                    <w:rPr>
                      <w:rFonts w:hint="default" w:ascii="Times New Roman" w:hAnsi="Times New Roman" w:cs="Times New Roman"/>
                      <w:bCs/>
                      <w:color w:val="auto"/>
                      <w:kern w:val="0"/>
                      <w:szCs w:val="21"/>
                      <w:lang w:val="en-US" w:eastAsia="zh-CN"/>
                    </w:rPr>
                    <w:t>26</w:t>
                  </w:r>
                </w:p>
              </w:tc>
              <w:tc>
                <w:tcPr>
                  <w:tcW w:w="1553" w:type="dxa"/>
                  <w:tcBorders>
                    <w:tl2br w:val="nil"/>
                    <w:tr2bl w:val="nil"/>
                  </w:tcBorders>
                  <w:vAlign w:val="center"/>
                </w:tcPr>
                <w:p w14:paraId="689A10BA">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铜</w:t>
                  </w:r>
                </w:p>
              </w:tc>
              <w:tc>
                <w:tcPr>
                  <w:tcW w:w="2959" w:type="dxa"/>
                  <w:tcBorders>
                    <w:tl2br w:val="nil"/>
                    <w:tr2bl w:val="nil"/>
                  </w:tcBorders>
                  <w:vAlign w:val="center"/>
                </w:tcPr>
                <w:p w14:paraId="36AE6827">
                  <w:pPr>
                    <w:widowControl/>
                    <w:jc w:val="center"/>
                    <w:textAlignment w:val="top"/>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szCs w:val="21"/>
                    </w:rPr>
                    <w:t>42</w:t>
                  </w:r>
                </w:p>
              </w:tc>
              <w:tc>
                <w:tcPr>
                  <w:tcW w:w="1591" w:type="dxa"/>
                  <w:tcBorders>
                    <w:tl2br w:val="nil"/>
                    <w:tr2bl w:val="nil"/>
                  </w:tcBorders>
                  <w:vAlign w:val="center"/>
                </w:tcPr>
                <w:p w14:paraId="51CF50F2">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18000</w:t>
                  </w:r>
                </w:p>
              </w:tc>
              <w:tc>
                <w:tcPr>
                  <w:tcW w:w="1293" w:type="dxa"/>
                  <w:tcBorders>
                    <w:tl2br w:val="nil"/>
                    <w:tr2bl w:val="nil"/>
                  </w:tcBorders>
                  <w:vAlign w:val="center"/>
                </w:tcPr>
                <w:p w14:paraId="3CF83B6C">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0.0023</w:t>
                  </w:r>
                </w:p>
              </w:tc>
            </w:tr>
            <w:tr w14:paraId="6DC08D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4D19DA07">
                  <w:pPr>
                    <w:jc w:val="center"/>
                    <w:rPr>
                      <w:rFonts w:hint="default" w:ascii="Times New Roman" w:hAnsi="Times New Roman" w:cs="Times New Roman"/>
                      <w:color w:val="auto"/>
                    </w:rPr>
                  </w:pPr>
                </w:p>
              </w:tc>
              <w:tc>
                <w:tcPr>
                  <w:tcW w:w="1553" w:type="dxa"/>
                  <w:tcBorders>
                    <w:tl2br w:val="nil"/>
                    <w:tr2bl w:val="nil"/>
                  </w:tcBorders>
                  <w:vAlign w:val="center"/>
                </w:tcPr>
                <w:p w14:paraId="3B3F4886">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铅</w:t>
                  </w:r>
                </w:p>
              </w:tc>
              <w:tc>
                <w:tcPr>
                  <w:tcW w:w="2959" w:type="dxa"/>
                  <w:tcBorders>
                    <w:tl2br w:val="nil"/>
                    <w:tr2bl w:val="nil"/>
                  </w:tcBorders>
                  <w:vAlign w:val="center"/>
                </w:tcPr>
                <w:p w14:paraId="07BB046B">
                  <w:pPr>
                    <w:widowControl/>
                    <w:jc w:val="center"/>
                    <w:textAlignment w:val="top"/>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szCs w:val="21"/>
                    </w:rPr>
                    <w:t>54</w:t>
                  </w:r>
                </w:p>
              </w:tc>
              <w:tc>
                <w:tcPr>
                  <w:tcW w:w="1591" w:type="dxa"/>
                  <w:tcBorders>
                    <w:tl2br w:val="nil"/>
                    <w:tr2bl w:val="nil"/>
                  </w:tcBorders>
                  <w:vAlign w:val="center"/>
                </w:tcPr>
                <w:p w14:paraId="55F7838F">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800</w:t>
                  </w:r>
                </w:p>
              </w:tc>
              <w:tc>
                <w:tcPr>
                  <w:tcW w:w="1293" w:type="dxa"/>
                  <w:tcBorders>
                    <w:tl2br w:val="nil"/>
                    <w:tr2bl w:val="nil"/>
                  </w:tcBorders>
                  <w:vAlign w:val="center"/>
                </w:tcPr>
                <w:p w14:paraId="03D984A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0.0675</w:t>
                  </w:r>
                </w:p>
              </w:tc>
            </w:tr>
            <w:tr w14:paraId="5206F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22769BAC">
                  <w:pPr>
                    <w:jc w:val="center"/>
                    <w:rPr>
                      <w:rFonts w:hint="default" w:ascii="Times New Roman" w:hAnsi="Times New Roman" w:cs="Times New Roman"/>
                      <w:color w:val="auto"/>
                    </w:rPr>
                  </w:pPr>
                </w:p>
              </w:tc>
              <w:tc>
                <w:tcPr>
                  <w:tcW w:w="1553" w:type="dxa"/>
                  <w:tcBorders>
                    <w:tl2br w:val="nil"/>
                    <w:tr2bl w:val="nil"/>
                  </w:tcBorders>
                  <w:vAlign w:val="center"/>
                </w:tcPr>
                <w:p w14:paraId="0326E1ED">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镍</w:t>
                  </w:r>
                </w:p>
              </w:tc>
              <w:tc>
                <w:tcPr>
                  <w:tcW w:w="2959" w:type="dxa"/>
                  <w:tcBorders>
                    <w:tl2br w:val="nil"/>
                    <w:tr2bl w:val="nil"/>
                  </w:tcBorders>
                  <w:vAlign w:val="center"/>
                </w:tcPr>
                <w:p w14:paraId="5D864EE8">
                  <w:pPr>
                    <w:widowControl/>
                    <w:jc w:val="center"/>
                    <w:textAlignment w:val="top"/>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43</w:t>
                  </w:r>
                </w:p>
              </w:tc>
              <w:tc>
                <w:tcPr>
                  <w:tcW w:w="1591" w:type="dxa"/>
                  <w:tcBorders>
                    <w:tl2br w:val="nil"/>
                    <w:tr2bl w:val="nil"/>
                  </w:tcBorders>
                  <w:vAlign w:val="center"/>
                </w:tcPr>
                <w:p w14:paraId="51FD23F0">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900</w:t>
                  </w:r>
                </w:p>
              </w:tc>
              <w:tc>
                <w:tcPr>
                  <w:tcW w:w="1293" w:type="dxa"/>
                  <w:tcBorders>
                    <w:tl2br w:val="nil"/>
                    <w:tr2bl w:val="nil"/>
                  </w:tcBorders>
                  <w:vAlign w:val="center"/>
                </w:tcPr>
                <w:p w14:paraId="7BDF2DE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0.047</w:t>
                  </w:r>
                  <w:r>
                    <w:rPr>
                      <w:rFonts w:hint="default" w:ascii="Times New Roman" w:hAnsi="Times New Roman" w:cs="Times New Roman"/>
                      <w:i w:val="0"/>
                      <w:iCs w:val="0"/>
                      <w:color w:val="auto"/>
                      <w:kern w:val="0"/>
                      <w:sz w:val="21"/>
                      <w:szCs w:val="21"/>
                      <w:u w:val="none"/>
                      <w:lang w:val="en-US" w:eastAsia="zh-CN" w:bidi="ar"/>
                    </w:rPr>
                    <w:t>8</w:t>
                  </w:r>
                </w:p>
              </w:tc>
            </w:tr>
            <w:tr w14:paraId="0C0C4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5D89CEF1">
                  <w:pPr>
                    <w:jc w:val="center"/>
                    <w:rPr>
                      <w:rFonts w:hint="default" w:ascii="Times New Roman" w:hAnsi="Times New Roman" w:cs="Times New Roman"/>
                      <w:color w:val="auto"/>
                    </w:rPr>
                  </w:pPr>
                </w:p>
              </w:tc>
              <w:tc>
                <w:tcPr>
                  <w:tcW w:w="1553" w:type="dxa"/>
                  <w:tcBorders>
                    <w:tl2br w:val="nil"/>
                    <w:tr2bl w:val="nil"/>
                  </w:tcBorders>
                  <w:vAlign w:val="center"/>
                </w:tcPr>
                <w:p w14:paraId="2C8D155C">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镉</w:t>
                  </w:r>
                </w:p>
              </w:tc>
              <w:tc>
                <w:tcPr>
                  <w:tcW w:w="2959" w:type="dxa"/>
                  <w:tcBorders>
                    <w:tl2br w:val="nil"/>
                    <w:tr2bl w:val="nil"/>
                  </w:tcBorders>
                  <w:vAlign w:val="center"/>
                </w:tcPr>
                <w:p w14:paraId="495BB511">
                  <w:pPr>
                    <w:widowControl/>
                    <w:jc w:val="center"/>
                    <w:textAlignment w:val="top"/>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0.21</w:t>
                  </w:r>
                </w:p>
              </w:tc>
              <w:tc>
                <w:tcPr>
                  <w:tcW w:w="1591" w:type="dxa"/>
                  <w:tcBorders>
                    <w:tl2br w:val="nil"/>
                    <w:tr2bl w:val="nil"/>
                  </w:tcBorders>
                  <w:vAlign w:val="center"/>
                </w:tcPr>
                <w:p w14:paraId="6D03A549">
                  <w:pPr>
                    <w:widowControl/>
                    <w:jc w:val="center"/>
                    <w:textAlignment w:val="top"/>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1293" w:type="dxa"/>
                  <w:tcBorders>
                    <w:tl2br w:val="nil"/>
                    <w:tr2bl w:val="nil"/>
                  </w:tcBorders>
                  <w:vAlign w:val="center"/>
                </w:tcPr>
                <w:p w14:paraId="069CCBC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0.0032</w:t>
                  </w:r>
                </w:p>
              </w:tc>
            </w:tr>
            <w:tr w14:paraId="51DC91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2E0BB987">
                  <w:pPr>
                    <w:jc w:val="center"/>
                    <w:rPr>
                      <w:rFonts w:hint="default" w:ascii="Times New Roman" w:hAnsi="Times New Roman" w:cs="Times New Roman"/>
                      <w:color w:val="auto"/>
                    </w:rPr>
                  </w:pPr>
                </w:p>
              </w:tc>
              <w:tc>
                <w:tcPr>
                  <w:tcW w:w="1553" w:type="dxa"/>
                  <w:tcBorders>
                    <w:tl2br w:val="nil"/>
                    <w:tr2bl w:val="nil"/>
                  </w:tcBorders>
                  <w:vAlign w:val="center"/>
                </w:tcPr>
                <w:p w14:paraId="74196EE6">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砷</w:t>
                  </w:r>
                </w:p>
              </w:tc>
              <w:tc>
                <w:tcPr>
                  <w:tcW w:w="2959" w:type="dxa"/>
                  <w:tcBorders>
                    <w:tl2br w:val="nil"/>
                    <w:tr2bl w:val="nil"/>
                  </w:tcBorders>
                  <w:vAlign w:val="center"/>
                </w:tcPr>
                <w:p w14:paraId="27C188F6">
                  <w:pPr>
                    <w:widowControl/>
                    <w:jc w:val="center"/>
                    <w:textAlignment w:val="top"/>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szCs w:val="21"/>
                    </w:rPr>
                    <w:t>6.01</w:t>
                  </w:r>
                </w:p>
              </w:tc>
              <w:tc>
                <w:tcPr>
                  <w:tcW w:w="1591" w:type="dxa"/>
                  <w:tcBorders>
                    <w:tl2br w:val="nil"/>
                    <w:tr2bl w:val="nil"/>
                  </w:tcBorders>
                  <w:vAlign w:val="center"/>
                </w:tcPr>
                <w:p w14:paraId="1ADB1738">
                  <w:pPr>
                    <w:widowControl/>
                    <w:jc w:val="center"/>
                    <w:textAlignment w:val="top"/>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60</w:t>
                  </w:r>
                </w:p>
              </w:tc>
              <w:tc>
                <w:tcPr>
                  <w:tcW w:w="1293" w:type="dxa"/>
                  <w:tcBorders>
                    <w:tl2br w:val="nil"/>
                    <w:tr2bl w:val="nil"/>
                  </w:tcBorders>
                  <w:vAlign w:val="center"/>
                </w:tcPr>
                <w:p w14:paraId="1860E384">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0.100</w:t>
                  </w:r>
                  <w:r>
                    <w:rPr>
                      <w:rFonts w:hint="default" w:ascii="Times New Roman" w:hAnsi="Times New Roman" w:cs="Times New Roman"/>
                      <w:i w:val="0"/>
                      <w:iCs w:val="0"/>
                      <w:color w:val="auto"/>
                      <w:kern w:val="0"/>
                      <w:sz w:val="21"/>
                      <w:szCs w:val="21"/>
                      <w:u w:val="none"/>
                      <w:lang w:val="en-US" w:eastAsia="zh-CN" w:bidi="ar"/>
                    </w:rPr>
                    <w:t>2</w:t>
                  </w:r>
                </w:p>
              </w:tc>
            </w:tr>
            <w:tr w14:paraId="228B1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33636E4D">
                  <w:pPr>
                    <w:jc w:val="center"/>
                    <w:rPr>
                      <w:rFonts w:hint="default" w:ascii="Times New Roman" w:hAnsi="Times New Roman" w:cs="Times New Roman"/>
                      <w:color w:val="auto"/>
                    </w:rPr>
                  </w:pPr>
                </w:p>
              </w:tc>
              <w:tc>
                <w:tcPr>
                  <w:tcW w:w="1553" w:type="dxa"/>
                  <w:tcBorders>
                    <w:tl2br w:val="nil"/>
                    <w:tr2bl w:val="nil"/>
                  </w:tcBorders>
                  <w:vAlign w:val="center"/>
                </w:tcPr>
                <w:p w14:paraId="49EA8190">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汞</w:t>
                  </w:r>
                </w:p>
              </w:tc>
              <w:tc>
                <w:tcPr>
                  <w:tcW w:w="2959" w:type="dxa"/>
                  <w:tcBorders>
                    <w:tl2br w:val="nil"/>
                    <w:tr2bl w:val="nil"/>
                  </w:tcBorders>
                  <w:vAlign w:val="center"/>
                </w:tcPr>
                <w:p w14:paraId="075FAB7C">
                  <w:pPr>
                    <w:widowControl/>
                    <w:jc w:val="center"/>
                    <w:textAlignment w:val="top"/>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bidi="ar"/>
                    </w:rPr>
                    <w:t>0.294</w:t>
                  </w:r>
                </w:p>
              </w:tc>
              <w:tc>
                <w:tcPr>
                  <w:tcW w:w="1591" w:type="dxa"/>
                  <w:tcBorders>
                    <w:tl2br w:val="nil"/>
                    <w:tr2bl w:val="nil"/>
                  </w:tcBorders>
                  <w:vAlign w:val="center"/>
                </w:tcPr>
                <w:p w14:paraId="170174F2">
                  <w:pPr>
                    <w:widowControl/>
                    <w:jc w:val="center"/>
                    <w:textAlignment w:val="top"/>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38</w:t>
                  </w:r>
                </w:p>
              </w:tc>
              <w:tc>
                <w:tcPr>
                  <w:tcW w:w="1293" w:type="dxa"/>
                  <w:tcBorders>
                    <w:tl2br w:val="nil"/>
                    <w:tr2bl w:val="nil"/>
                  </w:tcBorders>
                  <w:vAlign w:val="center"/>
                </w:tcPr>
                <w:p w14:paraId="4A68438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0.007</w:t>
                  </w:r>
                  <w:r>
                    <w:rPr>
                      <w:rFonts w:hint="default" w:ascii="Times New Roman" w:hAnsi="Times New Roman" w:cs="Times New Roman"/>
                      <w:i w:val="0"/>
                      <w:iCs w:val="0"/>
                      <w:color w:val="auto"/>
                      <w:kern w:val="0"/>
                      <w:sz w:val="21"/>
                      <w:szCs w:val="21"/>
                      <w:u w:val="none"/>
                      <w:lang w:val="en-US" w:eastAsia="zh-CN" w:bidi="ar"/>
                    </w:rPr>
                    <w:t>7</w:t>
                  </w:r>
                </w:p>
              </w:tc>
            </w:tr>
            <w:tr w14:paraId="146BD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4444A970">
                  <w:pPr>
                    <w:jc w:val="center"/>
                    <w:rPr>
                      <w:rFonts w:hint="default" w:ascii="Times New Roman" w:hAnsi="Times New Roman" w:cs="Times New Roman"/>
                      <w:color w:val="auto"/>
                    </w:rPr>
                  </w:pPr>
                </w:p>
              </w:tc>
              <w:tc>
                <w:tcPr>
                  <w:tcW w:w="1553" w:type="dxa"/>
                  <w:tcBorders>
                    <w:tl2br w:val="nil"/>
                    <w:tr2bl w:val="nil"/>
                  </w:tcBorders>
                  <w:vAlign w:val="center"/>
                </w:tcPr>
                <w:p w14:paraId="3EDACB6B">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kern w:val="0"/>
                      <w:szCs w:val="22"/>
                      <w:lang w:bidi="ar"/>
                    </w:rPr>
                    <w:t>石油烃（C</w:t>
                  </w:r>
                  <w:r>
                    <w:rPr>
                      <w:rFonts w:hint="default" w:ascii="Times New Roman" w:hAnsi="Times New Roman" w:cs="Times New Roman"/>
                      <w:color w:val="auto"/>
                      <w:kern w:val="0"/>
                      <w:szCs w:val="22"/>
                      <w:vertAlign w:val="subscript"/>
                      <w:lang w:bidi="ar"/>
                    </w:rPr>
                    <w:t>10</w:t>
                  </w:r>
                  <w:r>
                    <w:rPr>
                      <w:rFonts w:hint="default" w:ascii="Times New Roman" w:hAnsi="Times New Roman" w:cs="Times New Roman"/>
                      <w:color w:val="auto"/>
                      <w:kern w:val="0"/>
                      <w:szCs w:val="22"/>
                      <w:lang w:bidi="ar"/>
                    </w:rPr>
                    <w:t>-C</w:t>
                  </w:r>
                  <w:r>
                    <w:rPr>
                      <w:rFonts w:hint="default" w:ascii="Times New Roman" w:hAnsi="Times New Roman" w:cs="Times New Roman"/>
                      <w:color w:val="auto"/>
                      <w:kern w:val="0"/>
                      <w:szCs w:val="22"/>
                      <w:vertAlign w:val="subscript"/>
                      <w:lang w:bidi="ar"/>
                    </w:rPr>
                    <w:t>40</w:t>
                  </w:r>
                  <w:r>
                    <w:rPr>
                      <w:rFonts w:hint="default" w:ascii="Times New Roman" w:hAnsi="Times New Roman" w:cs="Times New Roman"/>
                      <w:color w:val="auto"/>
                      <w:kern w:val="0"/>
                      <w:szCs w:val="22"/>
                      <w:lang w:bidi="ar"/>
                    </w:rPr>
                    <w:t>）</w:t>
                  </w:r>
                </w:p>
              </w:tc>
              <w:tc>
                <w:tcPr>
                  <w:tcW w:w="2959" w:type="dxa"/>
                  <w:tcBorders>
                    <w:tl2br w:val="nil"/>
                    <w:tr2bl w:val="nil"/>
                  </w:tcBorders>
                  <w:vAlign w:val="center"/>
                </w:tcPr>
                <w:p w14:paraId="23EF69A3">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354FFA2D">
                  <w:pPr>
                    <w:widowControl/>
                    <w:jc w:val="center"/>
                    <w:textAlignment w:val="top"/>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c>
                <w:tcPr>
                  <w:tcW w:w="1293" w:type="dxa"/>
                  <w:tcBorders>
                    <w:tl2br w:val="nil"/>
                    <w:tr2bl w:val="nil"/>
                  </w:tcBorders>
                  <w:vAlign w:val="center"/>
                </w:tcPr>
                <w:p w14:paraId="092F92AE">
                  <w:pPr>
                    <w:widowControl/>
                    <w:jc w:val="center"/>
                    <w:textAlignment w:val="top"/>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w:t>
                  </w:r>
                </w:p>
              </w:tc>
            </w:tr>
            <w:tr w14:paraId="564C59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513C955F">
                  <w:pPr>
                    <w:jc w:val="center"/>
                    <w:rPr>
                      <w:rFonts w:hint="default" w:ascii="Times New Roman" w:hAnsi="Times New Roman" w:cs="Times New Roman"/>
                      <w:color w:val="auto"/>
                    </w:rPr>
                  </w:pPr>
                </w:p>
              </w:tc>
              <w:tc>
                <w:tcPr>
                  <w:tcW w:w="1553" w:type="dxa"/>
                  <w:tcBorders>
                    <w:tl2br w:val="nil"/>
                    <w:tr2bl w:val="nil"/>
                  </w:tcBorders>
                  <w:vAlign w:val="center"/>
                </w:tcPr>
                <w:p w14:paraId="327344C1">
                  <w:pPr>
                    <w:autoSpaceDE w:val="0"/>
                    <w:autoSpaceDN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六价铬</w:t>
                  </w:r>
                </w:p>
              </w:tc>
              <w:tc>
                <w:tcPr>
                  <w:tcW w:w="2959" w:type="dxa"/>
                  <w:tcBorders>
                    <w:tl2br w:val="nil"/>
                    <w:tr2bl w:val="nil"/>
                  </w:tcBorders>
                  <w:vAlign w:val="center"/>
                </w:tcPr>
                <w:p w14:paraId="5A4D39B8">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39C5140E">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5.7</w:t>
                  </w:r>
                </w:p>
              </w:tc>
              <w:tc>
                <w:tcPr>
                  <w:tcW w:w="1293" w:type="dxa"/>
                  <w:tcBorders>
                    <w:tl2br w:val="nil"/>
                    <w:tr2bl w:val="nil"/>
                  </w:tcBorders>
                  <w:vAlign w:val="center"/>
                </w:tcPr>
                <w:p w14:paraId="3480A472">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1C4D8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53FF700D">
                  <w:pPr>
                    <w:jc w:val="center"/>
                    <w:rPr>
                      <w:rFonts w:hint="default" w:ascii="Times New Roman" w:hAnsi="Times New Roman" w:cs="Times New Roman"/>
                      <w:color w:val="auto"/>
                    </w:rPr>
                  </w:pPr>
                </w:p>
              </w:tc>
              <w:tc>
                <w:tcPr>
                  <w:tcW w:w="1553" w:type="dxa"/>
                  <w:tcBorders>
                    <w:tl2br w:val="nil"/>
                    <w:tr2bl w:val="nil"/>
                  </w:tcBorders>
                  <w:vAlign w:val="center"/>
                </w:tcPr>
                <w:p w14:paraId="7BF25CCE">
                  <w:pPr>
                    <w:pStyle w:val="82"/>
                    <w:spacing w:before="0" w:after="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四氯化碳</w:t>
                  </w:r>
                </w:p>
              </w:tc>
              <w:tc>
                <w:tcPr>
                  <w:tcW w:w="2959" w:type="dxa"/>
                  <w:tcBorders>
                    <w:tl2br w:val="nil"/>
                    <w:tr2bl w:val="nil"/>
                  </w:tcBorders>
                  <w:vAlign w:val="center"/>
                </w:tcPr>
                <w:p w14:paraId="0E5D5051">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717F9892">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2.8</w:t>
                  </w:r>
                </w:p>
              </w:tc>
              <w:tc>
                <w:tcPr>
                  <w:tcW w:w="1293" w:type="dxa"/>
                  <w:tcBorders>
                    <w:tl2br w:val="nil"/>
                    <w:tr2bl w:val="nil"/>
                  </w:tcBorders>
                  <w:vAlign w:val="center"/>
                </w:tcPr>
                <w:p w14:paraId="427E0F45">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716E9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5526AA9D">
                  <w:pPr>
                    <w:jc w:val="center"/>
                    <w:rPr>
                      <w:rFonts w:hint="default" w:ascii="Times New Roman" w:hAnsi="Times New Roman" w:cs="Times New Roman"/>
                      <w:color w:val="auto"/>
                    </w:rPr>
                  </w:pPr>
                </w:p>
              </w:tc>
              <w:tc>
                <w:tcPr>
                  <w:tcW w:w="1553" w:type="dxa"/>
                  <w:tcBorders>
                    <w:tl2br w:val="nil"/>
                    <w:tr2bl w:val="nil"/>
                  </w:tcBorders>
                  <w:vAlign w:val="center"/>
                </w:tcPr>
                <w:p w14:paraId="40300AAE">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氯仿</w:t>
                  </w:r>
                </w:p>
              </w:tc>
              <w:tc>
                <w:tcPr>
                  <w:tcW w:w="2959" w:type="dxa"/>
                  <w:tcBorders>
                    <w:tl2br w:val="nil"/>
                    <w:tr2bl w:val="nil"/>
                  </w:tcBorders>
                  <w:vAlign w:val="center"/>
                </w:tcPr>
                <w:p w14:paraId="2497F578">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463288A4">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0.9</w:t>
                  </w:r>
                </w:p>
              </w:tc>
              <w:tc>
                <w:tcPr>
                  <w:tcW w:w="1293" w:type="dxa"/>
                  <w:tcBorders>
                    <w:tl2br w:val="nil"/>
                    <w:tr2bl w:val="nil"/>
                  </w:tcBorders>
                  <w:vAlign w:val="center"/>
                </w:tcPr>
                <w:p w14:paraId="7895456C">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05DD2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5C2E16F5">
                  <w:pPr>
                    <w:jc w:val="center"/>
                    <w:rPr>
                      <w:rFonts w:hint="default" w:ascii="Times New Roman" w:hAnsi="Times New Roman" w:cs="Times New Roman"/>
                      <w:color w:val="auto"/>
                    </w:rPr>
                  </w:pPr>
                </w:p>
              </w:tc>
              <w:tc>
                <w:tcPr>
                  <w:tcW w:w="1553" w:type="dxa"/>
                  <w:tcBorders>
                    <w:tl2br w:val="nil"/>
                    <w:tr2bl w:val="nil"/>
                  </w:tcBorders>
                  <w:vAlign w:val="center"/>
                </w:tcPr>
                <w:p w14:paraId="59893CCB">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1,1-二氯乙烷</w:t>
                  </w:r>
                </w:p>
              </w:tc>
              <w:tc>
                <w:tcPr>
                  <w:tcW w:w="2959" w:type="dxa"/>
                  <w:tcBorders>
                    <w:tl2br w:val="nil"/>
                    <w:tr2bl w:val="nil"/>
                  </w:tcBorders>
                  <w:vAlign w:val="center"/>
                </w:tcPr>
                <w:p w14:paraId="1C56BB2E">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0E29EE18">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9</w:t>
                  </w:r>
                </w:p>
              </w:tc>
              <w:tc>
                <w:tcPr>
                  <w:tcW w:w="1293" w:type="dxa"/>
                  <w:tcBorders>
                    <w:tl2br w:val="nil"/>
                    <w:tr2bl w:val="nil"/>
                  </w:tcBorders>
                  <w:vAlign w:val="center"/>
                </w:tcPr>
                <w:p w14:paraId="054E21F3">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43F94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638F48CD">
                  <w:pPr>
                    <w:jc w:val="center"/>
                    <w:rPr>
                      <w:rFonts w:hint="default" w:ascii="Times New Roman" w:hAnsi="Times New Roman" w:cs="Times New Roman"/>
                      <w:color w:val="auto"/>
                    </w:rPr>
                  </w:pPr>
                </w:p>
              </w:tc>
              <w:tc>
                <w:tcPr>
                  <w:tcW w:w="1553" w:type="dxa"/>
                  <w:tcBorders>
                    <w:tl2br w:val="nil"/>
                    <w:tr2bl w:val="nil"/>
                  </w:tcBorders>
                  <w:vAlign w:val="center"/>
                </w:tcPr>
                <w:p w14:paraId="05ECF38A">
                  <w:pPr>
                    <w:autoSpaceDE w:val="0"/>
                    <w:autoSpaceDN w:val="0"/>
                    <w:jc w:val="center"/>
                    <w:rPr>
                      <w:rFonts w:hint="default" w:ascii="Times New Roman" w:hAnsi="Times New Roman" w:cs="Times New Roman"/>
                      <w:color w:val="auto"/>
                      <w:spacing w:val="-4"/>
                    </w:rPr>
                  </w:pPr>
                  <w:r>
                    <w:rPr>
                      <w:rFonts w:hint="default" w:ascii="Times New Roman" w:hAnsi="Times New Roman" w:cs="Times New Roman"/>
                      <w:color w:val="auto"/>
                      <w:spacing w:val="-4"/>
                    </w:rPr>
                    <w:t>1,2-二氯乙烷，苯</w:t>
                  </w:r>
                </w:p>
              </w:tc>
              <w:tc>
                <w:tcPr>
                  <w:tcW w:w="2959" w:type="dxa"/>
                  <w:tcBorders>
                    <w:tl2br w:val="nil"/>
                    <w:tr2bl w:val="nil"/>
                  </w:tcBorders>
                  <w:vAlign w:val="center"/>
                </w:tcPr>
                <w:p w14:paraId="39EFE0F8">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4EC9AA8B">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5，4</w:t>
                  </w:r>
                </w:p>
              </w:tc>
              <w:tc>
                <w:tcPr>
                  <w:tcW w:w="1293" w:type="dxa"/>
                  <w:tcBorders>
                    <w:tl2br w:val="nil"/>
                    <w:tr2bl w:val="nil"/>
                  </w:tcBorders>
                  <w:vAlign w:val="center"/>
                </w:tcPr>
                <w:p w14:paraId="4B302646">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7BD628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27A7C15B">
                  <w:pPr>
                    <w:jc w:val="center"/>
                    <w:rPr>
                      <w:rFonts w:hint="default" w:ascii="Times New Roman" w:hAnsi="Times New Roman" w:cs="Times New Roman"/>
                      <w:color w:val="auto"/>
                    </w:rPr>
                  </w:pPr>
                </w:p>
              </w:tc>
              <w:tc>
                <w:tcPr>
                  <w:tcW w:w="1553" w:type="dxa"/>
                  <w:tcBorders>
                    <w:tl2br w:val="nil"/>
                    <w:tr2bl w:val="nil"/>
                  </w:tcBorders>
                  <w:vAlign w:val="center"/>
                </w:tcPr>
                <w:p w14:paraId="7305A925">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1,1-二氯乙烯</w:t>
                  </w:r>
                </w:p>
              </w:tc>
              <w:tc>
                <w:tcPr>
                  <w:tcW w:w="2959" w:type="dxa"/>
                  <w:tcBorders>
                    <w:tl2br w:val="nil"/>
                    <w:tr2bl w:val="nil"/>
                  </w:tcBorders>
                  <w:vAlign w:val="center"/>
                </w:tcPr>
                <w:p w14:paraId="55AE2466">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5A795459">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66</w:t>
                  </w:r>
                </w:p>
              </w:tc>
              <w:tc>
                <w:tcPr>
                  <w:tcW w:w="1293" w:type="dxa"/>
                  <w:tcBorders>
                    <w:tl2br w:val="nil"/>
                    <w:tr2bl w:val="nil"/>
                  </w:tcBorders>
                  <w:vAlign w:val="center"/>
                </w:tcPr>
                <w:p w14:paraId="45BDC904">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1D84F2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5DB70657">
                  <w:pPr>
                    <w:jc w:val="center"/>
                    <w:rPr>
                      <w:rFonts w:hint="default" w:ascii="Times New Roman" w:hAnsi="Times New Roman" w:cs="Times New Roman"/>
                      <w:color w:val="auto"/>
                    </w:rPr>
                  </w:pPr>
                </w:p>
              </w:tc>
              <w:tc>
                <w:tcPr>
                  <w:tcW w:w="1553" w:type="dxa"/>
                  <w:tcBorders>
                    <w:tl2br w:val="nil"/>
                    <w:tr2bl w:val="nil"/>
                  </w:tcBorders>
                  <w:vAlign w:val="center"/>
                </w:tcPr>
                <w:p w14:paraId="116CEC47">
                  <w:pPr>
                    <w:autoSpaceDE w:val="0"/>
                    <w:autoSpaceDN w:val="0"/>
                    <w:jc w:val="center"/>
                    <w:rPr>
                      <w:rFonts w:hint="default" w:ascii="Times New Roman" w:hAnsi="Times New Roman" w:cs="Times New Roman"/>
                      <w:color w:val="auto"/>
                      <w:spacing w:val="-8"/>
                    </w:rPr>
                  </w:pPr>
                  <w:r>
                    <w:rPr>
                      <w:rFonts w:hint="default" w:ascii="Times New Roman" w:hAnsi="Times New Roman" w:cs="Times New Roman"/>
                      <w:color w:val="auto"/>
                      <w:spacing w:val="-8"/>
                    </w:rPr>
                    <w:t>顺-1,2-二氯乙烯</w:t>
                  </w:r>
                </w:p>
              </w:tc>
              <w:tc>
                <w:tcPr>
                  <w:tcW w:w="2959" w:type="dxa"/>
                  <w:tcBorders>
                    <w:tl2br w:val="nil"/>
                    <w:tr2bl w:val="nil"/>
                  </w:tcBorders>
                  <w:vAlign w:val="center"/>
                </w:tcPr>
                <w:p w14:paraId="3D3AECF0">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4CAE1AE6">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596</w:t>
                  </w:r>
                </w:p>
              </w:tc>
              <w:tc>
                <w:tcPr>
                  <w:tcW w:w="1293" w:type="dxa"/>
                  <w:tcBorders>
                    <w:tl2br w:val="nil"/>
                    <w:tr2bl w:val="nil"/>
                  </w:tcBorders>
                  <w:vAlign w:val="center"/>
                </w:tcPr>
                <w:p w14:paraId="77FA3885">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5D6693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1F1DF027">
                  <w:pPr>
                    <w:jc w:val="center"/>
                    <w:rPr>
                      <w:rFonts w:hint="default" w:ascii="Times New Roman" w:hAnsi="Times New Roman" w:cs="Times New Roman"/>
                      <w:color w:val="auto"/>
                    </w:rPr>
                  </w:pPr>
                </w:p>
              </w:tc>
              <w:tc>
                <w:tcPr>
                  <w:tcW w:w="1553" w:type="dxa"/>
                  <w:tcBorders>
                    <w:tl2br w:val="nil"/>
                    <w:tr2bl w:val="nil"/>
                  </w:tcBorders>
                  <w:vAlign w:val="center"/>
                </w:tcPr>
                <w:p w14:paraId="039589C9">
                  <w:pPr>
                    <w:autoSpaceDE w:val="0"/>
                    <w:autoSpaceDN w:val="0"/>
                    <w:jc w:val="center"/>
                    <w:rPr>
                      <w:rFonts w:hint="default" w:ascii="Times New Roman" w:hAnsi="Times New Roman" w:cs="Times New Roman"/>
                      <w:color w:val="auto"/>
                      <w:spacing w:val="-8"/>
                    </w:rPr>
                  </w:pPr>
                  <w:r>
                    <w:rPr>
                      <w:rFonts w:hint="default" w:ascii="Times New Roman" w:hAnsi="Times New Roman" w:cs="Times New Roman"/>
                      <w:color w:val="auto"/>
                      <w:spacing w:val="-8"/>
                    </w:rPr>
                    <w:t>反-1,2-二氯乙烯</w:t>
                  </w:r>
                </w:p>
              </w:tc>
              <w:tc>
                <w:tcPr>
                  <w:tcW w:w="2959" w:type="dxa"/>
                  <w:tcBorders>
                    <w:tl2br w:val="nil"/>
                    <w:tr2bl w:val="nil"/>
                  </w:tcBorders>
                  <w:vAlign w:val="center"/>
                </w:tcPr>
                <w:p w14:paraId="36DD96A3">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5A8D4066">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54</w:t>
                  </w:r>
                </w:p>
              </w:tc>
              <w:tc>
                <w:tcPr>
                  <w:tcW w:w="1293" w:type="dxa"/>
                  <w:tcBorders>
                    <w:tl2br w:val="nil"/>
                    <w:tr2bl w:val="nil"/>
                  </w:tcBorders>
                  <w:vAlign w:val="center"/>
                </w:tcPr>
                <w:p w14:paraId="1030126F">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5400A8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5CD6CF1B">
                  <w:pPr>
                    <w:jc w:val="center"/>
                    <w:rPr>
                      <w:rFonts w:hint="default" w:ascii="Times New Roman" w:hAnsi="Times New Roman" w:cs="Times New Roman"/>
                      <w:color w:val="auto"/>
                    </w:rPr>
                  </w:pPr>
                </w:p>
              </w:tc>
              <w:tc>
                <w:tcPr>
                  <w:tcW w:w="1553" w:type="dxa"/>
                  <w:tcBorders>
                    <w:tl2br w:val="nil"/>
                    <w:tr2bl w:val="nil"/>
                  </w:tcBorders>
                  <w:vAlign w:val="center"/>
                </w:tcPr>
                <w:p w14:paraId="690E6312">
                  <w:pPr>
                    <w:autoSpaceDE w:val="0"/>
                    <w:autoSpaceDN w:val="0"/>
                    <w:jc w:val="center"/>
                    <w:rPr>
                      <w:rFonts w:hint="default" w:ascii="Times New Roman" w:hAnsi="Times New Roman" w:cs="Times New Roman"/>
                      <w:color w:val="auto"/>
                      <w:spacing w:val="-8"/>
                    </w:rPr>
                  </w:pPr>
                  <w:r>
                    <w:rPr>
                      <w:rFonts w:hint="default" w:ascii="Times New Roman" w:hAnsi="Times New Roman" w:cs="Times New Roman"/>
                      <w:color w:val="auto"/>
                    </w:rPr>
                    <w:t>二氯甲烷</w:t>
                  </w:r>
                </w:p>
              </w:tc>
              <w:tc>
                <w:tcPr>
                  <w:tcW w:w="2959" w:type="dxa"/>
                  <w:tcBorders>
                    <w:tl2br w:val="nil"/>
                    <w:tr2bl w:val="nil"/>
                  </w:tcBorders>
                  <w:vAlign w:val="center"/>
                </w:tcPr>
                <w:p w14:paraId="27210512">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7F0DCD3C">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616</w:t>
                  </w:r>
                </w:p>
              </w:tc>
              <w:tc>
                <w:tcPr>
                  <w:tcW w:w="1293" w:type="dxa"/>
                  <w:tcBorders>
                    <w:tl2br w:val="nil"/>
                    <w:tr2bl w:val="nil"/>
                  </w:tcBorders>
                  <w:vAlign w:val="center"/>
                </w:tcPr>
                <w:p w14:paraId="6FD73C10">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7FB392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6B26BC9A">
                  <w:pPr>
                    <w:jc w:val="center"/>
                    <w:rPr>
                      <w:rFonts w:hint="default" w:ascii="Times New Roman" w:hAnsi="Times New Roman" w:cs="Times New Roman"/>
                      <w:color w:val="auto"/>
                    </w:rPr>
                  </w:pPr>
                </w:p>
              </w:tc>
              <w:tc>
                <w:tcPr>
                  <w:tcW w:w="1553" w:type="dxa"/>
                  <w:tcBorders>
                    <w:tl2br w:val="nil"/>
                    <w:tr2bl w:val="nil"/>
                  </w:tcBorders>
                  <w:vAlign w:val="center"/>
                </w:tcPr>
                <w:p w14:paraId="07CD847E">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1,2-二氯丙烷</w:t>
                  </w:r>
                </w:p>
              </w:tc>
              <w:tc>
                <w:tcPr>
                  <w:tcW w:w="2959" w:type="dxa"/>
                  <w:tcBorders>
                    <w:tl2br w:val="nil"/>
                    <w:tr2bl w:val="nil"/>
                  </w:tcBorders>
                  <w:vAlign w:val="center"/>
                </w:tcPr>
                <w:p w14:paraId="126903D8">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1E433BA2">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w:t>
                  </w:r>
                </w:p>
              </w:tc>
              <w:tc>
                <w:tcPr>
                  <w:tcW w:w="1293" w:type="dxa"/>
                  <w:tcBorders>
                    <w:tl2br w:val="nil"/>
                    <w:tr2bl w:val="nil"/>
                  </w:tcBorders>
                  <w:vAlign w:val="center"/>
                </w:tcPr>
                <w:p w14:paraId="6E190E77">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0B091A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7BF1F310">
                  <w:pPr>
                    <w:jc w:val="center"/>
                    <w:rPr>
                      <w:rFonts w:hint="default" w:ascii="Times New Roman" w:hAnsi="Times New Roman" w:cs="Times New Roman"/>
                      <w:color w:val="auto"/>
                    </w:rPr>
                  </w:pPr>
                </w:p>
              </w:tc>
              <w:tc>
                <w:tcPr>
                  <w:tcW w:w="1553" w:type="dxa"/>
                  <w:tcBorders>
                    <w:tl2br w:val="nil"/>
                    <w:tr2bl w:val="nil"/>
                  </w:tcBorders>
                  <w:vAlign w:val="center"/>
                </w:tcPr>
                <w:p w14:paraId="2DAD8C23">
                  <w:pPr>
                    <w:autoSpaceDE w:val="0"/>
                    <w:autoSpaceDN w:val="0"/>
                    <w:jc w:val="center"/>
                    <w:rPr>
                      <w:rFonts w:hint="default" w:ascii="Times New Roman" w:hAnsi="Times New Roman" w:cs="Times New Roman"/>
                      <w:color w:val="auto"/>
                      <w:spacing w:val="-4"/>
                    </w:rPr>
                  </w:pPr>
                  <w:r>
                    <w:rPr>
                      <w:rFonts w:hint="default" w:ascii="Times New Roman" w:hAnsi="Times New Roman" w:cs="Times New Roman"/>
                      <w:color w:val="auto"/>
                      <w:spacing w:val="-4"/>
                    </w:rPr>
                    <w:t>1,1,1,2-四氯乙烷</w:t>
                  </w:r>
                </w:p>
              </w:tc>
              <w:tc>
                <w:tcPr>
                  <w:tcW w:w="2959" w:type="dxa"/>
                  <w:tcBorders>
                    <w:tl2br w:val="nil"/>
                    <w:tr2bl w:val="nil"/>
                  </w:tcBorders>
                  <w:vAlign w:val="center"/>
                </w:tcPr>
                <w:p w14:paraId="76E5B917">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2175BCF9">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10</w:t>
                  </w:r>
                </w:p>
              </w:tc>
              <w:tc>
                <w:tcPr>
                  <w:tcW w:w="1293" w:type="dxa"/>
                  <w:tcBorders>
                    <w:tl2br w:val="nil"/>
                    <w:tr2bl w:val="nil"/>
                  </w:tcBorders>
                  <w:vAlign w:val="center"/>
                </w:tcPr>
                <w:p w14:paraId="798BAD29">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15FDA6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69B98303">
                  <w:pPr>
                    <w:jc w:val="center"/>
                    <w:rPr>
                      <w:rFonts w:hint="default" w:ascii="Times New Roman" w:hAnsi="Times New Roman" w:cs="Times New Roman"/>
                      <w:color w:val="auto"/>
                    </w:rPr>
                  </w:pPr>
                </w:p>
              </w:tc>
              <w:tc>
                <w:tcPr>
                  <w:tcW w:w="1553" w:type="dxa"/>
                  <w:tcBorders>
                    <w:tl2br w:val="nil"/>
                    <w:tr2bl w:val="nil"/>
                  </w:tcBorders>
                  <w:vAlign w:val="center"/>
                </w:tcPr>
                <w:p w14:paraId="161D5A5A">
                  <w:pPr>
                    <w:autoSpaceDE w:val="0"/>
                    <w:autoSpaceDN w:val="0"/>
                    <w:jc w:val="center"/>
                    <w:rPr>
                      <w:rFonts w:hint="default" w:ascii="Times New Roman" w:hAnsi="Times New Roman" w:cs="Times New Roman"/>
                      <w:color w:val="auto"/>
                      <w:spacing w:val="-4"/>
                    </w:rPr>
                  </w:pPr>
                  <w:r>
                    <w:rPr>
                      <w:rFonts w:hint="default" w:ascii="Times New Roman" w:hAnsi="Times New Roman" w:cs="Times New Roman"/>
                      <w:color w:val="auto"/>
                      <w:spacing w:val="-4"/>
                    </w:rPr>
                    <w:t>1,1,2,2-四氯乙烷</w:t>
                  </w:r>
                </w:p>
              </w:tc>
              <w:tc>
                <w:tcPr>
                  <w:tcW w:w="2959" w:type="dxa"/>
                  <w:tcBorders>
                    <w:tl2br w:val="nil"/>
                    <w:tr2bl w:val="nil"/>
                  </w:tcBorders>
                  <w:vAlign w:val="center"/>
                </w:tcPr>
                <w:p w14:paraId="056CEB7F">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14AF6820">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6.8</w:t>
                  </w:r>
                </w:p>
              </w:tc>
              <w:tc>
                <w:tcPr>
                  <w:tcW w:w="1293" w:type="dxa"/>
                  <w:tcBorders>
                    <w:tl2br w:val="nil"/>
                    <w:tr2bl w:val="nil"/>
                  </w:tcBorders>
                  <w:vAlign w:val="center"/>
                </w:tcPr>
                <w:p w14:paraId="3E02E08C">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370C3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5627915C">
                  <w:pPr>
                    <w:jc w:val="center"/>
                    <w:rPr>
                      <w:rFonts w:hint="default" w:ascii="Times New Roman" w:hAnsi="Times New Roman" w:cs="Times New Roman"/>
                      <w:color w:val="auto"/>
                    </w:rPr>
                  </w:pPr>
                </w:p>
              </w:tc>
              <w:tc>
                <w:tcPr>
                  <w:tcW w:w="1553" w:type="dxa"/>
                  <w:tcBorders>
                    <w:tl2br w:val="nil"/>
                    <w:tr2bl w:val="nil"/>
                  </w:tcBorders>
                  <w:vAlign w:val="center"/>
                </w:tcPr>
                <w:p w14:paraId="07A28E83">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四氯乙烯</w:t>
                  </w:r>
                </w:p>
              </w:tc>
              <w:tc>
                <w:tcPr>
                  <w:tcW w:w="2959" w:type="dxa"/>
                  <w:tcBorders>
                    <w:tl2br w:val="nil"/>
                    <w:tr2bl w:val="nil"/>
                  </w:tcBorders>
                  <w:vAlign w:val="center"/>
                </w:tcPr>
                <w:p w14:paraId="36B19C7B">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2294ACDF">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53</w:t>
                  </w:r>
                </w:p>
              </w:tc>
              <w:tc>
                <w:tcPr>
                  <w:tcW w:w="1293" w:type="dxa"/>
                  <w:tcBorders>
                    <w:tl2br w:val="nil"/>
                    <w:tr2bl w:val="nil"/>
                  </w:tcBorders>
                  <w:vAlign w:val="center"/>
                </w:tcPr>
                <w:p w14:paraId="5B812BA6">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4C12B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5CB8D91C">
                  <w:pPr>
                    <w:jc w:val="center"/>
                    <w:rPr>
                      <w:rFonts w:hint="default" w:ascii="Times New Roman" w:hAnsi="Times New Roman" w:cs="Times New Roman"/>
                      <w:color w:val="auto"/>
                    </w:rPr>
                  </w:pPr>
                </w:p>
              </w:tc>
              <w:tc>
                <w:tcPr>
                  <w:tcW w:w="1553" w:type="dxa"/>
                  <w:tcBorders>
                    <w:tl2br w:val="nil"/>
                    <w:tr2bl w:val="nil"/>
                  </w:tcBorders>
                  <w:vAlign w:val="center"/>
                </w:tcPr>
                <w:p w14:paraId="6E983983">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1,1,1-三氯乙烷</w:t>
                  </w:r>
                </w:p>
              </w:tc>
              <w:tc>
                <w:tcPr>
                  <w:tcW w:w="2959" w:type="dxa"/>
                  <w:tcBorders>
                    <w:tl2br w:val="nil"/>
                    <w:tr2bl w:val="nil"/>
                  </w:tcBorders>
                  <w:vAlign w:val="center"/>
                </w:tcPr>
                <w:p w14:paraId="42C366C3">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5BDCCB3C">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840</w:t>
                  </w:r>
                </w:p>
              </w:tc>
              <w:tc>
                <w:tcPr>
                  <w:tcW w:w="1293" w:type="dxa"/>
                  <w:tcBorders>
                    <w:tl2br w:val="nil"/>
                    <w:tr2bl w:val="nil"/>
                  </w:tcBorders>
                  <w:vAlign w:val="center"/>
                </w:tcPr>
                <w:p w14:paraId="2F0D48B0">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48179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3674472A">
                  <w:pPr>
                    <w:jc w:val="center"/>
                    <w:rPr>
                      <w:rFonts w:hint="default" w:ascii="Times New Roman" w:hAnsi="Times New Roman" w:cs="Times New Roman"/>
                      <w:color w:val="auto"/>
                    </w:rPr>
                  </w:pPr>
                </w:p>
              </w:tc>
              <w:tc>
                <w:tcPr>
                  <w:tcW w:w="1553" w:type="dxa"/>
                  <w:tcBorders>
                    <w:tl2br w:val="nil"/>
                    <w:tr2bl w:val="nil"/>
                  </w:tcBorders>
                  <w:vAlign w:val="center"/>
                </w:tcPr>
                <w:p w14:paraId="4668863C">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1,1,2-三氯乙烷</w:t>
                  </w:r>
                </w:p>
              </w:tc>
              <w:tc>
                <w:tcPr>
                  <w:tcW w:w="2959" w:type="dxa"/>
                  <w:tcBorders>
                    <w:tl2br w:val="nil"/>
                    <w:tr2bl w:val="nil"/>
                  </w:tcBorders>
                  <w:vAlign w:val="center"/>
                </w:tcPr>
                <w:p w14:paraId="5E45EBC7">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41917293">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2.8</w:t>
                  </w:r>
                </w:p>
              </w:tc>
              <w:tc>
                <w:tcPr>
                  <w:tcW w:w="1293" w:type="dxa"/>
                  <w:tcBorders>
                    <w:tl2br w:val="nil"/>
                    <w:tr2bl w:val="nil"/>
                  </w:tcBorders>
                  <w:vAlign w:val="center"/>
                </w:tcPr>
                <w:p w14:paraId="4508E0CF">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2EFF8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2B24E137">
                  <w:pPr>
                    <w:jc w:val="center"/>
                    <w:rPr>
                      <w:rFonts w:hint="default" w:ascii="Times New Roman" w:hAnsi="Times New Roman" w:cs="Times New Roman"/>
                      <w:color w:val="auto"/>
                    </w:rPr>
                  </w:pPr>
                </w:p>
              </w:tc>
              <w:tc>
                <w:tcPr>
                  <w:tcW w:w="1553" w:type="dxa"/>
                  <w:tcBorders>
                    <w:tl2br w:val="nil"/>
                    <w:tr2bl w:val="nil"/>
                  </w:tcBorders>
                  <w:vAlign w:val="center"/>
                </w:tcPr>
                <w:p w14:paraId="59E056AC">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三氯乙烯</w:t>
                  </w:r>
                </w:p>
              </w:tc>
              <w:tc>
                <w:tcPr>
                  <w:tcW w:w="2959" w:type="dxa"/>
                  <w:tcBorders>
                    <w:tl2br w:val="nil"/>
                    <w:tr2bl w:val="nil"/>
                  </w:tcBorders>
                  <w:vAlign w:val="center"/>
                </w:tcPr>
                <w:p w14:paraId="617FC439">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126E15B2">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2.8</w:t>
                  </w:r>
                </w:p>
              </w:tc>
              <w:tc>
                <w:tcPr>
                  <w:tcW w:w="1293" w:type="dxa"/>
                  <w:tcBorders>
                    <w:tl2br w:val="nil"/>
                    <w:tr2bl w:val="nil"/>
                  </w:tcBorders>
                  <w:vAlign w:val="center"/>
                </w:tcPr>
                <w:p w14:paraId="5BB1A798">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43697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1FE0D9FA">
                  <w:pPr>
                    <w:jc w:val="center"/>
                    <w:rPr>
                      <w:rFonts w:hint="default" w:ascii="Times New Roman" w:hAnsi="Times New Roman" w:cs="Times New Roman"/>
                      <w:color w:val="auto"/>
                    </w:rPr>
                  </w:pPr>
                </w:p>
              </w:tc>
              <w:tc>
                <w:tcPr>
                  <w:tcW w:w="1553" w:type="dxa"/>
                  <w:tcBorders>
                    <w:tl2br w:val="nil"/>
                    <w:tr2bl w:val="nil"/>
                  </w:tcBorders>
                  <w:vAlign w:val="center"/>
                </w:tcPr>
                <w:p w14:paraId="46A73A71">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1,2,3-三氯丙烷</w:t>
                  </w:r>
                </w:p>
              </w:tc>
              <w:tc>
                <w:tcPr>
                  <w:tcW w:w="2959" w:type="dxa"/>
                  <w:tcBorders>
                    <w:tl2br w:val="nil"/>
                    <w:tr2bl w:val="nil"/>
                  </w:tcBorders>
                  <w:vAlign w:val="center"/>
                </w:tcPr>
                <w:p w14:paraId="723E8311">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2F4CB0C6">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0.5</w:t>
                  </w:r>
                </w:p>
              </w:tc>
              <w:tc>
                <w:tcPr>
                  <w:tcW w:w="1293" w:type="dxa"/>
                  <w:tcBorders>
                    <w:tl2br w:val="nil"/>
                    <w:tr2bl w:val="nil"/>
                  </w:tcBorders>
                  <w:vAlign w:val="center"/>
                </w:tcPr>
                <w:p w14:paraId="677F3A0B">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53C2A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4B2C0AAE">
                  <w:pPr>
                    <w:jc w:val="center"/>
                    <w:rPr>
                      <w:rFonts w:hint="default" w:ascii="Times New Roman" w:hAnsi="Times New Roman" w:cs="Times New Roman"/>
                      <w:color w:val="auto"/>
                    </w:rPr>
                  </w:pPr>
                </w:p>
              </w:tc>
              <w:tc>
                <w:tcPr>
                  <w:tcW w:w="1553" w:type="dxa"/>
                  <w:tcBorders>
                    <w:tl2br w:val="nil"/>
                    <w:tr2bl w:val="nil"/>
                  </w:tcBorders>
                  <w:vAlign w:val="center"/>
                </w:tcPr>
                <w:p w14:paraId="7D93ECF0">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氯乙烯</w:t>
                  </w:r>
                </w:p>
              </w:tc>
              <w:tc>
                <w:tcPr>
                  <w:tcW w:w="2959" w:type="dxa"/>
                  <w:tcBorders>
                    <w:tl2br w:val="nil"/>
                    <w:tr2bl w:val="nil"/>
                  </w:tcBorders>
                  <w:vAlign w:val="center"/>
                </w:tcPr>
                <w:p w14:paraId="1AD0D512">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02543B93">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0.43</w:t>
                  </w:r>
                </w:p>
              </w:tc>
              <w:tc>
                <w:tcPr>
                  <w:tcW w:w="1293" w:type="dxa"/>
                  <w:tcBorders>
                    <w:tl2br w:val="nil"/>
                    <w:tr2bl w:val="nil"/>
                  </w:tcBorders>
                  <w:vAlign w:val="center"/>
                </w:tcPr>
                <w:p w14:paraId="485C505E">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2EDBC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03588B8B">
                  <w:pPr>
                    <w:jc w:val="center"/>
                    <w:rPr>
                      <w:rFonts w:hint="default" w:ascii="Times New Roman" w:hAnsi="Times New Roman" w:cs="Times New Roman"/>
                      <w:color w:val="auto"/>
                    </w:rPr>
                  </w:pPr>
                </w:p>
              </w:tc>
              <w:tc>
                <w:tcPr>
                  <w:tcW w:w="1553" w:type="dxa"/>
                  <w:tcBorders>
                    <w:tl2br w:val="nil"/>
                    <w:tr2bl w:val="nil"/>
                  </w:tcBorders>
                  <w:vAlign w:val="center"/>
                </w:tcPr>
                <w:p w14:paraId="0D1E1EDF">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氯苯</w:t>
                  </w:r>
                </w:p>
              </w:tc>
              <w:tc>
                <w:tcPr>
                  <w:tcW w:w="2959" w:type="dxa"/>
                  <w:tcBorders>
                    <w:tl2br w:val="nil"/>
                    <w:tr2bl w:val="nil"/>
                  </w:tcBorders>
                  <w:vAlign w:val="center"/>
                </w:tcPr>
                <w:p w14:paraId="24A26A13">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2E64D0DA">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270</w:t>
                  </w:r>
                </w:p>
              </w:tc>
              <w:tc>
                <w:tcPr>
                  <w:tcW w:w="1293" w:type="dxa"/>
                  <w:tcBorders>
                    <w:tl2br w:val="nil"/>
                    <w:tr2bl w:val="nil"/>
                  </w:tcBorders>
                  <w:vAlign w:val="center"/>
                </w:tcPr>
                <w:p w14:paraId="2AC4B268">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08057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0FA1B547">
                  <w:pPr>
                    <w:jc w:val="center"/>
                    <w:rPr>
                      <w:rFonts w:hint="default" w:ascii="Times New Roman" w:hAnsi="Times New Roman" w:cs="Times New Roman"/>
                      <w:color w:val="auto"/>
                    </w:rPr>
                  </w:pPr>
                </w:p>
              </w:tc>
              <w:tc>
                <w:tcPr>
                  <w:tcW w:w="1553" w:type="dxa"/>
                  <w:tcBorders>
                    <w:tl2br w:val="nil"/>
                    <w:tr2bl w:val="nil"/>
                  </w:tcBorders>
                  <w:vAlign w:val="center"/>
                </w:tcPr>
                <w:p w14:paraId="49F49733">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1,2-二氯苯</w:t>
                  </w:r>
                </w:p>
              </w:tc>
              <w:tc>
                <w:tcPr>
                  <w:tcW w:w="2959" w:type="dxa"/>
                  <w:tcBorders>
                    <w:tl2br w:val="nil"/>
                    <w:tr2bl w:val="nil"/>
                  </w:tcBorders>
                  <w:vAlign w:val="center"/>
                </w:tcPr>
                <w:p w14:paraId="31BE9E79">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7F3FC2E9">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560</w:t>
                  </w:r>
                </w:p>
              </w:tc>
              <w:tc>
                <w:tcPr>
                  <w:tcW w:w="1293" w:type="dxa"/>
                  <w:tcBorders>
                    <w:tl2br w:val="nil"/>
                    <w:tr2bl w:val="nil"/>
                  </w:tcBorders>
                  <w:vAlign w:val="center"/>
                </w:tcPr>
                <w:p w14:paraId="6A7FF24C">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626A0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36FEA161">
                  <w:pPr>
                    <w:jc w:val="center"/>
                    <w:rPr>
                      <w:rFonts w:hint="default" w:ascii="Times New Roman" w:hAnsi="Times New Roman" w:cs="Times New Roman"/>
                      <w:color w:val="auto"/>
                    </w:rPr>
                  </w:pPr>
                </w:p>
              </w:tc>
              <w:tc>
                <w:tcPr>
                  <w:tcW w:w="1553" w:type="dxa"/>
                  <w:tcBorders>
                    <w:tl2br w:val="nil"/>
                    <w:tr2bl w:val="nil"/>
                  </w:tcBorders>
                  <w:vAlign w:val="center"/>
                </w:tcPr>
                <w:p w14:paraId="5713841A">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1,4-二氯苯</w:t>
                  </w:r>
                </w:p>
              </w:tc>
              <w:tc>
                <w:tcPr>
                  <w:tcW w:w="2959" w:type="dxa"/>
                  <w:tcBorders>
                    <w:tl2br w:val="nil"/>
                    <w:tr2bl w:val="nil"/>
                  </w:tcBorders>
                  <w:vAlign w:val="center"/>
                </w:tcPr>
                <w:p w14:paraId="2B069E6E">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0FBC3234">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20</w:t>
                  </w:r>
                </w:p>
              </w:tc>
              <w:tc>
                <w:tcPr>
                  <w:tcW w:w="1293" w:type="dxa"/>
                  <w:tcBorders>
                    <w:tl2br w:val="nil"/>
                    <w:tr2bl w:val="nil"/>
                  </w:tcBorders>
                  <w:vAlign w:val="center"/>
                </w:tcPr>
                <w:p w14:paraId="7FB46B85">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44024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3A8DC900">
                  <w:pPr>
                    <w:jc w:val="center"/>
                    <w:rPr>
                      <w:rFonts w:hint="default" w:ascii="Times New Roman" w:hAnsi="Times New Roman" w:cs="Times New Roman"/>
                      <w:color w:val="auto"/>
                    </w:rPr>
                  </w:pPr>
                </w:p>
              </w:tc>
              <w:tc>
                <w:tcPr>
                  <w:tcW w:w="1553" w:type="dxa"/>
                  <w:tcBorders>
                    <w:tl2br w:val="nil"/>
                    <w:tr2bl w:val="nil"/>
                  </w:tcBorders>
                  <w:vAlign w:val="center"/>
                </w:tcPr>
                <w:p w14:paraId="12B06D46">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乙苯</w:t>
                  </w:r>
                </w:p>
              </w:tc>
              <w:tc>
                <w:tcPr>
                  <w:tcW w:w="2959" w:type="dxa"/>
                  <w:tcBorders>
                    <w:tl2br w:val="nil"/>
                    <w:tr2bl w:val="nil"/>
                  </w:tcBorders>
                  <w:vAlign w:val="center"/>
                </w:tcPr>
                <w:p w14:paraId="59948CF0">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70B029F4">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28</w:t>
                  </w:r>
                </w:p>
              </w:tc>
              <w:tc>
                <w:tcPr>
                  <w:tcW w:w="1293" w:type="dxa"/>
                  <w:tcBorders>
                    <w:tl2br w:val="nil"/>
                    <w:tr2bl w:val="nil"/>
                  </w:tcBorders>
                  <w:vAlign w:val="center"/>
                </w:tcPr>
                <w:p w14:paraId="039F0369">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7E309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2EDB5CE7">
                  <w:pPr>
                    <w:jc w:val="center"/>
                    <w:rPr>
                      <w:rFonts w:hint="default" w:ascii="Times New Roman" w:hAnsi="Times New Roman" w:cs="Times New Roman"/>
                      <w:color w:val="auto"/>
                    </w:rPr>
                  </w:pPr>
                </w:p>
              </w:tc>
              <w:tc>
                <w:tcPr>
                  <w:tcW w:w="1553" w:type="dxa"/>
                  <w:tcBorders>
                    <w:tl2br w:val="nil"/>
                    <w:tr2bl w:val="nil"/>
                  </w:tcBorders>
                  <w:vAlign w:val="center"/>
                </w:tcPr>
                <w:p w14:paraId="49EE703A">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甲苯</w:t>
                  </w:r>
                </w:p>
              </w:tc>
              <w:tc>
                <w:tcPr>
                  <w:tcW w:w="2959" w:type="dxa"/>
                  <w:tcBorders>
                    <w:tl2br w:val="nil"/>
                    <w:tr2bl w:val="nil"/>
                  </w:tcBorders>
                  <w:vAlign w:val="center"/>
                </w:tcPr>
                <w:p w14:paraId="61AECE58">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5F6B016B">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1200</w:t>
                  </w:r>
                </w:p>
              </w:tc>
              <w:tc>
                <w:tcPr>
                  <w:tcW w:w="1293" w:type="dxa"/>
                  <w:tcBorders>
                    <w:tl2br w:val="nil"/>
                    <w:tr2bl w:val="nil"/>
                  </w:tcBorders>
                  <w:vAlign w:val="center"/>
                </w:tcPr>
                <w:p w14:paraId="093C43A4">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556E9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6F84D46C">
                  <w:pPr>
                    <w:jc w:val="center"/>
                    <w:rPr>
                      <w:rFonts w:hint="default" w:ascii="Times New Roman" w:hAnsi="Times New Roman" w:cs="Times New Roman"/>
                      <w:color w:val="auto"/>
                    </w:rPr>
                  </w:pPr>
                </w:p>
              </w:tc>
              <w:tc>
                <w:tcPr>
                  <w:tcW w:w="1553" w:type="dxa"/>
                  <w:tcBorders>
                    <w:tl2br w:val="nil"/>
                    <w:tr2bl w:val="nil"/>
                  </w:tcBorders>
                  <w:vAlign w:val="center"/>
                </w:tcPr>
                <w:p w14:paraId="4489A4EA">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间，对二甲苯</w:t>
                  </w:r>
                </w:p>
              </w:tc>
              <w:tc>
                <w:tcPr>
                  <w:tcW w:w="2959" w:type="dxa"/>
                  <w:tcBorders>
                    <w:tl2br w:val="nil"/>
                    <w:tr2bl w:val="nil"/>
                  </w:tcBorders>
                  <w:vAlign w:val="center"/>
                </w:tcPr>
                <w:p w14:paraId="2B932CC1">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46BAD0C0">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570</w:t>
                  </w:r>
                </w:p>
              </w:tc>
              <w:tc>
                <w:tcPr>
                  <w:tcW w:w="1293" w:type="dxa"/>
                  <w:tcBorders>
                    <w:tl2br w:val="nil"/>
                    <w:tr2bl w:val="nil"/>
                  </w:tcBorders>
                  <w:vAlign w:val="center"/>
                </w:tcPr>
                <w:p w14:paraId="6972172C">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10ACD5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52AE130E">
                  <w:pPr>
                    <w:jc w:val="center"/>
                    <w:rPr>
                      <w:rFonts w:hint="default" w:ascii="Times New Roman" w:hAnsi="Times New Roman" w:cs="Times New Roman"/>
                      <w:color w:val="auto"/>
                    </w:rPr>
                  </w:pPr>
                </w:p>
              </w:tc>
              <w:tc>
                <w:tcPr>
                  <w:tcW w:w="1553" w:type="dxa"/>
                  <w:tcBorders>
                    <w:tl2br w:val="nil"/>
                    <w:tr2bl w:val="nil"/>
                  </w:tcBorders>
                  <w:vAlign w:val="center"/>
                </w:tcPr>
                <w:p w14:paraId="5401FE62">
                  <w:pPr>
                    <w:autoSpaceDE w:val="0"/>
                    <w:autoSpaceDN w:val="0"/>
                    <w:jc w:val="center"/>
                    <w:rPr>
                      <w:rFonts w:hint="default" w:ascii="Times New Roman" w:hAnsi="Times New Roman" w:cs="Times New Roman"/>
                      <w:color w:val="auto"/>
                      <w:spacing w:val="-8"/>
                    </w:rPr>
                  </w:pPr>
                  <w:r>
                    <w:rPr>
                      <w:rFonts w:hint="default" w:ascii="Times New Roman" w:hAnsi="Times New Roman" w:cs="Times New Roman"/>
                      <w:color w:val="auto"/>
                      <w:spacing w:val="-8"/>
                    </w:rPr>
                    <w:t>邻二甲苯，苯乙烯</w:t>
                  </w:r>
                </w:p>
              </w:tc>
              <w:tc>
                <w:tcPr>
                  <w:tcW w:w="2959" w:type="dxa"/>
                  <w:tcBorders>
                    <w:tl2br w:val="nil"/>
                    <w:tr2bl w:val="nil"/>
                  </w:tcBorders>
                  <w:vAlign w:val="center"/>
                </w:tcPr>
                <w:p w14:paraId="487CA03D">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4D47A012">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640，1290</w:t>
                  </w:r>
                </w:p>
              </w:tc>
              <w:tc>
                <w:tcPr>
                  <w:tcW w:w="1293" w:type="dxa"/>
                  <w:tcBorders>
                    <w:tl2br w:val="nil"/>
                    <w:tr2bl w:val="nil"/>
                  </w:tcBorders>
                  <w:vAlign w:val="center"/>
                </w:tcPr>
                <w:p w14:paraId="67417340">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550E2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5C87A0CB">
                  <w:pPr>
                    <w:jc w:val="center"/>
                    <w:rPr>
                      <w:rFonts w:hint="default" w:ascii="Times New Roman" w:hAnsi="Times New Roman" w:cs="Times New Roman"/>
                      <w:color w:val="auto"/>
                    </w:rPr>
                  </w:pPr>
                </w:p>
              </w:tc>
              <w:tc>
                <w:tcPr>
                  <w:tcW w:w="1553" w:type="dxa"/>
                  <w:tcBorders>
                    <w:tl2br w:val="nil"/>
                    <w:tr2bl w:val="nil"/>
                  </w:tcBorders>
                  <w:shd w:val="clear" w:color="auto" w:fill="auto"/>
                  <w:vAlign w:val="center"/>
                </w:tcPr>
                <w:p w14:paraId="64FC8F5C">
                  <w:pPr>
                    <w:autoSpaceDE w:val="0"/>
                    <w:autoSpaceDN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苯并[a]蒽</w:t>
                  </w:r>
                </w:p>
              </w:tc>
              <w:tc>
                <w:tcPr>
                  <w:tcW w:w="2959" w:type="dxa"/>
                  <w:tcBorders>
                    <w:tl2br w:val="nil"/>
                    <w:tr2bl w:val="nil"/>
                  </w:tcBorders>
                  <w:shd w:val="clear" w:color="auto" w:fill="auto"/>
                  <w:vAlign w:val="center"/>
                </w:tcPr>
                <w:p w14:paraId="4B0810C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ND</w:t>
                  </w:r>
                </w:p>
              </w:tc>
              <w:tc>
                <w:tcPr>
                  <w:tcW w:w="1591" w:type="dxa"/>
                  <w:tcBorders>
                    <w:tl2br w:val="nil"/>
                    <w:tr2bl w:val="nil"/>
                  </w:tcBorders>
                  <w:shd w:val="clear" w:color="auto" w:fill="auto"/>
                  <w:vAlign w:val="center"/>
                </w:tcPr>
                <w:p w14:paraId="6FFD7982">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Cs w:val="21"/>
                      <w:lang w:bidi="ar"/>
                    </w:rPr>
                    <w:t>15</w:t>
                  </w:r>
                </w:p>
              </w:tc>
              <w:tc>
                <w:tcPr>
                  <w:tcW w:w="1293" w:type="dxa"/>
                  <w:tcBorders>
                    <w:tl2br w:val="nil"/>
                    <w:tr2bl w:val="nil"/>
                  </w:tcBorders>
                  <w:shd w:val="clear" w:color="auto" w:fill="auto"/>
                  <w:vAlign w:val="center"/>
                </w:tcPr>
                <w:p w14:paraId="05069F13">
                  <w:pPr>
                    <w:widowControl/>
                    <w:jc w:val="center"/>
                    <w:textAlignment w:val="top"/>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Cs w:val="21"/>
                      <w:lang w:bidi="ar"/>
                    </w:rPr>
                    <w:t>0</w:t>
                  </w:r>
                </w:p>
              </w:tc>
            </w:tr>
            <w:tr w14:paraId="2FAD71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4D9382C2">
                  <w:pPr>
                    <w:jc w:val="center"/>
                    <w:rPr>
                      <w:rFonts w:hint="default" w:ascii="Times New Roman" w:hAnsi="Times New Roman" w:cs="Times New Roman"/>
                      <w:color w:val="auto"/>
                    </w:rPr>
                  </w:pPr>
                </w:p>
              </w:tc>
              <w:tc>
                <w:tcPr>
                  <w:tcW w:w="1553" w:type="dxa"/>
                  <w:tcBorders>
                    <w:tl2br w:val="nil"/>
                    <w:tr2bl w:val="nil"/>
                  </w:tcBorders>
                  <w:vAlign w:val="center"/>
                </w:tcPr>
                <w:p w14:paraId="696975C5">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苯并[a]芘</w:t>
                  </w:r>
                </w:p>
              </w:tc>
              <w:tc>
                <w:tcPr>
                  <w:tcW w:w="2959" w:type="dxa"/>
                  <w:tcBorders>
                    <w:tl2br w:val="nil"/>
                    <w:tr2bl w:val="nil"/>
                  </w:tcBorders>
                  <w:vAlign w:val="center"/>
                </w:tcPr>
                <w:p w14:paraId="6E4E37D0">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138EA6B6">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1.5</w:t>
                  </w:r>
                </w:p>
              </w:tc>
              <w:tc>
                <w:tcPr>
                  <w:tcW w:w="1293" w:type="dxa"/>
                  <w:tcBorders>
                    <w:tl2br w:val="nil"/>
                    <w:tr2bl w:val="nil"/>
                  </w:tcBorders>
                  <w:vAlign w:val="center"/>
                </w:tcPr>
                <w:p w14:paraId="35C68F2E">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58557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29706BBF">
                  <w:pPr>
                    <w:jc w:val="center"/>
                    <w:rPr>
                      <w:rFonts w:hint="default" w:ascii="Times New Roman" w:hAnsi="Times New Roman" w:cs="Times New Roman"/>
                      <w:color w:val="auto"/>
                    </w:rPr>
                  </w:pPr>
                </w:p>
              </w:tc>
              <w:tc>
                <w:tcPr>
                  <w:tcW w:w="1553" w:type="dxa"/>
                  <w:tcBorders>
                    <w:tl2br w:val="nil"/>
                    <w:tr2bl w:val="nil"/>
                  </w:tcBorders>
                  <w:vAlign w:val="center"/>
                </w:tcPr>
                <w:p w14:paraId="3D6F0933">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苯并[b]荧蒽</w:t>
                  </w:r>
                </w:p>
              </w:tc>
              <w:tc>
                <w:tcPr>
                  <w:tcW w:w="2959" w:type="dxa"/>
                  <w:tcBorders>
                    <w:tl2br w:val="nil"/>
                    <w:tr2bl w:val="nil"/>
                  </w:tcBorders>
                  <w:vAlign w:val="center"/>
                </w:tcPr>
                <w:p w14:paraId="6BB080BE">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167EE3E2">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15</w:t>
                  </w:r>
                </w:p>
              </w:tc>
              <w:tc>
                <w:tcPr>
                  <w:tcW w:w="1293" w:type="dxa"/>
                  <w:tcBorders>
                    <w:tl2br w:val="nil"/>
                    <w:tr2bl w:val="nil"/>
                  </w:tcBorders>
                  <w:vAlign w:val="center"/>
                </w:tcPr>
                <w:p w14:paraId="4DA2715E">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0471D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65EB7649">
                  <w:pPr>
                    <w:jc w:val="center"/>
                    <w:rPr>
                      <w:rFonts w:hint="default" w:ascii="Times New Roman" w:hAnsi="Times New Roman" w:cs="Times New Roman"/>
                      <w:color w:val="auto"/>
                    </w:rPr>
                  </w:pPr>
                </w:p>
              </w:tc>
              <w:tc>
                <w:tcPr>
                  <w:tcW w:w="1553" w:type="dxa"/>
                  <w:tcBorders>
                    <w:tl2br w:val="nil"/>
                    <w:tr2bl w:val="nil"/>
                  </w:tcBorders>
                  <w:vAlign w:val="center"/>
                </w:tcPr>
                <w:p w14:paraId="01131C29">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苯并[k]荧蒽</w:t>
                  </w:r>
                </w:p>
              </w:tc>
              <w:tc>
                <w:tcPr>
                  <w:tcW w:w="2959" w:type="dxa"/>
                  <w:tcBorders>
                    <w:tl2br w:val="nil"/>
                    <w:tr2bl w:val="nil"/>
                  </w:tcBorders>
                  <w:vAlign w:val="center"/>
                </w:tcPr>
                <w:p w14:paraId="5C1FC8E8">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1367FC16">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151</w:t>
                  </w:r>
                </w:p>
              </w:tc>
              <w:tc>
                <w:tcPr>
                  <w:tcW w:w="1293" w:type="dxa"/>
                  <w:tcBorders>
                    <w:tl2br w:val="nil"/>
                    <w:tr2bl w:val="nil"/>
                  </w:tcBorders>
                  <w:vAlign w:val="center"/>
                </w:tcPr>
                <w:p w14:paraId="74602921">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183A6E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1F34DCA6">
                  <w:pPr>
                    <w:jc w:val="center"/>
                    <w:rPr>
                      <w:rFonts w:hint="default" w:ascii="Times New Roman" w:hAnsi="Times New Roman" w:cs="Times New Roman"/>
                      <w:color w:val="auto"/>
                    </w:rPr>
                  </w:pPr>
                </w:p>
              </w:tc>
              <w:tc>
                <w:tcPr>
                  <w:tcW w:w="1553" w:type="dxa"/>
                  <w:tcBorders>
                    <w:tl2br w:val="nil"/>
                    <w:tr2bl w:val="nil"/>
                  </w:tcBorders>
                  <w:vAlign w:val="center"/>
                </w:tcPr>
                <w:p w14:paraId="092B3C7D">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䓛</w:t>
                  </w:r>
                </w:p>
              </w:tc>
              <w:tc>
                <w:tcPr>
                  <w:tcW w:w="2959" w:type="dxa"/>
                  <w:tcBorders>
                    <w:tl2br w:val="nil"/>
                    <w:tr2bl w:val="nil"/>
                  </w:tcBorders>
                  <w:vAlign w:val="center"/>
                </w:tcPr>
                <w:p w14:paraId="67238C8F">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3F54CB0B">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1293</w:t>
                  </w:r>
                </w:p>
              </w:tc>
              <w:tc>
                <w:tcPr>
                  <w:tcW w:w="1293" w:type="dxa"/>
                  <w:tcBorders>
                    <w:tl2br w:val="nil"/>
                    <w:tr2bl w:val="nil"/>
                  </w:tcBorders>
                  <w:vAlign w:val="center"/>
                </w:tcPr>
                <w:p w14:paraId="3F67E34A">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6A8650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0CF64ABE">
                  <w:pPr>
                    <w:jc w:val="center"/>
                    <w:rPr>
                      <w:rFonts w:hint="default" w:ascii="Times New Roman" w:hAnsi="Times New Roman" w:cs="Times New Roman"/>
                      <w:color w:val="auto"/>
                    </w:rPr>
                  </w:pPr>
                </w:p>
              </w:tc>
              <w:tc>
                <w:tcPr>
                  <w:tcW w:w="1553" w:type="dxa"/>
                  <w:tcBorders>
                    <w:tl2br w:val="nil"/>
                    <w:tr2bl w:val="nil"/>
                  </w:tcBorders>
                  <w:vAlign w:val="center"/>
                </w:tcPr>
                <w:p w14:paraId="012CE82A">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二苯并[a,h]蒽</w:t>
                  </w:r>
                </w:p>
              </w:tc>
              <w:tc>
                <w:tcPr>
                  <w:tcW w:w="2959" w:type="dxa"/>
                  <w:tcBorders>
                    <w:tl2br w:val="nil"/>
                    <w:tr2bl w:val="nil"/>
                  </w:tcBorders>
                  <w:vAlign w:val="center"/>
                </w:tcPr>
                <w:p w14:paraId="0D260439">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21EB2421">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1.5</w:t>
                  </w:r>
                </w:p>
              </w:tc>
              <w:tc>
                <w:tcPr>
                  <w:tcW w:w="1293" w:type="dxa"/>
                  <w:tcBorders>
                    <w:tl2br w:val="nil"/>
                    <w:tr2bl w:val="nil"/>
                  </w:tcBorders>
                  <w:vAlign w:val="center"/>
                </w:tcPr>
                <w:p w14:paraId="0C3D85A7">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15449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3DF344F0">
                  <w:pPr>
                    <w:jc w:val="center"/>
                    <w:rPr>
                      <w:rFonts w:hint="default" w:ascii="Times New Roman" w:hAnsi="Times New Roman" w:cs="Times New Roman"/>
                      <w:color w:val="auto"/>
                    </w:rPr>
                  </w:pPr>
                </w:p>
              </w:tc>
              <w:tc>
                <w:tcPr>
                  <w:tcW w:w="1553" w:type="dxa"/>
                  <w:tcBorders>
                    <w:tl2br w:val="nil"/>
                    <w:tr2bl w:val="nil"/>
                  </w:tcBorders>
                  <w:vAlign w:val="center"/>
                </w:tcPr>
                <w:p w14:paraId="6B6B9987">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茚并[1,2,3-cd]芘</w:t>
                  </w:r>
                </w:p>
              </w:tc>
              <w:tc>
                <w:tcPr>
                  <w:tcW w:w="2959" w:type="dxa"/>
                  <w:tcBorders>
                    <w:tl2br w:val="nil"/>
                    <w:tr2bl w:val="nil"/>
                  </w:tcBorders>
                  <w:vAlign w:val="center"/>
                </w:tcPr>
                <w:p w14:paraId="560CA5EA">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56BA4EA2">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15</w:t>
                  </w:r>
                </w:p>
              </w:tc>
              <w:tc>
                <w:tcPr>
                  <w:tcW w:w="1293" w:type="dxa"/>
                  <w:tcBorders>
                    <w:tl2br w:val="nil"/>
                    <w:tr2bl w:val="nil"/>
                  </w:tcBorders>
                  <w:vAlign w:val="center"/>
                </w:tcPr>
                <w:p w14:paraId="663D00B1">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7BEED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5F1B4797">
                  <w:pPr>
                    <w:jc w:val="center"/>
                    <w:rPr>
                      <w:rFonts w:hint="default" w:ascii="Times New Roman" w:hAnsi="Times New Roman" w:cs="Times New Roman"/>
                      <w:color w:val="auto"/>
                    </w:rPr>
                  </w:pPr>
                </w:p>
              </w:tc>
              <w:tc>
                <w:tcPr>
                  <w:tcW w:w="1553" w:type="dxa"/>
                  <w:tcBorders>
                    <w:tl2br w:val="nil"/>
                    <w:tr2bl w:val="nil"/>
                  </w:tcBorders>
                  <w:vAlign w:val="center"/>
                </w:tcPr>
                <w:p w14:paraId="602FF6E2">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萘</w:t>
                  </w:r>
                </w:p>
              </w:tc>
              <w:tc>
                <w:tcPr>
                  <w:tcW w:w="2959" w:type="dxa"/>
                  <w:tcBorders>
                    <w:tl2br w:val="nil"/>
                    <w:tr2bl w:val="nil"/>
                  </w:tcBorders>
                  <w:vAlign w:val="center"/>
                </w:tcPr>
                <w:p w14:paraId="3E782C5D">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5C847643">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70</w:t>
                  </w:r>
                </w:p>
              </w:tc>
              <w:tc>
                <w:tcPr>
                  <w:tcW w:w="1293" w:type="dxa"/>
                  <w:tcBorders>
                    <w:tl2br w:val="nil"/>
                    <w:tr2bl w:val="nil"/>
                  </w:tcBorders>
                  <w:vAlign w:val="center"/>
                </w:tcPr>
                <w:p w14:paraId="1BC5CCD2">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6EE4FE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076B80B2">
                  <w:pPr>
                    <w:jc w:val="center"/>
                    <w:rPr>
                      <w:rFonts w:hint="default" w:ascii="Times New Roman" w:hAnsi="Times New Roman" w:cs="Times New Roman"/>
                      <w:color w:val="auto"/>
                    </w:rPr>
                  </w:pPr>
                </w:p>
              </w:tc>
              <w:tc>
                <w:tcPr>
                  <w:tcW w:w="1553" w:type="dxa"/>
                  <w:tcBorders>
                    <w:tl2br w:val="nil"/>
                    <w:tr2bl w:val="nil"/>
                  </w:tcBorders>
                  <w:vAlign w:val="center"/>
                </w:tcPr>
                <w:p w14:paraId="4B2084B0">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氯甲烷*</w:t>
                  </w:r>
                </w:p>
              </w:tc>
              <w:tc>
                <w:tcPr>
                  <w:tcW w:w="2959" w:type="dxa"/>
                  <w:tcBorders>
                    <w:tl2br w:val="nil"/>
                    <w:tr2bl w:val="nil"/>
                  </w:tcBorders>
                  <w:vAlign w:val="center"/>
                </w:tcPr>
                <w:p w14:paraId="7EBD3179">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44F9D98E">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37</w:t>
                  </w:r>
                </w:p>
              </w:tc>
              <w:tc>
                <w:tcPr>
                  <w:tcW w:w="1293" w:type="dxa"/>
                  <w:tcBorders>
                    <w:tl2br w:val="nil"/>
                    <w:tr2bl w:val="nil"/>
                  </w:tcBorders>
                  <w:vAlign w:val="center"/>
                </w:tcPr>
                <w:p w14:paraId="437AC31E">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147A5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1A261855">
                  <w:pPr>
                    <w:jc w:val="center"/>
                    <w:rPr>
                      <w:rFonts w:hint="default" w:ascii="Times New Roman" w:hAnsi="Times New Roman" w:cs="Times New Roman"/>
                      <w:color w:val="auto"/>
                    </w:rPr>
                  </w:pPr>
                </w:p>
              </w:tc>
              <w:tc>
                <w:tcPr>
                  <w:tcW w:w="1553" w:type="dxa"/>
                  <w:tcBorders>
                    <w:tl2br w:val="nil"/>
                    <w:tr2bl w:val="nil"/>
                  </w:tcBorders>
                  <w:vAlign w:val="center"/>
                </w:tcPr>
                <w:p w14:paraId="081635C5">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硝基苯*</w:t>
                  </w:r>
                </w:p>
              </w:tc>
              <w:tc>
                <w:tcPr>
                  <w:tcW w:w="2959" w:type="dxa"/>
                  <w:tcBorders>
                    <w:tl2br w:val="nil"/>
                    <w:tr2bl w:val="nil"/>
                  </w:tcBorders>
                  <w:vAlign w:val="center"/>
                </w:tcPr>
                <w:p w14:paraId="4E83C26E">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62D74A58">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76</w:t>
                  </w:r>
                </w:p>
              </w:tc>
              <w:tc>
                <w:tcPr>
                  <w:tcW w:w="1293" w:type="dxa"/>
                  <w:tcBorders>
                    <w:tl2br w:val="nil"/>
                    <w:tr2bl w:val="nil"/>
                  </w:tcBorders>
                  <w:vAlign w:val="center"/>
                </w:tcPr>
                <w:p w14:paraId="7BB5AF2F">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3A0F1C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47E62A42">
                  <w:pPr>
                    <w:jc w:val="center"/>
                    <w:rPr>
                      <w:rFonts w:hint="default" w:ascii="Times New Roman" w:hAnsi="Times New Roman" w:cs="Times New Roman"/>
                      <w:color w:val="auto"/>
                    </w:rPr>
                  </w:pPr>
                </w:p>
              </w:tc>
              <w:tc>
                <w:tcPr>
                  <w:tcW w:w="1553" w:type="dxa"/>
                  <w:tcBorders>
                    <w:tl2br w:val="nil"/>
                    <w:tr2bl w:val="nil"/>
                  </w:tcBorders>
                  <w:vAlign w:val="center"/>
                </w:tcPr>
                <w:p w14:paraId="5199209F">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苯胺*</w:t>
                  </w:r>
                </w:p>
              </w:tc>
              <w:tc>
                <w:tcPr>
                  <w:tcW w:w="2959" w:type="dxa"/>
                  <w:tcBorders>
                    <w:tl2br w:val="nil"/>
                    <w:tr2bl w:val="nil"/>
                  </w:tcBorders>
                  <w:vAlign w:val="center"/>
                </w:tcPr>
                <w:p w14:paraId="2B43A32C">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79212CA0">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260</w:t>
                  </w:r>
                </w:p>
              </w:tc>
              <w:tc>
                <w:tcPr>
                  <w:tcW w:w="1293" w:type="dxa"/>
                  <w:tcBorders>
                    <w:tl2br w:val="nil"/>
                    <w:tr2bl w:val="nil"/>
                  </w:tcBorders>
                  <w:vAlign w:val="center"/>
                </w:tcPr>
                <w:p w14:paraId="3E1DF8AD">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7A587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1681448F">
                  <w:pPr>
                    <w:jc w:val="center"/>
                    <w:rPr>
                      <w:rFonts w:hint="default" w:ascii="Times New Roman" w:hAnsi="Times New Roman" w:cs="Times New Roman"/>
                      <w:color w:val="auto"/>
                    </w:rPr>
                  </w:pPr>
                </w:p>
              </w:tc>
              <w:tc>
                <w:tcPr>
                  <w:tcW w:w="1553" w:type="dxa"/>
                  <w:tcBorders>
                    <w:tl2br w:val="nil"/>
                    <w:tr2bl w:val="nil"/>
                  </w:tcBorders>
                  <w:vAlign w:val="center"/>
                </w:tcPr>
                <w:p w14:paraId="52969469">
                  <w:pPr>
                    <w:autoSpaceDE w:val="0"/>
                    <w:autoSpaceDN w:val="0"/>
                    <w:jc w:val="center"/>
                    <w:rPr>
                      <w:rFonts w:hint="default" w:ascii="Times New Roman" w:hAnsi="Times New Roman" w:cs="Times New Roman"/>
                      <w:color w:val="auto"/>
                    </w:rPr>
                  </w:pPr>
                  <w:r>
                    <w:rPr>
                      <w:rFonts w:hint="default" w:ascii="Times New Roman" w:hAnsi="Times New Roman" w:cs="Times New Roman"/>
                      <w:color w:val="auto"/>
                    </w:rPr>
                    <w:t>2-氯酚*</w:t>
                  </w:r>
                </w:p>
              </w:tc>
              <w:tc>
                <w:tcPr>
                  <w:tcW w:w="2959" w:type="dxa"/>
                  <w:tcBorders>
                    <w:tl2br w:val="nil"/>
                    <w:tr2bl w:val="nil"/>
                  </w:tcBorders>
                  <w:vAlign w:val="center"/>
                </w:tcPr>
                <w:p w14:paraId="2A8C8E11">
                  <w:pPr>
                    <w:jc w:val="center"/>
                    <w:rPr>
                      <w:rFonts w:hint="default" w:ascii="Times New Roman" w:hAnsi="Times New Roman" w:cs="Times New Roman"/>
                      <w:color w:val="auto"/>
                      <w:kern w:val="0"/>
                    </w:rPr>
                  </w:pPr>
                  <w:r>
                    <w:rPr>
                      <w:rFonts w:hint="default" w:ascii="Times New Roman" w:hAnsi="Times New Roman" w:cs="Times New Roman"/>
                      <w:color w:val="auto"/>
                      <w:kern w:val="0"/>
                      <w:szCs w:val="21"/>
                      <w:lang w:bidi="ar"/>
                    </w:rPr>
                    <w:t>ND</w:t>
                  </w:r>
                </w:p>
              </w:tc>
              <w:tc>
                <w:tcPr>
                  <w:tcW w:w="1591" w:type="dxa"/>
                  <w:tcBorders>
                    <w:tl2br w:val="nil"/>
                    <w:tr2bl w:val="nil"/>
                  </w:tcBorders>
                  <w:vAlign w:val="center"/>
                </w:tcPr>
                <w:p w14:paraId="1639FA17">
                  <w:pPr>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2256</w:t>
                  </w:r>
                </w:p>
              </w:tc>
              <w:tc>
                <w:tcPr>
                  <w:tcW w:w="1293" w:type="dxa"/>
                  <w:tcBorders>
                    <w:tl2br w:val="nil"/>
                    <w:tr2bl w:val="nil"/>
                  </w:tcBorders>
                  <w:vAlign w:val="center"/>
                </w:tcPr>
                <w:p w14:paraId="4B1D2A95">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0</w:t>
                  </w:r>
                </w:p>
              </w:tc>
            </w:tr>
            <w:tr w14:paraId="18925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restart"/>
                  <w:tcBorders>
                    <w:tl2br w:val="nil"/>
                    <w:tr2bl w:val="nil"/>
                  </w:tcBorders>
                  <w:shd w:val="clear" w:color="auto" w:fill="auto"/>
                  <w:vAlign w:val="center"/>
                </w:tcPr>
                <w:p w14:paraId="70D1FC03">
                  <w:pPr>
                    <w:jc w:val="center"/>
                    <w:rPr>
                      <w:rFonts w:hint="default" w:ascii="Times New Roman" w:hAnsi="Times New Roman" w:eastAsia="宋体" w:cs="Times New Roman"/>
                      <w:b/>
                      <w:bCs/>
                      <w:color w:val="auto"/>
                      <w:kern w:val="2"/>
                      <w:sz w:val="21"/>
                      <w:szCs w:val="22"/>
                      <w:lang w:val="en-US" w:eastAsia="zh-CN" w:bidi="ar-SA"/>
                    </w:rPr>
                  </w:pPr>
                  <w:r>
                    <w:rPr>
                      <w:rFonts w:hint="default" w:ascii="Times New Roman" w:hAnsi="Times New Roman" w:cs="Times New Roman"/>
                      <w:b/>
                      <w:bCs/>
                      <w:color w:val="auto"/>
                    </w:rPr>
                    <w:t>采样日期</w:t>
                  </w:r>
                </w:p>
              </w:tc>
              <w:tc>
                <w:tcPr>
                  <w:tcW w:w="1553" w:type="dxa"/>
                  <w:vMerge w:val="restart"/>
                  <w:tcBorders>
                    <w:tl2br w:val="nil"/>
                    <w:tr2bl w:val="nil"/>
                  </w:tcBorders>
                  <w:shd w:val="clear" w:color="auto" w:fill="auto"/>
                  <w:vAlign w:val="center"/>
                </w:tcPr>
                <w:p w14:paraId="4A92CA2B">
                  <w:pPr>
                    <w:jc w:val="center"/>
                    <w:rPr>
                      <w:rFonts w:hint="default" w:ascii="Times New Roman" w:hAnsi="Times New Roman" w:eastAsia="宋体" w:cs="Times New Roman"/>
                      <w:b/>
                      <w:bCs/>
                      <w:color w:val="auto"/>
                      <w:kern w:val="2"/>
                      <w:sz w:val="21"/>
                      <w:szCs w:val="22"/>
                      <w:lang w:val="en-US" w:eastAsia="zh-CN" w:bidi="ar-SA"/>
                    </w:rPr>
                  </w:pPr>
                  <w:r>
                    <w:rPr>
                      <w:rFonts w:hint="default" w:ascii="Times New Roman" w:hAnsi="Times New Roman" w:cs="Times New Roman"/>
                      <w:b/>
                      <w:bCs/>
                      <w:color w:val="auto"/>
                    </w:rPr>
                    <w:t>检测因子</w:t>
                  </w:r>
                </w:p>
              </w:tc>
              <w:tc>
                <w:tcPr>
                  <w:tcW w:w="2959" w:type="dxa"/>
                  <w:tcBorders>
                    <w:tl2br w:val="nil"/>
                    <w:tr2bl w:val="nil"/>
                  </w:tcBorders>
                  <w:shd w:val="clear" w:color="auto" w:fill="auto"/>
                  <w:vAlign w:val="center"/>
                </w:tcPr>
                <w:p w14:paraId="33BD07EF">
                  <w:pPr>
                    <w:jc w:val="center"/>
                    <w:rPr>
                      <w:rFonts w:hint="default" w:ascii="Times New Roman" w:hAnsi="Times New Roman" w:eastAsia="宋体" w:cs="Times New Roman"/>
                      <w:b/>
                      <w:bCs/>
                      <w:color w:val="auto"/>
                      <w:kern w:val="2"/>
                      <w:sz w:val="21"/>
                      <w:szCs w:val="22"/>
                      <w:lang w:val="en-US" w:eastAsia="zh-CN" w:bidi="ar-SA"/>
                    </w:rPr>
                  </w:pPr>
                  <w:r>
                    <w:rPr>
                      <w:rFonts w:hint="default" w:ascii="Times New Roman" w:hAnsi="Times New Roman" w:cs="Times New Roman"/>
                      <w:b/>
                      <w:bCs/>
                      <w:color w:val="auto"/>
                      <w:sz w:val="24"/>
                      <w:szCs w:val="32"/>
                      <w:lang w:bidi="ar"/>
                    </w:rPr>
                    <w:t>Ci</w:t>
                  </w:r>
                </w:p>
              </w:tc>
              <w:tc>
                <w:tcPr>
                  <w:tcW w:w="1591" w:type="dxa"/>
                  <w:tcBorders>
                    <w:tl2br w:val="nil"/>
                    <w:tr2bl w:val="nil"/>
                  </w:tcBorders>
                  <w:shd w:val="clear" w:color="auto" w:fill="auto"/>
                  <w:vAlign w:val="center"/>
                </w:tcPr>
                <w:p w14:paraId="3AB09879">
                  <w:pPr>
                    <w:jc w:val="center"/>
                    <w:rPr>
                      <w:rFonts w:hint="default" w:ascii="Times New Roman" w:hAnsi="Times New Roman" w:eastAsia="宋体" w:cs="Times New Roman"/>
                      <w:b/>
                      <w:bCs/>
                      <w:color w:val="auto"/>
                      <w:kern w:val="2"/>
                      <w:sz w:val="21"/>
                      <w:szCs w:val="22"/>
                      <w:lang w:val="en-US" w:eastAsia="zh-CN" w:bidi="ar-SA"/>
                    </w:rPr>
                  </w:pPr>
                  <w:r>
                    <w:rPr>
                      <w:rFonts w:hint="default" w:ascii="Times New Roman" w:hAnsi="Times New Roman" w:cs="Times New Roman"/>
                      <w:b/>
                      <w:bCs/>
                      <w:color w:val="auto"/>
                      <w:sz w:val="24"/>
                      <w:szCs w:val="32"/>
                      <w:lang w:bidi="ar"/>
                    </w:rPr>
                    <w:t>Si</w:t>
                  </w:r>
                </w:p>
              </w:tc>
              <w:tc>
                <w:tcPr>
                  <w:tcW w:w="1293" w:type="dxa"/>
                  <w:vMerge w:val="restart"/>
                  <w:tcBorders>
                    <w:tl2br w:val="nil"/>
                    <w:tr2bl w:val="nil"/>
                  </w:tcBorders>
                  <w:vAlign w:val="center"/>
                </w:tcPr>
                <w:p w14:paraId="3D815381">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b/>
                      <w:bCs/>
                      <w:color w:val="auto"/>
                      <w:sz w:val="24"/>
                      <w:szCs w:val="32"/>
                      <w:lang w:bidi="ar"/>
                    </w:rPr>
                    <w:t>Ki</w:t>
                  </w:r>
                </w:p>
              </w:tc>
            </w:tr>
            <w:tr w14:paraId="0C16F1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6321AF98">
                  <w:pPr>
                    <w:jc w:val="center"/>
                    <w:rPr>
                      <w:rFonts w:hint="default" w:ascii="Times New Roman" w:hAnsi="Times New Roman" w:cs="Times New Roman"/>
                      <w:color w:val="auto"/>
                    </w:rPr>
                  </w:pPr>
                </w:p>
              </w:tc>
              <w:tc>
                <w:tcPr>
                  <w:tcW w:w="1553" w:type="dxa"/>
                  <w:vMerge w:val="continue"/>
                  <w:tcBorders>
                    <w:tl2br w:val="nil"/>
                    <w:tr2bl w:val="nil"/>
                  </w:tcBorders>
                  <w:vAlign w:val="center"/>
                </w:tcPr>
                <w:p w14:paraId="64762B7A">
                  <w:pPr>
                    <w:autoSpaceDE w:val="0"/>
                    <w:autoSpaceDN w:val="0"/>
                    <w:jc w:val="center"/>
                    <w:rPr>
                      <w:rFonts w:hint="default" w:ascii="Times New Roman" w:hAnsi="Times New Roman" w:cs="Times New Roman"/>
                      <w:color w:val="auto"/>
                    </w:rPr>
                  </w:pPr>
                </w:p>
              </w:tc>
              <w:tc>
                <w:tcPr>
                  <w:tcW w:w="2959" w:type="dxa"/>
                  <w:tcBorders>
                    <w:tl2br w:val="nil"/>
                    <w:tr2bl w:val="nil"/>
                  </w:tcBorders>
                  <w:shd w:val="clear" w:color="auto" w:fill="auto"/>
                  <w:vAlign w:val="center"/>
                </w:tcPr>
                <w:p w14:paraId="58AF8466">
                  <w:pPr>
                    <w:jc w:val="center"/>
                    <w:rPr>
                      <w:rFonts w:hint="default" w:ascii="Times New Roman" w:hAnsi="Times New Roman" w:eastAsia="宋体" w:cs="Times New Roman"/>
                      <w:b/>
                      <w:color w:val="auto"/>
                      <w:kern w:val="2"/>
                      <w:sz w:val="21"/>
                      <w:szCs w:val="22"/>
                      <w:lang w:val="en-US" w:eastAsia="zh-CN" w:bidi="ar-SA"/>
                    </w:rPr>
                  </w:pPr>
                  <w:r>
                    <w:rPr>
                      <w:rFonts w:hint="default" w:ascii="Times New Roman" w:hAnsi="Times New Roman" w:eastAsia="宋体" w:cs="Times New Roman"/>
                      <w:b/>
                      <w:color w:val="auto"/>
                      <w:kern w:val="2"/>
                      <w:sz w:val="21"/>
                      <w:szCs w:val="22"/>
                      <w:lang w:val="en-US" w:eastAsia="zh-CN" w:bidi="ar-SA"/>
                    </w:rPr>
                    <w:t>T2，拟建项目占地范围内（储罐区域）</w:t>
                  </w:r>
                </w:p>
              </w:tc>
              <w:tc>
                <w:tcPr>
                  <w:tcW w:w="1591" w:type="dxa"/>
                  <w:tcBorders>
                    <w:tl2br w:val="nil"/>
                    <w:tr2bl w:val="nil"/>
                  </w:tcBorders>
                  <w:shd w:val="clear" w:color="auto" w:fill="auto"/>
                  <w:vAlign w:val="center"/>
                </w:tcPr>
                <w:p w14:paraId="080BEFA6">
                  <w:pPr>
                    <w:jc w:val="center"/>
                    <w:rPr>
                      <w:rFonts w:hint="default" w:ascii="Times New Roman" w:hAnsi="Times New Roman" w:eastAsia="宋体" w:cs="Times New Roman"/>
                      <w:b/>
                      <w:color w:val="auto"/>
                      <w:kern w:val="2"/>
                      <w:sz w:val="21"/>
                      <w:szCs w:val="22"/>
                      <w:lang w:val="en-US" w:eastAsia="zh-CN" w:bidi="ar-SA"/>
                    </w:rPr>
                  </w:pPr>
                  <w:r>
                    <w:rPr>
                      <w:rFonts w:hint="default" w:ascii="Times New Roman" w:hAnsi="Times New Roman" w:cs="Times New Roman"/>
                      <w:b/>
                      <w:color w:val="auto"/>
                    </w:rPr>
                    <w:t>第二类用地</w:t>
                  </w:r>
                </w:p>
              </w:tc>
              <w:tc>
                <w:tcPr>
                  <w:tcW w:w="1293" w:type="dxa"/>
                  <w:vMerge w:val="continue"/>
                  <w:tcBorders>
                    <w:tl2br w:val="nil"/>
                    <w:tr2bl w:val="nil"/>
                  </w:tcBorders>
                  <w:vAlign w:val="center"/>
                </w:tcPr>
                <w:p w14:paraId="21DEA964">
                  <w:pPr>
                    <w:widowControl/>
                    <w:jc w:val="center"/>
                    <w:textAlignment w:val="top"/>
                    <w:rPr>
                      <w:rFonts w:hint="default" w:ascii="Times New Roman" w:hAnsi="Times New Roman" w:cs="Times New Roman"/>
                      <w:color w:val="auto"/>
                      <w:kern w:val="0"/>
                      <w:szCs w:val="21"/>
                      <w:lang w:bidi="ar"/>
                    </w:rPr>
                  </w:pPr>
                </w:p>
              </w:tc>
            </w:tr>
            <w:tr w14:paraId="585485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restart"/>
                  <w:tcBorders>
                    <w:tl2br w:val="nil"/>
                    <w:tr2bl w:val="nil"/>
                  </w:tcBorders>
                  <w:vAlign w:val="center"/>
                </w:tcPr>
                <w:p w14:paraId="79C8A05E">
                  <w:pPr>
                    <w:jc w:val="center"/>
                    <w:rPr>
                      <w:rFonts w:hint="default" w:ascii="Times New Roman" w:hAnsi="Times New Roman" w:cs="Times New Roman"/>
                      <w:color w:val="auto"/>
                    </w:rPr>
                  </w:pPr>
                  <w:r>
                    <w:rPr>
                      <w:rFonts w:hint="default" w:ascii="Times New Roman" w:hAnsi="Times New Roman" w:cs="Times New Roman"/>
                      <w:bCs/>
                      <w:color w:val="auto"/>
                      <w:kern w:val="0"/>
                      <w:szCs w:val="21"/>
                    </w:rPr>
                    <w:t>202</w:t>
                  </w:r>
                  <w:r>
                    <w:rPr>
                      <w:rFonts w:hint="default" w:ascii="Times New Roman" w:hAnsi="Times New Roman" w:cs="Times New Roman"/>
                      <w:bCs/>
                      <w:color w:val="auto"/>
                      <w:kern w:val="0"/>
                      <w:szCs w:val="21"/>
                      <w:lang w:val="en-US" w:eastAsia="zh-CN"/>
                    </w:rPr>
                    <w:t>5</w:t>
                  </w:r>
                  <w:r>
                    <w:rPr>
                      <w:rFonts w:hint="default" w:ascii="Times New Roman" w:hAnsi="Times New Roman" w:cs="Times New Roman"/>
                      <w:bCs/>
                      <w:color w:val="auto"/>
                      <w:kern w:val="0"/>
                      <w:szCs w:val="21"/>
                    </w:rPr>
                    <w:t>.</w:t>
                  </w:r>
                  <w:r>
                    <w:rPr>
                      <w:rFonts w:hint="default" w:ascii="Times New Roman" w:hAnsi="Times New Roman" w:cs="Times New Roman"/>
                      <w:bCs/>
                      <w:color w:val="auto"/>
                      <w:kern w:val="0"/>
                      <w:szCs w:val="21"/>
                      <w:lang w:val="en-US" w:eastAsia="zh-CN"/>
                    </w:rPr>
                    <w:t>6</w:t>
                  </w:r>
                  <w:r>
                    <w:rPr>
                      <w:rFonts w:hint="default" w:ascii="Times New Roman" w:hAnsi="Times New Roman" w:cs="Times New Roman"/>
                      <w:bCs/>
                      <w:color w:val="auto"/>
                      <w:kern w:val="0"/>
                      <w:szCs w:val="21"/>
                    </w:rPr>
                    <w:t>.</w:t>
                  </w:r>
                  <w:r>
                    <w:rPr>
                      <w:rFonts w:hint="default" w:ascii="Times New Roman" w:hAnsi="Times New Roman" w:cs="Times New Roman"/>
                      <w:bCs/>
                      <w:color w:val="auto"/>
                      <w:kern w:val="0"/>
                      <w:szCs w:val="21"/>
                      <w:lang w:val="en-US" w:eastAsia="zh-CN"/>
                    </w:rPr>
                    <w:t>26</w:t>
                  </w:r>
                </w:p>
              </w:tc>
              <w:tc>
                <w:tcPr>
                  <w:tcW w:w="1553" w:type="dxa"/>
                  <w:tcBorders>
                    <w:tl2br w:val="nil"/>
                    <w:tr2bl w:val="nil"/>
                  </w:tcBorders>
                  <w:shd w:val="clear" w:color="auto" w:fill="auto"/>
                  <w:vAlign w:val="center"/>
                </w:tcPr>
                <w:p w14:paraId="1EACE20F">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2"/>
                      <w:lang w:bidi="ar"/>
                    </w:rPr>
                    <w:t>苯并[a]芘</w:t>
                  </w:r>
                </w:p>
              </w:tc>
              <w:tc>
                <w:tcPr>
                  <w:tcW w:w="2959" w:type="dxa"/>
                  <w:tcBorders>
                    <w:tl2br w:val="nil"/>
                    <w:tr2bl w:val="nil"/>
                  </w:tcBorders>
                  <w:shd w:val="clear" w:color="auto" w:fill="auto"/>
                  <w:vAlign w:val="center"/>
                </w:tcPr>
                <w:p w14:paraId="680AD39F">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ND</w:t>
                  </w:r>
                </w:p>
              </w:tc>
              <w:tc>
                <w:tcPr>
                  <w:tcW w:w="1591" w:type="dxa"/>
                  <w:tcBorders>
                    <w:tl2br w:val="nil"/>
                    <w:tr2bl w:val="nil"/>
                  </w:tcBorders>
                  <w:shd w:val="clear" w:color="auto" w:fill="auto"/>
                  <w:vAlign w:val="center"/>
                </w:tcPr>
                <w:p w14:paraId="2B6F86B5">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1.5</w:t>
                  </w:r>
                </w:p>
              </w:tc>
              <w:tc>
                <w:tcPr>
                  <w:tcW w:w="1293" w:type="dxa"/>
                  <w:tcBorders>
                    <w:tl2br w:val="nil"/>
                    <w:tr2bl w:val="nil"/>
                  </w:tcBorders>
                  <w:vAlign w:val="center"/>
                </w:tcPr>
                <w:p w14:paraId="138B64E6">
                  <w:pPr>
                    <w:widowControl/>
                    <w:jc w:val="center"/>
                    <w:textAlignment w:val="top"/>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0</w:t>
                  </w:r>
                </w:p>
              </w:tc>
            </w:tr>
            <w:tr w14:paraId="471458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Borders>
                    <w:tl2br w:val="nil"/>
                    <w:tr2bl w:val="nil"/>
                  </w:tcBorders>
                  <w:vAlign w:val="center"/>
                </w:tcPr>
                <w:p w14:paraId="49484C68">
                  <w:pPr>
                    <w:jc w:val="center"/>
                    <w:rPr>
                      <w:rFonts w:hint="default" w:ascii="Times New Roman" w:hAnsi="Times New Roman" w:cs="Times New Roman"/>
                      <w:color w:val="auto"/>
                    </w:rPr>
                  </w:pPr>
                </w:p>
              </w:tc>
              <w:tc>
                <w:tcPr>
                  <w:tcW w:w="1553" w:type="dxa"/>
                  <w:tcBorders>
                    <w:tl2br w:val="nil"/>
                    <w:tr2bl w:val="nil"/>
                  </w:tcBorders>
                  <w:shd w:val="clear" w:color="auto" w:fill="auto"/>
                  <w:vAlign w:val="center"/>
                </w:tcPr>
                <w:p w14:paraId="60CFDB85">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2"/>
                      <w:lang w:bidi="ar"/>
                    </w:rPr>
                    <w:t>石油烃（C</w:t>
                  </w:r>
                  <w:r>
                    <w:rPr>
                      <w:rFonts w:hint="default" w:ascii="Times New Roman" w:hAnsi="Times New Roman" w:cs="Times New Roman"/>
                      <w:color w:val="auto"/>
                      <w:kern w:val="0"/>
                      <w:szCs w:val="22"/>
                      <w:vertAlign w:val="subscript"/>
                      <w:lang w:bidi="ar"/>
                    </w:rPr>
                    <w:t>10</w:t>
                  </w:r>
                  <w:r>
                    <w:rPr>
                      <w:rFonts w:hint="default" w:ascii="Times New Roman" w:hAnsi="Times New Roman" w:cs="Times New Roman"/>
                      <w:color w:val="auto"/>
                      <w:kern w:val="0"/>
                      <w:szCs w:val="22"/>
                      <w:lang w:bidi="ar"/>
                    </w:rPr>
                    <w:t>-C</w:t>
                  </w:r>
                  <w:r>
                    <w:rPr>
                      <w:rFonts w:hint="default" w:ascii="Times New Roman" w:hAnsi="Times New Roman" w:cs="Times New Roman"/>
                      <w:color w:val="auto"/>
                      <w:kern w:val="0"/>
                      <w:szCs w:val="22"/>
                      <w:vertAlign w:val="subscript"/>
                      <w:lang w:bidi="ar"/>
                    </w:rPr>
                    <w:t>40</w:t>
                  </w:r>
                  <w:r>
                    <w:rPr>
                      <w:rFonts w:hint="default" w:ascii="Times New Roman" w:hAnsi="Times New Roman" w:cs="Times New Roman"/>
                      <w:color w:val="auto"/>
                      <w:kern w:val="0"/>
                      <w:szCs w:val="22"/>
                      <w:lang w:bidi="ar"/>
                    </w:rPr>
                    <w:t>）</w:t>
                  </w:r>
                </w:p>
              </w:tc>
              <w:tc>
                <w:tcPr>
                  <w:tcW w:w="2959" w:type="dxa"/>
                  <w:tcBorders>
                    <w:tl2br w:val="nil"/>
                    <w:tr2bl w:val="nil"/>
                  </w:tcBorders>
                  <w:shd w:val="clear" w:color="auto" w:fill="auto"/>
                  <w:vAlign w:val="center"/>
                </w:tcPr>
                <w:p w14:paraId="62D015FE">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ND</w:t>
                  </w:r>
                </w:p>
              </w:tc>
              <w:tc>
                <w:tcPr>
                  <w:tcW w:w="1591" w:type="dxa"/>
                  <w:tcBorders>
                    <w:tl2br w:val="nil"/>
                    <w:tr2bl w:val="nil"/>
                  </w:tcBorders>
                  <w:shd w:val="clear" w:color="auto" w:fill="auto"/>
                  <w:vAlign w:val="center"/>
                </w:tcPr>
                <w:p w14:paraId="1CB6E9B3">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1293" w:type="dxa"/>
                  <w:tcBorders>
                    <w:tl2br w:val="nil"/>
                    <w:tr2bl w:val="nil"/>
                  </w:tcBorders>
                  <w:vAlign w:val="center"/>
                </w:tcPr>
                <w:p w14:paraId="68D6ABA6">
                  <w:pPr>
                    <w:widowControl/>
                    <w:jc w:val="center"/>
                    <w:textAlignment w:val="top"/>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szCs w:val="21"/>
                    </w:rPr>
                    <w:t>—</w:t>
                  </w:r>
                </w:p>
              </w:tc>
            </w:tr>
            <w:tr w14:paraId="7B64FD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tcBorders>
                    <w:tl2br w:val="nil"/>
                    <w:tr2bl w:val="nil"/>
                  </w:tcBorders>
                  <w:shd w:val="clear" w:color="auto" w:fill="auto"/>
                  <w:vAlign w:val="center"/>
                </w:tcPr>
                <w:p w14:paraId="1013E4C0">
                  <w:pPr>
                    <w:jc w:val="center"/>
                    <w:rPr>
                      <w:rFonts w:hint="default" w:ascii="Times New Roman" w:hAnsi="Times New Roman" w:eastAsia="宋体" w:cs="Times New Roman"/>
                      <w:b/>
                      <w:bCs/>
                      <w:color w:val="auto"/>
                      <w:kern w:val="2"/>
                      <w:sz w:val="21"/>
                      <w:szCs w:val="22"/>
                      <w:lang w:val="en-US" w:eastAsia="zh-CN" w:bidi="ar-SA"/>
                    </w:rPr>
                  </w:pPr>
                  <w:r>
                    <w:rPr>
                      <w:rFonts w:hint="default" w:ascii="Times New Roman" w:hAnsi="Times New Roman" w:cs="Times New Roman"/>
                      <w:b/>
                      <w:bCs/>
                      <w:color w:val="auto"/>
                    </w:rPr>
                    <w:t>采样日期</w:t>
                  </w:r>
                </w:p>
              </w:tc>
              <w:tc>
                <w:tcPr>
                  <w:tcW w:w="1553" w:type="dxa"/>
                  <w:tcBorders>
                    <w:tl2br w:val="nil"/>
                    <w:tr2bl w:val="nil"/>
                  </w:tcBorders>
                  <w:shd w:val="clear" w:color="auto" w:fill="auto"/>
                  <w:vAlign w:val="center"/>
                </w:tcPr>
                <w:p w14:paraId="685BBC5E">
                  <w:pPr>
                    <w:jc w:val="center"/>
                    <w:rPr>
                      <w:rFonts w:hint="default" w:ascii="Times New Roman" w:hAnsi="Times New Roman" w:eastAsia="宋体" w:cs="Times New Roman"/>
                      <w:b/>
                      <w:bCs/>
                      <w:color w:val="auto"/>
                      <w:kern w:val="2"/>
                      <w:sz w:val="21"/>
                      <w:szCs w:val="22"/>
                      <w:lang w:val="en-US" w:eastAsia="zh-CN" w:bidi="ar-SA"/>
                    </w:rPr>
                  </w:pPr>
                  <w:r>
                    <w:rPr>
                      <w:rFonts w:hint="default" w:ascii="Times New Roman" w:hAnsi="Times New Roman" w:cs="Times New Roman"/>
                      <w:b/>
                      <w:bCs/>
                      <w:color w:val="auto"/>
                    </w:rPr>
                    <w:t>检测因子</w:t>
                  </w:r>
                </w:p>
              </w:tc>
              <w:tc>
                <w:tcPr>
                  <w:tcW w:w="2959" w:type="dxa"/>
                  <w:tcBorders>
                    <w:tl2br w:val="nil"/>
                    <w:tr2bl w:val="nil"/>
                  </w:tcBorders>
                  <w:shd w:val="clear" w:color="auto" w:fill="auto"/>
                  <w:vAlign w:val="center"/>
                </w:tcPr>
                <w:p w14:paraId="2AFFB0D1">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T3，拟建项目占地范围内（物料堆场）</w:t>
                  </w:r>
                </w:p>
              </w:tc>
              <w:tc>
                <w:tcPr>
                  <w:tcW w:w="1591" w:type="dxa"/>
                  <w:tcBorders>
                    <w:tl2br w:val="nil"/>
                    <w:tr2bl w:val="nil"/>
                  </w:tcBorders>
                  <w:shd w:val="clear" w:color="auto" w:fill="auto"/>
                  <w:vAlign w:val="center"/>
                </w:tcPr>
                <w:p w14:paraId="76F73217">
                  <w:pPr>
                    <w:jc w:val="center"/>
                    <w:rPr>
                      <w:rFonts w:hint="default" w:ascii="Times New Roman" w:hAnsi="Times New Roman" w:cs="Times New Roman"/>
                      <w:b/>
                      <w:color w:val="auto"/>
                    </w:rPr>
                  </w:pPr>
                  <w:r>
                    <w:rPr>
                      <w:rFonts w:hint="default" w:ascii="Times New Roman" w:hAnsi="Times New Roman" w:cs="Times New Roman"/>
                      <w:b/>
                      <w:color w:val="auto"/>
                    </w:rPr>
                    <w:t>第二类用地</w:t>
                  </w:r>
                </w:p>
              </w:tc>
              <w:tc>
                <w:tcPr>
                  <w:tcW w:w="1293" w:type="dxa"/>
                  <w:tcBorders>
                    <w:tl2br w:val="nil"/>
                    <w:tr2bl w:val="nil"/>
                  </w:tcBorders>
                  <w:vAlign w:val="center"/>
                </w:tcPr>
                <w:p w14:paraId="6BD98691">
                  <w:pPr>
                    <w:widowControl/>
                    <w:jc w:val="center"/>
                    <w:textAlignment w:val="top"/>
                    <w:rPr>
                      <w:rFonts w:hint="default" w:ascii="Times New Roman" w:hAnsi="Times New Roman" w:cs="Times New Roman"/>
                      <w:color w:val="auto"/>
                      <w:kern w:val="0"/>
                      <w:szCs w:val="21"/>
                      <w:lang w:bidi="ar"/>
                    </w:rPr>
                  </w:pPr>
                  <w:r>
                    <w:rPr>
                      <w:rFonts w:hint="default" w:ascii="Times New Roman" w:hAnsi="Times New Roman" w:cs="Times New Roman"/>
                      <w:b/>
                      <w:bCs/>
                      <w:color w:val="auto"/>
                      <w:sz w:val="24"/>
                      <w:szCs w:val="32"/>
                      <w:lang w:bidi="ar"/>
                    </w:rPr>
                    <w:t>Ki</w:t>
                  </w:r>
                </w:p>
              </w:tc>
            </w:tr>
            <w:tr w14:paraId="15E61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restart"/>
                  <w:tcBorders>
                    <w:tl2br w:val="nil"/>
                    <w:tr2bl w:val="nil"/>
                  </w:tcBorders>
                  <w:vAlign w:val="center"/>
                </w:tcPr>
                <w:p w14:paraId="367CB7C8">
                  <w:pPr>
                    <w:jc w:val="center"/>
                    <w:rPr>
                      <w:rFonts w:hint="default" w:ascii="Times New Roman" w:hAnsi="Times New Roman" w:cs="Times New Roman"/>
                      <w:color w:val="auto"/>
                    </w:rPr>
                  </w:pPr>
                  <w:r>
                    <w:rPr>
                      <w:rFonts w:hint="default" w:ascii="Times New Roman" w:hAnsi="Times New Roman" w:cs="Times New Roman"/>
                      <w:bCs/>
                      <w:color w:val="auto"/>
                      <w:kern w:val="0"/>
                      <w:szCs w:val="21"/>
                    </w:rPr>
                    <w:t>202</w:t>
                  </w:r>
                  <w:r>
                    <w:rPr>
                      <w:rFonts w:hint="default" w:ascii="Times New Roman" w:hAnsi="Times New Roman" w:cs="Times New Roman"/>
                      <w:bCs/>
                      <w:color w:val="auto"/>
                      <w:kern w:val="0"/>
                      <w:szCs w:val="21"/>
                      <w:lang w:val="en-US" w:eastAsia="zh-CN"/>
                    </w:rPr>
                    <w:t>5</w:t>
                  </w:r>
                  <w:r>
                    <w:rPr>
                      <w:rFonts w:hint="default" w:ascii="Times New Roman" w:hAnsi="Times New Roman" w:cs="Times New Roman"/>
                      <w:bCs/>
                      <w:color w:val="auto"/>
                      <w:kern w:val="0"/>
                      <w:szCs w:val="21"/>
                    </w:rPr>
                    <w:t>.</w:t>
                  </w:r>
                  <w:r>
                    <w:rPr>
                      <w:rFonts w:hint="default" w:ascii="Times New Roman" w:hAnsi="Times New Roman" w:cs="Times New Roman"/>
                      <w:bCs/>
                      <w:color w:val="auto"/>
                      <w:kern w:val="0"/>
                      <w:szCs w:val="21"/>
                      <w:lang w:val="en-US" w:eastAsia="zh-CN"/>
                    </w:rPr>
                    <w:t>6</w:t>
                  </w:r>
                  <w:r>
                    <w:rPr>
                      <w:rFonts w:hint="default" w:ascii="Times New Roman" w:hAnsi="Times New Roman" w:cs="Times New Roman"/>
                      <w:bCs/>
                      <w:color w:val="auto"/>
                      <w:kern w:val="0"/>
                      <w:szCs w:val="21"/>
                    </w:rPr>
                    <w:t>.</w:t>
                  </w:r>
                  <w:r>
                    <w:rPr>
                      <w:rFonts w:hint="default" w:ascii="Times New Roman" w:hAnsi="Times New Roman" w:cs="Times New Roman"/>
                      <w:bCs/>
                      <w:color w:val="auto"/>
                      <w:kern w:val="0"/>
                      <w:szCs w:val="21"/>
                      <w:lang w:val="en-US" w:eastAsia="zh-CN"/>
                    </w:rPr>
                    <w:t>26</w:t>
                  </w:r>
                </w:p>
              </w:tc>
              <w:tc>
                <w:tcPr>
                  <w:tcW w:w="1553" w:type="dxa"/>
                  <w:tcBorders>
                    <w:tl2br w:val="nil"/>
                    <w:tr2bl w:val="nil"/>
                  </w:tcBorders>
                  <w:shd w:val="clear" w:color="auto" w:fill="auto"/>
                  <w:vAlign w:val="center"/>
                </w:tcPr>
                <w:p w14:paraId="7BDCB6EB">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2"/>
                      <w:lang w:bidi="ar"/>
                    </w:rPr>
                    <w:t>苯并[a]芘</w:t>
                  </w:r>
                </w:p>
              </w:tc>
              <w:tc>
                <w:tcPr>
                  <w:tcW w:w="2959" w:type="dxa"/>
                  <w:tcBorders>
                    <w:tl2br w:val="nil"/>
                    <w:tr2bl w:val="nil"/>
                  </w:tcBorders>
                  <w:shd w:val="clear" w:color="auto" w:fill="auto"/>
                  <w:vAlign w:val="center"/>
                </w:tcPr>
                <w:p w14:paraId="71372A4B">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ND</w:t>
                  </w:r>
                </w:p>
              </w:tc>
              <w:tc>
                <w:tcPr>
                  <w:tcW w:w="1591" w:type="dxa"/>
                  <w:tcBorders>
                    <w:tl2br w:val="nil"/>
                    <w:tr2bl w:val="nil"/>
                  </w:tcBorders>
                  <w:shd w:val="clear" w:color="auto" w:fill="auto"/>
                  <w:vAlign w:val="center"/>
                </w:tcPr>
                <w:p w14:paraId="1FEB9513">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1.5</w:t>
                  </w:r>
                </w:p>
              </w:tc>
              <w:tc>
                <w:tcPr>
                  <w:tcW w:w="1293" w:type="dxa"/>
                  <w:tcBorders>
                    <w:tl2br w:val="nil"/>
                    <w:tr2bl w:val="nil"/>
                  </w:tcBorders>
                  <w:vAlign w:val="center"/>
                </w:tcPr>
                <w:p w14:paraId="68BD6989">
                  <w:pPr>
                    <w:widowControl/>
                    <w:jc w:val="center"/>
                    <w:textAlignment w:val="top"/>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0</w:t>
                  </w:r>
                </w:p>
              </w:tc>
            </w:tr>
            <w:tr w14:paraId="4EA966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tcPr>
                <w:p w14:paraId="004E6030">
                  <w:pPr>
                    <w:jc w:val="center"/>
                    <w:rPr>
                      <w:rFonts w:hint="default" w:ascii="Times New Roman" w:hAnsi="Times New Roman" w:cs="Times New Roman"/>
                      <w:color w:val="auto"/>
                    </w:rPr>
                  </w:pPr>
                </w:p>
              </w:tc>
              <w:tc>
                <w:tcPr>
                  <w:tcW w:w="0" w:type="auto"/>
                  <w:shd w:val="clear" w:color="auto" w:fill="auto"/>
                  <w:vAlign w:val="center"/>
                </w:tcPr>
                <w:p w14:paraId="3247E47C">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2"/>
                      <w:lang w:bidi="ar"/>
                    </w:rPr>
                    <w:t>石油烃（C</w:t>
                  </w:r>
                  <w:r>
                    <w:rPr>
                      <w:rFonts w:hint="default" w:ascii="Times New Roman" w:hAnsi="Times New Roman" w:cs="Times New Roman"/>
                      <w:color w:val="auto"/>
                      <w:kern w:val="0"/>
                      <w:szCs w:val="22"/>
                      <w:vertAlign w:val="subscript"/>
                      <w:lang w:bidi="ar"/>
                    </w:rPr>
                    <w:t>10</w:t>
                  </w:r>
                  <w:r>
                    <w:rPr>
                      <w:rFonts w:hint="default" w:ascii="Times New Roman" w:hAnsi="Times New Roman" w:cs="Times New Roman"/>
                      <w:color w:val="auto"/>
                      <w:kern w:val="0"/>
                      <w:szCs w:val="22"/>
                      <w:lang w:bidi="ar"/>
                    </w:rPr>
                    <w:t>-C</w:t>
                  </w:r>
                  <w:r>
                    <w:rPr>
                      <w:rFonts w:hint="default" w:ascii="Times New Roman" w:hAnsi="Times New Roman" w:cs="Times New Roman"/>
                      <w:color w:val="auto"/>
                      <w:kern w:val="0"/>
                      <w:szCs w:val="22"/>
                      <w:vertAlign w:val="subscript"/>
                      <w:lang w:bidi="ar"/>
                    </w:rPr>
                    <w:t>40</w:t>
                  </w:r>
                  <w:r>
                    <w:rPr>
                      <w:rFonts w:hint="default" w:ascii="Times New Roman" w:hAnsi="Times New Roman" w:cs="Times New Roman"/>
                      <w:color w:val="auto"/>
                      <w:kern w:val="0"/>
                      <w:szCs w:val="22"/>
                      <w:lang w:bidi="ar"/>
                    </w:rPr>
                    <w:t>）</w:t>
                  </w:r>
                </w:p>
              </w:tc>
              <w:tc>
                <w:tcPr>
                  <w:tcW w:w="0" w:type="auto"/>
                  <w:shd w:val="clear" w:color="auto" w:fill="auto"/>
                  <w:vAlign w:val="center"/>
                </w:tcPr>
                <w:p w14:paraId="42BBA267">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ND</w:t>
                  </w:r>
                </w:p>
              </w:tc>
              <w:tc>
                <w:tcPr>
                  <w:tcW w:w="0" w:type="auto"/>
                  <w:shd w:val="clear" w:color="auto" w:fill="auto"/>
                  <w:vAlign w:val="center"/>
                </w:tcPr>
                <w:p w14:paraId="03CC9B44">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0" w:type="auto"/>
                  <w:vAlign w:val="center"/>
                </w:tcPr>
                <w:p w14:paraId="082C91BD">
                  <w:pPr>
                    <w:widowControl/>
                    <w:ind w:left="0" w:leftChars="0" w:right="0" w:rightChars="0" w:firstLine="0" w:firstLineChars="0"/>
                    <w:jc w:val="center"/>
                    <w:textAlignment w:val="top"/>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szCs w:val="21"/>
                    </w:rPr>
                    <w:t>—</w:t>
                  </w:r>
                </w:p>
              </w:tc>
            </w:tr>
          </w:tbl>
          <w:p w14:paraId="51D60FAF">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结果表明，现状监测期间，厂内各点位各项指标监测结果均可以满足《土壤环境质量建设用地土壤污染风险管控标准（试行）》（GB36600-2018）中二类用地筛选值标准。</w:t>
            </w:r>
          </w:p>
          <w:p w14:paraId="57023685">
            <w:pPr>
              <w:keepNext w:val="0"/>
              <w:keepLines w:val="0"/>
              <w:pageBreakBefore w:val="0"/>
              <w:kinsoku/>
              <w:wordWrap/>
              <w:overflowPunct/>
              <w:topLinePunct w:val="0"/>
              <w:bidi w:val="0"/>
              <w:spacing w:line="360" w:lineRule="auto"/>
              <w:ind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rPr>
              <w:t>5</w:t>
            </w:r>
            <w:r>
              <w:rPr>
                <w:rFonts w:hint="default" w:ascii="Times New Roman" w:hAnsi="Times New Roman" w:cs="Times New Roman"/>
                <w:b/>
                <w:bCs/>
                <w:color w:val="auto"/>
                <w:sz w:val="24"/>
                <w:szCs w:val="24"/>
                <w:lang w:val="zh-CN"/>
              </w:rPr>
              <w:t>、</w:t>
            </w:r>
            <w:r>
              <w:rPr>
                <w:rFonts w:hint="default" w:ascii="Times New Roman" w:hAnsi="Times New Roman" w:cs="Times New Roman"/>
                <w:b/>
                <w:bCs/>
                <w:color w:val="auto"/>
                <w:sz w:val="24"/>
                <w:szCs w:val="24"/>
                <w:lang w:val="en-US" w:eastAsia="zh-CN"/>
              </w:rPr>
              <w:t>地下水环境质量现状</w:t>
            </w:r>
          </w:p>
          <w:p w14:paraId="49F325D5">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b/>
                <w:bCs/>
                <w:color w:val="auto"/>
                <w:sz w:val="24"/>
                <w:szCs w:val="24"/>
                <w:lang w:val="zh-CN" w:eastAsia="zh-CN"/>
              </w:rPr>
            </w:pPr>
            <w:r>
              <w:rPr>
                <w:rFonts w:hint="default" w:ascii="Times New Roman" w:hAnsi="Times New Roman" w:cs="Times New Roman"/>
                <w:color w:val="auto"/>
                <w:sz w:val="24"/>
              </w:rPr>
              <w:t>根据《建设项目环境影响报告表编制技术指南（污染影响类）（试行）》，</w:t>
            </w:r>
            <w:r>
              <w:rPr>
                <w:rFonts w:hint="default" w:ascii="Times New Roman" w:hAnsi="Times New Roman" w:cs="Times New Roman"/>
                <w:color w:val="auto"/>
                <w:sz w:val="24"/>
                <w:lang w:val="en-US" w:eastAsia="zh-CN"/>
              </w:rPr>
              <w:t>地下水、</w:t>
            </w:r>
            <w:r>
              <w:rPr>
                <w:rFonts w:hint="default" w:ascii="Times New Roman" w:hAnsi="Times New Roman" w:cs="Times New Roman"/>
                <w:color w:val="auto"/>
                <w:sz w:val="24"/>
              </w:rPr>
              <w:t>土壤</w:t>
            </w:r>
            <w:r>
              <w:rPr>
                <w:rFonts w:hint="default" w:ascii="Times New Roman" w:hAnsi="Times New Roman" w:cs="Times New Roman"/>
                <w:color w:val="auto"/>
                <w:sz w:val="24"/>
                <w:lang w:val="en-US" w:eastAsia="zh-CN"/>
              </w:rPr>
              <w:t>环境，</w:t>
            </w:r>
            <w:r>
              <w:rPr>
                <w:rFonts w:hint="default" w:ascii="Times New Roman" w:hAnsi="Times New Roman" w:cs="Times New Roman"/>
                <w:color w:val="auto"/>
                <w:sz w:val="24"/>
              </w:rPr>
              <w:t>原则上不开展环境质量现状调查。建设项目存在地下水</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土壤环境污染途径的，应结合污染源、保护目标分布情况开展现状调查以留作背景值。根据调查，项目厂房周边500m范围内不存在地下水环境敏感目标</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故本次评价不对地下水进行现状监测。</w:t>
            </w:r>
          </w:p>
          <w:p w14:paraId="62B77C3B">
            <w:pPr>
              <w:spacing w:line="360" w:lineRule="auto"/>
              <w:ind w:firstLine="482" w:firstLineChars="200"/>
              <w:rPr>
                <w:rFonts w:hint="default" w:ascii="Times New Roman" w:hAnsi="Times New Roman" w:cs="Times New Roman"/>
                <w:b/>
                <w:bCs/>
                <w:color w:val="auto"/>
                <w:sz w:val="24"/>
                <w:szCs w:val="24"/>
                <w:lang w:val="zh-CN"/>
              </w:rPr>
            </w:pPr>
            <w:r>
              <w:rPr>
                <w:rFonts w:hint="default" w:ascii="Times New Roman" w:hAnsi="Times New Roman" w:cs="Times New Roman"/>
                <w:b/>
                <w:bCs/>
                <w:color w:val="auto"/>
                <w:sz w:val="24"/>
                <w:szCs w:val="24"/>
                <w:lang w:val="en-US" w:eastAsia="zh-CN"/>
              </w:rPr>
              <w:t>6、</w:t>
            </w:r>
            <w:r>
              <w:rPr>
                <w:rFonts w:hint="default" w:ascii="Times New Roman" w:hAnsi="Times New Roman" w:cs="Times New Roman"/>
                <w:b/>
                <w:bCs/>
                <w:color w:val="auto"/>
                <w:sz w:val="24"/>
                <w:szCs w:val="24"/>
                <w:lang w:val="zh-CN"/>
              </w:rPr>
              <w:t>生态环境质量现状分析</w:t>
            </w:r>
          </w:p>
          <w:p w14:paraId="7174108A">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zh-CN"/>
              </w:rPr>
              <w:t>项目位于</w:t>
            </w:r>
            <w:r>
              <w:rPr>
                <w:rFonts w:hint="default" w:ascii="Times New Roman" w:hAnsi="Times New Roman" w:cs="Times New Roman"/>
                <w:color w:val="auto"/>
                <w:sz w:val="24"/>
                <w:szCs w:val="24"/>
                <w:lang w:val="en-US" w:eastAsia="zh-CN"/>
              </w:rPr>
              <w:t>宣汉县天生镇峨城社区4组</w:t>
            </w:r>
            <w:r>
              <w:rPr>
                <w:rFonts w:hint="default" w:ascii="Times New Roman" w:hAnsi="Times New Roman" w:cs="Times New Roman"/>
                <w:color w:val="auto"/>
                <w:sz w:val="24"/>
                <w:szCs w:val="24"/>
                <w:lang w:val="zh-CN"/>
              </w:rPr>
              <w:t>，</w:t>
            </w:r>
            <w:r>
              <w:rPr>
                <w:rFonts w:hint="default" w:ascii="Times New Roman" w:hAnsi="Times New Roman" w:cs="Times New Roman"/>
                <w:color w:val="auto"/>
                <w:sz w:val="24"/>
                <w:szCs w:val="24"/>
                <w:lang w:val="en-US" w:eastAsia="zh-CN"/>
              </w:rPr>
              <w:t>项目占地区域为</w:t>
            </w:r>
            <w:r>
              <w:rPr>
                <w:rFonts w:hint="default" w:ascii="Times New Roman" w:hAnsi="Times New Roman" w:cs="Times New Roman"/>
                <w:color w:val="auto"/>
                <w:sz w:val="24"/>
                <w:szCs w:val="24"/>
                <w:lang w:val="zh-CN"/>
              </w:rPr>
              <w:t>工业用地，</w:t>
            </w:r>
            <w:r>
              <w:rPr>
                <w:rFonts w:hint="default" w:ascii="Times New Roman" w:hAnsi="Times New Roman" w:cs="Times New Roman"/>
                <w:color w:val="auto"/>
                <w:sz w:val="24"/>
                <w:szCs w:val="24"/>
                <w:lang w:val="en-US" w:eastAsia="zh-CN"/>
              </w:rPr>
              <w:t>原为大路监狱闲置用地，</w:t>
            </w:r>
            <w:r>
              <w:rPr>
                <w:rFonts w:hint="default" w:ascii="Times New Roman" w:hAnsi="Times New Roman" w:cs="Times New Roman"/>
                <w:color w:val="auto"/>
                <w:sz w:val="24"/>
                <w:szCs w:val="24"/>
                <w:lang w:val="zh-CN"/>
              </w:rPr>
              <w:t>无植被分布。</w:t>
            </w:r>
            <w:r>
              <w:rPr>
                <w:rFonts w:hint="default" w:ascii="Times New Roman" w:hAnsi="Times New Roman" w:cs="Times New Roman"/>
                <w:color w:val="auto"/>
                <w:sz w:val="24"/>
                <w:szCs w:val="24"/>
                <w:lang w:val="en-US" w:eastAsia="zh-CN"/>
              </w:rPr>
              <w:t>周围主要是山地，属农村环境，区域以林地、农作物为主。受人类活动的影响，评价区域野生动物多为一些常见的非保护性动物(如鼠、蛇等)，项目区范围内无大型野生动物。根据现场调查，项目区域内不涉及自然保护区、森林公园及风景名胜区、生活饮用水水源保护区及其他需要特别保护区域,区域内无国家保护的重点野生动植物,无名木古树及珍稀动植物等无特殊文物保护单位。</w:t>
            </w:r>
          </w:p>
          <w:p w14:paraId="16B15485">
            <w:pPr>
              <w:spacing w:line="360" w:lineRule="auto"/>
              <w:ind w:firstLine="480" w:firstLineChars="200"/>
              <w:rPr>
                <w:rFonts w:hint="default" w:ascii="Times New Roman" w:hAnsi="Times New Roman" w:cs="Times New Roman"/>
                <w:color w:val="auto"/>
                <w:sz w:val="24"/>
                <w:szCs w:val="24"/>
                <w:lang w:val="zh-CN"/>
              </w:rPr>
            </w:pPr>
          </w:p>
        </w:tc>
      </w:tr>
      <w:tr w14:paraId="744E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FEFEFE"/>
            <w:vAlign w:val="center"/>
          </w:tcPr>
          <w:p w14:paraId="0F8A5228">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环境保护目标</w:t>
            </w:r>
          </w:p>
        </w:tc>
        <w:tc>
          <w:tcPr>
            <w:tcW w:w="8778" w:type="dxa"/>
            <w:tcBorders>
              <w:top w:val="single" w:color="auto" w:sz="4" w:space="0"/>
              <w:left w:val="single" w:color="auto" w:sz="4" w:space="0"/>
              <w:bottom w:val="single" w:color="auto" w:sz="4" w:space="0"/>
              <w:right w:val="single" w:color="auto" w:sz="4" w:space="0"/>
            </w:tcBorders>
            <w:shd w:val="clear" w:color="auto" w:fill="FEFEFE"/>
            <w:vAlign w:val="center"/>
          </w:tcPr>
          <w:p w14:paraId="24752CA5">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1、大气环境</w:t>
            </w:r>
          </w:p>
          <w:p w14:paraId="7030A3D7">
            <w:pPr>
              <w:spacing w:line="360" w:lineRule="auto"/>
              <w:ind w:firstLine="480" w:firstLineChars="200"/>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根据现场踏勘，本项目大气环境保护目标为保护周边环境空气质量，确保周围环境空气质量达到《环境空气质量标准》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GB3095-2012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二级标准及其2018年修改单要求。根据本项目周边环境确定其保护目标和级别见下表。</w:t>
            </w:r>
          </w:p>
          <w:p w14:paraId="4B94DEA5">
            <w:pPr>
              <w:keepNext w:val="0"/>
              <w:keepLines w:val="0"/>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表3-9 主要环境保护目标</w:t>
            </w:r>
          </w:p>
          <w:tbl>
            <w:tblPr>
              <w:tblStyle w:val="30"/>
              <w:tblW w:w="498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946"/>
              <w:gridCol w:w="936"/>
              <w:gridCol w:w="1719"/>
              <w:gridCol w:w="1336"/>
              <w:gridCol w:w="1137"/>
              <w:gridCol w:w="1464"/>
            </w:tblGrid>
            <w:tr w14:paraId="0BF0E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1946" w:type="dxa"/>
                  <w:shd w:val="clear" w:color="000000" w:fill="auto"/>
                  <w:vAlign w:val="center"/>
                </w:tcPr>
                <w:p w14:paraId="3792FCEF">
                  <w:pPr>
                    <w:ind w:right="8"/>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936" w:type="dxa"/>
                  <w:shd w:val="clear" w:color="000000" w:fill="auto"/>
                  <w:vAlign w:val="center"/>
                </w:tcPr>
                <w:p w14:paraId="029C7A7E">
                  <w:pPr>
                    <w:ind w:right="8"/>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方位</w:t>
                  </w:r>
                </w:p>
              </w:tc>
              <w:tc>
                <w:tcPr>
                  <w:tcW w:w="1719" w:type="dxa"/>
                  <w:shd w:val="clear" w:color="000000" w:fill="auto"/>
                  <w:vAlign w:val="center"/>
                </w:tcPr>
                <w:p w14:paraId="391BD39E">
                  <w:pPr>
                    <w:ind w:right="8"/>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规模</w:t>
                  </w:r>
                </w:p>
              </w:tc>
              <w:tc>
                <w:tcPr>
                  <w:tcW w:w="1336" w:type="dxa"/>
                  <w:shd w:val="clear" w:color="000000" w:fill="auto"/>
                  <w:vAlign w:val="center"/>
                </w:tcPr>
                <w:p w14:paraId="3178E223">
                  <w:pPr>
                    <w:ind w:right="8" w:right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rPr>
                    <w:t>距离</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m</w:t>
                  </w:r>
                  <w:r>
                    <w:rPr>
                      <w:rFonts w:hint="default" w:ascii="Times New Roman" w:hAnsi="Times New Roman" w:cs="Times New Roman"/>
                      <w:b/>
                      <w:bCs/>
                      <w:color w:val="auto"/>
                      <w:sz w:val="21"/>
                      <w:szCs w:val="21"/>
                      <w:lang w:eastAsia="zh-CN"/>
                    </w:rPr>
                    <w:t>）</w:t>
                  </w:r>
                </w:p>
              </w:tc>
              <w:tc>
                <w:tcPr>
                  <w:tcW w:w="1137" w:type="dxa"/>
                  <w:shd w:val="clear" w:color="000000" w:fill="auto"/>
                  <w:vAlign w:val="center"/>
                </w:tcPr>
                <w:p w14:paraId="238E67D8">
                  <w:pPr>
                    <w:ind w:right="8"/>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与项目</w:t>
                  </w:r>
                </w:p>
                <w:p w14:paraId="4D41502B">
                  <w:pPr>
                    <w:ind w:right="8" w:right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lang w:val="en-US" w:eastAsia="zh-CN"/>
                    </w:rPr>
                    <w:t>高差（m）</w:t>
                  </w:r>
                </w:p>
              </w:tc>
              <w:tc>
                <w:tcPr>
                  <w:tcW w:w="1464" w:type="dxa"/>
                  <w:shd w:val="clear" w:color="000000" w:fill="auto"/>
                  <w:vAlign w:val="center"/>
                </w:tcPr>
                <w:p w14:paraId="068B04E8">
                  <w:pPr>
                    <w:ind w:right="8" w:right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lang w:val="en-US" w:eastAsia="zh-CN"/>
                    </w:rPr>
                    <w:t>性质</w:t>
                  </w:r>
                </w:p>
              </w:tc>
            </w:tr>
            <w:tr w14:paraId="130BFB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0" w:hRule="atLeast"/>
                <w:jc w:val="center"/>
              </w:trPr>
              <w:tc>
                <w:tcPr>
                  <w:tcW w:w="1946" w:type="dxa"/>
                  <w:shd w:val="clear" w:color="000000" w:fill="auto"/>
                  <w:vAlign w:val="center"/>
                </w:tcPr>
                <w:p w14:paraId="068F85EC">
                  <w:pPr>
                    <w:ind w:right="8"/>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color w:val="auto"/>
                      <w:sz w:val="21"/>
                      <w:szCs w:val="21"/>
                      <w:lang w:val="en-US" w:eastAsia="zh-CN"/>
                    </w:rPr>
                    <w:t>老院子</w:t>
                  </w:r>
                  <w:r>
                    <w:rPr>
                      <w:rFonts w:hint="default" w:ascii="Times New Roman" w:hAnsi="Times New Roman" w:cs="Times New Roman"/>
                      <w:b w:val="0"/>
                      <w:bCs w:val="0"/>
                      <w:color w:val="auto"/>
                      <w:sz w:val="21"/>
                      <w:szCs w:val="21"/>
                      <w:lang w:val="en-US" w:eastAsia="zh-CN"/>
                    </w:rPr>
                    <w:t>居民</w:t>
                  </w:r>
                </w:p>
              </w:tc>
              <w:tc>
                <w:tcPr>
                  <w:tcW w:w="936" w:type="dxa"/>
                  <w:shd w:val="clear" w:color="000000" w:fill="auto"/>
                  <w:vAlign w:val="center"/>
                </w:tcPr>
                <w:p w14:paraId="33CB8898">
                  <w:pPr>
                    <w:ind w:right="8"/>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北侧</w:t>
                  </w:r>
                </w:p>
              </w:tc>
              <w:tc>
                <w:tcPr>
                  <w:tcW w:w="1719" w:type="dxa"/>
                  <w:shd w:val="clear" w:color="000000" w:fill="auto"/>
                  <w:vAlign w:val="center"/>
                </w:tcPr>
                <w:p w14:paraId="5056449E">
                  <w:pPr>
                    <w:ind w:right="8"/>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10户，约30人</w:t>
                  </w:r>
                </w:p>
              </w:tc>
              <w:tc>
                <w:tcPr>
                  <w:tcW w:w="1336" w:type="dxa"/>
                  <w:shd w:val="clear" w:color="000000" w:fill="auto"/>
                  <w:vAlign w:val="center"/>
                </w:tcPr>
                <w:p w14:paraId="09908ED7">
                  <w:pPr>
                    <w:ind w:right="8"/>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350~500</w:t>
                  </w:r>
                </w:p>
              </w:tc>
              <w:tc>
                <w:tcPr>
                  <w:tcW w:w="1137" w:type="dxa"/>
                  <w:shd w:val="clear" w:color="000000" w:fill="auto"/>
                  <w:vAlign w:val="center"/>
                </w:tcPr>
                <w:p w14:paraId="180E9DF0">
                  <w:pPr>
                    <w:ind w:right="8"/>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color w:val="auto"/>
                      <w:sz w:val="21"/>
                      <w:szCs w:val="21"/>
                      <w:lang w:val="en-US" w:eastAsia="zh-CN"/>
                    </w:rPr>
                    <w:t>+</w:t>
                  </w:r>
                  <w:r>
                    <w:rPr>
                      <w:rFonts w:hint="default" w:ascii="Times New Roman" w:hAnsi="Times New Roman" w:cs="Times New Roman"/>
                      <w:b w:val="0"/>
                      <w:bCs w:val="0"/>
                      <w:color w:val="auto"/>
                      <w:sz w:val="21"/>
                      <w:szCs w:val="21"/>
                      <w:lang w:val="en-US" w:eastAsia="zh-CN"/>
                    </w:rPr>
                    <w:t>12</w:t>
                  </w:r>
                </w:p>
              </w:tc>
              <w:tc>
                <w:tcPr>
                  <w:tcW w:w="1464" w:type="dxa"/>
                  <w:shd w:val="clear" w:color="000000" w:fill="auto"/>
                  <w:vAlign w:val="center"/>
                </w:tcPr>
                <w:p w14:paraId="08EA00B3">
                  <w:pPr>
                    <w:ind w:right="8"/>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居民</w:t>
                  </w:r>
                </w:p>
              </w:tc>
            </w:tr>
            <w:tr w14:paraId="1FE768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0" w:hRule="atLeast"/>
                <w:jc w:val="center"/>
              </w:trPr>
              <w:tc>
                <w:tcPr>
                  <w:tcW w:w="1946" w:type="dxa"/>
                  <w:vAlign w:val="center"/>
                </w:tcPr>
                <w:p w14:paraId="1319C53A">
                  <w:pPr>
                    <w:ind w:right="8"/>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楚家坝居民</w:t>
                  </w:r>
                </w:p>
              </w:tc>
              <w:tc>
                <w:tcPr>
                  <w:tcW w:w="936" w:type="dxa"/>
                  <w:vAlign w:val="center"/>
                </w:tcPr>
                <w:p w14:paraId="70EC3B07">
                  <w:pPr>
                    <w:ind w:right="8"/>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西北</w:t>
                  </w:r>
                </w:p>
              </w:tc>
              <w:tc>
                <w:tcPr>
                  <w:tcW w:w="1719" w:type="dxa"/>
                  <w:vAlign w:val="center"/>
                </w:tcPr>
                <w:p w14:paraId="114339DB">
                  <w:pPr>
                    <w:ind w:right="8"/>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22户</w:t>
                  </w:r>
                  <w:r>
                    <w:rPr>
                      <w:rFonts w:hint="default" w:ascii="Times New Roman" w:hAnsi="Times New Roman" w:cs="Times New Roman"/>
                      <w:b w:val="0"/>
                      <w:bCs w:val="0"/>
                      <w:color w:val="auto"/>
                      <w:sz w:val="21"/>
                      <w:szCs w:val="21"/>
                      <w:lang w:val="en-US" w:eastAsia="zh-CN"/>
                    </w:rPr>
                    <w:t>，约60人</w:t>
                  </w:r>
                </w:p>
              </w:tc>
              <w:tc>
                <w:tcPr>
                  <w:tcW w:w="1336" w:type="dxa"/>
                  <w:vAlign w:val="center"/>
                </w:tcPr>
                <w:p w14:paraId="43E5C642">
                  <w:pPr>
                    <w:ind w:right="8"/>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320</w:t>
                  </w:r>
                  <w:r>
                    <w:rPr>
                      <w:rFonts w:hint="default" w:ascii="Times New Roman" w:hAnsi="Times New Roman" w:cs="Times New Roman"/>
                      <w:b w:val="0"/>
                      <w:bCs w:val="0"/>
                      <w:color w:val="auto"/>
                      <w:sz w:val="21"/>
                      <w:szCs w:val="21"/>
                      <w:lang w:val="en-US" w:eastAsia="zh-CN"/>
                    </w:rPr>
                    <w:t>~500</w:t>
                  </w:r>
                </w:p>
              </w:tc>
              <w:tc>
                <w:tcPr>
                  <w:tcW w:w="1137" w:type="dxa"/>
                  <w:vAlign w:val="center"/>
                </w:tcPr>
                <w:p w14:paraId="27FD9951">
                  <w:pPr>
                    <w:ind w:right="8"/>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w:t>
                  </w:r>
                </w:p>
              </w:tc>
              <w:tc>
                <w:tcPr>
                  <w:tcW w:w="1464" w:type="dxa"/>
                  <w:vAlign w:val="center"/>
                </w:tcPr>
                <w:p w14:paraId="096E5810">
                  <w:pPr>
                    <w:ind w:right="8"/>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居民</w:t>
                  </w:r>
                </w:p>
              </w:tc>
            </w:tr>
            <w:tr w14:paraId="3BB21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0" w:hRule="atLeast"/>
                <w:jc w:val="center"/>
              </w:trPr>
              <w:tc>
                <w:tcPr>
                  <w:tcW w:w="1946" w:type="dxa"/>
                  <w:vAlign w:val="center"/>
                </w:tcPr>
                <w:p w14:paraId="0E99502E">
                  <w:pPr>
                    <w:ind w:right="8"/>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杨家湾居民</w:t>
                  </w:r>
                </w:p>
              </w:tc>
              <w:tc>
                <w:tcPr>
                  <w:tcW w:w="936" w:type="dxa"/>
                  <w:vAlign w:val="center"/>
                </w:tcPr>
                <w:p w14:paraId="6962A017">
                  <w:pPr>
                    <w:ind w:right="8"/>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西侧</w:t>
                  </w:r>
                </w:p>
              </w:tc>
              <w:tc>
                <w:tcPr>
                  <w:tcW w:w="1719" w:type="dxa"/>
                  <w:vAlign w:val="center"/>
                </w:tcPr>
                <w:p w14:paraId="3FF09CCB">
                  <w:pPr>
                    <w:ind w:righ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7户</w:t>
                  </w:r>
                  <w:r>
                    <w:rPr>
                      <w:rFonts w:hint="default" w:ascii="Times New Roman" w:hAnsi="Times New Roman" w:cs="Times New Roman"/>
                      <w:b w:val="0"/>
                      <w:bCs w:val="0"/>
                      <w:color w:val="auto"/>
                      <w:sz w:val="21"/>
                      <w:szCs w:val="21"/>
                      <w:lang w:val="en-US" w:eastAsia="zh-CN"/>
                    </w:rPr>
                    <w:t>，约20人</w:t>
                  </w:r>
                </w:p>
              </w:tc>
              <w:tc>
                <w:tcPr>
                  <w:tcW w:w="1336" w:type="dxa"/>
                  <w:vAlign w:val="center"/>
                </w:tcPr>
                <w:p w14:paraId="74887019">
                  <w:pPr>
                    <w:ind w:right="8"/>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260~340</w:t>
                  </w:r>
                </w:p>
              </w:tc>
              <w:tc>
                <w:tcPr>
                  <w:tcW w:w="1137" w:type="dxa"/>
                  <w:vAlign w:val="center"/>
                </w:tcPr>
                <w:p w14:paraId="73ED1B1B">
                  <w:pPr>
                    <w:ind w:right="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-35</w:t>
                  </w:r>
                </w:p>
              </w:tc>
              <w:tc>
                <w:tcPr>
                  <w:tcW w:w="1464" w:type="dxa"/>
                  <w:vAlign w:val="center"/>
                </w:tcPr>
                <w:p w14:paraId="68FE375E">
                  <w:pPr>
                    <w:ind w:right="8"/>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居民</w:t>
                  </w:r>
                </w:p>
              </w:tc>
            </w:tr>
            <w:tr w14:paraId="27BC3D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0" w:hRule="atLeast"/>
                <w:jc w:val="center"/>
              </w:trPr>
              <w:tc>
                <w:tcPr>
                  <w:tcW w:w="1946" w:type="dxa"/>
                  <w:vAlign w:val="center"/>
                </w:tcPr>
                <w:p w14:paraId="22DC4628">
                  <w:pPr>
                    <w:ind w:right="8"/>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零散居民</w:t>
                  </w:r>
                </w:p>
              </w:tc>
              <w:tc>
                <w:tcPr>
                  <w:tcW w:w="936" w:type="dxa"/>
                  <w:vAlign w:val="center"/>
                </w:tcPr>
                <w:p w14:paraId="6B445165">
                  <w:pPr>
                    <w:ind w:right="8"/>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南侧</w:t>
                  </w:r>
                </w:p>
              </w:tc>
              <w:tc>
                <w:tcPr>
                  <w:tcW w:w="1719" w:type="dxa"/>
                  <w:vAlign w:val="center"/>
                </w:tcPr>
                <w:p w14:paraId="76AB9033">
                  <w:pPr>
                    <w:ind w:right="8"/>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1户</w:t>
                  </w:r>
                  <w:r>
                    <w:rPr>
                      <w:rFonts w:hint="default" w:ascii="Times New Roman" w:hAnsi="Times New Roman" w:cs="Times New Roman"/>
                      <w:b w:val="0"/>
                      <w:bCs w:val="0"/>
                      <w:color w:val="auto"/>
                      <w:sz w:val="21"/>
                      <w:szCs w:val="21"/>
                      <w:lang w:val="en-US" w:eastAsia="zh-CN"/>
                    </w:rPr>
                    <w:t>，约3人</w:t>
                  </w:r>
                </w:p>
              </w:tc>
              <w:tc>
                <w:tcPr>
                  <w:tcW w:w="1336" w:type="dxa"/>
                  <w:vAlign w:val="center"/>
                </w:tcPr>
                <w:p w14:paraId="2027AB2D">
                  <w:pPr>
                    <w:ind w:right="8"/>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270</w:t>
                  </w:r>
                </w:p>
              </w:tc>
              <w:tc>
                <w:tcPr>
                  <w:tcW w:w="1137" w:type="dxa"/>
                  <w:vAlign w:val="center"/>
                </w:tcPr>
                <w:p w14:paraId="54A6A86B">
                  <w:pPr>
                    <w:ind w:right="8"/>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1464" w:type="dxa"/>
                  <w:vAlign w:val="center"/>
                </w:tcPr>
                <w:p w14:paraId="4CDA7BF4">
                  <w:pPr>
                    <w:ind w:right="8"/>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居民</w:t>
                  </w:r>
                </w:p>
              </w:tc>
            </w:tr>
            <w:tr w14:paraId="460E59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0" w:hRule="atLeast"/>
                <w:jc w:val="center"/>
              </w:trPr>
              <w:tc>
                <w:tcPr>
                  <w:tcW w:w="1946" w:type="dxa"/>
                  <w:shd w:val="clear" w:color="auto" w:fill="auto"/>
                  <w:vAlign w:val="center"/>
                </w:tcPr>
                <w:p w14:paraId="2FFCB8D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天生场镇居民</w:t>
                  </w:r>
                </w:p>
              </w:tc>
              <w:tc>
                <w:tcPr>
                  <w:tcW w:w="936" w:type="dxa"/>
                  <w:shd w:val="clear" w:color="auto" w:fill="auto"/>
                  <w:vAlign w:val="center"/>
                </w:tcPr>
                <w:p w14:paraId="0935D02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西侧</w:t>
                  </w:r>
                </w:p>
              </w:tc>
              <w:tc>
                <w:tcPr>
                  <w:tcW w:w="1719" w:type="dxa"/>
                  <w:shd w:val="clear" w:color="auto" w:fill="auto"/>
                  <w:vAlign w:val="center"/>
                </w:tcPr>
                <w:p w14:paraId="59F821A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约3000人</w:t>
                  </w:r>
                </w:p>
              </w:tc>
              <w:tc>
                <w:tcPr>
                  <w:tcW w:w="1336" w:type="dxa"/>
                  <w:shd w:val="clear" w:color="auto" w:fill="auto"/>
                  <w:vAlign w:val="center"/>
                </w:tcPr>
                <w:p w14:paraId="38D1571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2100~2500</w:t>
                  </w:r>
                </w:p>
              </w:tc>
              <w:tc>
                <w:tcPr>
                  <w:tcW w:w="1137" w:type="dxa"/>
                  <w:vAlign w:val="center"/>
                </w:tcPr>
                <w:p w14:paraId="21FEDB99">
                  <w:pPr>
                    <w:ind w:right="8"/>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-92</w:t>
                  </w:r>
                </w:p>
              </w:tc>
              <w:tc>
                <w:tcPr>
                  <w:tcW w:w="1464" w:type="dxa"/>
                  <w:vAlign w:val="center"/>
                </w:tcPr>
                <w:p w14:paraId="4349F67F">
                  <w:pPr>
                    <w:ind w:right="8"/>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居民</w:t>
                  </w:r>
                </w:p>
              </w:tc>
            </w:tr>
            <w:tr w14:paraId="5148E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0" w:hRule="atLeast"/>
                <w:jc w:val="center"/>
              </w:trPr>
              <w:tc>
                <w:tcPr>
                  <w:tcW w:w="1946" w:type="dxa"/>
                  <w:vAlign w:val="center"/>
                </w:tcPr>
                <w:p w14:paraId="40E6083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中间湾居民</w:t>
                  </w:r>
                </w:p>
              </w:tc>
              <w:tc>
                <w:tcPr>
                  <w:tcW w:w="936" w:type="dxa"/>
                  <w:vAlign w:val="center"/>
                </w:tcPr>
                <w:p w14:paraId="59F23476">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西南</w:t>
                  </w:r>
                </w:p>
              </w:tc>
              <w:tc>
                <w:tcPr>
                  <w:tcW w:w="1719" w:type="dxa"/>
                  <w:vAlign w:val="center"/>
                </w:tcPr>
                <w:p w14:paraId="4FCC844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13户，约39人</w:t>
                  </w:r>
                </w:p>
              </w:tc>
              <w:tc>
                <w:tcPr>
                  <w:tcW w:w="1336" w:type="dxa"/>
                  <w:vAlign w:val="center"/>
                </w:tcPr>
                <w:p w14:paraId="482F5B3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900~1523</w:t>
                  </w:r>
                </w:p>
              </w:tc>
              <w:tc>
                <w:tcPr>
                  <w:tcW w:w="1137" w:type="dxa"/>
                  <w:vAlign w:val="center"/>
                </w:tcPr>
                <w:p w14:paraId="6829F971">
                  <w:pPr>
                    <w:ind w:right="8"/>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464" w:type="dxa"/>
                  <w:vAlign w:val="center"/>
                </w:tcPr>
                <w:p w14:paraId="3992444E">
                  <w:pPr>
                    <w:ind w:right="8"/>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居民</w:t>
                  </w:r>
                </w:p>
              </w:tc>
            </w:tr>
            <w:tr w14:paraId="2EFF96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0" w:hRule="atLeast"/>
                <w:jc w:val="center"/>
              </w:trPr>
              <w:tc>
                <w:tcPr>
                  <w:tcW w:w="1946" w:type="dxa"/>
                  <w:vAlign w:val="center"/>
                </w:tcPr>
                <w:p w14:paraId="3AAD2DE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铁厂坝居民</w:t>
                  </w:r>
                </w:p>
              </w:tc>
              <w:tc>
                <w:tcPr>
                  <w:tcW w:w="936" w:type="dxa"/>
                  <w:vAlign w:val="center"/>
                </w:tcPr>
                <w:p w14:paraId="08DB1A2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西南</w:t>
                  </w:r>
                </w:p>
              </w:tc>
              <w:tc>
                <w:tcPr>
                  <w:tcW w:w="1719" w:type="dxa"/>
                  <w:vAlign w:val="center"/>
                </w:tcPr>
                <w:p w14:paraId="62D1DBA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18户，约50人</w:t>
                  </w:r>
                </w:p>
              </w:tc>
              <w:tc>
                <w:tcPr>
                  <w:tcW w:w="1336" w:type="dxa"/>
                  <w:vAlign w:val="center"/>
                </w:tcPr>
                <w:p w14:paraId="480CF2C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1840~2445</w:t>
                  </w:r>
                </w:p>
              </w:tc>
              <w:tc>
                <w:tcPr>
                  <w:tcW w:w="1137" w:type="dxa"/>
                  <w:vAlign w:val="center"/>
                </w:tcPr>
                <w:p w14:paraId="0C14AB55">
                  <w:pPr>
                    <w:ind w:right="8"/>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-64</w:t>
                  </w:r>
                </w:p>
              </w:tc>
              <w:tc>
                <w:tcPr>
                  <w:tcW w:w="1464" w:type="dxa"/>
                  <w:vAlign w:val="center"/>
                </w:tcPr>
                <w:p w14:paraId="7ADC2770">
                  <w:pPr>
                    <w:ind w:right="8"/>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居民</w:t>
                  </w:r>
                </w:p>
              </w:tc>
            </w:tr>
            <w:tr w14:paraId="38469E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0" w:hRule="atLeast"/>
                <w:jc w:val="center"/>
              </w:trPr>
              <w:tc>
                <w:tcPr>
                  <w:tcW w:w="1946" w:type="dxa"/>
                  <w:vAlign w:val="center"/>
                </w:tcPr>
                <w:p w14:paraId="3EB0469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峨城社区居民</w:t>
                  </w:r>
                </w:p>
              </w:tc>
              <w:tc>
                <w:tcPr>
                  <w:tcW w:w="936" w:type="dxa"/>
                  <w:vAlign w:val="center"/>
                </w:tcPr>
                <w:p w14:paraId="6473CAD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北侧</w:t>
                  </w:r>
                </w:p>
              </w:tc>
              <w:tc>
                <w:tcPr>
                  <w:tcW w:w="1719" w:type="dxa"/>
                  <w:vAlign w:val="center"/>
                </w:tcPr>
                <w:p w14:paraId="6CF9373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50户，约150人</w:t>
                  </w:r>
                </w:p>
              </w:tc>
              <w:tc>
                <w:tcPr>
                  <w:tcW w:w="1336" w:type="dxa"/>
                  <w:vAlign w:val="center"/>
                </w:tcPr>
                <w:p w14:paraId="3487760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931~1997</w:t>
                  </w:r>
                </w:p>
              </w:tc>
              <w:tc>
                <w:tcPr>
                  <w:tcW w:w="1137" w:type="dxa"/>
                  <w:vAlign w:val="center"/>
                </w:tcPr>
                <w:p w14:paraId="41A57406">
                  <w:pPr>
                    <w:ind w:right="8"/>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-36</w:t>
                  </w:r>
                </w:p>
              </w:tc>
              <w:tc>
                <w:tcPr>
                  <w:tcW w:w="1464" w:type="dxa"/>
                  <w:vAlign w:val="center"/>
                </w:tcPr>
                <w:p w14:paraId="1598B404">
                  <w:pPr>
                    <w:ind w:right="8"/>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居民</w:t>
                  </w:r>
                </w:p>
              </w:tc>
            </w:tr>
            <w:tr w14:paraId="54FE4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0" w:hRule="atLeast"/>
                <w:jc w:val="center"/>
              </w:trPr>
              <w:tc>
                <w:tcPr>
                  <w:tcW w:w="1946" w:type="dxa"/>
                  <w:vAlign w:val="center"/>
                </w:tcPr>
                <w:p w14:paraId="75AD385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陈家湾居民</w:t>
                  </w:r>
                </w:p>
              </w:tc>
              <w:tc>
                <w:tcPr>
                  <w:tcW w:w="936" w:type="dxa"/>
                  <w:vAlign w:val="center"/>
                </w:tcPr>
                <w:p w14:paraId="7B7D56B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北侧</w:t>
                  </w:r>
                </w:p>
              </w:tc>
              <w:tc>
                <w:tcPr>
                  <w:tcW w:w="1719" w:type="dxa"/>
                  <w:vAlign w:val="center"/>
                </w:tcPr>
                <w:p w14:paraId="2FFD294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50户，约150人</w:t>
                  </w:r>
                </w:p>
              </w:tc>
              <w:tc>
                <w:tcPr>
                  <w:tcW w:w="1336" w:type="dxa"/>
                  <w:vAlign w:val="center"/>
                </w:tcPr>
                <w:p w14:paraId="7F74640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1948~2500</w:t>
                  </w:r>
                </w:p>
              </w:tc>
              <w:tc>
                <w:tcPr>
                  <w:tcW w:w="1137" w:type="dxa"/>
                  <w:vAlign w:val="center"/>
                </w:tcPr>
                <w:p w14:paraId="023F1D6D">
                  <w:pPr>
                    <w:ind w:right="8"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-69</w:t>
                  </w:r>
                </w:p>
              </w:tc>
              <w:tc>
                <w:tcPr>
                  <w:tcW w:w="1464" w:type="dxa"/>
                  <w:vAlign w:val="center"/>
                </w:tcPr>
                <w:p w14:paraId="6523AD15">
                  <w:pPr>
                    <w:ind w:right="8"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居民</w:t>
                  </w:r>
                </w:p>
              </w:tc>
            </w:tr>
            <w:tr w14:paraId="7515D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7" w:hRule="atLeast"/>
                <w:jc w:val="center"/>
              </w:trPr>
              <w:tc>
                <w:tcPr>
                  <w:tcW w:w="1946" w:type="dxa"/>
                  <w:vAlign w:val="center"/>
                </w:tcPr>
                <w:p w14:paraId="2722FFE8">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峨城山森林公园</w:t>
                  </w:r>
                </w:p>
              </w:tc>
              <w:tc>
                <w:tcPr>
                  <w:tcW w:w="936" w:type="dxa"/>
                  <w:vAlign w:val="center"/>
                </w:tcPr>
                <w:p w14:paraId="011E2CA9">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东北侧</w:t>
                  </w:r>
                </w:p>
              </w:tc>
              <w:tc>
                <w:tcPr>
                  <w:tcW w:w="1719" w:type="dxa"/>
                  <w:vAlign w:val="center"/>
                </w:tcPr>
                <w:p w14:paraId="0818434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1336" w:type="dxa"/>
                  <w:vAlign w:val="center"/>
                </w:tcPr>
                <w:p w14:paraId="58E0F26E">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1300</w:t>
                  </w:r>
                </w:p>
              </w:tc>
              <w:tc>
                <w:tcPr>
                  <w:tcW w:w="1137" w:type="dxa"/>
                  <w:vAlign w:val="center"/>
                </w:tcPr>
                <w:p w14:paraId="60C1C10A">
                  <w:pPr>
                    <w:ind w:right="8"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120</w:t>
                  </w:r>
                </w:p>
              </w:tc>
              <w:tc>
                <w:tcPr>
                  <w:tcW w:w="1464" w:type="dxa"/>
                  <w:vAlign w:val="center"/>
                </w:tcPr>
                <w:p w14:paraId="650F7443">
                  <w:pPr>
                    <w:ind w:right="8"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国家森林公园</w:t>
                  </w:r>
                </w:p>
              </w:tc>
            </w:tr>
          </w:tbl>
          <w:p w14:paraId="577A0782">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2、声环境</w:t>
            </w:r>
          </w:p>
          <w:p w14:paraId="01FBD93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本项目厂界外50m范围内无</w:t>
            </w:r>
            <w:r>
              <w:rPr>
                <w:rFonts w:hint="default" w:ascii="Times New Roman" w:hAnsi="Times New Roman" w:cs="Times New Roman"/>
                <w:color w:val="auto"/>
                <w:sz w:val="24"/>
                <w:szCs w:val="24"/>
                <w:lang w:val="en-US" w:eastAsia="zh-CN"/>
              </w:rPr>
              <w:t>医院、学校、住户等</w:t>
            </w:r>
            <w:r>
              <w:rPr>
                <w:rFonts w:hint="default" w:ascii="Times New Roman" w:hAnsi="Times New Roman" w:cs="Times New Roman"/>
                <w:color w:val="auto"/>
                <w:sz w:val="24"/>
                <w:szCs w:val="24"/>
              </w:rPr>
              <w:t>声环境保护目标。</w:t>
            </w:r>
          </w:p>
          <w:p w14:paraId="21F16D1B">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3、地表水环境</w:t>
            </w:r>
          </w:p>
          <w:p w14:paraId="5E1F471F">
            <w:pPr>
              <w:spacing w:line="360" w:lineRule="auto"/>
              <w:ind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highlight w:val="none"/>
              </w:rPr>
              <w:t>与项目有关的地表水体为</w:t>
            </w:r>
            <w:r>
              <w:rPr>
                <w:rStyle w:val="31"/>
                <w:rFonts w:hint="default" w:ascii="Times New Roman" w:hAnsi="Times New Roman" w:cs="Times New Roman"/>
                <w:color w:val="auto"/>
                <w:kern w:val="2"/>
                <w:sz w:val="24"/>
                <w:szCs w:val="24"/>
                <w:lang w:val="en-US" w:eastAsia="zh-CN" w:bidi="ar-SA"/>
              </w:rPr>
              <w:t>西侧的天生河，相距约1.5km，由北向南汇入新宁河。</w:t>
            </w:r>
            <w:r>
              <w:rPr>
                <w:rFonts w:hint="default" w:ascii="Times New Roman" w:hAnsi="Times New Roman" w:cs="Times New Roman"/>
                <w:b w:val="0"/>
                <w:bCs/>
                <w:color w:val="auto"/>
                <w:sz w:val="24"/>
                <w:szCs w:val="24"/>
              </w:rPr>
              <w:t>项目区河段无饮用水水源保护区、饮用水取水口，涉水的自然保护区、风景名胜区，重要湿地、重点保护与珍稀水生生物的栖息地、重要水生生物的自然产卵场及索饵场、越冬场和洄游通道，天然渔场等渔业水体以及水产种质资源保护区等环境保护目标，</w:t>
            </w:r>
            <w:r>
              <w:rPr>
                <w:rFonts w:hint="default" w:ascii="Times New Roman" w:hAnsi="Times New Roman" w:cs="Times New Roman"/>
                <w:b w:val="0"/>
                <w:bCs/>
                <w:color w:val="auto"/>
                <w:sz w:val="24"/>
                <w:szCs w:val="24"/>
                <w:highlight w:val="none"/>
                <w:lang w:val="en-US" w:eastAsia="zh-CN"/>
              </w:rPr>
              <w:t>天生河</w:t>
            </w:r>
            <w:r>
              <w:rPr>
                <w:rFonts w:hint="default" w:ascii="Times New Roman" w:hAnsi="Times New Roman" w:cs="Times New Roman"/>
                <w:b w:val="0"/>
                <w:bCs/>
                <w:color w:val="auto"/>
                <w:sz w:val="24"/>
                <w:szCs w:val="24"/>
                <w:highlight w:val="none"/>
              </w:rPr>
              <w:t>水质满足《地表水</w:t>
            </w:r>
            <w:r>
              <w:rPr>
                <w:rFonts w:hint="default" w:ascii="Times New Roman" w:hAnsi="Times New Roman" w:cs="Times New Roman"/>
                <w:b w:val="0"/>
                <w:bCs/>
                <w:color w:val="auto"/>
                <w:sz w:val="24"/>
                <w:szCs w:val="24"/>
                <w:highlight w:val="none"/>
                <w:lang w:val="en-US" w:eastAsia="zh-CN"/>
              </w:rPr>
              <w:t>环境</w:t>
            </w:r>
            <w:r>
              <w:rPr>
                <w:rFonts w:hint="default" w:ascii="Times New Roman" w:hAnsi="Times New Roman" w:cs="Times New Roman"/>
                <w:b w:val="0"/>
                <w:bCs/>
                <w:color w:val="auto"/>
                <w:sz w:val="24"/>
                <w:szCs w:val="24"/>
                <w:highlight w:val="none"/>
              </w:rPr>
              <w:t>质量标准》(GB3838-2002)</w:t>
            </w:r>
            <w:r>
              <w:rPr>
                <w:rFonts w:hint="default" w:ascii="Times New Roman" w:hAnsi="Times New Roman" w:cs="Times New Roman"/>
                <w:b w:val="0"/>
                <w:bCs/>
                <w:color w:val="auto"/>
                <w:sz w:val="24"/>
                <w:szCs w:val="24"/>
                <w:highlight w:val="none"/>
                <w:lang w:val="en-US" w:eastAsia="zh-CN"/>
              </w:rPr>
              <w:t>Ⅲ</w:t>
            </w:r>
            <w:r>
              <w:rPr>
                <w:rFonts w:hint="default" w:ascii="Times New Roman" w:hAnsi="Times New Roman" w:cs="Times New Roman"/>
                <w:b w:val="0"/>
                <w:bCs/>
                <w:color w:val="auto"/>
                <w:sz w:val="24"/>
                <w:szCs w:val="24"/>
                <w:highlight w:val="none"/>
              </w:rPr>
              <w:t>类水域水质标准。</w:t>
            </w:r>
          </w:p>
          <w:p w14:paraId="5A2AC200">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4、地下水环境</w:t>
            </w:r>
          </w:p>
          <w:p w14:paraId="0AC9747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本项目厂界外500m范围内无地下水集中式饮用水水源和热水、矿泉水、温泉等特殊地下水资源。</w:t>
            </w:r>
          </w:p>
          <w:p w14:paraId="1EED8FFA">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5、生态环境</w:t>
            </w:r>
          </w:p>
          <w:p w14:paraId="383A0A9D">
            <w:pPr>
              <w:spacing w:line="360" w:lineRule="auto"/>
              <w:ind w:firstLine="480" w:firstLineChars="200"/>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根据现场调查，项目区域内不涉及自然保护区、森林公园及风景名胜区、生活饮用水水源保护区及其他需要特别保护区域，区域内无国家保护的重点野生动植物，无名木古树及珍稀动植物等，无特殊文物保护单位。</w:t>
            </w:r>
          </w:p>
        </w:tc>
      </w:tr>
      <w:tr w14:paraId="4705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FEFEFE"/>
            <w:vAlign w:val="center"/>
          </w:tcPr>
          <w:p w14:paraId="66CBD86F">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污染物排放控制标准</w:t>
            </w:r>
          </w:p>
        </w:tc>
        <w:tc>
          <w:tcPr>
            <w:tcW w:w="8778" w:type="dxa"/>
            <w:tcBorders>
              <w:top w:val="single" w:color="auto" w:sz="4" w:space="0"/>
              <w:left w:val="single" w:color="auto" w:sz="4" w:space="0"/>
              <w:bottom w:val="single" w:color="auto" w:sz="4" w:space="0"/>
              <w:right w:val="single" w:color="auto" w:sz="4" w:space="0"/>
            </w:tcBorders>
            <w:shd w:val="clear" w:color="auto" w:fill="FEFEFE"/>
            <w:vAlign w:val="center"/>
          </w:tcPr>
          <w:p w14:paraId="299B5A13">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1、废气</w:t>
            </w:r>
          </w:p>
          <w:p w14:paraId="6DE6746B">
            <w:pPr>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施工期</w:t>
            </w:r>
            <w:r>
              <w:rPr>
                <w:rFonts w:hint="default" w:ascii="Times New Roman" w:hAnsi="Times New Roman" w:cs="Times New Roman"/>
                <w:color w:val="auto"/>
                <w:sz w:val="24"/>
                <w:szCs w:val="24"/>
              </w:rPr>
              <w:t>扬尘执行《四川省施工场地扬尘排放标准》（DB51/2682-2020）。</w:t>
            </w:r>
          </w:p>
          <w:p w14:paraId="3F8B4145">
            <w:pPr>
              <w:pStyle w:val="25"/>
              <w:rPr>
                <w:rFonts w:hint="default" w:ascii="Times New Roman" w:hAnsi="Times New Roman" w:cs="Times New Roman"/>
                <w:color w:val="auto"/>
                <w:lang w:val="en-US" w:eastAsia="zh-CN"/>
              </w:rPr>
            </w:pPr>
          </w:p>
          <w:p w14:paraId="77764099">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表3-10 施工场地扬尘排放限值</w:t>
            </w:r>
          </w:p>
          <w:tbl>
            <w:tblPr>
              <w:tblStyle w:val="29"/>
              <w:tblW w:w="84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536"/>
              <w:gridCol w:w="2127"/>
              <w:gridCol w:w="2696"/>
              <w:gridCol w:w="1305"/>
            </w:tblGrid>
            <w:tr w14:paraId="33453C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65" w:type="dxa"/>
                  <w:tcBorders>
                    <w:tl2br w:val="nil"/>
                    <w:tr2bl w:val="nil"/>
                  </w:tcBorders>
                  <w:vAlign w:val="center"/>
                </w:tcPr>
                <w:p w14:paraId="79D5FADD">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1536" w:type="dxa"/>
                  <w:tcBorders>
                    <w:tl2br w:val="nil"/>
                    <w:tr2bl w:val="nil"/>
                  </w:tcBorders>
                  <w:vAlign w:val="center"/>
                </w:tcPr>
                <w:p w14:paraId="30D8F3B2">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tc>
              <w:tc>
                <w:tcPr>
                  <w:tcW w:w="2127" w:type="dxa"/>
                  <w:tcBorders>
                    <w:tl2br w:val="nil"/>
                    <w:tr2bl w:val="nil"/>
                  </w:tcBorders>
                  <w:vAlign w:val="center"/>
                </w:tcPr>
                <w:p w14:paraId="18EA74D0">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施工阶段</w:t>
                  </w:r>
                </w:p>
              </w:tc>
              <w:tc>
                <w:tcPr>
                  <w:tcW w:w="2696" w:type="dxa"/>
                  <w:tcBorders>
                    <w:tl2br w:val="nil"/>
                    <w:tr2bl w:val="nil"/>
                  </w:tcBorders>
                  <w:vAlign w:val="center"/>
                </w:tcPr>
                <w:p w14:paraId="5C181BB3">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监测点排放限值（mg/m</w:t>
                  </w:r>
                  <w:r>
                    <w:rPr>
                      <w:rFonts w:hint="default" w:ascii="Times New Roman" w:hAnsi="Times New Roman" w:cs="Times New Roman"/>
                      <w:b/>
                      <w:bCs/>
                      <w:color w:val="auto"/>
                      <w:szCs w:val="21"/>
                      <w:vertAlign w:val="superscript"/>
                    </w:rPr>
                    <w:t>3</w:t>
                  </w:r>
                  <w:r>
                    <w:rPr>
                      <w:rFonts w:hint="default" w:ascii="Times New Roman" w:hAnsi="Times New Roman" w:cs="Times New Roman"/>
                      <w:b/>
                      <w:bCs/>
                      <w:color w:val="auto"/>
                      <w:szCs w:val="21"/>
                    </w:rPr>
                    <w:t>）</w:t>
                  </w:r>
                </w:p>
              </w:tc>
              <w:tc>
                <w:tcPr>
                  <w:tcW w:w="1305" w:type="dxa"/>
                  <w:tcBorders>
                    <w:tl2br w:val="nil"/>
                    <w:tr2bl w:val="nil"/>
                  </w:tcBorders>
                  <w:vAlign w:val="center"/>
                </w:tcPr>
                <w:p w14:paraId="7536DD56">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监测时间</w:t>
                  </w:r>
                </w:p>
              </w:tc>
            </w:tr>
            <w:tr w14:paraId="7B16A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restart"/>
                  <w:tcBorders>
                    <w:tl2br w:val="nil"/>
                    <w:tr2bl w:val="nil"/>
                  </w:tcBorders>
                  <w:vAlign w:val="center"/>
                </w:tcPr>
                <w:p w14:paraId="2F111441">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536" w:type="dxa"/>
                  <w:vMerge w:val="restart"/>
                  <w:tcBorders>
                    <w:tl2br w:val="nil"/>
                    <w:tr2bl w:val="nil"/>
                  </w:tcBorders>
                  <w:vAlign w:val="center"/>
                </w:tcPr>
                <w:p w14:paraId="35D99D0B">
                  <w:pPr>
                    <w:jc w:val="center"/>
                    <w:rPr>
                      <w:rFonts w:hint="default" w:ascii="Times New Roman" w:hAnsi="Times New Roman" w:cs="Times New Roman"/>
                      <w:color w:val="auto"/>
                      <w:szCs w:val="21"/>
                    </w:rPr>
                  </w:pPr>
                  <w:r>
                    <w:rPr>
                      <w:rFonts w:hint="default" w:ascii="Times New Roman" w:hAnsi="Times New Roman" w:cs="Times New Roman"/>
                      <w:color w:val="auto"/>
                      <w:szCs w:val="21"/>
                    </w:rPr>
                    <w:t>总悬浮颗粒物（TSP）</w:t>
                  </w:r>
                </w:p>
              </w:tc>
              <w:tc>
                <w:tcPr>
                  <w:tcW w:w="2127" w:type="dxa"/>
                  <w:tcBorders>
                    <w:tl2br w:val="nil"/>
                    <w:tr2bl w:val="nil"/>
                  </w:tcBorders>
                  <w:vAlign w:val="center"/>
                </w:tcPr>
                <w:p w14:paraId="18BDF070">
                  <w:pPr>
                    <w:jc w:val="center"/>
                    <w:rPr>
                      <w:rFonts w:hint="default" w:ascii="Times New Roman" w:hAnsi="Times New Roman" w:cs="Times New Roman"/>
                      <w:color w:val="auto"/>
                      <w:szCs w:val="21"/>
                    </w:rPr>
                  </w:pPr>
                  <w:r>
                    <w:rPr>
                      <w:rFonts w:hint="default" w:ascii="Times New Roman" w:hAnsi="Times New Roman" w:cs="Times New Roman"/>
                      <w:color w:val="auto"/>
                      <w:szCs w:val="21"/>
                    </w:rPr>
                    <w:t>拆除过程/土方开挖/土方回填</w:t>
                  </w:r>
                </w:p>
              </w:tc>
              <w:tc>
                <w:tcPr>
                  <w:tcW w:w="2696" w:type="dxa"/>
                  <w:tcBorders>
                    <w:tl2br w:val="nil"/>
                    <w:tr2bl w:val="nil"/>
                  </w:tcBorders>
                  <w:vAlign w:val="center"/>
                </w:tcPr>
                <w:p w14:paraId="6920BFFD">
                  <w:pPr>
                    <w:jc w:val="center"/>
                    <w:rPr>
                      <w:rFonts w:hint="default" w:ascii="Times New Roman" w:hAnsi="Times New Roman" w:cs="Times New Roman"/>
                      <w:color w:val="auto"/>
                      <w:szCs w:val="21"/>
                    </w:rPr>
                  </w:pPr>
                  <w:r>
                    <w:rPr>
                      <w:rFonts w:hint="default" w:ascii="Times New Roman" w:hAnsi="Times New Roman" w:cs="Times New Roman"/>
                      <w:color w:val="auto"/>
                      <w:szCs w:val="21"/>
                    </w:rPr>
                    <w:t>0.600</w:t>
                  </w:r>
                </w:p>
              </w:tc>
              <w:tc>
                <w:tcPr>
                  <w:tcW w:w="1305" w:type="dxa"/>
                  <w:vMerge w:val="restart"/>
                  <w:tcBorders>
                    <w:tl2br w:val="nil"/>
                    <w:tr2bl w:val="nil"/>
                  </w:tcBorders>
                  <w:vAlign w:val="center"/>
                </w:tcPr>
                <w:p w14:paraId="4626AFB6">
                  <w:pPr>
                    <w:jc w:val="center"/>
                    <w:rPr>
                      <w:rFonts w:hint="default" w:ascii="Times New Roman" w:hAnsi="Times New Roman" w:cs="Times New Roman"/>
                      <w:color w:val="auto"/>
                      <w:szCs w:val="21"/>
                    </w:rPr>
                  </w:pPr>
                  <w:r>
                    <w:rPr>
                      <w:rFonts w:hint="default" w:ascii="Times New Roman" w:hAnsi="Times New Roman" w:cs="Times New Roman"/>
                      <w:color w:val="auto"/>
                      <w:szCs w:val="21"/>
                    </w:rPr>
                    <w:t>自监测起持续15min</w:t>
                  </w:r>
                </w:p>
              </w:tc>
            </w:tr>
            <w:tr w14:paraId="61DA0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continue"/>
                  <w:tcBorders>
                    <w:tl2br w:val="nil"/>
                    <w:tr2bl w:val="nil"/>
                  </w:tcBorders>
                  <w:vAlign w:val="center"/>
                </w:tcPr>
                <w:p w14:paraId="66B9566D">
                  <w:pPr>
                    <w:jc w:val="center"/>
                    <w:rPr>
                      <w:rFonts w:hint="default" w:ascii="Times New Roman" w:hAnsi="Times New Roman" w:cs="Times New Roman"/>
                      <w:color w:val="auto"/>
                      <w:szCs w:val="21"/>
                    </w:rPr>
                  </w:pPr>
                </w:p>
              </w:tc>
              <w:tc>
                <w:tcPr>
                  <w:tcW w:w="1536" w:type="dxa"/>
                  <w:vMerge w:val="continue"/>
                  <w:tcBorders>
                    <w:tl2br w:val="nil"/>
                    <w:tr2bl w:val="nil"/>
                  </w:tcBorders>
                  <w:vAlign w:val="center"/>
                </w:tcPr>
                <w:p w14:paraId="06FE8830">
                  <w:pPr>
                    <w:jc w:val="center"/>
                    <w:rPr>
                      <w:rFonts w:hint="default" w:ascii="Times New Roman" w:hAnsi="Times New Roman" w:cs="Times New Roman"/>
                      <w:color w:val="auto"/>
                      <w:szCs w:val="21"/>
                    </w:rPr>
                  </w:pPr>
                </w:p>
              </w:tc>
              <w:tc>
                <w:tcPr>
                  <w:tcW w:w="2127" w:type="dxa"/>
                  <w:tcBorders>
                    <w:tl2br w:val="nil"/>
                    <w:tr2bl w:val="nil"/>
                  </w:tcBorders>
                  <w:vAlign w:val="center"/>
                </w:tcPr>
                <w:p w14:paraId="47D4B2B3">
                  <w:pPr>
                    <w:jc w:val="center"/>
                    <w:rPr>
                      <w:rFonts w:hint="default" w:ascii="Times New Roman" w:hAnsi="Times New Roman" w:cs="Times New Roman"/>
                      <w:color w:val="auto"/>
                      <w:szCs w:val="21"/>
                    </w:rPr>
                  </w:pPr>
                  <w:r>
                    <w:rPr>
                      <w:rFonts w:hint="default" w:ascii="Times New Roman" w:hAnsi="Times New Roman" w:cs="Times New Roman"/>
                      <w:color w:val="auto"/>
                      <w:szCs w:val="21"/>
                    </w:rPr>
                    <w:t>其他过程阶段</w:t>
                  </w:r>
                </w:p>
              </w:tc>
              <w:tc>
                <w:tcPr>
                  <w:tcW w:w="2696" w:type="dxa"/>
                  <w:tcBorders>
                    <w:tl2br w:val="nil"/>
                    <w:tr2bl w:val="nil"/>
                  </w:tcBorders>
                  <w:vAlign w:val="center"/>
                </w:tcPr>
                <w:p w14:paraId="5C09C9A2">
                  <w:pPr>
                    <w:jc w:val="center"/>
                    <w:rPr>
                      <w:rFonts w:hint="default" w:ascii="Times New Roman" w:hAnsi="Times New Roman" w:cs="Times New Roman"/>
                      <w:color w:val="auto"/>
                      <w:szCs w:val="21"/>
                    </w:rPr>
                  </w:pPr>
                  <w:r>
                    <w:rPr>
                      <w:rFonts w:hint="default" w:ascii="Times New Roman" w:hAnsi="Times New Roman" w:cs="Times New Roman"/>
                      <w:color w:val="auto"/>
                      <w:szCs w:val="21"/>
                    </w:rPr>
                    <w:t>0.250</w:t>
                  </w:r>
                </w:p>
              </w:tc>
              <w:tc>
                <w:tcPr>
                  <w:tcW w:w="1305" w:type="dxa"/>
                  <w:vMerge w:val="continue"/>
                  <w:tcBorders>
                    <w:tl2br w:val="nil"/>
                    <w:tr2bl w:val="nil"/>
                  </w:tcBorders>
                  <w:vAlign w:val="center"/>
                </w:tcPr>
                <w:p w14:paraId="3A27DACF">
                  <w:pPr>
                    <w:jc w:val="center"/>
                    <w:rPr>
                      <w:rFonts w:hint="default" w:ascii="Times New Roman" w:hAnsi="Times New Roman" w:cs="Times New Roman"/>
                      <w:color w:val="auto"/>
                      <w:szCs w:val="21"/>
                    </w:rPr>
                  </w:pPr>
                </w:p>
              </w:tc>
            </w:tr>
          </w:tbl>
          <w:p w14:paraId="03A3C0F9">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运营期：</w:t>
            </w:r>
          </w:p>
          <w:p w14:paraId="2D65E02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烘干滚筒配套燃烧器产生的烟尘与烘干滚筒、振动筛、搅拌缸共用废气处理装置处理后，通过同一根排气筒排放。烘干筒燃烧器产生的</w:t>
            </w:r>
            <w:r>
              <w:rPr>
                <w:rFonts w:hint="default" w:ascii="Times New Roman" w:hAnsi="Times New Roman" w:cs="Times New Roman"/>
                <w:color w:val="auto"/>
                <w:sz w:val="24"/>
                <w:szCs w:val="24"/>
                <w:lang w:val="en-US" w:eastAsia="zh-CN"/>
              </w:rPr>
              <w:t>烟尘、</w:t>
            </w:r>
            <w:r>
              <w:rPr>
                <w:rFonts w:hint="default" w:ascii="Times New Roman" w:hAnsi="Times New Roman" w:cs="Times New Roman"/>
                <w:color w:val="auto"/>
                <w:sz w:val="24"/>
                <w:szCs w:val="24"/>
              </w:rPr>
              <w:t>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、NOx</w:t>
            </w:r>
            <w:r>
              <w:rPr>
                <w:rFonts w:hint="default" w:ascii="Times New Roman" w:hAnsi="Times New Roman" w:cs="Times New Roman"/>
                <w:color w:val="auto"/>
                <w:sz w:val="24"/>
                <w:szCs w:val="24"/>
                <w:lang w:val="en-US" w:eastAsia="zh-CN"/>
              </w:rPr>
              <w:t>从严与</w:t>
            </w:r>
            <w:r>
              <w:rPr>
                <w:rFonts w:hint="default" w:ascii="Times New Roman" w:hAnsi="Times New Roman" w:cs="Times New Roman"/>
                <w:color w:val="auto"/>
                <w:sz w:val="24"/>
                <w:szCs w:val="24"/>
              </w:rPr>
              <w:t>沥青搅拌、储存、加热过程中产生的沥青烟、苯并[a]芘、</w:t>
            </w:r>
            <w:r>
              <w:rPr>
                <w:rFonts w:hint="default" w:ascii="Times New Roman" w:hAnsi="Times New Roman" w:cs="Times New Roman"/>
                <w:color w:val="auto"/>
                <w:sz w:val="24"/>
                <w:szCs w:val="24"/>
                <w:lang w:val="en-US" w:eastAsia="zh-CN"/>
              </w:rPr>
              <w:t>挥发性有机物（以非甲烷总烃计）、颗粒物一并</w:t>
            </w:r>
            <w:r>
              <w:rPr>
                <w:rFonts w:hint="default" w:ascii="Times New Roman" w:hAnsi="Times New Roman" w:cs="Times New Roman"/>
                <w:color w:val="auto"/>
                <w:sz w:val="24"/>
                <w:szCs w:val="24"/>
              </w:rPr>
              <w:t>执行《大气污染物综合排放标准》（GB16297-1996）表2中</w:t>
            </w:r>
            <w:r>
              <w:rPr>
                <w:rFonts w:hint="default" w:ascii="Times New Roman" w:hAnsi="Times New Roman" w:cs="Times New Roman"/>
                <w:color w:val="auto"/>
                <w:sz w:val="24"/>
                <w:szCs w:val="24"/>
                <w:lang w:val="en-US" w:eastAsia="zh-CN"/>
              </w:rPr>
              <w:t>新污染源</w:t>
            </w:r>
            <w:r>
              <w:rPr>
                <w:rFonts w:hint="default" w:ascii="Times New Roman" w:hAnsi="Times New Roman" w:cs="Times New Roman"/>
                <w:color w:val="auto"/>
                <w:sz w:val="24"/>
                <w:szCs w:val="24"/>
              </w:rPr>
              <w:t>二级排放标准</w:t>
            </w:r>
            <w:r>
              <w:rPr>
                <w:rFonts w:hint="default" w:ascii="Times New Roman" w:hAnsi="Times New Roman" w:cs="Times New Roman"/>
                <w:color w:val="auto"/>
                <w:sz w:val="24"/>
                <w:szCs w:val="24"/>
                <w:lang w:val="en-US" w:eastAsia="zh-CN"/>
              </w:rPr>
              <w:t>限值</w:t>
            </w:r>
            <w:r>
              <w:rPr>
                <w:rFonts w:hint="default" w:ascii="Times New Roman" w:hAnsi="Times New Roman" w:cs="Times New Roman"/>
                <w:color w:val="auto"/>
                <w:sz w:val="24"/>
                <w:szCs w:val="24"/>
              </w:rPr>
              <w:t>和无组织排放监控浓度限值。</w:t>
            </w:r>
          </w:p>
          <w:p w14:paraId="21F70953">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表3-11 《大气污染物综合排放标准》（GB16297-1996）</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567"/>
              <w:gridCol w:w="1642"/>
              <w:gridCol w:w="1644"/>
              <w:gridCol w:w="1274"/>
              <w:gridCol w:w="1326"/>
            </w:tblGrid>
            <w:tr w14:paraId="5C212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pct"/>
                  <w:vMerge w:val="restart"/>
                  <w:tcBorders>
                    <w:tl2br w:val="nil"/>
                    <w:tr2bl w:val="nil"/>
                  </w:tcBorders>
                  <w:vAlign w:val="center"/>
                </w:tcPr>
                <w:p w14:paraId="67E53C98">
                  <w:pPr>
                    <w:tabs>
                      <w:tab w:val="left" w:pos="1170"/>
                      <w:tab w:val="left" w:pos="1470"/>
                    </w:tabs>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tc>
              <w:tc>
                <w:tcPr>
                  <w:tcW w:w="915" w:type="pct"/>
                  <w:vMerge w:val="restart"/>
                  <w:tcBorders>
                    <w:tl2br w:val="nil"/>
                    <w:tr2bl w:val="nil"/>
                  </w:tcBorders>
                  <w:vAlign w:val="center"/>
                </w:tcPr>
                <w:p w14:paraId="08314817">
                  <w:pPr>
                    <w:tabs>
                      <w:tab w:val="left" w:pos="1170"/>
                      <w:tab w:val="left" w:pos="1470"/>
                    </w:tabs>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最高允许排放</w:t>
                  </w:r>
                  <w:r>
                    <w:rPr>
                      <w:rFonts w:hint="default" w:ascii="Times New Roman" w:hAnsi="Times New Roman" w:cs="Times New Roman"/>
                      <w:b/>
                      <w:bCs/>
                      <w:color w:val="auto"/>
                      <w:szCs w:val="21"/>
                      <w:lang w:val="en-US" w:eastAsia="zh-CN"/>
                    </w:rPr>
                    <w:t>浓度，</w:t>
                  </w:r>
                  <w:r>
                    <w:rPr>
                      <w:rFonts w:hint="default" w:ascii="Times New Roman" w:hAnsi="Times New Roman" w:eastAsia="宋体" w:cs="Times New Roman"/>
                      <w:b/>
                      <w:bCs/>
                      <w:color w:val="auto"/>
                      <w:szCs w:val="21"/>
                      <w:lang w:val="en-US" w:eastAsia="zh-CN"/>
                    </w:rPr>
                    <w:t>mg/m</w:t>
                  </w:r>
                  <w:r>
                    <w:rPr>
                      <w:rFonts w:hint="default" w:ascii="Times New Roman" w:hAnsi="Times New Roman" w:eastAsia="宋体" w:cs="Times New Roman"/>
                      <w:b/>
                      <w:bCs/>
                      <w:color w:val="auto"/>
                      <w:szCs w:val="21"/>
                      <w:vertAlign w:val="superscript"/>
                      <w:lang w:val="en-US" w:eastAsia="zh-CN"/>
                    </w:rPr>
                    <w:t>3</w:t>
                  </w:r>
                </w:p>
              </w:tc>
              <w:tc>
                <w:tcPr>
                  <w:tcW w:w="1919" w:type="pct"/>
                  <w:gridSpan w:val="2"/>
                  <w:tcBorders>
                    <w:tl2br w:val="nil"/>
                    <w:tr2bl w:val="nil"/>
                  </w:tcBorders>
                  <w:vAlign w:val="center"/>
                </w:tcPr>
                <w:p w14:paraId="749C5F2E">
                  <w:pPr>
                    <w:tabs>
                      <w:tab w:val="left" w:pos="1170"/>
                      <w:tab w:val="left" w:pos="1470"/>
                    </w:tabs>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最高允许排放速率，kg/h</w:t>
                  </w:r>
                </w:p>
              </w:tc>
              <w:tc>
                <w:tcPr>
                  <w:tcW w:w="1518" w:type="pct"/>
                  <w:gridSpan w:val="2"/>
                  <w:tcBorders>
                    <w:tl2br w:val="nil"/>
                    <w:tr2bl w:val="nil"/>
                  </w:tcBorders>
                  <w:vAlign w:val="center"/>
                </w:tcPr>
                <w:p w14:paraId="0BC56C56">
                  <w:pPr>
                    <w:tabs>
                      <w:tab w:val="left" w:pos="1170"/>
                      <w:tab w:val="left" w:pos="1470"/>
                    </w:tabs>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无组织排放监控浓度限值</w:t>
                  </w:r>
                </w:p>
              </w:tc>
            </w:tr>
            <w:tr w14:paraId="03269E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pct"/>
                  <w:vMerge w:val="continue"/>
                  <w:tcBorders>
                    <w:tl2br w:val="nil"/>
                    <w:tr2bl w:val="nil"/>
                  </w:tcBorders>
                  <w:vAlign w:val="center"/>
                </w:tcPr>
                <w:p w14:paraId="7AFEDF30">
                  <w:pPr>
                    <w:jc w:val="center"/>
                    <w:rPr>
                      <w:rFonts w:hint="default" w:ascii="Times New Roman" w:hAnsi="Times New Roman" w:cs="Times New Roman"/>
                      <w:b/>
                      <w:color w:val="auto"/>
                      <w:szCs w:val="21"/>
                    </w:rPr>
                  </w:pPr>
                </w:p>
              </w:tc>
              <w:tc>
                <w:tcPr>
                  <w:tcW w:w="915" w:type="pct"/>
                  <w:vMerge w:val="continue"/>
                  <w:tcBorders>
                    <w:tl2br w:val="nil"/>
                    <w:tr2bl w:val="nil"/>
                  </w:tcBorders>
                  <w:vAlign w:val="center"/>
                </w:tcPr>
                <w:p w14:paraId="5054CEAA">
                  <w:pPr>
                    <w:tabs>
                      <w:tab w:val="left" w:pos="1170"/>
                      <w:tab w:val="left" w:pos="1470"/>
                    </w:tabs>
                    <w:snapToGrid w:val="0"/>
                    <w:jc w:val="center"/>
                    <w:rPr>
                      <w:rFonts w:hint="default" w:ascii="Times New Roman" w:hAnsi="Times New Roman" w:cs="Times New Roman"/>
                      <w:b/>
                      <w:bCs/>
                      <w:color w:val="auto"/>
                      <w:szCs w:val="21"/>
                    </w:rPr>
                  </w:pPr>
                </w:p>
              </w:tc>
              <w:tc>
                <w:tcPr>
                  <w:tcW w:w="959" w:type="pct"/>
                  <w:tcBorders>
                    <w:tl2br w:val="nil"/>
                    <w:tr2bl w:val="nil"/>
                  </w:tcBorders>
                  <w:vAlign w:val="center"/>
                </w:tcPr>
                <w:p w14:paraId="6A793C3C">
                  <w:pPr>
                    <w:pStyle w:val="80"/>
                    <w:rPr>
                      <w:rFonts w:hint="default" w:ascii="Times New Roman" w:hAnsi="Times New Roman" w:cs="Times New Roman"/>
                      <w:b/>
                      <w:bCs/>
                      <w:color w:val="auto"/>
                    </w:rPr>
                  </w:pPr>
                  <w:r>
                    <w:rPr>
                      <w:rFonts w:hint="default" w:ascii="Times New Roman" w:hAnsi="Times New Roman" w:cs="Times New Roman"/>
                      <w:b/>
                      <w:bCs/>
                      <w:color w:val="auto"/>
                    </w:rPr>
                    <w:t>排气筒高</w:t>
                  </w:r>
                </w:p>
                <w:p w14:paraId="770FE40E">
                  <w:pPr>
                    <w:pStyle w:val="80"/>
                    <w:rPr>
                      <w:rFonts w:hint="default" w:ascii="Times New Roman" w:hAnsi="Times New Roman" w:cs="Times New Roman"/>
                      <w:b/>
                      <w:bCs/>
                      <w:color w:val="auto"/>
                      <w:szCs w:val="21"/>
                    </w:rPr>
                  </w:pPr>
                  <w:r>
                    <w:rPr>
                      <w:rFonts w:hint="default" w:ascii="Times New Roman" w:hAnsi="Times New Roman" w:cs="Times New Roman"/>
                      <w:b/>
                      <w:bCs/>
                      <w:color w:val="auto"/>
                    </w:rPr>
                    <w:t>（m）</w:t>
                  </w:r>
                </w:p>
              </w:tc>
              <w:tc>
                <w:tcPr>
                  <w:tcW w:w="960" w:type="pct"/>
                  <w:tcBorders>
                    <w:tl2br w:val="nil"/>
                    <w:tr2bl w:val="nil"/>
                  </w:tcBorders>
                  <w:vAlign w:val="center"/>
                </w:tcPr>
                <w:p w14:paraId="56E05F70">
                  <w:pPr>
                    <w:pStyle w:val="80"/>
                    <w:rPr>
                      <w:rFonts w:hint="default" w:ascii="Times New Roman" w:hAnsi="Times New Roman" w:cs="Times New Roman"/>
                      <w:b/>
                      <w:bCs/>
                      <w:color w:val="auto"/>
                      <w:szCs w:val="21"/>
                    </w:rPr>
                  </w:pPr>
                  <w:r>
                    <w:rPr>
                      <w:rFonts w:hint="default" w:ascii="Times New Roman" w:hAnsi="Times New Roman" w:cs="Times New Roman"/>
                      <w:b/>
                      <w:bCs/>
                      <w:color w:val="auto"/>
                    </w:rPr>
                    <w:t>二级</w:t>
                  </w:r>
                </w:p>
              </w:tc>
              <w:tc>
                <w:tcPr>
                  <w:tcW w:w="744" w:type="pct"/>
                  <w:tcBorders>
                    <w:tl2br w:val="nil"/>
                    <w:tr2bl w:val="nil"/>
                  </w:tcBorders>
                  <w:vAlign w:val="center"/>
                </w:tcPr>
                <w:p w14:paraId="0C26A559">
                  <w:pPr>
                    <w:tabs>
                      <w:tab w:val="left" w:pos="1170"/>
                      <w:tab w:val="left" w:pos="1470"/>
                    </w:tabs>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监控点</w:t>
                  </w:r>
                </w:p>
              </w:tc>
              <w:tc>
                <w:tcPr>
                  <w:tcW w:w="774" w:type="pct"/>
                  <w:tcBorders>
                    <w:tl2br w:val="nil"/>
                    <w:tr2bl w:val="nil"/>
                  </w:tcBorders>
                  <w:vAlign w:val="center"/>
                </w:tcPr>
                <w:p w14:paraId="5EC9B707">
                  <w:pPr>
                    <w:tabs>
                      <w:tab w:val="left" w:pos="1170"/>
                      <w:tab w:val="left" w:pos="1470"/>
                    </w:tabs>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浓度</w:t>
                  </w:r>
                </w:p>
                <w:p w14:paraId="1D5E4349">
                  <w:pPr>
                    <w:tabs>
                      <w:tab w:val="left" w:pos="1170"/>
                      <w:tab w:val="left" w:pos="1470"/>
                    </w:tabs>
                    <w:snapToGrid w:val="0"/>
                    <w:jc w:val="center"/>
                    <w:rPr>
                      <w:rFonts w:hint="default" w:ascii="Times New Roman" w:hAnsi="Times New Roman" w:cs="Times New Roman"/>
                      <w:b/>
                      <w:bCs/>
                      <w:color w:val="auto"/>
                      <w:szCs w:val="21"/>
                    </w:rPr>
                  </w:pPr>
                  <w:r>
                    <w:rPr>
                      <w:rFonts w:hint="default" w:ascii="Times New Roman" w:hAnsi="Times New Roman" w:cs="Times New Roman"/>
                      <w:b/>
                      <w:color w:val="auto"/>
                      <w:szCs w:val="21"/>
                    </w:rPr>
                    <w:t>(mg/ m</w:t>
                  </w:r>
                  <w:r>
                    <w:rPr>
                      <w:rFonts w:hint="default" w:ascii="Times New Roman" w:hAnsi="Times New Roman" w:cs="Times New Roman"/>
                      <w:b/>
                      <w:color w:val="auto"/>
                      <w:szCs w:val="21"/>
                      <w:vertAlign w:val="superscript"/>
                    </w:rPr>
                    <w:t>3</w:t>
                  </w:r>
                  <w:r>
                    <w:rPr>
                      <w:rFonts w:hint="default" w:ascii="Times New Roman" w:hAnsi="Times New Roman" w:cs="Times New Roman"/>
                      <w:b/>
                      <w:color w:val="auto"/>
                      <w:szCs w:val="21"/>
                    </w:rPr>
                    <w:t>)</w:t>
                  </w:r>
                </w:p>
              </w:tc>
            </w:tr>
            <w:tr w14:paraId="1133BF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pct"/>
                  <w:tcBorders>
                    <w:tl2br w:val="nil"/>
                    <w:tr2bl w:val="nil"/>
                  </w:tcBorders>
                  <w:vAlign w:val="center"/>
                </w:tcPr>
                <w:p w14:paraId="5C97B817">
                  <w:pPr>
                    <w:jc w:val="cente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lang w:val="en-US" w:eastAsia="zh-CN"/>
                    </w:rPr>
                    <w:t>颗粒物（烟尘）</w:t>
                  </w:r>
                </w:p>
              </w:tc>
              <w:tc>
                <w:tcPr>
                  <w:tcW w:w="915" w:type="pct"/>
                  <w:tcBorders>
                    <w:tl2br w:val="nil"/>
                    <w:tr2bl w:val="nil"/>
                  </w:tcBorders>
                  <w:vAlign w:val="center"/>
                </w:tcPr>
                <w:p w14:paraId="25270D97">
                  <w:pPr>
                    <w:tabs>
                      <w:tab w:val="left" w:pos="1170"/>
                      <w:tab w:val="left" w:pos="1470"/>
                    </w:tabs>
                    <w:snapToGrid w:val="0"/>
                    <w:jc w:val="center"/>
                    <w:rPr>
                      <w:rFonts w:hint="default" w:ascii="Times New Roman" w:hAnsi="Times New Roman" w:eastAsia="宋体" w:cs="Times New Roman"/>
                      <w:b w:val="0"/>
                      <w:bCs/>
                      <w:color w:val="auto"/>
                      <w:szCs w:val="21"/>
                      <w:lang w:val="en-US" w:eastAsia="zh-CN"/>
                    </w:rPr>
                  </w:pPr>
                  <w:r>
                    <w:rPr>
                      <w:rFonts w:hint="default" w:ascii="Times New Roman" w:hAnsi="Times New Roman" w:cs="Times New Roman"/>
                      <w:b w:val="0"/>
                      <w:bCs/>
                      <w:color w:val="auto"/>
                      <w:szCs w:val="21"/>
                      <w:lang w:val="en-US" w:eastAsia="zh-CN"/>
                    </w:rPr>
                    <w:t>120</w:t>
                  </w:r>
                </w:p>
              </w:tc>
              <w:tc>
                <w:tcPr>
                  <w:tcW w:w="959" w:type="pct"/>
                  <w:tcBorders>
                    <w:tl2br w:val="nil"/>
                    <w:tr2bl w:val="nil"/>
                  </w:tcBorders>
                  <w:vAlign w:val="center"/>
                </w:tcPr>
                <w:p w14:paraId="1F3E41C2">
                  <w:pPr>
                    <w:pStyle w:val="80"/>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20</w:t>
                  </w:r>
                </w:p>
              </w:tc>
              <w:tc>
                <w:tcPr>
                  <w:tcW w:w="960" w:type="pct"/>
                  <w:tcBorders>
                    <w:tl2br w:val="nil"/>
                    <w:tr2bl w:val="nil"/>
                  </w:tcBorders>
                  <w:vAlign w:val="center"/>
                </w:tcPr>
                <w:p w14:paraId="75783ED6">
                  <w:pPr>
                    <w:pStyle w:val="80"/>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5.9</w:t>
                  </w:r>
                </w:p>
              </w:tc>
              <w:tc>
                <w:tcPr>
                  <w:tcW w:w="744" w:type="pct"/>
                  <w:tcBorders>
                    <w:tl2br w:val="nil"/>
                    <w:tr2bl w:val="nil"/>
                  </w:tcBorders>
                  <w:vAlign w:val="center"/>
                </w:tcPr>
                <w:p w14:paraId="27D16F88">
                  <w:pPr>
                    <w:tabs>
                      <w:tab w:val="left" w:pos="1170"/>
                      <w:tab w:val="left" w:pos="1470"/>
                    </w:tabs>
                    <w:snapToGrid w:val="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周界外浓度最高点</w:t>
                  </w:r>
                </w:p>
              </w:tc>
              <w:tc>
                <w:tcPr>
                  <w:tcW w:w="774" w:type="pct"/>
                  <w:tcBorders>
                    <w:tl2br w:val="nil"/>
                    <w:tr2bl w:val="nil"/>
                  </w:tcBorders>
                  <w:vAlign w:val="center"/>
                </w:tcPr>
                <w:p w14:paraId="125C1C04">
                  <w:pPr>
                    <w:tabs>
                      <w:tab w:val="left" w:pos="1170"/>
                      <w:tab w:val="left" w:pos="1470"/>
                    </w:tabs>
                    <w:snapToGrid w:val="0"/>
                    <w:jc w:val="center"/>
                    <w:rPr>
                      <w:rFonts w:hint="default" w:ascii="Times New Roman" w:hAnsi="Times New Roman" w:eastAsia="宋体" w:cs="Times New Roman"/>
                      <w:b w:val="0"/>
                      <w:bCs/>
                      <w:color w:val="auto"/>
                      <w:szCs w:val="21"/>
                      <w:lang w:val="en-US" w:eastAsia="zh-CN"/>
                    </w:rPr>
                  </w:pPr>
                  <w:r>
                    <w:rPr>
                      <w:rFonts w:hint="default" w:ascii="Times New Roman" w:hAnsi="Times New Roman" w:cs="Times New Roman"/>
                      <w:b w:val="0"/>
                      <w:bCs/>
                      <w:color w:val="auto"/>
                      <w:szCs w:val="21"/>
                      <w:lang w:val="en-US" w:eastAsia="zh-CN"/>
                    </w:rPr>
                    <w:t>1.0</w:t>
                  </w:r>
                </w:p>
              </w:tc>
            </w:tr>
            <w:tr w14:paraId="63040F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pct"/>
                  <w:tcBorders>
                    <w:tl2br w:val="nil"/>
                    <w:tr2bl w:val="nil"/>
                  </w:tcBorders>
                  <w:vAlign w:val="center"/>
                </w:tcPr>
                <w:p w14:paraId="049A3A3C">
                  <w:pPr>
                    <w:jc w:val="center"/>
                    <w:rPr>
                      <w:rFonts w:hint="default" w:ascii="Times New Roman" w:hAnsi="Times New Roman" w:eastAsia="宋体" w:cs="Times New Roman"/>
                      <w:b w:val="0"/>
                      <w:bCs/>
                      <w:color w:val="auto"/>
                      <w:szCs w:val="21"/>
                      <w:lang w:val="en-US" w:eastAsia="zh-CN"/>
                    </w:rPr>
                  </w:pPr>
                  <w:r>
                    <w:rPr>
                      <w:rFonts w:hint="default" w:ascii="Times New Roman" w:hAnsi="Times New Roman" w:cs="Times New Roman"/>
                      <w:b w:val="0"/>
                      <w:bCs/>
                      <w:color w:val="auto"/>
                      <w:szCs w:val="21"/>
                      <w:lang w:val="en-US" w:eastAsia="zh-CN"/>
                    </w:rPr>
                    <w:t>SO</w:t>
                  </w:r>
                  <w:r>
                    <w:rPr>
                      <w:rFonts w:hint="default" w:ascii="Times New Roman" w:hAnsi="Times New Roman" w:cs="Times New Roman"/>
                      <w:b w:val="0"/>
                      <w:bCs/>
                      <w:color w:val="auto"/>
                      <w:szCs w:val="21"/>
                      <w:vertAlign w:val="subscript"/>
                      <w:lang w:val="en-US" w:eastAsia="zh-CN"/>
                    </w:rPr>
                    <w:t>2</w:t>
                  </w:r>
                </w:p>
              </w:tc>
              <w:tc>
                <w:tcPr>
                  <w:tcW w:w="915" w:type="pct"/>
                  <w:tcBorders>
                    <w:tl2br w:val="nil"/>
                    <w:tr2bl w:val="nil"/>
                  </w:tcBorders>
                  <w:vAlign w:val="center"/>
                </w:tcPr>
                <w:p w14:paraId="2E80B19D">
                  <w:pPr>
                    <w:tabs>
                      <w:tab w:val="left" w:pos="1170"/>
                      <w:tab w:val="left" w:pos="1470"/>
                    </w:tabs>
                    <w:snapToGrid w:val="0"/>
                    <w:jc w:val="center"/>
                    <w:rPr>
                      <w:rFonts w:hint="default" w:ascii="Times New Roman" w:hAnsi="Times New Roman" w:eastAsia="宋体" w:cs="Times New Roman"/>
                      <w:b w:val="0"/>
                      <w:bCs/>
                      <w:color w:val="auto"/>
                      <w:szCs w:val="21"/>
                      <w:lang w:val="en-US" w:eastAsia="zh-CN"/>
                    </w:rPr>
                  </w:pPr>
                  <w:r>
                    <w:rPr>
                      <w:rFonts w:hint="default" w:ascii="Times New Roman" w:hAnsi="Times New Roman" w:cs="Times New Roman"/>
                      <w:b w:val="0"/>
                      <w:bCs/>
                      <w:color w:val="auto"/>
                      <w:szCs w:val="21"/>
                      <w:lang w:val="en-US" w:eastAsia="zh-CN"/>
                    </w:rPr>
                    <w:t>550</w:t>
                  </w:r>
                </w:p>
              </w:tc>
              <w:tc>
                <w:tcPr>
                  <w:tcW w:w="959" w:type="pct"/>
                  <w:tcBorders>
                    <w:tl2br w:val="nil"/>
                    <w:tr2bl w:val="nil"/>
                  </w:tcBorders>
                  <w:vAlign w:val="center"/>
                </w:tcPr>
                <w:p w14:paraId="420563D9">
                  <w:pPr>
                    <w:pStyle w:val="80"/>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20</w:t>
                  </w:r>
                </w:p>
              </w:tc>
              <w:tc>
                <w:tcPr>
                  <w:tcW w:w="960" w:type="pct"/>
                  <w:tcBorders>
                    <w:tl2br w:val="nil"/>
                    <w:tr2bl w:val="nil"/>
                  </w:tcBorders>
                  <w:vAlign w:val="center"/>
                </w:tcPr>
                <w:p w14:paraId="6AB9F8D8">
                  <w:pPr>
                    <w:pStyle w:val="80"/>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4.3</w:t>
                  </w:r>
                </w:p>
              </w:tc>
              <w:tc>
                <w:tcPr>
                  <w:tcW w:w="744" w:type="pct"/>
                  <w:tcBorders>
                    <w:tl2br w:val="nil"/>
                    <w:tr2bl w:val="nil"/>
                  </w:tcBorders>
                  <w:shd w:val="clear" w:color="auto" w:fill="auto"/>
                  <w:vAlign w:val="center"/>
                </w:tcPr>
                <w:p w14:paraId="7FC2EEAE">
                  <w:pPr>
                    <w:tabs>
                      <w:tab w:val="left" w:pos="1170"/>
                      <w:tab w:val="left" w:pos="1470"/>
                    </w:tabs>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Cs w:val="21"/>
                      <w:lang w:val="en-US" w:eastAsia="zh-CN"/>
                    </w:rPr>
                    <w:t>/</w:t>
                  </w:r>
                </w:p>
              </w:tc>
              <w:tc>
                <w:tcPr>
                  <w:tcW w:w="774" w:type="pct"/>
                  <w:tcBorders>
                    <w:tl2br w:val="nil"/>
                    <w:tr2bl w:val="nil"/>
                  </w:tcBorders>
                  <w:vAlign w:val="center"/>
                </w:tcPr>
                <w:p w14:paraId="63AA59BE">
                  <w:pPr>
                    <w:tabs>
                      <w:tab w:val="left" w:pos="1170"/>
                      <w:tab w:val="left" w:pos="1470"/>
                    </w:tabs>
                    <w:snapToGrid w:val="0"/>
                    <w:jc w:val="center"/>
                    <w:rPr>
                      <w:rFonts w:hint="default" w:ascii="Times New Roman" w:hAnsi="Times New Roman" w:eastAsia="宋体" w:cs="Times New Roman"/>
                      <w:b w:val="0"/>
                      <w:bCs/>
                      <w:color w:val="auto"/>
                      <w:szCs w:val="21"/>
                      <w:lang w:val="en-US" w:eastAsia="zh-CN"/>
                    </w:rPr>
                  </w:pPr>
                  <w:r>
                    <w:rPr>
                      <w:rFonts w:hint="default" w:ascii="Times New Roman" w:hAnsi="Times New Roman" w:cs="Times New Roman"/>
                      <w:b w:val="0"/>
                      <w:bCs/>
                      <w:color w:val="auto"/>
                      <w:szCs w:val="21"/>
                      <w:lang w:val="en-US" w:eastAsia="zh-CN"/>
                    </w:rPr>
                    <w:t>/</w:t>
                  </w:r>
                </w:p>
              </w:tc>
            </w:tr>
            <w:tr w14:paraId="238B7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pct"/>
                  <w:tcBorders>
                    <w:tl2br w:val="nil"/>
                    <w:tr2bl w:val="nil"/>
                  </w:tcBorders>
                  <w:vAlign w:val="center"/>
                </w:tcPr>
                <w:p w14:paraId="24399FB5">
                  <w:pPr>
                    <w:jc w:val="center"/>
                    <w:rPr>
                      <w:rFonts w:hint="default" w:ascii="Times New Roman" w:hAnsi="Times New Roman" w:eastAsia="宋体" w:cs="Times New Roman"/>
                      <w:b w:val="0"/>
                      <w:bCs/>
                      <w:color w:val="auto"/>
                      <w:szCs w:val="21"/>
                      <w:lang w:val="en-US" w:eastAsia="zh-CN"/>
                    </w:rPr>
                  </w:pPr>
                  <w:r>
                    <w:rPr>
                      <w:rFonts w:hint="default" w:ascii="Times New Roman" w:hAnsi="Times New Roman" w:cs="Times New Roman"/>
                      <w:b w:val="0"/>
                      <w:bCs/>
                      <w:color w:val="auto"/>
                      <w:szCs w:val="21"/>
                      <w:lang w:val="en-US" w:eastAsia="zh-CN"/>
                    </w:rPr>
                    <w:t>NOx</w:t>
                  </w:r>
                </w:p>
              </w:tc>
              <w:tc>
                <w:tcPr>
                  <w:tcW w:w="915" w:type="pct"/>
                  <w:tcBorders>
                    <w:tl2br w:val="nil"/>
                    <w:tr2bl w:val="nil"/>
                  </w:tcBorders>
                  <w:vAlign w:val="center"/>
                </w:tcPr>
                <w:p w14:paraId="4BACFE7C">
                  <w:pPr>
                    <w:tabs>
                      <w:tab w:val="left" w:pos="1170"/>
                      <w:tab w:val="left" w:pos="1470"/>
                    </w:tabs>
                    <w:snapToGrid w:val="0"/>
                    <w:jc w:val="center"/>
                    <w:rPr>
                      <w:rFonts w:hint="default" w:ascii="Times New Roman" w:hAnsi="Times New Roman" w:eastAsia="宋体" w:cs="Times New Roman"/>
                      <w:b w:val="0"/>
                      <w:bCs/>
                      <w:color w:val="auto"/>
                      <w:szCs w:val="21"/>
                      <w:lang w:val="en-US" w:eastAsia="zh-CN"/>
                    </w:rPr>
                  </w:pPr>
                  <w:r>
                    <w:rPr>
                      <w:rFonts w:hint="default" w:ascii="Times New Roman" w:hAnsi="Times New Roman" w:cs="Times New Roman"/>
                      <w:b w:val="0"/>
                      <w:bCs/>
                      <w:color w:val="auto"/>
                      <w:szCs w:val="21"/>
                      <w:lang w:val="en-US" w:eastAsia="zh-CN"/>
                    </w:rPr>
                    <w:t>240</w:t>
                  </w:r>
                </w:p>
              </w:tc>
              <w:tc>
                <w:tcPr>
                  <w:tcW w:w="959" w:type="pct"/>
                  <w:tcBorders>
                    <w:tl2br w:val="nil"/>
                    <w:tr2bl w:val="nil"/>
                  </w:tcBorders>
                  <w:vAlign w:val="center"/>
                </w:tcPr>
                <w:p w14:paraId="50C89EEE">
                  <w:pPr>
                    <w:pStyle w:val="80"/>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20</w:t>
                  </w:r>
                </w:p>
              </w:tc>
              <w:tc>
                <w:tcPr>
                  <w:tcW w:w="960" w:type="pct"/>
                  <w:tcBorders>
                    <w:tl2br w:val="nil"/>
                    <w:tr2bl w:val="nil"/>
                  </w:tcBorders>
                  <w:vAlign w:val="center"/>
                </w:tcPr>
                <w:p w14:paraId="4FC63264">
                  <w:pPr>
                    <w:pStyle w:val="80"/>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1.3</w:t>
                  </w:r>
                </w:p>
              </w:tc>
              <w:tc>
                <w:tcPr>
                  <w:tcW w:w="744" w:type="pct"/>
                  <w:tcBorders>
                    <w:tl2br w:val="nil"/>
                    <w:tr2bl w:val="nil"/>
                  </w:tcBorders>
                  <w:shd w:val="clear" w:color="auto" w:fill="auto"/>
                  <w:vAlign w:val="center"/>
                </w:tcPr>
                <w:p w14:paraId="0D3922E3">
                  <w:pPr>
                    <w:tabs>
                      <w:tab w:val="left" w:pos="1170"/>
                      <w:tab w:val="left" w:pos="1470"/>
                    </w:tabs>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Cs w:val="21"/>
                      <w:lang w:val="en-US" w:eastAsia="zh-CN"/>
                    </w:rPr>
                    <w:t>/</w:t>
                  </w:r>
                </w:p>
              </w:tc>
              <w:tc>
                <w:tcPr>
                  <w:tcW w:w="774" w:type="pct"/>
                  <w:tcBorders>
                    <w:tl2br w:val="nil"/>
                    <w:tr2bl w:val="nil"/>
                  </w:tcBorders>
                  <w:vAlign w:val="center"/>
                </w:tcPr>
                <w:p w14:paraId="169E90E4">
                  <w:pPr>
                    <w:tabs>
                      <w:tab w:val="left" w:pos="1170"/>
                      <w:tab w:val="left" w:pos="1470"/>
                    </w:tabs>
                    <w:snapToGrid w:val="0"/>
                    <w:jc w:val="center"/>
                    <w:rPr>
                      <w:rFonts w:hint="default" w:ascii="Times New Roman" w:hAnsi="Times New Roman" w:eastAsia="宋体" w:cs="Times New Roman"/>
                      <w:b w:val="0"/>
                      <w:bCs/>
                      <w:color w:val="auto"/>
                      <w:szCs w:val="21"/>
                      <w:lang w:val="en-US" w:eastAsia="zh-CN"/>
                    </w:rPr>
                  </w:pPr>
                  <w:r>
                    <w:rPr>
                      <w:rFonts w:hint="default" w:ascii="Times New Roman" w:hAnsi="Times New Roman" w:cs="Times New Roman"/>
                      <w:b w:val="0"/>
                      <w:bCs/>
                      <w:color w:val="auto"/>
                      <w:szCs w:val="21"/>
                      <w:lang w:val="en-US" w:eastAsia="zh-CN"/>
                    </w:rPr>
                    <w:t>/</w:t>
                  </w:r>
                </w:p>
              </w:tc>
            </w:tr>
            <w:tr w14:paraId="6139DD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646" w:type="pct"/>
                  <w:tcBorders>
                    <w:tl2br w:val="nil"/>
                    <w:tr2bl w:val="nil"/>
                  </w:tcBorders>
                  <w:vAlign w:val="center"/>
                </w:tcPr>
                <w:p w14:paraId="348D1CC2">
                  <w:pPr>
                    <w:tabs>
                      <w:tab w:val="left" w:pos="1170"/>
                      <w:tab w:val="left" w:pos="1470"/>
                    </w:tabs>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沥青烟</w:t>
                  </w:r>
                </w:p>
              </w:tc>
              <w:tc>
                <w:tcPr>
                  <w:tcW w:w="915" w:type="pct"/>
                  <w:tcBorders>
                    <w:tl2br w:val="nil"/>
                    <w:tr2bl w:val="nil"/>
                  </w:tcBorders>
                  <w:vAlign w:val="center"/>
                </w:tcPr>
                <w:p w14:paraId="5A66BC37">
                  <w:pPr>
                    <w:tabs>
                      <w:tab w:val="left" w:pos="1170"/>
                      <w:tab w:val="left" w:pos="1470"/>
                    </w:tabs>
                    <w:jc w:val="center"/>
                    <w:rPr>
                      <w:rFonts w:hint="default" w:ascii="Times New Roman" w:hAnsi="Times New Roman" w:cs="Times New Roman"/>
                      <w:bCs/>
                      <w:color w:val="auto"/>
                      <w:szCs w:val="21"/>
                      <w:lang w:val="en-US" w:eastAsia="zh-CN"/>
                    </w:rPr>
                  </w:pPr>
                  <w:r>
                    <w:rPr>
                      <w:rFonts w:hint="default" w:ascii="Times New Roman" w:hAnsi="Times New Roman" w:cs="Times New Roman"/>
                      <w:color w:val="auto"/>
                      <w:sz w:val="21"/>
                      <w:szCs w:val="21"/>
                      <w:lang w:val="en-US" w:eastAsia="zh-CN"/>
                    </w:rPr>
                    <w:t>75(建筑搅拌)</w:t>
                  </w:r>
                </w:p>
              </w:tc>
              <w:tc>
                <w:tcPr>
                  <w:tcW w:w="959" w:type="pct"/>
                  <w:tcBorders>
                    <w:tl2br w:val="nil"/>
                    <w:tr2bl w:val="nil"/>
                  </w:tcBorders>
                  <w:vAlign w:val="center"/>
                </w:tcPr>
                <w:p w14:paraId="422177FB">
                  <w:pPr>
                    <w:tabs>
                      <w:tab w:val="left" w:pos="1170"/>
                      <w:tab w:val="left" w:pos="1470"/>
                    </w:tabs>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20</w:t>
                  </w:r>
                </w:p>
              </w:tc>
              <w:tc>
                <w:tcPr>
                  <w:tcW w:w="960" w:type="pct"/>
                  <w:tcBorders>
                    <w:tl2br w:val="nil"/>
                    <w:tr2bl w:val="nil"/>
                  </w:tcBorders>
                  <w:vAlign w:val="center"/>
                </w:tcPr>
                <w:p w14:paraId="50FB903D">
                  <w:pPr>
                    <w:tabs>
                      <w:tab w:val="left" w:pos="1170"/>
                      <w:tab w:val="left" w:pos="1470"/>
                    </w:tabs>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0.30</w:t>
                  </w:r>
                </w:p>
              </w:tc>
              <w:tc>
                <w:tcPr>
                  <w:tcW w:w="1518" w:type="pct"/>
                  <w:gridSpan w:val="2"/>
                  <w:tcBorders>
                    <w:tl2br w:val="nil"/>
                    <w:tr2bl w:val="nil"/>
                  </w:tcBorders>
                  <w:vAlign w:val="center"/>
                </w:tcPr>
                <w:p w14:paraId="721CBF76">
                  <w:pPr>
                    <w:adjustRightInd w:val="0"/>
                    <w:snapToGrid w:val="0"/>
                    <w:spacing w:line="22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生产设备不得有明显无组织排放存在</w:t>
                  </w:r>
                </w:p>
              </w:tc>
            </w:tr>
            <w:tr w14:paraId="3EED3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6" w:type="pct"/>
                  <w:tcBorders>
                    <w:tl2br w:val="nil"/>
                    <w:tr2bl w:val="nil"/>
                  </w:tcBorders>
                  <w:shd w:val="clear" w:color="auto" w:fill="auto"/>
                  <w:vAlign w:val="center"/>
                </w:tcPr>
                <w:p w14:paraId="3D45AA6A">
                  <w:pPr>
                    <w:tabs>
                      <w:tab w:val="left" w:pos="1170"/>
                      <w:tab w:val="left" w:pos="1470"/>
                    </w:tabs>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lang w:val="en-US" w:eastAsia="zh-CN"/>
                    </w:rPr>
                    <w:t>苯并[a]芘</w:t>
                  </w:r>
                </w:p>
              </w:tc>
              <w:tc>
                <w:tcPr>
                  <w:tcW w:w="915" w:type="pct"/>
                  <w:tcBorders>
                    <w:tl2br w:val="nil"/>
                    <w:tr2bl w:val="nil"/>
                  </w:tcBorders>
                  <w:shd w:val="clear" w:color="auto" w:fill="auto"/>
                  <w:vAlign w:val="center"/>
                </w:tcPr>
                <w:p w14:paraId="6436B54A">
                  <w:pPr>
                    <w:tabs>
                      <w:tab w:val="left" w:pos="1170"/>
                      <w:tab w:val="left" w:pos="1470"/>
                    </w:tabs>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lang w:val="en-US" w:eastAsia="zh-CN"/>
                    </w:rPr>
                    <w:t>0.</w:t>
                  </w:r>
                  <w:r>
                    <w:rPr>
                      <w:rFonts w:hint="default" w:ascii="Times New Roman" w:hAnsi="Times New Roman" w:cs="Times New Roman"/>
                      <w:bCs/>
                      <w:color w:val="auto"/>
                      <w:szCs w:val="21"/>
                      <w:lang w:val="en-US" w:eastAsia="zh-CN"/>
                    </w:rPr>
                    <w:t>30</w:t>
                  </w:r>
                  <w:r>
                    <w:rPr>
                      <w:rFonts w:hint="default" w:ascii="Times New Roman" w:hAnsi="Times New Roman" w:eastAsia="宋体" w:cs="Times New Roman"/>
                      <w:bCs/>
                      <w:color w:val="auto"/>
                      <w:szCs w:val="21"/>
                      <w:lang w:val="en-US" w:eastAsia="zh-CN"/>
                    </w:rPr>
                    <w:t>×10</w:t>
                  </w:r>
                  <w:r>
                    <w:rPr>
                      <w:rFonts w:hint="default" w:ascii="Times New Roman" w:hAnsi="Times New Roman" w:eastAsia="宋体" w:cs="Times New Roman"/>
                      <w:bCs/>
                      <w:color w:val="auto"/>
                      <w:szCs w:val="21"/>
                      <w:vertAlign w:val="superscript"/>
                      <w:lang w:val="en-US" w:eastAsia="zh-CN"/>
                    </w:rPr>
                    <w:t>-3</w:t>
                  </w:r>
                </w:p>
              </w:tc>
              <w:tc>
                <w:tcPr>
                  <w:tcW w:w="959" w:type="pct"/>
                  <w:tcBorders>
                    <w:tl2br w:val="nil"/>
                    <w:tr2bl w:val="nil"/>
                  </w:tcBorders>
                  <w:vAlign w:val="center"/>
                </w:tcPr>
                <w:p w14:paraId="628F76C6">
                  <w:pPr>
                    <w:tabs>
                      <w:tab w:val="left" w:pos="1170"/>
                      <w:tab w:val="left" w:pos="1470"/>
                    </w:tabs>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20</w:t>
                  </w:r>
                </w:p>
              </w:tc>
              <w:tc>
                <w:tcPr>
                  <w:tcW w:w="960" w:type="pct"/>
                  <w:tcBorders>
                    <w:tl2br w:val="nil"/>
                    <w:tr2bl w:val="nil"/>
                  </w:tcBorders>
                  <w:vAlign w:val="center"/>
                </w:tcPr>
                <w:p w14:paraId="593CC33A">
                  <w:pPr>
                    <w:tabs>
                      <w:tab w:val="left" w:pos="1170"/>
                      <w:tab w:val="left" w:pos="1470"/>
                    </w:tabs>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0.085</w:t>
                  </w:r>
                  <w:r>
                    <w:rPr>
                      <w:rFonts w:hint="default" w:ascii="Times New Roman" w:hAnsi="Times New Roman" w:eastAsia="宋体" w:cs="Times New Roman"/>
                      <w:bCs/>
                      <w:color w:val="auto"/>
                      <w:szCs w:val="21"/>
                      <w:lang w:val="en-US" w:eastAsia="zh-CN"/>
                    </w:rPr>
                    <w:t>×10</w:t>
                  </w:r>
                  <w:r>
                    <w:rPr>
                      <w:rFonts w:hint="default" w:ascii="Times New Roman" w:hAnsi="Times New Roman" w:eastAsia="宋体" w:cs="Times New Roman"/>
                      <w:bCs/>
                      <w:color w:val="auto"/>
                      <w:szCs w:val="21"/>
                      <w:vertAlign w:val="superscript"/>
                      <w:lang w:val="en-US" w:eastAsia="zh-CN"/>
                    </w:rPr>
                    <w:t>-3</w:t>
                  </w:r>
                </w:p>
              </w:tc>
              <w:tc>
                <w:tcPr>
                  <w:tcW w:w="744" w:type="pct"/>
                  <w:tcBorders>
                    <w:tl2br w:val="nil"/>
                    <w:tr2bl w:val="nil"/>
                  </w:tcBorders>
                  <w:shd w:val="clear" w:color="auto" w:fill="auto"/>
                  <w:vAlign w:val="center"/>
                </w:tcPr>
                <w:p w14:paraId="7CBDBC0C">
                  <w:pPr>
                    <w:tabs>
                      <w:tab w:val="left" w:pos="1170"/>
                      <w:tab w:val="left" w:pos="1470"/>
                    </w:tabs>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lang w:val="en-US" w:eastAsia="zh-CN"/>
                    </w:rPr>
                    <w:t>周界外浓度最高点</w:t>
                  </w:r>
                </w:p>
              </w:tc>
              <w:tc>
                <w:tcPr>
                  <w:tcW w:w="774" w:type="pct"/>
                  <w:tcBorders>
                    <w:tl2br w:val="nil"/>
                    <w:tr2bl w:val="nil"/>
                  </w:tcBorders>
                  <w:shd w:val="clear" w:color="auto" w:fill="auto"/>
                  <w:vAlign w:val="center"/>
                </w:tcPr>
                <w:p w14:paraId="6B8F61CC">
                  <w:pPr>
                    <w:tabs>
                      <w:tab w:val="left" w:pos="1170"/>
                      <w:tab w:val="left" w:pos="1470"/>
                    </w:tabs>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lang w:val="en-US" w:eastAsia="zh-CN"/>
                    </w:rPr>
                    <w:t>0.008×10</w:t>
                  </w:r>
                  <w:r>
                    <w:rPr>
                      <w:rFonts w:hint="default" w:ascii="Times New Roman" w:hAnsi="Times New Roman" w:eastAsia="宋体" w:cs="Times New Roman"/>
                      <w:bCs/>
                      <w:color w:val="auto"/>
                      <w:szCs w:val="21"/>
                      <w:vertAlign w:val="superscript"/>
                      <w:lang w:val="en-US" w:eastAsia="zh-CN"/>
                    </w:rPr>
                    <w:t>-3</w:t>
                  </w:r>
                </w:p>
              </w:tc>
            </w:tr>
            <w:tr w14:paraId="21C53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46" w:type="pct"/>
                  <w:tcBorders>
                    <w:tl2br w:val="nil"/>
                    <w:tr2bl w:val="nil"/>
                  </w:tcBorders>
                  <w:vAlign w:val="center"/>
                </w:tcPr>
                <w:p w14:paraId="7934B8C6">
                  <w:pPr>
                    <w:tabs>
                      <w:tab w:val="left" w:pos="1170"/>
                      <w:tab w:val="left" w:pos="1470"/>
                    </w:tabs>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非甲烷总烃</w:t>
                  </w:r>
                </w:p>
              </w:tc>
              <w:tc>
                <w:tcPr>
                  <w:tcW w:w="915" w:type="pct"/>
                  <w:tcBorders>
                    <w:tl2br w:val="nil"/>
                    <w:tr2bl w:val="nil"/>
                  </w:tcBorders>
                  <w:vAlign w:val="center"/>
                </w:tcPr>
                <w:p w14:paraId="501F338A">
                  <w:pPr>
                    <w:tabs>
                      <w:tab w:val="left" w:pos="1170"/>
                      <w:tab w:val="left" w:pos="1470"/>
                    </w:tabs>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120</w:t>
                  </w:r>
                </w:p>
              </w:tc>
              <w:tc>
                <w:tcPr>
                  <w:tcW w:w="959" w:type="pct"/>
                  <w:tcBorders>
                    <w:tl2br w:val="nil"/>
                    <w:tr2bl w:val="nil"/>
                  </w:tcBorders>
                  <w:vAlign w:val="center"/>
                </w:tcPr>
                <w:p w14:paraId="678D03C7">
                  <w:pPr>
                    <w:tabs>
                      <w:tab w:val="left" w:pos="1170"/>
                      <w:tab w:val="left" w:pos="1470"/>
                    </w:tabs>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20</w:t>
                  </w:r>
                </w:p>
              </w:tc>
              <w:tc>
                <w:tcPr>
                  <w:tcW w:w="960" w:type="pct"/>
                  <w:tcBorders>
                    <w:tl2br w:val="nil"/>
                    <w:tr2bl w:val="nil"/>
                  </w:tcBorders>
                  <w:vAlign w:val="center"/>
                </w:tcPr>
                <w:p w14:paraId="07A0EB40">
                  <w:pPr>
                    <w:tabs>
                      <w:tab w:val="left" w:pos="1170"/>
                      <w:tab w:val="left" w:pos="1470"/>
                    </w:tabs>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17</w:t>
                  </w:r>
                </w:p>
              </w:tc>
              <w:tc>
                <w:tcPr>
                  <w:tcW w:w="744" w:type="pct"/>
                  <w:tcBorders>
                    <w:tl2br w:val="nil"/>
                    <w:tr2bl w:val="nil"/>
                  </w:tcBorders>
                  <w:vAlign w:val="center"/>
                </w:tcPr>
                <w:p w14:paraId="04461B7E">
                  <w:pPr>
                    <w:tabs>
                      <w:tab w:val="left" w:pos="1170"/>
                      <w:tab w:val="left" w:pos="1470"/>
                    </w:tabs>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周界外浓度最高点</w:t>
                  </w:r>
                </w:p>
              </w:tc>
              <w:tc>
                <w:tcPr>
                  <w:tcW w:w="774" w:type="pct"/>
                  <w:tcBorders>
                    <w:tl2br w:val="nil"/>
                    <w:tr2bl w:val="nil"/>
                  </w:tcBorders>
                  <w:vAlign w:val="center"/>
                </w:tcPr>
                <w:p w14:paraId="3B0462BF">
                  <w:pPr>
                    <w:tabs>
                      <w:tab w:val="left" w:pos="1170"/>
                      <w:tab w:val="left" w:pos="1470"/>
                    </w:tabs>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4.0</w:t>
                  </w:r>
                </w:p>
              </w:tc>
            </w:tr>
          </w:tbl>
          <w:p w14:paraId="249B07A0">
            <w:pPr>
              <w:spacing w:line="360" w:lineRule="auto"/>
              <w:ind w:firstLine="803" w:firstLineChars="400"/>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表3-12 饮食业单位的油烟最高允许排放浓度和油烟净化设施最低去除效率</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321"/>
              <w:gridCol w:w="1405"/>
              <w:gridCol w:w="1407"/>
              <w:gridCol w:w="1405"/>
            </w:tblGrid>
            <w:tr w14:paraId="60853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8" w:hRule="atLeast"/>
                <w:jc w:val="center"/>
              </w:trPr>
              <w:tc>
                <w:tcPr>
                  <w:tcW w:w="4321" w:type="dxa"/>
                  <w:noWrap w:val="0"/>
                  <w:vAlign w:val="center"/>
                </w:tcPr>
                <w:p w14:paraId="326A1317">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规模</w:t>
                  </w:r>
                </w:p>
              </w:tc>
              <w:tc>
                <w:tcPr>
                  <w:tcW w:w="1405" w:type="dxa"/>
                  <w:noWrap w:val="0"/>
                  <w:vAlign w:val="center"/>
                </w:tcPr>
                <w:p w14:paraId="437DECD6">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小型</w:t>
                  </w:r>
                </w:p>
              </w:tc>
              <w:tc>
                <w:tcPr>
                  <w:tcW w:w="1407" w:type="dxa"/>
                  <w:noWrap w:val="0"/>
                  <w:vAlign w:val="top"/>
                </w:tcPr>
                <w:p w14:paraId="5413BF27">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中型</w:t>
                  </w:r>
                </w:p>
              </w:tc>
              <w:tc>
                <w:tcPr>
                  <w:tcW w:w="1405" w:type="dxa"/>
                  <w:noWrap w:val="0"/>
                  <w:vAlign w:val="top"/>
                </w:tcPr>
                <w:p w14:paraId="7927BD49">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大型</w:t>
                  </w:r>
                </w:p>
              </w:tc>
            </w:tr>
            <w:tr w14:paraId="69A6D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9" w:hRule="atLeast"/>
                <w:jc w:val="center"/>
              </w:trPr>
              <w:tc>
                <w:tcPr>
                  <w:tcW w:w="4321" w:type="dxa"/>
                  <w:noWrap w:val="0"/>
                  <w:vAlign w:val="center"/>
                </w:tcPr>
                <w:p w14:paraId="2243D67D">
                  <w:pPr>
                    <w:jc w:val="center"/>
                    <w:rPr>
                      <w:rFonts w:hint="default" w:ascii="Times New Roman" w:hAnsi="Times New Roman" w:cs="Times New Roman"/>
                      <w:color w:val="auto"/>
                      <w:szCs w:val="21"/>
                    </w:rPr>
                  </w:pPr>
                  <w:r>
                    <w:rPr>
                      <w:rFonts w:hint="default" w:ascii="Times New Roman" w:hAnsi="Times New Roman" w:cs="Times New Roman"/>
                      <w:color w:val="auto"/>
                      <w:szCs w:val="21"/>
                    </w:rPr>
                    <w:t>最高允许排放浓度（mg/m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c>
                <w:tcPr>
                  <w:tcW w:w="4217" w:type="dxa"/>
                  <w:gridSpan w:val="3"/>
                  <w:noWrap w:val="0"/>
                  <w:vAlign w:val="center"/>
                </w:tcPr>
                <w:p w14:paraId="19F02281">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r>
            <w:tr w14:paraId="1A0C9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8" w:hRule="atLeast"/>
                <w:jc w:val="center"/>
              </w:trPr>
              <w:tc>
                <w:tcPr>
                  <w:tcW w:w="4321" w:type="dxa"/>
                  <w:noWrap w:val="0"/>
                  <w:vAlign w:val="center"/>
                </w:tcPr>
                <w:p w14:paraId="389C3226">
                  <w:pPr>
                    <w:jc w:val="center"/>
                    <w:rPr>
                      <w:rFonts w:hint="default" w:ascii="Times New Roman" w:hAnsi="Times New Roman" w:cs="Times New Roman"/>
                      <w:color w:val="auto"/>
                      <w:szCs w:val="21"/>
                    </w:rPr>
                  </w:pPr>
                  <w:r>
                    <w:rPr>
                      <w:rFonts w:hint="default" w:ascii="Times New Roman" w:hAnsi="Times New Roman" w:cs="Times New Roman"/>
                      <w:color w:val="auto"/>
                      <w:szCs w:val="21"/>
                    </w:rPr>
                    <w:t>净化设施最低去除效率（%）</w:t>
                  </w:r>
                </w:p>
              </w:tc>
              <w:tc>
                <w:tcPr>
                  <w:tcW w:w="1405" w:type="dxa"/>
                  <w:noWrap w:val="0"/>
                  <w:vAlign w:val="center"/>
                </w:tcPr>
                <w:p w14:paraId="4D4D4016">
                  <w:pPr>
                    <w:ind w:left="-496" w:leftChars="-236" w:firstLine="495" w:firstLineChars="236"/>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1407" w:type="dxa"/>
                  <w:noWrap w:val="0"/>
                  <w:vAlign w:val="top"/>
                </w:tcPr>
                <w:p w14:paraId="0BAF03A8">
                  <w:pPr>
                    <w:jc w:val="center"/>
                    <w:rPr>
                      <w:rFonts w:hint="default" w:ascii="Times New Roman" w:hAnsi="Times New Roman" w:cs="Times New Roman"/>
                      <w:color w:val="auto"/>
                      <w:szCs w:val="21"/>
                    </w:rPr>
                  </w:pPr>
                  <w:r>
                    <w:rPr>
                      <w:rFonts w:hint="default" w:ascii="Times New Roman" w:hAnsi="Times New Roman" w:cs="Times New Roman"/>
                      <w:color w:val="auto"/>
                      <w:szCs w:val="21"/>
                    </w:rPr>
                    <w:t>75</w:t>
                  </w:r>
                </w:p>
              </w:tc>
              <w:tc>
                <w:tcPr>
                  <w:tcW w:w="1405" w:type="dxa"/>
                  <w:noWrap w:val="0"/>
                  <w:vAlign w:val="top"/>
                </w:tcPr>
                <w:p w14:paraId="17FE638F">
                  <w:pPr>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r>
          </w:tbl>
          <w:p w14:paraId="3F7734AC">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2、废水</w:t>
            </w:r>
          </w:p>
          <w:p w14:paraId="7B780C23">
            <w:pPr>
              <w:spacing w:line="360" w:lineRule="auto"/>
              <w:ind w:firstLine="480" w:firstLineChars="200"/>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cs="Times New Roman"/>
                <w:color w:val="auto"/>
                <w:sz w:val="24"/>
                <w:szCs w:val="24"/>
                <w:lang w:val="zh-CN"/>
              </w:rPr>
              <w:t>项目实行雨污分流，雨水汇集后排水沟排出场外；生活污水</w:t>
            </w:r>
            <w:r>
              <w:rPr>
                <w:rFonts w:hint="default" w:ascii="Times New Roman" w:hAnsi="Times New Roman" w:cs="Times New Roman"/>
                <w:color w:val="auto"/>
                <w:sz w:val="24"/>
                <w:szCs w:val="24"/>
                <w:lang w:val="en-US" w:eastAsia="zh-CN"/>
              </w:rPr>
              <w:t>经</w:t>
            </w:r>
            <w:r>
              <w:rPr>
                <w:rFonts w:hint="default" w:ascii="Times New Roman" w:hAnsi="Times New Roman" w:cs="Times New Roman"/>
                <w:color w:val="auto"/>
                <w:sz w:val="24"/>
                <w:szCs w:val="24"/>
                <w:lang w:val="zh-CN"/>
              </w:rPr>
              <w:t>粪池处理后由附近农民清运至早田施肥，不外排；地面</w:t>
            </w:r>
            <w:r>
              <w:rPr>
                <w:rFonts w:hint="default" w:ascii="Times New Roman" w:hAnsi="Times New Roman" w:cs="Times New Roman"/>
                <w:color w:val="auto"/>
                <w:sz w:val="24"/>
                <w:szCs w:val="24"/>
                <w:lang w:val="en-US" w:eastAsia="zh-CN"/>
              </w:rPr>
              <w:t>冲洗</w:t>
            </w:r>
            <w:r>
              <w:rPr>
                <w:rFonts w:hint="default" w:ascii="Times New Roman" w:hAnsi="Times New Roman" w:cs="Times New Roman"/>
                <w:color w:val="auto"/>
                <w:sz w:val="24"/>
                <w:szCs w:val="24"/>
                <w:lang w:val="zh-CN"/>
              </w:rPr>
              <w:t>废水、车辆冲洗废水导流沟收集</w:t>
            </w:r>
            <w:r>
              <w:rPr>
                <w:rFonts w:hint="default" w:ascii="Times New Roman" w:hAnsi="Times New Roman" w:cs="Times New Roman"/>
                <w:color w:val="auto"/>
                <w:sz w:val="24"/>
                <w:szCs w:val="24"/>
                <w:lang w:val="en-US" w:eastAsia="zh-CN"/>
              </w:rPr>
              <w:t>进入三级沉淀池</w:t>
            </w:r>
            <w:r>
              <w:rPr>
                <w:rFonts w:hint="default" w:ascii="Times New Roman" w:hAnsi="Times New Roman" w:cs="Times New Roman"/>
                <w:color w:val="auto"/>
                <w:sz w:val="24"/>
                <w:szCs w:val="24"/>
                <w:lang w:val="zh-CN"/>
              </w:rPr>
              <w:t>处理后回用于生产，不外排。</w:t>
            </w:r>
          </w:p>
          <w:p w14:paraId="37A4032F">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3、噪声</w:t>
            </w:r>
          </w:p>
          <w:p w14:paraId="5144F2BF">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施工期执行《建筑施工场界环境噪声排放标准》（GB12523-2011）；运营期执行《工业企业厂界环境噪声排放标准》（GB12348-2008）</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w:t>
            </w:r>
          </w:p>
          <w:p w14:paraId="0E556FC4">
            <w:pPr>
              <w:pStyle w:val="25"/>
              <w:rPr>
                <w:rFonts w:hint="default" w:ascii="Times New Roman" w:hAnsi="Times New Roman" w:cs="Times New Roman"/>
                <w:color w:val="auto"/>
                <w:lang w:val="en-US" w:eastAsia="zh-CN"/>
              </w:rPr>
            </w:pPr>
          </w:p>
          <w:p w14:paraId="0D3F6221">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lang w:val="en-US" w:eastAsia="zh-CN" w:bidi="ar-SA"/>
              </w:rPr>
            </w:pPr>
            <w:r>
              <w:rPr>
                <w:rFonts w:hint="default" w:ascii="Times New Roman" w:hAnsi="Times New Roman" w:eastAsia="黑体" w:cs="Times New Roman"/>
                <w:b/>
                <w:bCs/>
                <w:color w:val="auto"/>
                <w:kern w:val="0"/>
                <w:sz w:val="21"/>
                <w:szCs w:val="21"/>
                <w:lang w:val="en-US" w:eastAsia="zh-CN" w:bidi="ar-SA"/>
              </w:rPr>
              <w:t>表3-13 噪声排放标准限值</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60"/>
              <w:gridCol w:w="2751"/>
              <w:gridCol w:w="2751"/>
            </w:tblGrid>
            <w:tr w14:paraId="04E7A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60" w:type="dxa"/>
                  <w:tcBorders>
                    <w:tl2br w:val="nil"/>
                    <w:tr2bl w:val="nil"/>
                  </w:tcBorders>
                  <w:shd w:val="clear" w:color="auto" w:fill="auto"/>
                  <w:vAlign w:val="center"/>
                </w:tcPr>
                <w:p w14:paraId="4F130E86">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w:t>
                  </w:r>
                </w:p>
              </w:tc>
              <w:tc>
                <w:tcPr>
                  <w:tcW w:w="2751" w:type="dxa"/>
                  <w:tcBorders>
                    <w:tl2br w:val="nil"/>
                    <w:tr2bl w:val="nil"/>
                  </w:tcBorders>
                  <w:shd w:val="clear" w:color="auto" w:fill="auto"/>
                  <w:vAlign w:val="center"/>
                </w:tcPr>
                <w:p w14:paraId="167E81B2">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昼间</w:t>
                  </w:r>
                </w:p>
              </w:tc>
              <w:tc>
                <w:tcPr>
                  <w:tcW w:w="2751" w:type="dxa"/>
                  <w:tcBorders>
                    <w:tl2br w:val="nil"/>
                    <w:tr2bl w:val="nil"/>
                  </w:tcBorders>
                  <w:shd w:val="clear" w:color="auto" w:fill="auto"/>
                  <w:vAlign w:val="center"/>
                </w:tcPr>
                <w:p w14:paraId="10A120E0">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夜间</w:t>
                  </w:r>
                </w:p>
              </w:tc>
            </w:tr>
            <w:tr w14:paraId="1627D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60" w:type="dxa"/>
                  <w:tcBorders>
                    <w:tl2br w:val="nil"/>
                    <w:tr2bl w:val="nil"/>
                  </w:tcBorders>
                  <w:shd w:val="clear" w:color="auto" w:fill="auto"/>
                  <w:vAlign w:val="center"/>
                </w:tcPr>
                <w:p w14:paraId="190E8803">
                  <w:pPr>
                    <w:jc w:val="center"/>
                    <w:rPr>
                      <w:rFonts w:hint="default" w:ascii="Times New Roman" w:hAnsi="Times New Roman" w:cs="Times New Roman"/>
                      <w:color w:val="auto"/>
                      <w:szCs w:val="21"/>
                    </w:rPr>
                  </w:pPr>
                  <w:r>
                    <w:rPr>
                      <w:rFonts w:hint="default" w:ascii="Times New Roman" w:hAnsi="Times New Roman" w:cs="Times New Roman"/>
                      <w:color w:val="auto"/>
                      <w:szCs w:val="21"/>
                    </w:rPr>
                    <w:t>施工期排放限值</w:t>
                  </w:r>
                  <w:r>
                    <w:rPr>
                      <w:rFonts w:hint="default" w:ascii="Times New Roman" w:hAnsi="Times New Roman" w:eastAsia="仿宋" w:cs="Times New Roman"/>
                      <w:color w:val="auto"/>
                      <w:szCs w:val="21"/>
                    </w:rPr>
                    <w:t>[</w:t>
                  </w:r>
                  <w:r>
                    <w:rPr>
                      <w:rFonts w:hint="default" w:ascii="Times New Roman" w:hAnsi="Times New Roman" w:cs="Times New Roman"/>
                      <w:color w:val="auto"/>
                      <w:szCs w:val="21"/>
                    </w:rPr>
                    <w:t>dB（A）</w:t>
                  </w:r>
                  <w:r>
                    <w:rPr>
                      <w:rFonts w:hint="default" w:ascii="Times New Roman" w:hAnsi="Times New Roman" w:eastAsia="仿宋" w:cs="Times New Roman"/>
                      <w:color w:val="auto"/>
                      <w:szCs w:val="21"/>
                    </w:rPr>
                    <w:t>]</w:t>
                  </w:r>
                </w:p>
              </w:tc>
              <w:tc>
                <w:tcPr>
                  <w:tcW w:w="2751" w:type="dxa"/>
                  <w:tcBorders>
                    <w:tl2br w:val="nil"/>
                    <w:tr2bl w:val="nil"/>
                  </w:tcBorders>
                  <w:shd w:val="clear" w:color="auto" w:fill="auto"/>
                  <w:vAlign w:val="center"/>
                </w:tcPr>
                <w:p w14:paraId="3B35D4FF">
                  <w:pPr>
                    <w:jc w:val="center"/>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2751" w:type="dxa"/>
                  <w:tcBorders>
                    <w:tl2br w:val="nil"/>
                    <w:tr2bl w:val="nil"/>
                  </w:tcBorders>
                  <w:shd w:val="clear" w:color="auto" w:fill="auto"/>
                  <w:vAlign w:val="center"/>
                </w:tcPr>
                <w:p w14:paraId="2A6FA833">
                  <w:pPr>
                    <w:jc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r>
            <w:tr w14:paraId="676CD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060" w:type="dxa"/>
                  <w:tcBorders>
                    <w:tl2br w:val="nil"/>
                    <w:tr2bl w:val="nil"/>
                  </w:tcBorders>
                  <w:shd w:val="clear" w:color="auto" w:fill="auto"/>
                  <w:vAlign w:val="center"/>
                </w:tcPr>
                <w:p w14:paraId="3B8DF82E">
                  <w:pPr>
                    <w:jc w:val="center"/>
                    <w:rPr>
                      <w:rFonts w:hint="default" w:ascii="Times New Roman" w:hAnsi="Times New Roman" w:cs="Times New Roman"/>
                      <w:color w:val="auto"/>
                      <w:szCs w:val="21"/>
                    </w:rPr>
                  </w:pPr>
                  <w:r>
                    <w:rPr>
                      <w:rFonts w:hint="default" w:ascii="Times New Roman" w:hAnsi="Times New Roman" w:cs="Times New Roman"/>
                      <w:color w:val="auto"/>
                      <w:szCs w:val="21"/>
                    </w:rPr>
                    <w:t>运营期排放限值</w:t>
                  </w:r>
                  <w:r>
                    <w:rPr>
                      <w:rFonts w:hint="default" w:ascii="Times New Roman" w:hAnsi="Times New Roman" w:eastAsia="仿宋" w:cs="Times New Roman"/>
                      <w:color w:val="auto"/>
                      <w:szCs w:val="21"/>
                    </w:rPr>
                    <w:t>[</w:t>
                  </w:r>
                  <w:r>
                    <w:rPr>
                      <w:rFonts w:hint="default" w:ascii="Times New Roman" w:hAnsi="Times New Roman" w:cs="Times New Roman"/>
                      <w:color w:val="auto"/>
                      <w:szCs w:val="21"/>
                    </w:rPr>
                    <w:t>dB（A）</w:t>
                  </w:r>
                  <w:r>
                    <w:rPr>
                      <w:rFonts w:hint="default" w:ascii="Times New Roman" w:hAnsi="Times New Roman" w:eastAsia="仿宋" w:cs="Times New Roman"/>
                      <w:color w:val="auto"/>
                      <w:szCs w:val="21"/>
                    </w:rPr>
                    <w:t>]</w:t>
                  </w:r>
                </w:p>
              </w:tc>
              <w:tc>
                <w:tcPr>
                  <w:tcW w:w="2751" w:type="dxa"/>
                  <w:tcBorders>
                    <w:tl2br w:val="nil"/>
                    <w:tr2bl w:val="nil"/>
                  </w:tcBorders>
                  <w:shd w:val="clear" w:color="auto" w:fill="auto"/>
                  <w:vAlign w:val="center"/>
                </w:tcPr>
                <w:p w14:paraId="36B236E7">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60</w:t>
                  </w:r>
                </w:p>
              </w:tc>
              <w:tc>
                <w:tcPr>
                  <w:tcW w:w="2751" w:type="dxa"/>
                  <w:tcBorders>
                    <w:tl2br w:val="nil"/>
                    <w:tr2bl w:val="nil"/>
                  </w:tcBorders>
                  <w:shd w:val="clear" w:color="auto" w:fill="auto"/>
                  <w:vAlign w:val="center"/>
                </w:tcPr>
                <w:p w14:paraId="5AAC6EB2">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50</w:t>
                  </w:r>
                </w:p>
              </w:tc>
            </w:tr>
          </w:tbl>
          <w:p w14:paraId="5B85B78F">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4、固体废物</w:t>
            </w:r>
          </w:p>
          <w:p w14:paraId="0083DDF4">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按照</w:t>
            </w:r>
            <w:r>
              <w:rPr>
                <w:rFonts w:hint="eastAsia" w:cs="Times New Roman"/>
                <w:color w:val="auto"/>
                <w:sz w:val="24"/>
                <w:szCs w:val="24"/>
                <w:lang w:eastAsia="zh-CN"/>
              </w:rPr>
              <w:t>《中华人民共和国固体废物污染环境防治法》</w:t>
            </w:r>
            <w:r>
              <w:rPr>
                <w:rFonts w:hint="default" w:ascii="Times New Roman" w:hAnsi="Times New Roman" w:cs="Times New Roman"/>
                <w:color w:val="auto"/>
                <w:sz w:val="24"/>
                <w:szCs w:val="24"/>
              </w:rPr>
              <w:t>的要求，固体废物要妥善处置，不得形成二次污染。</w:t>
            </w:r>
            <w:r>
              <w:rPr>
                <w:rFonts w:hint="default" w:ascii="Times New Roman" w:hAnsi="Times New Roman" w:cs="Times New Roman"/>
                <w:color w:val="auto"/>
                <w:sz w:val="24"/>
                <w:szCs w:val="24"/>
                <w:lang w:eastAsia="zh-CN"/>
              </w:rPr>
              <w:t>运营期</w:t>
            </w:r>
            <w:r>
              <w:rPr>
                <w:rFonts w:hint="default" w:ascii="Times New Roman" w:hAnsi="Times New Roman" w:cs="Times New Roman"/>
                <w:color w:val="auto"/>
                <w:sz w:val="24"/>
                <w:szCs w:val="24"/>
              </w:rPr>
              <w:t>固废贮存执行《一般工业固体废物贮存和填埋污染控制标准》（GB 18599-2020）、《危险废物贮存污染控制标准》（GB18597-2023）。</w:t>
            </w:r>
          </w:p>
        </w:tc>
      </w:tr>
      <w:tr w14:paraId="01DF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FEFEFE"/>
            <w:vAlign w:val="center"/>
          </w:tcPr>
          <w:p w14:paraId="2FE402FA">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总量控制指标</w:t>
            </w:r>
          </w:p>
        </w:tc>
        <w:tc>
          <w:tcPr>
            <w:tcW w:w="8778" w:type="dxa"/>
            <w:tcBorders>
              <w:top w:val="single" w:color="auto" w:sz="4" w:space="0"/>
              <w:left w:val="single" w:color="auto" w:sz="4" w:space="0"/>
              <w:bottom w:val="single" w:color="auto" w:sz="4" w:space="0"/>
              <w:right w:val="single" w:color="auto" w:sz="4" w:space="0"/>
            </w:tcBorders>
            <w:shd w:val="clear" w:color="auto" w:fill="FEFEFE"/>
            <w:vAlign w:val="center"/>
          </w:tcPr>
          <w:p w14:paraId="1C7C3128">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本项目涉及总量控制指标为NOx、</w:t>
            </w:r>
            <w:r>
              <w:rPr>
                <w:rFonts w:hint="default" w:ascii="Times New Roman" w:hAnsi="Times New Roman" w:cs="Times New Roman"/>
                <w:color w:val="auto"/>
                <w:sz w:val="24"/>
                <w:szCs w:val="24"/>
                <w:lang w:eastAsia="zh-CN"/>
              </w:rPr>
              <w:t>VOC</w:t>
            </w:r>
            <w:r>
              <w:rPr>
                <w:rFonts w:hint="default" w:ascii="Times New Roman" w:hAnsi="Times New Roman" w:cs="Times New Roman"/>
                <w:color w:val="auto"/>
                <w:sz w:val="24"/>
                <w:szCs w:val="24"/>
                <w:vertAlign w:val="subscript"/>
                <w:lang w:eastAsia="zh-CN"/>
              </w:rPr>
              <w:t>S</w:t>
            </w:r>
            <w:r>
              <w:rPr>
                <w:rFonts w:hint="default" w:ascii="Times New Roman" w:hAnsi="Times New Roman" w:cs="Times New Roman"/>
                <w:color w:val="auto"/>
                <w:sz w:val="24"/>
                <w:szCs w:val="24"/>
              </w:rPr>
              <w:t>，主要污染物计算如下：</w:t>
            </w:r>
          </w:p>
          <w:p w14:paraId="22C0C05A">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1、废水总量控制</w:t>
            </w:r>
          </w:p>
          <w:p w14:paraId="3F719728">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项目生活污水经化粪池处理后进入周边农地作农肥；地面</w:t>
            </w:r>
            <w:r>
              <w:rPr>
                <w:rFonts w:hint="default" w:ascii="Times New Roman" w:hAnsi="Times New Roman" w:cs="Times New Roman"/>
                <w:color w:val="auto"/>
                <w:sz w:val="24"/>
                <w:szCs w:val="24"/>
                <w:lang w:val="en-US" w:eastAsia="zh-CN"/>
              </w:rPr>
              <w:t>冲洗</w:t>
            </w:r>
            <w:r>
              <w:rPr>
                <w:rFonts w:hint="default" w:ascii="Times New Roman" w:hAnsi="Times New Roman" w:cs="Times New Roman"/>
                <w:color w:val="auto"/>
                <w:sz w:val="24"/>
                <w:szCs w:val="24"/>
              </w:rPr>
              <w:t>废水、车辆冲洗废水等生产废水经导流沟收集</w:t>
            </w:r>
            <w:r>
              <w:rPr>
                <w:rFonts w:hint="default" w:ascii="Times New Roman" w:hAnsi="Times New Roman" w:cs="Times New Roman"/>
                <w:color w:val="auto"/>
                <w:sz w:val="24"/>
                <w:szCs w:val="24"/>
                <w:lang w:val="en-US" w:eastAsia="zh-CN"/>
              </w:rPr>
              <w:t>进入三级沉淀池</w:t>
            </w:r>
            <w:r>
              <w:rPr>
                <w:rFonts w:hint="default" w:ascii="Times New Roman" w:hAnsi="Times New Roman" w:cs="Times New Roman"/>
                <w:color w:val="auto"/>
                <w:sz w:val="24"/>
                <w:szCs w:val="24"/>
                <w:lang w:val="zh-CN"/>
              </w:rPr>
              <w:t>处理后回用于生产，不外排。</w:t>
            </w:r>
            <w:r>
              <w:rPr>
                <w:rFonts w:hint="default" w:ascii="Times New Roman" w:hAnsi="Times New Roman" w:cs="Times New Roman"/>
                <w:color w:val="auto"/>
                <w:sz w:val="24"/>
                <w:szCs w:val="24"/>
              </w:rPr>
              <w:t>因此无需设置废水总量指标。</w:t>
            </w:r>
          </w:p>
          <w:p w14:paraId="75A6CB45">
            <w:pPr>
              <w:numPr>
                <w:ilvl w:val="0"/>
                <w:numId w:val="4"/>
              </w:num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大气污染物总量控制</w:t>
            </w:r>
          </w:p>
          <w:p w14:paraId="556466C4">
            <w:pPr>
              <w:spacing w:line="360" w:lineRule="auto"/>
              <w:ind w:firstLine="480" w:firstLineChars="200"/>
              <w:rPr>
                <w:rFonts w:hint="default" w:ascii="Times New Roman" w:hAnsi="Times New Roman" w:cs="Times New Roman"/>
                <w:b/>
                <w:bCs/>
                <w:color w:val="auto"/>
                <w:szCs w:val="24"/>
              </w:rPr>
            </w:pPr>
            <w:r>
              <w:rPr>
                <w:rFonts w:hint="default" w:ascii="Times New Roman" w:hAnsi="Times New Roman" w:cs="Times New Roman"/>
                <w:color w:val="auto"/>
                <w:sz w:val="24"/>
                <w:szCs w:val="24"/>
              </w:rPr>
              <w:t>根据工程分析核算，</w:t>
            </w:r>
            <w:r>
              <w:rPr>
                <w:rFonts w:hint="default" w:ascii="Times New Roman" w:hAnsi="Times New Roman" w:cs="Times New Roman"/>
                <w:color w:val="auto"/>
                <w:sz w:val="24"/>
                <w:szCs w:val="24"/>
                <w:lang w:val="en-US" w:eastAsia="zh-CN"/>
              </w:rPr>
              <w:t>废气总量控制指标</w:t>
            </w:r>
            <w:r>
              <w:rPr>
                <w:rFonts w:hint="default" w:ascii="Times New Roman" w:hAnsi="Times New Roman" w:cs="Times New Roman"/>
                <w:color w:val="auto"/>
                <w:sz w:val="24"/>
                <w:szCs w:val="24"/>
              </w:rPr>
              <w:t>见表3-1</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p>
          <w:p w14:paraId="029EA20A">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表3-14 废气总量控制指标</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1502"/>
              <w:gridCol w:w="1990"/>
              <w:gridCol w:w="1993"/>
              <w:gridCol w:w="1572"/>
            </w:tblGrid>
            <w:tr w14:paraId="7D66F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77" w:type="pct"/>
                  <w:tcBorders>
                    <w:tl2br w:val="nil"/>
                    <w:tr2bl w:val="nil"/>
                  </w:tcBorders>
                  <w:vAlign w:val="center"/>
                </w:tcPr>
                <w:p w14:paraId="7CD7268F">
                  <w:pPr>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时间段</w:t>
                  </w:r>
                </w:p>
              </w:tc>
              <w:tc>
                <w:tcPr>
                  <w:tcW w:w="877" w:type="pct"/>
                  <w:tcBorders>
                    <w:tl2br w:val="nil"/>
                    <w:tr2bl w:val="nil"/>
                  </w:tcBorders>
                  <w:vAlign w:val="center"/>
                </w:tcPr>
                <w:p w14:paraId="30E5DBC3">
                  <w:pPr>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指标名称</w:t>
                  </w:r>
                </w:p>
              </w:tc>
              <w:tc>
                <w:tcPr>
                  <w:tcW w:w="1162" w:type="pct"/>
                  <w:tcBorders>
                    <w:tl2br w:val="nil"/>
                    <w:tr2bl w:val="nil"/>
                  </w:tcBorders>
                  <w:vAlign w:val="center"/>
                </w:tcPr>
                <w:p w14:paraId="3E769125">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lang w:val="en-US" w:eastAsia="zh-CN"/>
                    </w:rPr>
                    <w:t>有</w:t>
                  </w:r>
                  <w:r>
                    <w:rPr>
                      <w:rFonts w:hint="default" w:ascii="Times New Roman" w:hAnsi="Times New Roman" w:cs="Times New Roman"/>
                      <w:b/>
                      <w:bCs/>
                      <w:color w:val="auto"/>
                      <w:szCs w:val="21"/>
                    </w:rPr>
                    <w:t>组织（t/a）</w:t>
                  </w:r>
                </w:p>
              </w:tc>
              <w:tc>
                <w:tcPr>
                  <w:tcW w:w="1164" w:type="pct"/>
                  <w:tcBorders>
                    <w:tl2br w:val="nil"/>
                    <w:tr2bl w:val="nil"/>
                  </w:tcBorders>
                  <w:vAlign w:val="center"/>
                </w:tcPr>
                <w:p w14:paraId="72BEFC4A">
                  <w:pPr>
                    <w:jc w:val="center"/>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无</w:t>
                  </w:r>
                  <w:r>
                    <w:rPr>
                      <w:rFonts w:hint="default" w:ascii="Times New Roman" w:hAnsi="Times New Roman" w:cs="Times New Roman"/>
                      <w:b/>
                      <w:bCs/>
                      <w:color w:val="auto"/>
                      <w:szCs w:val="21"/>
                    </w:rPr>
                    <w:t>组织（t/a）</w:t>
                  </w:r>
                </w:p>
              </w:tc>
              <w:tc>
                <w:tcPr>
                  <w:tcW w:w="918" w:type="pct"/>
                  <w:tcBorders>
                    <w:tl2br w:val="nil"/>
                    <w:tr2bl w:val="nil"/>
                  </w:tcBorders>
                  <w:vAlign w:val="center"/>
                </w:tcPr>
                <w:p w14:paraId="3D5EC257">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合计（t/a）</w:t>
                  </w:r>
                </w:p>
              </w:tc>
            </w:tr>
            <w:tr w14:paraId="51BA1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7" w:type="pct"/>
                  <w:tcBorders>
                    <w:tl2br w:val="nil"/>
                    <w:tr2bl w:val="nil"/>
                  </w:tcBorders>
                  <w:vAlign w:val="center"/>
                </w:tcPr>
                <w:p w14:paraId="546EC5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w:t>
                  </w:r>
                </w:p>
              </w:tc>
              <w:tc>
                <w:tcPr>
                  <w:tcW w:w="877" w:type="pct"/>
                  <w:tcBorders>
                    <w:tl2br w:val="nil"/>
                    <w:tr2bl w:val="nil"/>
                  </w:tcBorders>
                  <w:vAlign w:val="center"/>
                </w:tcPr>
                <w:p w14:paraId="049F0ADE">
                  <w:pPr>
                    <w:keepNext w:val="0"/>
                    <w:keepLines w:val="0"/>
                    <w:widowControl/>
                    <w:suppressLineNumbers w:val="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VOC</w:t>
                  </w:r>
                  <w:r>
                    <w:rPr>
                      <w:rFonts w:hint="default" w:ascii="Times New Roman" w:hAnsi="Times New Roman" w:eastAsia="宋体" w:cs="Times New Roman"/>
                      <w:i w:val="0"/>
                      <w:iCs w:val="0"/>
                      <w:color w:val="auto"/>
                      <w:kern w:val="0"/>
                      <w:sz w:val="21"/>
                      <w:szCs w:val="21"/>
                      <w:u w:val="none"/>
                      <w:vertAlign w:val="subscript"/>
                      <w:lang w:val="en-US" w:eastAsia="zh-CN" w:bidi="ar"/>
                    </w:rPr>
                    <w:t>S</w:t>
                  </w:r>
                </w:p>
              </w:tc>
              <w:tc>
                <w:tcPr>
                  <w:tcW w:w="1162" w:type="pct"/>
                  <w:tcBorders>
                    <w:tl2br w:val="nil"/>
                    <w:tr2bl w:val="nil"/>
                  </w:tcBorders>
                  <w:shd w:val="clear" w:color="auto" w:fill="auto"/>
                  <w:vAlign w:val="center"/>
                </w:tcPr>
                <w:p w14:paraId="2D9CB468">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0.0038</w:t>
                  </w:r>
                </w:p>
              </w:tc>
              <w:tc>
                <w:tcPr>
                  <w:tcW w:w="1164" w:type="pct"/>
                  <w:tcBorders>
                    <w:tl2br w:val="nil"/>
                    <w:tr2bl w:val="nil"/>
                  </w:tcBorders>
                  <w:shd w:val="clear" w:color="auto" w:fill="auto"/>
                  <w:vAlign w:val="center"/>
                </w:tcPr>
                <w:p w14:paraId="31498BE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0.007</w:t>
                  </w:r>
                  <w:r>
                    <w:rPr>
                      <w:rFonts w:hint="default" w:ascii="Times New Roman" w:hAnsi="Times New Roman" w:cs="Times New Roman"/>
                      <w:i w:val="0"/>
                      <w:iCs w:val="0"/>
                      <w:color w:val="auto"/>
                      <w:kern w:val="0"/>
                      <w:sz w:val="21"/>
                      <w:szCs w:val="21"/>
                      <w:u w:val="none"/>
                      <w:lang w:val="en-US" w:eastAsia="zh-CN" w:bidi="ar"/>
                    </w:rPr>
                    <w:t>0</w:t>
                  </w:r>
                </w:p>
              </w:tc>
              <w:tc>
                <w:tcPr>
                  <w:tcW w:w="918" w:type="pct"/>
                  <w:tcBorders>
                    <w:tl2br w:val="nil"/>
                    <w:tr2bl w:val="nil"/>
                  </w:tcBorders>
                  <w:shd w:val="clear" w:color="auto" w:fill="auto"/>
                  <w:vAlign w:val="center"/>
                </w:tcPr>
                <w:p w14:paraId="1BE73B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0.0108</w:t>
                  </w:r>
                </w:p>
              </w:tc>
            </w:tr>
            <w:tr w14:paraId="11E21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77" w:type="pct"/>
                  <w:vAlign w:val="center"/>
                </w:tcPr>
                <w:p w14:paraId="28BE8482">
                  <w:pPr>
                    <w:jc w:val="center"/>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w:t>
                  </w:r>
                </w:p>
              </w:tc>
              <w:tc>
                <w:tcPr>
                  <w:tcW w:w="877" w:type="pct"/>
                  <w:vAlign w:val="center"/>
                </w:tcPr>
                <w:p w14:paraId="465DD805">
                  <w:pPr>
                    <w:jc w:val="center"/>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NOx</w:t>
                  </w:r>
                </w:p>
              </w:tc>
              <w:tc>
                <w:tcPr>
                  <w:tcW w:w="1162" w:type="pct"/>
                  <w:shd w:val="clear" w:color="auto" w:fill="auto"/>
                  <w:vAlign w:val="center"/>
                </w:tcPr>
                <w:p w14:paraId="414877D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lang w:val="en-US" w:eastAsia="zh-CN"/>
                    </w:rPr>
                    <w:t>0.3680</w:t>
                  </w:r>
                </w:p>
              </w:tc>
              <w:tc>
                <w:tcPr>
                  <w:tcW w:w="1164" w:type="pct"/>
                  <w:shd w:val="clear" w:color="auto" w:fill="auto"/>
                  <w:vAlign w:val="center"/>
                </w:tcPr>
                <w:p w14:paraId="3504BC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w:t>
                  </w:r>
                </w:p>
              </w:tc>
              <w:tc>
                <w:tcPr>
                  <w:tcW w:w="918" w:type="pct"/>
                  <w:shd w:val="clear" w:color="auto" w:fill="auto"/>
                  <w:vAlign w:val="center"/>
                </w:tcPr>
                <w:p w14:paraId="5DCDD9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0.3680</w:t>
                  </w:r>
                </w:p>
              </w:tc>
            </w:tr>
          </w:tbl>
          <w:p w14:paraId="4AF481E1">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综上项目申请的废气总量指标为</w:t>
            </w:r>
            <w:r>
              <w:rPr>
                <w:rFonts w:hint="default" w:ascii="Times New Roman" w:hAnsi="Times New Roman" w:eastAsia="宋体" w:cs="Times New Roman"/>
                <w:i w:val="0"/>
                <w:iCs w:val="0"/>
                <w:color w:val="auto"/>
                <w:kern w:val="0"/>
                <w:sz w:val="24"/>
                <w:szCs w:val="24"/>
                <w:u w:val="none"/>
                <w:lang w:val="en-US" w:eastAsia="zh-CN" w:bidi="ar"/>
              </w:rPr>
              <w:t>VOC</w:t>
            </w:r>
            <w:r>
              <w:rPr>
                <w:rFonts w:hint="default" w:ascii="Times New Roman" w:hAnsi="Times New Roman" w:eastAsia="宋体" w:cs="Times New Roman"/>
                <w:i w:val="0"/>
                <w:iCs w:val="0"/>
                <w:color w:val="auto"/>
                <w:kern w:val="0"/>
                <w:sz w:val="24"/>
                <w:szCs w:val="24"/>
                <w:u w:val="none"/>
                <w:vertAlign w:val="subscript"/>
                <w:lang w:val="en-US" w:eastAsia="zh-CN" w:bidi="ar"/>
              </w:rPr>
              <w:t>S</w:t>
            </w:r>
            <w:r>
              <w:rPr>
                <w:rFonts w:hint="default" w:ascii="Times New Roman" w:hAnsi="Times New Roman" w:cs="Times New Roman"/>
                <w:i w:val="0"/>
                <w:iCs w:val="0"/>
                <w:color w:val="auto"/>
                <w:kern w:val="0"/>
                <w:sz w:val="24"/>
                <w:szCs w:val="24"/>
                <w:u w:val="none"/>
                <w:vertAlign w:val="baseline"/>
                <w:lang w:val="en-US" w:eastAsia="zh-CN" w:bidi="ar"/>
              </w:rPr>
              <w:t xml:space="preserve"> 0.0108</w:t>
            </w:r>
            <w:r>
              <w:rPr>
                <w:rFonts w:hint="default" w:ascii="Times New Roman" w:hAnsi="Times New Roman" w:eastAsia="宋体" w:cs="Times New Roman"/>
                <w:color w:val="auto"/>
                <w:sz w:val="24"/>
                <w:szCs w:val="24"/>
                <w:lang w:val="en-US" w:eastAsia="zh-CN"/>
              </w:rPr>
              <w:t>t/a</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i w:val="0"/>
                <w:iCs w:val="0"/>
                <w:color w:val="auto"/>
                <w:kern w:val="0"/>
                <w:sz w:val="24"/>
                <w:szCs w:val="24"/>
                <w:u w:val="none"/>
                <w:lang w:val="en-US" w:eastAsia="zh-CN" w:bidi="ar"/>
              </w:rPr>
              <w:t xml:space="preserve">NOx </w:t>
            </w:r>
            <w:r>
              <w:rPr>
                <w:rFonts w:hint="default" w:ascii="Times New Roman" w:hAnsi="Times New Roman" w:cs="Times New Roman"/>
                <w:i w:val="0"/>
                <w:iCs w:val="0"/>
                <w:color w:val="auto"/>
                <w:kern w:val="0"/>
                <w:sz w:val="24"/>
                <w:szCs w:val="24"/>
                <w:u w:val="none"/>
                <w:lang w:val="en-US" w:eastAsia="zh-CN" w:bidi="ar"/>
              </w:rPr>
              <w:t>0.3680</w:t>
            </w:r>
            <w:r>
              <w:rPr>
                <w:rFonts w:hint="default" w:ascii="Times New Roman" w:hAnsi="Times New Roman" w:eastAsia="宋体" w:cs="Times New Roman"/>
                <w:color w:val="auto"/>
                <w:sz w:val="24"/>
                <w:szCs w:val="24"/>
                <w:lang w:val="en-US" w:eastAsia="zh-CN"/>
              </w:rPr>
              <w:t>t/a。</w:t>
            </w:r>
          </w:p>
          <w:p w14:paraId="04A84C74">
            <w:pPr>
              <w:pStyle w:val="25"/>
              <w:rPr>
                <w:rFonts w:hint="default" w:ascii="Times New Roman" w:hAnsi="Times New Roman" w:eastAsia="宋体" w:cs="Times New Roman"/>
                <w:color w:val="auto"/>
                <w:sz w:val="24"/>
                <w:szCs w:val="24"/>
                <w:lang w:val="en-US" w:eastAsia="zh-CN"/>
              </w:rPr>
            </w:pPr>
          </w:p>
          <w:p w14:paraId="50C670D4">
            <w:pPr>
              <w:rPr>
                <w:rFonts w:hint="default" w:ascii="Times New Roman" w:hAnsi="Times New Roman" w:eastAsia="宋体" w:cs="Times New Roman"/>
                <w:color w:val="auto"/>
                <w:sz w:val="24"/>
                <w:szCs w:val="24"/>
                <w:lang w:val="en-US" w:eastAsia="zh-CN"/>
              </w:rPr>
            </w:pPr>
          </w:p>
          <w:p w14:paraId="193A79FB">
            <w:pPr>
              <w:pStyle w:val="25"/>
              <w:rPr>
                <w:rFonts w:hint="default" w:ascii="Times New Roman" w:hAnsi="Times New Roman" w:eastAsia="宋体" w:cs="Times New Roman"/>
                <w:color w:val="auto"/>
                <w:sz w:val="24"/>
                <w:szCs w:val="24"/>
                <w:lang w:val="en-US" w:eastAsia="zh-CN"/>
              </w:rPr>
            </w:pPr>
          </w:p>
          <w:p w14:paraId="59ECD2CE">
            <w:pPr>
              <w:rPr>
                <w:rFonts w:hint="default" w:ascii="Times New Roman" w:hAnsi="Times New Roman" w:eastAsia="宋体" w:cs="Times New Roman"/>
                <w:color w:val="auto"/>
                <w:sz w:val="24"/>
                <w:szCs w:val="24"/>
                <w:lang w:val="en-US" w:eastAsia="zh-CN"/>
              </w:rPr>
            </w:pPr>
          </w:p>
          <w:p w14:paraId="0ED37298">
            <w:pPr>
              <w:pStyle w:val="25"/>
              <w:rPr>
                <w:rFonts w:hint="default" w:ascii="Times New Roman" w:hAnsi="Times New Roman" w:eastAsia="宋体" w:cs="Times New Roman"/>
                <w:color w:val="auto"/>
                <w:sz w:val="24"/>
                <w:szCs w:val="24"/>
                <w:lang w:val="en-US" w:eastAsia="zh-CN"/>
              </w:rPr>
            </w:pPr>
          </w:p>
          <w:p w14:paraId="432D36C7">
            <w:pPr>
              <w:rPr>
                <w:rFonts w:hint="default" w:ascii="Times New Roman" w:hAnsi="Times New Roman" w:eastAsia="宋体" w:cs="Times New Roman"/>
                <w:color w:val="auto"/>
                <w:sz w:val="24"/>
                <w:szCs w:val="24"/>
                <w:lang w:val="en-US" w:eastAsia="zh-CN"/>
              </w:rPr>
            </w:pPr>
          </w:p>
          <w:p w14:paraId="7BBB5553">
            <w:pPr>
              <w:pStyle w:val="25"/>
              <w:rPr>
                <w:rFonts w:hint="default" w:ascii="Times New Roman" w:hAnsi="Times New Roman" w:eastAsia="宋体" w:cs="Times New Roman"/>
                <w:color w:val="auto"/>
                <w:sz w:val="24"/>
                <w:szCs w:val="24"/>
                <w:lang w:val="en-US" w:eastAsia="zh-CN"/>
              </w:rPr>
            </w:pPr>
          </w:p>
          <w:p w14:paraId="31E4F802">
            <w:pPr>
              <w:rPr>
                <w:rFonts w:hint="default" w:ascii="Times New Roman" w:hAnsi="Times New Roman" w:eastAsia="宋体" w:cs="Times New Roman"/>
                <w:color w:val="auto"/>
                <w:sz w:val="24"/>
                <w:szCs w:val="24"/>
                <w:lang w:val="en-US" w:eastAsia="zh-CN"/>
              </w:rPr>
            </w:pPr>
          </w:p>
          <w:p w14:paraId="019DFE23">
            <w:pPr>
              <w:pStyle w:val="25"/>
              <w:rPr>
                <w:rFonts w:hint="default" w:ascii="Times New Roman" w:hAnsi="Times New Roman" w:eastAsia="宋体" w:cs="Times New Roman"/>
                <w:color w:val="auto"/>
                <w:sz w:val="24"/>
                <w:szCs w:val="24"/>
                <w:lang w:val="en-US" w:eastAsia="zh-CN"/>
              </w:rPr>
            </w:pPr>
          </w:p>
          <w:p w14:paraId="3FE7E805">
            <w:pPr>
              <w:rPr>
                <w:rFonts w:hint="default" w:ascii="Times New Roman" w:hAnsi="Times New Roman" w:eastAsia="宋体" w:cs="Times New Roman"/>
                <w:color w:val="auto"/>
                <w:sz w:val="24"/>
                <w:szCs w:val="24"/>
                <w:lang w:val="en-US" w:eastAsia="zh-CN"/>
              </w:rPr>
            </w:pPr>
          </w:p>
          <w:p w14:paraId="7B8B4EFF">
            <w:pPr>
              <w:pStyle w:val="25"/>
              <w:rPr>
                <w:rFonts w:hint="default" w:ascii="Times New Roman" w:hAnsi="Times New Roman" w:eastAsia="宋体" w:cs="Times New Roman"/>
                <w:color w:val="auto"/>
                <w:sz w:val="24"/>
                <w:szCs w:val="24"/>
                <w:lang w:val="en-US" w:eastAsia="zh-CN"/>
              </w:rPr>
            </w:pPr>
          </w:p>
          <w:p w14:paraId="16203B41">
            <w:pPr>
              <w:rPr>
                <w:rFonts w:hint="default" w:ascii="Times New Roman" w:hAnsi="Times New Roman" w:eastAsia="宋体" w:cs="Times New Roman"/>
                <w:color w:val="auto"/>
                <w:sz w:val="24"/>
                <w:szCs w:val="24"/>
                <w:lang w:val="en-US" w:eastAsia="zh-CN"/>
              </w:rPr>
            </w:pPr>
          </w:p>
          <w:p w14:paraId="210EEACA">
            <w:pPr>
              <w:pStyle w:val="25"/>
              <w:rPr>
                <w:rFonts w:hint="default" w:ascii="Times New Roman" w:hAnsi="Times New Roman" w:eastAsia="宋体" w:cs="Times New Roman"/>
                <w:color w:val="auto"/>
                <w:sz w:val="24"/>
                <w:szCs w:val="24"/>
                <w:lang w:val="en-US" w:eastAsia="zh-CN"/>
              </w:rPr>
            </w:pPr>
          </w:p>
          <w:p w14:paraId="32F4FC7D">
            <w:pPr>
              <w:rPr>
                <w:rFonts w:hint="default" w:ascii="Times New Roman" w:hAnsi="Times New Roman" w:eastAsia="宋体" w:cs="Times New Roman"/>
                <w:color w:val="auto"/>
                <w:sz w:val="24"/>
                <w:szCs w:val="24"/>
                <w:lang w:val="en-US" w:eastAsia="zh-CN"/>
              </w:rPr>
            </w:pPr>
          </w:p>
          <w:p w14:paraId="573A4DEE">
            <w:pPr>
              <w:pStyle w:val="25"/>
              <w:rPr>
                <w:rFonts w:hint="default" w:ascii="Times New Roman" w:hAnsi="Times New Roman" w:eastAsia="宋体" w:cs="Times New Roman"/>
                <w:color w:val="auto"/>
                <w:sz w:val="24"/>
                <w:szCs w:val="24"/>
                <w:lang w:val="en-US" w:eastAsia="zh-CN"/>
              </w:rPr>
            </w:pPr>
          </w:p>
          <w:p w14:paraId="2675D47E">
            <w:pPr>
              <w:rPr>
                <w:rFonts w:hint="default" w:ascii="Times New Roman" w:hAnsi="Times New Roman" w:eastAsia="宋体" w:cs="Times New Roman"/>
                <w:color w:val="auto"/>
                <w:sz w:val="24"/>
                <w:szCs w:val="24"/>
                <w:lang w:val="en-US" w:eastAsia="zh-CN"/>
              </w:rPr>
            </w:pPr>
          </w:p>
          <w:p w14:paraId="29A90DF6">
            <w:pPr>
              <w:pStyle w:val="25"/>
              <w:rPr>
                <w:rFonts w:hint="default" w:ascii="Times New Roman" w:hAnsi="Times New Roman" w:eastAsia="宋体" w:cs="Times New Roman"/>
                <w:color w:val="auto"/>
                <w:sz w:val="24"/>
                <w:szCs w:val="24"/>
                <w:lang w:val="en-US" w:eastAsia="zh-CN"/>
              </w:rPr>
            </w:pPr>
          </w:p>
          <w:p w14:paraId="447CAAC0">
            <w:pPr>
              <w:rPr>
                <w:rFonts w:hint="default" w:ascii="Times New Roman" w:hAnsi="Times New Roman" w:cs="Times New Roman"/>
                <w:color w:val="auto"/>
                <w:lang w:val="en-US" w:eastAsia="zh-CN"/>
              </w:rPr>
            </w:pPr>
          </w:p>
        </w:tc>
      </w:tr>
    </w:tbl>
    <w:p w14:paraId="70D9BB4A">
      <w:pPr>
        <w:spacing w:line="360" w:lineRule="auto"/>
        <w:rPr>
          <w:rFonts w:hint="default" w:ascii="Times New Roman" w:hAnsi="Times New Roman" w:cs="Times New Roman"/>
          <w:b/>
          <w:color w:val="auto"/>
          <w:sz w:val="28"/>
          <w:szCs w:val="24"/>
        </w:rPr>
        <w:sectPr>
          <w:footerReference r:id="rId8" w:type="default"/>
          <w:pgSz w:w="11906" w:h="16838"/>
          <w:pgMar w:top="1134" w:right="1134"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E301EAF">
      <w:pPr>
        <w:pStyle w:val="64"/>
        <w:jc w:val="center"/>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四、主要环境影响和保护措施</w:t>
      </w:r>
    </w:p>
    <w:tbl>
      <w:tblPr>
        <w:tblStyle w:val="29"/>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9116"/>
      </w:tblGrid>
      <w:tr w14:paraId="4A7FE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56" w:type="dxa"/>
            <w:vAlign w:val="center"/>
          </w:tcPr>
          <w:p w14:paraId="7E0B0334">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施工期环境保护措施</w:t>
            </w:r>
          </w:p>
        </w:tc>
        <w:tc>
          <w:tcPr>
            <w:tcW w:w="8893" w:type="dxa"/>
            <w:vAlign w:val="center"/>
          </w:tcPr>
          <w:p w14:paraId="581C7C6F">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1、废气</w:t>
            </w:r>
          </w:p>
          <w:p w14:paraId="2805800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本项目施工期间排放的大气污染物主要为施工扬尘、施工机械和运输车辆产生的尾气等。施工现场应采取的污染防治措施如下：</w:t>
            </w:r>
          </w:p>
          <w:p w14:paraId="18AFB69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建筑施工现场严格执行</w:t>
            </w:r>
            <w:r>
              <w:rPr>
                <w:rFonts w:hint="default" w:ascii="Times New Roman" w:hAnsi="Times New Roman" w:cs="Times New Roman"/>
                <w:b w:val="0"/>
                <w:bCs/>
                <w:color w:val="auto"/>
                <w:sz w:val="24"/>
                <w:szCs w:val="24"/>
                <w:lang w:eastAsia="zh-CN"/>
              </w:rPr>
              <w:t>“</w:t>
            </w:r>
            <w:r>
              <w:rPr>
                <w:rFonts w:hint="default" w:ascii="Times New Roman" w:hAnsi="Times New Roman" w:cs="Times New Roman"/>
                <w:b w:val="0"/>
                <w:bCs/>
                <w:color w:val="auto"/>
                <w:sz w:val="24"/>
                <w:szCs w:val="24"/>
              </w:rPr>
              <w:t>六必须、六不准、六个100%</w:t>
            </w:r>
            <w:r>
              <w:rPr>
                <w:rFonts w:hint="default" w:ascii="Times New Roman" w:hAnsi="Times New Roman" w:cs="Times New Roman"/>
                <w:b w:val="0"/>
                <w:bCs/>
                <w:color w:val="auto"/>
                <w:sz w:val="24"/>
                <w:szCs w:val="24"/>
                <w:lang w:eastAsia="zh-CN"/>
              </w:rPr>
              <w:t>”。</w:t>
            </w:r>
            <w:r>
              <w:rPr>
                <w:rFonts w:hint="default" w:ascii="Times New Roman" w:hAnsi="Times New Roman" w:cs="Times New Roman"/>
                <w:b w:val="0"/>
                <w:bCs/>
                <w:color w:val="auto"/>
                <w:sz w:val="24"/>
                <w:szCs w:val="24"/>
              </w:rPr>
              <w:t>即必须打围作业、必须硬化道路、必须设置冲洗设施、必须湿法作业、必须配齐保洁人员、必须定时清扫施工现场</w:t>
            </w:r>
            <w:r>
              <w:rPr>
                <w:rFonts w:hint="default" w:ascii="Times New Roman" w:hAnsi="Times New Roman" w:cs="Times New Roman"/>
                <w:b w:val="0"/>
                <w:bCs/>
                <w:color w:val="auto"/>
                <w:sz w:val="24"/>
                <w:szCs w:val="24"/>
                <w:lang w:eastAsia="zh-CN"/>
              </w:rPr>
              <w:t>。</w:t>
            </w:r>
            <w:r>
              <w:rPr>
                <w:rFonts w:hint="default" w:ascii="Times New Roman" w:hAnsi="Times New Roman" w:cs="Times New Roman"/>
                <w:b w:val="0"/>
                <w:bCs/>
                <w:color w:val="auto"/>
                <w:sz w:val="24"/>
                <w:szCs w:val="24"/>
              </w:rPr>
              <w:t>不准车辆带泥出门、不准高空抛撒建渣、不准现场搅拌混凝土、不准场地积水、不准现场焚烧废弃物、不准现场堆放未覆盖的裸土。施工工地周边100%围挡、物料堆放100%覆盖</w:t>
            </w:r>
            <w:r>
              <w:rPr>
                <w:rFonts w:hint="default" w:ascii="Times New Roman" w:hAnsi="Times New Roman" w:cs="Times New Roman"/>
                <w:b w:val="0"/>
                <w:bCs/>
                <w:color w:val="auto"/>
                <w:sz w:val="24"/>
                <w:szCs w:val="24"/>
                <w:lang w:eastAsia="zh-CN"/>
              </w:rPr>
              <w:t>、</w:t>
            </w:r>
            <w:r>
              <w:rPr>
                <w:rFonts w:hint="default" w:ascii="Times New Roman" w:hAnsi="Times New Roman" w:cs="Times New Roman"/>
                <w:b w:val="0"/>
                <w:bCs/>
                <w:color w:val="auto"/>
                <w:sz w:val="24"/>
                <w:szCs w:val="24"/>
              </w:rPr>
              <w:t>出入车辆100%冲洗、施工现场地面100%硬化、拆迁工地100%湿法作业、渣土车辆100%密闭运输。</w:t>
            </w:r>
          </w:p>
          <w:p w14:paraId="00AD7C3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②施工建筑拉上密实的防护网，围挡的高度应达到2.5m以上，不在围墙外堆放施工材料、建筑垃圾等。</w:t>
            </w:r>
          </w:p>
          <w:p w14:paraId="74E817A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③施工过程产生的建筑垃圾，及时清运按规定妥善处置。施工用的混凝土采用外购商品砼，不在现场开展混凝土搅拌作业。</w:t>
            </w:r>
          </w:p>
          <w:p w14:paraId="7F30824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④)施工场地进出道路采取硬化处理，场地洒水降尘。现场设置排水沟和沉砂池，工地进出口设车辆冲洗台。</w:t>
            </w:r>
          </w:p>
          <w:p w14:paraId="5819019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⑤施工现场加强管理，遇到风速四级以上易产生扬尘时尽量停止施工作业，并对</w:t>
            </w:r>
            <w:r>
              <w:rPr>
                <w:rFonts w:hint="default" w:ascii="Times New Roman" w:hAnsi="Times New Roman" w:cs="Times New Roman"/>
                <w:b w:val="0"/>
                <w:bCs/>
                <w:color w:val="auto"/>
                <w:sz w:val="24"/>
                <w:szCs w:val="24"/>
                <w:lang w:eastAsia="zh-CN"/>
              </w:rPr>
              <w:t>周围</w:t>
            </w:r>
            <w:r>
              <w:rPr>
                <w:rFonts w:hint="default" w:ascii="Times New Roman" w:hAnsi="Times New Roman" w:cs="Times New Roman"/>
                <w:b w:val="0"/>
                <w:bCs/>
                <w:color w:val="auto"/>
                <w:sz w:val="24"/>
                <w:szCs w:val="24"/>
              </w:rPr>
              <w:t>土方采取覆盖、湿化等措施，严禁凌空抛掷。</w:t>
            </w:r>
          </w:p>
          <w:p w14:paraId="0DFD3D9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⑥运输建筑材料、弃渣等车辆，不应出现装载过满现象，采用篷布遮盖封闭运输。</w:t>
            </w:r>
          </w:p>
          <w:p w14:paraId="2DF0D3D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⑦任何易产生扬尘的物料，应当密闭存放或及时进行覆盖。</w:t>
            </w:r>
          </w:p>
          <w:p w14:paraId="7E8A725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⑧在建筑物内外装修装饰时，将会有大量甲醛等有毒有害气体产生;装修废气属无组织排放，主要污染因子是甲醛、氨气等，此外还有极少量的汽油、丁醇和丙醇等。对于项目建筑装修过程产生的有机废气，要求建设单位施工时合理安排作业时间，加强室内的通风换气</w:t>
            </w:r>
            <w:r>
              <w:rPr>
                <w:rFonts w:hint="default" w:ascii="Times New Roman" w:hAnsi="Times New Roman" w:cs="Times New Roman"/>
                <w:b w:val="0"/>
                <w:bCs/>
                <w:color w:val="auto"/>
                <w:sz w:val="24"/>
                <w:szCs w:val="24"/>
                <w:lang w:eastAsia="zh-CN"/>
              </w:rPr>
              <w:t>；</w:t>
            </w:r>
            <w:r>
              <w:rPr>
                <w:rFonts w:hint="default" w:ascii="Times New Roman" w:hAnsi="Times New Roman" w:cs="Times New Roman"/>
                <w:b w:val="0"/>
                <w:bCs/>
                <w:color w:val="auto"/>
                <w:sz w:val="24"/>
                <w:szCs w:val="24"/>
              </w:rPr>
              <w:t>在进行室内外装修时，应选用再生材料和绿色环保型建材，严格做到建材的无害化(无污染、无辐射等)，优先采用有绿色标志的环保产品作为装修材料和设备，最大限度</w:t>
            </w:r>
            <w:r>
              <w:rPr>
                <w:rFonts w:hint="default" w:ascii="Times New Roman" w:hAnsi="Times New Roman" w:cs="Times New Roman"/>
                <w:b w:val="0"/>
                <w:bCs/>
                <w:color w:val="auto"/>
                <w:sz w:val="24"/>
                <w:szCs w:val="24"/>
                <w:lang w:eastAsia="zh-CN"/>
              </w:rPr>
              <w:t>地减少</w:t>
            </w:r>
            <w:r>
              <w:rPr>
                <w:rFonts w:hint="default" w:ascii="Times New Roman" w:hAnsi="Times New Roman" w:cs="Times New Roman"/>
                <w:b w:val="0"/>
                <w:bCs/>
                <w:color w:val="auto"/>
                <w:sz w:val="24"/>
                <w:szCs w:val="24"/>
              </w:rPr>
              <w:t>有毒有害气体对人体的健康损害。</w:t>
            </w:r>
          </w:p>
          <w:p w14:paraId="0ABBE3B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b w:val="0"/>
                <w:bCs/>
                <w:color w:val="auto"/>
                <w:sz w:val="24"/>
                <w:szCs w:val="24"/>
              </w:rPr>
              <w:t>通过采取上述废气治理措施，项目施工期废气对周围环境影响较小。</w:t>
            </w:r>
          </w:p>
          <w:p w14:paraId="0AB86F72">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2、废水</w:t>
            </w:r>
          </w:p>
          <w:p w14:paraId="7DC30326">
            <w:pPr>
              <w:keepNext w:val="0"/>
              <w:keepLines w:val="0"/>
              <w:suppressLineNumbers w:val="0"/>
              <w:spacing w:before="0" w:beforeAutospacing="0" w:after="0" w:afterAutospacing="0" w:line="360" w:lineRule="auto"/>
              <w:ind w:left="0" w:right="0" w:firstLine="361" w:firstLineChars="15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（1）生活污水</w:t>
            </w:r>
          </w:p>
          <w:p w14:paraId="1F9D2AB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施工高峰期施工人员预计约</w:t>
            </w:r>
            <w:r>
              <w:rPr>
                <w:rFonts w:hint="default"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人，施工人员生活用水量按0.</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lang w:val="en-US" w:eastAsia="zh-CN"/>
              </w:rPr>
              <w:t>用水</w:t>
            </w:r>
            <w:r>
              <w:rPr>
                <w:rFonts w:hint="default" w:ascii="Times New Roman" w:hAnsi="Times New Roman" w:cs="Times New Roman"/>
                <w:color w:val="auto"/>
                <w:sz w:val="24"/>
                <w:szCs w:val="24"/>
              </w:rPr>
              <w:t>量为</w:t>
            </w:r>
            <w:r>
              <w:rPr>
                <w:rFonts w:hint="default"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/d，生活污水产生系数取0.8</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，则生活污水产生量为</w:t>
            </w:r>
            <w:r>
              <w:rPr>
                <w:rFonts w:hint="default" w:ascii="Times New Roman" w:hAnsi="Times New Roman" w:cs="Times New Roman"/>
                <w:color w:val="auto"/>
                <w:sz w:val="24"/>
                <w:szCs w:val="24"/>
                <w:lang w:val="en-US" w:eastAsia="zh-CN"/>
              </w:rPr>
              <w:t>0.85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/d，生活污水</w:t>
            </w:r>
            <w:r>
              <w:rPr>
                <w:rFonts w:hint="default" w:ascii="Times New Roman" w:hAnsi="Times New Roman" w:cs="Times New Roman"/>
                <w:color w:val="auto"/>
                <w:sz w:val="24"/>
                <w:szCs w:val="24"/>
                <w:lang w:val="en-US" w:eastAsia="zh-CN"/>
              </w:rPr>
              <w:t>依托于原大路监狱建设的旱厕收集</w:t>
            </w:r>
            <w:r>
              <w:rPr>
                <w:rFonts w:hint="default" w:ascii="Times New Roman" w:hAnsi="Times New Roman" w:cs="Times New Roman"/>
                <w:color w:val="auto"/>
                <w:sz w:val="24"/>
                <w:szCs w:val="24"/>
              </w:rPr>
              <w:t>后用于周边农田施肥。</w:t>
            </w:r>
          </w:p>
          <w:p w14:paraId="3E293DC6">
            <w:pPr>
              <w:keepNext w:val="0"/>
              <w:keepLines w:val="0"/>
              <w:suppressLineNumbers w:val="0"/>
              <w:spacing w:before="0" w:beforeAutospacing="0" w:after="0" w:afterAutospacing="0" w:line="360" w:lineRule="auto"/>
              <w:ind w:left="0" w:right="0" w:firstLine="361" w:firstLineChars="15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（2）施工废水</w:t>
            </w:r>
          </w:p>
          <w:p w14:paraId="3C7A458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施工废水</w:t>
            </w:r>
            <w:r>
              <w:rPr>
                <w:rFonts w:hint="default" w:ascii="Times New Roman" w:hAnsi="Times New Roman" w:cs="Times New Roman"/>
                <w:color w:val="auto"/>
                <w:sz w:val="24"/>
                <w:szCs w:val="24"/>
                <w:lang w:val="en-US" w:eastAsia="zh-CN"/>
              </w:rPr>
              <w:t>一般为地面冲洗废水，车辆冲洗废水，废水</w:t>
            </w:r>
            <w:r>
              <w:rPr>
                <w:rFonts w:hint="default" w:ascii="Times New Roman" w:hAnsi="Times New Roman" w:cs="Times New Roman"/>
                <w:color w:val="auto"/>
                <w:sz w:val="24"/>
                <w:szCs w:val="24"/>
              </w:rPr>
              <w:t>中的主要污染物为pH（一般大于7）、SS、COD、石油类，污水中COD浓度值最高约500m/L、BOD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约400mg/L、SS 约1000mg/L。经类比分析，项目施工期施工废水预计排放量为5m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/d，为防止施工废水对区域地表水环境造成影响，本环评要求建设单位应采取以下污染防治措施：施工场地应建设沉淀池，施工废水经隔油沉淀后用于施工场地洒水降尘，不外排。</w:t>
            </w:r>
          </w:p>
          <w:p w14:paraId="657FB4C6">
            <w:pPr>
              <w:keepNext w:val="0"/>
              <w:keepLines w:val="0"/>
              <w:suppressLineNumbers w:val="0"/>
              <w:spacing w:before="0" w:beforeAutospacing="0" w:after="0" w:afterAutospacing="0" w:line="360" w:lineRule="auto"/>
              <w:ind w:left="0" w:right="0" w:firstLine="48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3、噪声</w:t>
            </w:r>
          </w:p>
          <w:p w14:paraId="76E2FE4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施工期主要是设备安装噪声和运输车辆噪声，主要的高噪声设备为空压机和运输车辆等，这些噪声源的强度在 70～90dB(A)。</w:t>
            </w:r>
          </w:p>
          <w:p w14:paraId="65C7CE7F">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rPr>
            </w:pPr>
            <w:r>
              <w:rPr>
                <w:rFonts w:hint="default" w:ascii="Times New Roman" w:hAnsi="Times New Roman" w:eastAsia="黑体" w:cs="Times New Roman"/>
                <w:b/>
                <w:bCs/>
                <w:color w:val="auto"/>
                <w:kern w:val="0"/>
                <w:sz w:val="20"/>
                <w:szCs w:val="20"/>
              </w:rPr>
              <w:t>表4-1 工业企业噪声施工期源强调查清单（室外声源）</w:t>
            </w:r>
          </w:p>
          <w:tbl>
            <w:tblPr>
              <w:tblStyle w:val="2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19"/>
              <w:gridCol w:w="926"/>
              <w:gridCol w:w="570"/>
              <w:gridCol w:w="751"/>
              <w:gridCol w:w="780"/>
              <w:gridCol w:w="751"/>
              <w:gridCol w:w="1296"/>
              <w:gridCol w:w="1029"/>
              <w:gridCol w:w="1200"/>
              <w:gridCol w:w="1173"/>
            </w:tblGrid>
            <w:tr w14:paraId="23980B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blHeader/>
                <w:jc w:val="center"/>
              </w:trPr>
              <w:tc>
                <w:tcPr>
                  <w:tcW w:w="236" w:type="pct"/>
                  <w:vMerge w:val="restart"/>
                  <w:tcBorders>
                    <w:tl2br w:val="nil"/>
                    <w:tr2bl w:val="nil"/>
                  </w:tcBorders>
                  <w:vAlign w:val="center"/>
                </w:tcPr>
                <w:p w14:paraId="07F7410B">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序号</w:t>
                  </w:r>
                </w:p>
              </w:tc>
              <w:tc>
                <w:tcPr>
                  <w:tcW w:w="520" w:type="pct"/>
                  <w:vMerge w:val="restart"/>
                  <w:tcBorders>
                    <w:tl2br w:val="nil"/>
                    <w:tr2bl w:val="nil"/>
                  </w:tcBorders>
                  <w:vAlign w:val="center"/>
                </w:tcPr>
                <w:p w14:paraId="6BBB02C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声源名称</w:t>
                  </w:r>
                </w:p>
              </w:tc>
              <w:tc>
                <w:tcPr>
                  <w:tcW w:w="320" w:type="pct"/>
                  <w:vMerge w:val="restart"/>
                  <w:tcBorders>
                    <w:tl2br w:val="nil"/>
                    <w:tr2bl w:val="nil"/>
                  </w:tcBorders>
                  <w:vAlign w:val="center"/>
                </w:tcPr>
                <w:p w14:paraId="5216EE3D">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型号</w:t>
                  </w:r>
                </w:p>
              </w:tc>
              <w:tc>
                <w:tcPr>
                  <w:tcW w:w="1282" w:type="pct"/>
                  <w:gridSpan w:val="3"/>
                  <w:tcBorders>
                    <w:tl2br w:val="nil"/>
                    <w:tr2bl w:val="nil"/>
                  </w:tcBorders>
                  <w:vAlign w:val="center"/>
                </w:tcPr>
                <w:p w14:paraId="625F65FF">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空间相对位置</w:t>
                  </w:r>
                </w:p>
              </w:tc>
              <w:tc>
                <w:tcPr>
                  <w:tcW w:w="1306" w:type="pct"/>
                  <w:gridSpan w:val="2"/>
                  <w:tcBorders>
                    <w:tl2br w:val="nil"/>
                    <w:tr2bl w:val="nil"/>
                  </w:tcBorders>
                  <w:vAlign w:val="center"/>
                </w:tcPr>
                <w:p w14:paraId="7D8B7FC7">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噪声源强（任选一种）</w:t>
                  </w:r>
                </w:p>
              </w:tc>
              <w:tc>
                <w:tcPr>
                  <w:tcW w:w="674" w:type="pct"/>
                  <w:vMerge w:val="restart"/>
                  <w:tcBorders>
                    <w:tl2br w:val="nil"/>
                    <w:tr2bl w:val="nil"/>
                  </w:tcBorders>
                  <w:vAlign w:val="center"/>
                </w:tcPr>
                <w:p w14:paraId="6FDEDD62">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声源控制措施</w:t>
                  </w:r>
                </w:p>
              </w:tc>
              <w:tc>
                <w:tcPr>
                  <w:tcW w:w="659" w:type="pct"/>
                  <w:vMerge w:val="restart"/>
                  <w:tcBorders>
                    <w:tl2br w:val="nil"/>
                    <w:tr2bl w:val="nil"/>
                  </w:tcBorders>
                  <w:vAlign w:val="center"/>
                </w:tcPr>
                <w:p w14:paraId="016470B4">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运行时段</w:t>
                  </w:r>
                </w:p>
              </w:tc>
            </w:tr>
            <w:tr w14:paraId="178FBA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6" w:type="pct"/>
                  <w:vMerge w:val="continue"/>
                  <w:tcBorders>
                    <w:tl2br w:val="nil"/>
                    <w:tr2bl w:val="nil"/>
                  </w:tcBorders>
                  <w:vAlign w:val="center"/>
                </w:tcPr>
                <w:p w14:paraId="441E025F">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rPr>
                  </w:pPr>
                </w:p>
              </w:tc>
              <w:tc>
                <w:tcPr>
                  <w:tcW w:w="520" w:type="pct"/>
                  <w:vMerge w:val="continue"/>
                  <w:tcBorders>
                    <w:tl2br w:val="nil"/>
                    <w:tr2bl w:val="nil"/>
                  </w:tcBorders>
                  <w:vAlign w:val="center"/>
                </w:tcPr>
                <w:p w14:paraId="5EB10162">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rPr>
                  </w:pPr>
                </w:p>
              </w:tc>
              <w:tc>
                <w:tcPr>
                  <w:tcW w:w="320" w:type="pct"/>
                  <w:vMerge w:val="continue"/>
                  <w:tcBorders>
                    <w:tl2br w:val="nil"/>
                    <w:tr2bl w:val="nil"/>
                  </w:tcBorders>
                  <w:vAlign w:val="center"/>
                </w:tcPr>
                <w:p w14:paraId="380B9C9C">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rPr>
                  </w:pPr>
                </w:p>
              </w:tc>
              <w:tc>
                <w:tcPr>
                  <w:tcW w:w="422" w:type="pct"/>
                  <w:tcBorders>
                    <w:tl2br w:val="nil"/>
                    <w:tr2bl w:val="nil"/>
                  </w:tcBorders>
                  <w:vAlign w:val="center"/>
                </w:tcPr>
                <w:p w14:paraId="4527D422">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X</w:t>
                  </w:r>
                </w:p>
              </w:tc>
              <w:tc>
                <w:tcPr>
                  <w:tcW w:w="438" w:type="pct"/>
                  <w:tcBorders>
                    <w:tl2br w:val="nil"/>
                    <w:tr2bl w:val="nil"/>
                  </w:tcBorders>
                  <w:vAlign w:val="center"/>
                </w:tcPr>
                <w:p w14:paraId="29803D28">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Y</w:t>
                  </w:r>
                </w:p>
              </w:tc>
              <w:tc>
                <w:tcPr>
                  <w:tcW w:w="421" w:type="pct"/>
                  <w:tcBorders>
                    <w:tl2br w:val="nil"/>
                    <w:tr2bl w:val="nil"/>
                  </w:tcBorders>
                  <w:vAlign w:val="center"/>
                </w:tcPr>
                <w:p w14:paraId="2B14C4F5">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Z</w:t>
                  </w:r>
                </w:p>
              </w:tc>
              <w:tc>
                <w:tcPr>
                  <w:tcW w:w="728" w:type="pct"/>
                  <w:tcBorders>
                    <w:tl2br w:val="nil"/>
                    <w:tr2bl w:val="nil"/>
                  </w:tcBorders>
                  <w:vAlign w:val="center"/>
                </w:tcPr>
                <w:p w14:paraId="55B6C3C4">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（声压级/距声源距离）/（dB（A）/m）</w:t>
                  </w:r>
                </w:p>
              </w:tc>
              <w:tc>
                <w:tcPr>
                  <w:tcW w:w="578" w:type="pct"/>
                  <w:tcBorders>
                    <w:tl2br w:val="nil"/>
                    <w:tr2bl w:val="nil"/>
                  </w:tcBorders>
                  <w:vAlign w:val="center"/>
                </w:tcPr>
                <w:p w14:paraId="608FC5F1">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声功率级/dB（A）</w:t>
                  </w:r>
                </w:p>
              </w:tc>
              <w:tc>
                <w:tcPr>
                  <w:tcW w:w="674" w:type="pct"/>
                  <w:vMerge w:val="continue"/>
                  <w:tcBorders>
                    <w:tl2br w:val="nil"/>
                    <w:tr2bl w:val="nil"/>
                  </w:tcBorders>
                  <w:vAlign w:val="center"/>
                </w:tcPr>
                <w:p w14:paraId="6A42B7AD">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rPr>
                  </w:pPr>
                </w:p>
              </w:tc>
              <w:tc>
                <w:tcPr>
                  <w:tcW w:w="659" w:type="pct"/>
                  <w:vMerge w:val="continue"/>
                  <w:tcBorders>
                    <w:tl2br w:val="nil"/>
                    <w:tr2bl w:val="nil"/>
                  </w:tcBorders>
                  <w:vAlign w:val="center"/>
                </w:tcPr>
                <w:p w14:paraId="3F75307F">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rPr>
                  </w:pPr>
                </w:p>
              </w:tc>
            </w:tr>
            <w:tr w14:paraId="23474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6" w:type="pct"/>
                  <w:tcBorders>
                    <w:tl2br w:val="nil"/>
                    <w:tr2bl w:val="nil"/>
                  </w:tcBorders>
                  <w:vAlign w:val="center"/>
                </w:tcPr>
                <w:p w14:paraId="6A03DC61">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color w:val="auto"/>
                      <w:sz w:val="21"/>
                      <w:lang w:bidi="ar"/>
                    </w:rPr>
                  </w:pPr>
                  <w:r>
                    <w:rPr>
                      <w:rFonts w:hint="default" w:ascii="Times New Roman" w:hAnsi="Times New Roman" w:cs="Times New Roman"/>
                      <w:color w:val="auto"/>
                      <w:sz w:val="21"/>
                    </w:rPr>
                    <w:t>1</w:t>
                  </w:r>
                </w:p>
              </w:tc>
              <w:tc>
                <w:tcPr>
                  <w:tcW w:w="520" w:type="pct"/>
                  <w:tcBorders>
                    <w:tl2br w:val="nil"/>
                    <w:tr2bl w:val="nil"/>
                  </w:tcBorders>
                  <w:vAlign w:val="center"/>
                </w:tcPr>
                <w:p w14:paraId="010A89A0">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color w:val="auto"/>
                      <w:sz w:val="21"/>
                    </w:rPr>
                  </w:pPr>
                  <w:r>
                    <w:rPr>
                      <w:rFonts w:hint="default" w:ascii="Times New Roman" w:hAnsi="Times New Roman" w:cs="Times New Roman"/>
                      <w:color w:val="auto"/>
                      <w:sz w:val="21"/>
                    </w:rPr>
                    <w:t>电锯</w:t>
                  </w:r>
                </w:p>
              </w:tc>
              <w:tc>
                <w:tcPr>
                  <w:tcW w:w="320" w:type="pct"/>
                  <w:tcBorders>
                    <w:tl2br w:val="nil"/>
                    <w:tr2bl w:val="nil"/>
                  </w:tcBorders>
                  <w:vAlign w:val="center"/>
                </w:tcPr>
                <w:p w14:paraId="697D3EF5">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422" w:type="pct"/>
                  <w:tcBorders>
                    <w:tl2br w:val="nil"/>
                    <w:tr2bl w:val="nil"/>
                  </w:tcBorders>
                  <w:vAlign w:val="center"/>
                </w:tcPr>
                <w:p w14:paraId="143781E8">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rPr>
                    <w:t>6</w:t>
                  </w:r>
                  <w:r>
                    <w:rPr>
                      <w:rFonts w:hint="default" w:ascii="Times New Roman" w:hAnsi="Times New Roman" w:cs="Times New Roman"/>
                      <w:color w:val="auto"/>
                      <w:lang w:val="en-US" w:eastAsia="zh-CN"/>
                    </w:rPr>
                    <w:t>2</w:t>
                  </w:r>
                </w:p>
              </w:tc>
              <w:tc>
                <w:tcPr>
                  <w:tcW w:w="438" w:type="pct"/>
                  <w:tcBorders>
                    <w:tl2br w:val="nil"/>
                    <w:tr2bl w:val="nil"/>
                  </w:tcBorders>
                  <w:vAlign w:val="center"/>
                </w:tcPr>
                <w:p w14:paraId="4E33B4DD">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t>116</w:t>
                  </w:r>
                </w:p>
              </w:tc>
              <w:tc>
                <w:tcPr>
                  <w:tcW w:w="421" w:type="pct"/>
                  <w:tcBorders>
                    <w:tl2br w:val="nil"/>
                    <w:tr2bl w:val="nil"/>
                  </w:tcBorders>
                  <w:vAlign w:val="center"/>
                </w:tcPr>
                <w:p w14:paraId="0345FC3D">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t>1</w:t>
                  </w:r>
                </w:p>
              </w:tc>
              <w:tc>
                <w:tcPr>
                  <w:tcW w:w="728" w:type="pct"/>
                  <w:tcBorders>
                    <w:tl2br w:val="nil"/>
                    <w:tr2bl w:val="nil"/>
                  </w:tcBorders>
                  <w:vAlign w:val="center"/>
                </w:tcPr>
                <w:p w14:paraId="1DD771B5">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578" w:type="pct"/>
                  <w:tcBorders>
                    <w:tl2br w:val="nil"/>
                    <w:tr2bl w:val="nil"/>
                  </w:tcBorders>
                  <w:vAlign w:val="center"/>
                </w:tcPr>
                <w:p w14:paraId="18D3D7AB">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90</w:t>
                  </w:r>
                </w:p>
              </w:tc>
              <w:tc>
                <w:tcPr>
                  <w:tcW w:w="674" w:type="pct"/>
                  <w:vMerge w:val="restart"/>
                  <w:tcBorders>
                    <w:tl2br w:val="nil"/>
                    <w:tr2bl w:val="nil"/>
                  </w:tcBorders>
                  <w:vAlign w:val="center"/>
                </w:tcPr>
                <w:p w14:paraId="02C82E62">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rPr>
                  </w:pPr>
                  <w:r>
                    <w:rPr>
                      <w:rFonts w:hint="default" w:ascii="Times New Roman" w:hAnsi="Times New Roman" w:cs="Times New Roman"/>
                      <w:color w:val="auto"/>
                      <w:sz w:val="21"/>
                    </w:rPr>
                    <w:t>选用低噪声设备，合理布置设备，加强管理</w:t>
                  </w:r>
                </w:p>
              </w:tc>
              <w:tc>
                <w:tcPr>
                  <w:tcW w:w="659" w:type="pct"/>
                  <w:vMerge w:val="restart"/>
                  <w:tcBorders>
                    <w:tl2br w:val="nil"/>
                    <w:tr2bl w:val="nil"/>
                  </w:tcBorders>
                  <w:vAlign w:val="center"/>
                </w:tcPr>
                <w:p w14:paraId="65D7FD6F">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rPr>
                  </w:pPr>
                  <w:r>
                    <w:rPr>
                      <w:rFonts w:hint="default" w:ascii="Times New Roman" w:hAnsi="Times New Roman" w:cs="Times New Roman"/>
                      <w:color w:val="auto"/>
                      <w:sz w:val="21"/>
                    </w:rPr>
                    <w:t>昼间</w:t>
                  </w:r>
                </w:p>
              </w:tc>
            </w:tr>
            <w:tr w14:paraId="42D81F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6" w:type="pct"/>
                  <w:tcBorders>
                    <w:tl2br w:val="nil"/>
                    <w:tr2bl w:val="nil"/>
                  </w:tcBorders>
                  <w:vAlign w:val="center"/>
                </w:tcPr>
                <w:p w14:paraId="31D945BD">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color w:val="auto"/>
                      <w:sz w:val="21"/>
                      <w:lang w:bidi="ar"/>
                    </w:rPr>
                  </w:pPr>
                  <w:r>
                    <w:rPr>
                      <w:rFonts w:hint="default" w:ascii="Times New Roman" w:hAnsi="Times New Roman" w:cs="Times New Roman"/>
                      <w:color w:val="auto"/>
                      <w:sz w:val="21"/>
                    </w:rPr>
                    <w:t>2</w:t>
                  </w:r>
                </w:p>
              </w:tc>
              <w:tc>
                <w:tcPr>
                  <w:tcW w:w="520" w:type="pct"/>
                  <w:tcBorders>
                    <w:tl2br w:val="nil"/>
                    <w:tr2bl w:val="nil"/>
                  </w:tcBorders>
                  <w:vAlign w:val="center"/>
                </w:tcPr>
                <w:p w14:paraId="425C6B5E">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lang w:val="en-US" w:eastAsia="zh-CN"/>
                    </w:rPr>
                    <w:t>空压机</w:t>
                  </w:r>
                </w:p>
              </w:tc>
              <w:tc>
                <w:tcPr>
                  <w:tcW w:w="320" w:type="pct"/>
                  <w:tcBorders>
                    <w:tl2br w:val="nil"/>
                    <w:tr2bl w:val="nil"/>
                  </w:tcBorders>
                  <w:vAlign w:val="center"/>
                </w:tcPr>
                <w:p w14:paraId="171932CF">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422" w:type="pct"/>
                  <w:tcBorders>
                    <w:tl2br w:val="nil"/>
                    <w:tr2bl w:val="nil"/>
                  </w:tcBorders>
                  <w:vAlign w:val="center"/>
                </w:tcPr>
                <w:p w14:paraId="5589E976">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t>12</w:t>
                  </w:r>
                  <w:r>
                    <w:rPr>
                      <w:rFonts w:hint="default" w:ascii="Times New Roman" w:hAnsi="Times New Roman" w:cs="Times New Roman"/>
                      <w:color w:val="auto"/>
                      <w:lang w:val="en-US" w:eastAsia="zh-CN"/>
                    </w:rPr>
                    <w:t>3</w:t>
                  </w:r>
                </w:p>
              </w:tc>
              <w:tc>
                <w:tcPr>
                  <w:tcW w:w="438" w:type="pct"/>
                  <w:tcBorders>
                    <w:tl2br w:val="nil"/>
                    <w:tr2bl w:val="nil"/>
                  </w:tcBorders>
                  <w:vAlign w:val="center"/>
                </w:tcPr>
                <w:p w14:paraId="26650EC5">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t>14</w:t>
                  </w:r>
                  <w:r>
                    <w:rPr>
                      <w:rFonts w:hint="default" w:ascii="Times New Roman" w:hAnsi="Times New Roman" w:cs="Times New Roman"/>
                      <w:color w:val="auto"/>
                      <w:lang w:val="en-US" w:eastAsia="zh-CN"/>
                    </w:rPr>
                    <w:t>2</w:t>
                  </w:r>
                </w:p>
              </w:tc>
              <w:tc>
                <w:tcPr>
                  <w:tcW w:w="421" w:type="pct"/>
                  <w:tcBorders>
                    <w:tl2br w:val="nil"/>
                    <w:tr2bl w:val="nil"/>
                  </w:tcBorders>
                  <w:vAlign w:val="center"/>
                </w:tcPr>
                <w:p w14:paraId="37B78217">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rPr>
                    <w:t>2</w:t>
                  </w:r>
                </w:p>
              </w:tc>
              <w:tc>
                <w:tcPr>
                  <w:tcW w:w="728" w:type="pct"/>
                  <w:tcBorders>
                    <w:tl2br w:val="nil"/>
                    <w:tr2bl w:val="nil"/>
                  </w:tcBorders>
                  <w:vAlign w:val="center"/>
                </w:tcPr>
                <w:p w14:paraId="50618199">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578" w:type="pct"/>
                  <w:tcBorders>
                    <w:tl2br w:val="nil"/>
                    <w:tr2bl w:val="nil"/>
                  </w:tcBorders>
                  <w:vAlign w:val="center"/>
                </w:tcPr>
                <w:p w14:paraId="1E3CDF32">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80</w:t>
                  </w:r>
                </w:p>
              </w:tc>
              <w:tc>
                <w:tcPr>
                  <w:tcW w:w="674" w:type="pct"/>
                  <w:vMerge w:val="continue"/>
                  <w:tcBorders>
                    <w:tl2br w:val="nil"/>
                    <w:tr2bl w:val="nil"/>
                  </w:tcBorders>
                  <w:vAlign w:val="center"/>
                </w:tcPr>
                <w:p w14:paraId="63319313">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rPr>
                  </w:pPr>
                </w:p>
              </w:tc>
              <w:tc>
                <w:tcPr>
                  <w:tcW w:w="659" w:type="pct"/>
                  <w:vMerge w:val="continue"/>
                  <w:tcBorders>
                    <w:tl2br w:val="nil"/>
                    <w:tr2bl w:val="nil"/>
                  </w:tcBorders>
                  <w:vAlign w:val="center"/>
                </w:tcPr>
                <w:p w14:paraId="58F4E143">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rPr>
                  </w:pPr>
                </w:p>
              </w:tc>
            </w:tr>
            <w:tr w14:paraId="3B960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6" w:type="pct"/>
                  <w:tcBorders>
                    <w:tl2br w:val="nil"/>
                    <w:tr2bl w:val="nil"/>
                  </w:tcBorders>
                  <w:vAlign w:val="center"/>
                </w:tcPr>
                <w:p w14:paraId="5D3A82E2">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lang w:val="en-US" w:eastAsia="zh-CN"/>
                    </w:rPr>
                    <w:t>3</w:t>
                  </w:r>
                </w:p>
              </w:tc>
              <w:tc>
                <w:tcPr>
                  <w:tcW w:w="520" w:type="pct"/>
                  <w:tcBorders>
                    <w:tl2br w:val="nil"/>
                    <w:tr2bl w:val="nil"/>
                  </w:tcBorders>
                  <w:vAlign w:val="center"/>
                </w:tcPr>
                <w:p w14:paraId="29E9D93C">
                  <w:pPr>
                    <w:keepNext w:val="0"/>
                    <w:keepLines w:val="0"/>
                    <w:suppressLineNumbers w:val="0"/>
                    <w:spacing w:before="0" w:beforeAutospacing="0" w:after="0" w:afterAutospacing="0" w:line="360" w:lineRule="auto"/>
                    <w:ind w:left="0" w:right="0"/>
                    <w:jc w:val="center"/>
                    <w:textAlignment w:val="baseline"/>
                    <w:rPr>
                      <w:rFonts w:hint="default" w:ascii="Times New Roman" w:hAnsi="Times New Roman" w:cs="Times New Roman" w:eastAsiaTheme="minorEastAsia"/>
                      <w:color w:val="auto"/>
                      <w:sz w:val="21"/>
                    </w:rPr>
                  </w:pPr>
                  <w:r>
                    <w:rPr>
                      <w:rFonts w:hint="default" w:ascii="Times New Roman" w:hAnsi="Times New Roman" w:cs="Times New Roman"/>
                      <w:color w:val="auto"/>
                      <w:sz w:val="21"/>
                    </w:rPr>
                    <w:t>电钻、手工钻</w:t>
                  </w:r>
                </w:p>
              </w:tc>
              <w:tc>
                <w:tcPr>
                  <w:tcW w:w="320" w:type="pct"/>
                  <w:tcBorders>
                    <w:tl2br w:val="nil"/>
                    <w:tr2bl w:val="nil"/>
                  </w:tcBorders>
                  <w:vAlign w:val="center"/>
                </w:tcPr>
                <w:p w14:paraId="07A9976E">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422" w:type="pct"/>
                  <w:tcBorders>
                    <w:tl2br w:val="nil"/>
                    <w:tr2bl w:val="nil"/>
                  </w:tcBorders>
                  <w:vAlign w:val="center"/>
                </w:tcPr>
                <w:p w14:paraId="4AA924E0">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t>23</w:t>
                  </w:r>
                  <w:r>
                    <w:rPr>
                      <w:rFonts w:hint="default" w:ascii="Times New Roman" w:hAnsi="Times New Roman" w:cs="Times New Roman"/>
                      <w:color w:val="auto"/>
                      <w:lang w:val="en-US" w:eastAsia="zh-CN"/>
                    </w:rPr>
                    <w:t>8</w:t>
                  </w:r>
                </w:p>
              </w:tc>
              <w:tc>
                <w:tcPr>
                  <w:tcW w:w="438" w:type="pct"/>
                  <w:tcBorders>
                    <w:tl2br w:val="nil"/>
                    <w:tr2bl w:val="nil"/>
                  </w:tcBorders>
                  <w:vAlign w:val="center"/>
                </w:tcPr>
                <w:p w14:paraId="4BA667A7">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t>6</w:t>
                  </w:r>
                  <w:r>
                    <w:rPr>
                      <w:rFonts w:hint="default" w:ascii="Times New Roman" w:hAnsi="Times New Roman" w:cs="Times New Roman"/>
                      <w:color w:val="auto"/>
                      <w:lang w:val="en-US" w:eastAsia="zh-CN"/>
                    </w:rPr>
                    <w:t>7</w:t>
                  </w:r>
                </w:p>
              </w:tc>
              <w:tc>
                <w:tcPr>
                  <w:tcW w:w="421" w:type="pct"/>
                  <w:tcBorders>
                    <w:tl2br w:val="nil"/>
                    <w:tr2bl w:val="nil"/>
                  </w:tcBorders>
                  <w:vAlign w:val="center"/>
                </w:tcPr>
                <w:p w14:paraId="192F0660">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rPr>
                    <w:t>1</w:t>
                  </w:r>
                </w:p>
              </w:tc>
              <w:tc>
                <w:tcPr>
                  <w:tcW w:w="728" w:type="pct"/>
                  <w:tcBorders>
                    <w:tl2br w:val="nil"/>
                    <w:tr2bl w:val="nil"/>
                  </w:tcBorders>
                  <w:vAlign w:val="center"/>
                </w:tcPr>
                <w:p w14:paraId="73CC76AB">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578" w:type="pct"/>
                  <w:tcBorders>
                    <w:tl2br w:val="nil"/>
                    <w:tr2bl w:val="nil"/>
                  </w:tcBorders>
                  <w:vAlign w:val="center"/>
                </w:tcPr>
                <w:p w14:paraId="1D63C310">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85</w:t>
                  </w:r>
                </w:p>
              </w:tc>
              <w:tc>
                <w:tcPr>
                  <w:tcW w:w="674" w:type="pct"/>
                  <w:vMerge w:val="continue"/>
                  <w:tcBorders>
                    <w:tl2br w:val="nil"/>
                    <w:tr2bl w:val="nil"/>
                  </w:tcBorders>
                  <w:vAlign w:val="center"/>
                </w:tcPr>
                <w:p w14:paraId="06A29431">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rPr>
                  </w:pPr>
                </w:p>
              </w:tc>
              <w:tc>
                <w:tcPr>
                  <w:tcW w:w="659" w:type="pct"/>
                  <w:vMerge w:val="continue"/>
                  <w:tcBorders>
                    <w:tl2br w:val="nil"/>
                    <w:tr2bl w:val="nil"/>
                  </w:tcBorders>
                  <w:vAlign w:val="center"/>
                </w:tcPr>
                <w:p w14:paraId="2CCC67AE">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1"/>
                    </w:rPr>
                  </w:pPr>
                </w:p>
              </w:tc>
            </w:tr>
          </w:tbl>
          <w:p w14:paraId="72B18428">
            <w:pPr>
              <w:spacing w:line="360" w:lineRule="auto"/>
              <w:ind w:firstLine="402" w:firstLineChars="200"/>
              <w:jc w:val="center"/>
              <w:rPr>
                <w:rFonts w:hint="default" w:ascii="Times New Roman" w:hAnsi="Times New Roman" w:eastAsia="黑体" w:cs="Times New Roman"/>
                <w:b/>
                <w:bCs/>
                <w:color w:val="auto"/>
                <w:kern w:val="0"/>
                <w:sz w:val="20"/>
                <w:szCs w:val="20"/>
              </w:rPr>
            </w:pPr>
            <w:r>
              <w:rPr>
                <w:rFonts w:hint="default" w:ascii="Times New Roman" w:hAnsi="Times New Roman" w:eastAsia="黑体" w:cs="Times New Roman"/>
                <w:b/>
                <w:bCs/>
                <w:color w:val="auto"/>
                <w:kern w:val="0"/>
                <w:sz w:val="20"/>
                <w:szCs w:val="20"/>
              </w:rPr>
              <w:t>表4-</w:t>
            </w:r>
            <w:r>
              <w:rPr>
                <w:rFonts w:hint="default" w:ascii="Times New Roman" w:hAnsi="Times New Roman" w:eastAsia="黑体" w:cs="Times New Roman"/>
                <w:b/>
                <w:bCs/>
                <w:color w:val="auto"/>
                <w:kern w:val="0"/>
                <w:sz w:val="20"/>
                <w:szCs w:val="20"/>
                <w:lang w:val="en-US" w:eastAsia="zh-CN"/>
              </w:rPr>
              <w:t>2</w:t>
            </w:r>
            <w:r>
              <w:rPr>
                <w:rFonts w:hint="default" w:ascii="Times New Roman" w:hAnsi="Times New Roman" w:eastAsia="黑体" w:cs="Times New Roman"/>
                <w:b/>
                <w:bCs/>
                <w:color w:val="auto"/>
                <w:kern w:val="0"/>
                <w:sz w:val="20"/>
                <w:szCs w:val="20"/>
              </w:rPr>
              <w:t xml:space="preserve"> 施工厂界噪声预测结果表（昼间）</w:t>
            </w:r>
          </w:p>
          <w:tbl>
            <w:tblPr>
              <w:tblStyle w:val="29"/>
              <w:tblW w:w="89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263"/>
              <w:gridCol w:w="916"/>
              <w:gridCol w:w="916"/>
              <w:gridCol w:w="918"/>
              <w:gridCol w:w="792"/>
              <w:gridCol w:w="1464"/>
              <w:gridCol w:w="1715"/>
              <w:gridCol w:w="991"/>
            </w:tblGrid>
            <w:tr w14:paraId="6072C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08" w:hRule="atLeast"/>
                <w:tblHeader/>
                <w:jc w:val="center"/>
              </w:trPr>
              <w:tc>
                <w:tcPr>
                  <w:tcW w:w="703" w:type="pct"/>
                  <w:vMerge w:val="restart"/>
                  <w:tcBorders>
                    <w:tl2br w:val="nil"/>
                    <w:tr2bl w:val="nil"/>
                  </w:tcBorders>
                  <w:vAlign w:val="center"/>
                </w:tcPr>
                <w:p w14:paraId="1F27FA87">
                  <w:pPr>
                    <w:spacing w:line="360" w:lineRule="auto"/>
                    <w:jc w:val="center"/>
                    <w:rPr>
                      <w:rFonts w:hint="default" w:ascii="Times New Roman" w:hAnsi="Times New Roman" w:cs="Times New Roman"/>
                      <w:b/>
                      <w:bCs/>
                      <w:color w:val="auto"/>
                    </w:rPr>
                  </w:pPr>
                  <w:r>
                    <w:rPr>
                      <w:rFonts w:hint="default" w:ascii="Times New Roman" w:hAnsi="Times New Roman" w:cs="Times New Roman"/>
                      <w:b/>
                      <w:bCs/>
                      <w:color w:val="auto"/>
                    </w:rPr>
                    <w:t>预测方位</w:t>
                  </w:r>
                </w:p>
              </w:tc>
              <w:tc>
                <w:tcPr>
                  <w:tcW w:w="1531" w:type="pct"/>
                  <w:gridSpan w:val="3"/>
                  <w:tcBorders>
                    <w:tl2br w:val="nil"/>
                    <w:tr2bl w:val="nil"/>
                  </w:tcBorders>
                  <w:vAlign w:val="center"/>
                </w:tcPr>
                <w:p w14:paraId="5BC2DA98">
                  <w:pPr>
                    <w:spacing w:line="360" w:lineRule="auto"/>
                    <w:jc w:val="center"/>
                    <w:rPr>
                      <w:rFonts w:hint="default" w:ascii="Times New Roman" w:hAnsi="Times New Roman" w:cs="Times New Roman"/>
                      <w:b/>
                      <w:bCs/>
                      <w:color w:val="auto"/>
                    </w:rPr>
                  </w:pPr>
                  <w:r>
                    <w:rPr>
                      <w:rFonts w:hint="default" w:ascii="Times New Roman" w:hAnsi="Times New Roman" w:cs="Times New Roman"/>
                      <w:b/>
                      <w:bCs/>
                      <w:color w:val="auto"/>
                    </w:rPr>
                    <w:t>空间相对位置</w:t>
                  </w:r>
                </w:p>
              </w:tc>
              <w:tc>
                <w:tcPr>
                  <w:tcW w:w="441" w:type="pct"/>
                  <w:vMerge w:val="restart"/>
                  <w:tcBorders>
                    <w:tl2br w:val="nil"/>
                    <w:tr2bl w:val="nil"/>
                  </w:tcBorders>
                  <w:vAlign w:val="center"/>
                </w:tcPr>
                <w:p w14:paraId="5D48D2FB">
                  <w:pPr>
                    <w:spacing w:line="360" w:lineRule="auto"/>
                    <w:jc w:val="center"/>
                    <w:rPr>
                      <w:rFonts w:hint="default" w:ascii="Times New Roman" w:hAnsi="Times New Roman" w:cs="Times New Roman"/>
                      <w:b/>
                      <w:bCs/>
                      <w:color w:val="auto"/>
                    </w:rPr>
                  </w:pPr>
                  <w:r>
                    <w:rPr>
                      <w:rFonts w:hint="default" w:ascii="Times New Roman" w:hAnsi="Times New Roman" w:cs="Times New Roman"/>
                      <w:b/>
                      <w:bCs/>
                      <w:color w:val="auto"/>
                    </w:rPr>
                    <w:t>时段</w:t>
                  </w:r>
                </w:p>
              </w:tc>
              <w:tc>
                <w:tcPr>
                  <w:tcW w:w="815" w:type="pct"/>
                  <w:vMerge w:val="restart"/>
                  <w:tcBorders>
                    <w:tl2br w:val="nil"/>
                    <w:tr2bl w:val="nil"/>
                  </w:tcBorders>
                  <w:vAlign w:val="center"/>
                </w:tcPr>
                <w:p w14:paraId="4DD2D840">
                  <w:pPr>
                    <w:spacing w:line="360" w:lineRule="auto"/>
                    <w:jc w:val="center"/>
                    <w:rPr>
                      <w:rFonts w:hint="default" w:ascii="Times New Roman" w:hAnsi="Times New Roman" w:cs="Times New Roman"/>
                      <w:b/>
                      <w:bCs/>
                      <w:color w:val="auto"/>
                    </w:rPr>
                  </w:pPr>
                  <w:r>
                    <w:rPr>
                      <w:rFonts w:hint="default" w:ascii="Times New Roman" w:hAnsi="Times New Roman" w:cs="Times New Roman"/>
                      <w:b/>
                      <w:bCs/>
                      <w:color w:val="auto"/>
                    </w:rPr>
                    <w:t>贡献值dB（A）</w:t>
                  </w:r>
                </w:p>
              </w:tc>
              <w:tc>
                <w:tcPr>
                  <w:tcW w:w="955" w:type="pct"/>
                  <w:vMerge w:val="restart"/>
                  <w:tcBorders>
                    <w:tl2br w:val="nil"/>
                    <w:tr2bl w:val="nil"/>
                  </w:tcBorders>
                  <w:vAlign w:val="center"/>
                </w:tcPr>
                <w:p w14:paraId="2CBEECC3">
                  <w:pPr>
                    <w:spacing w:line="360" w:lineRule="auto"/>
                    <w:jc w:val="center"/>
                    <w:rPr>
                      <w:rFonts w:hint="default" w:ascii="Times New Roman" w:hAnsi="Times New Roman" w:cs="Times New Roman"/>
                      <w:b/>
                      <w:bCs/>
                      <w:color w:val="auto"/>
                    </w:rPr>
                  </w:pPr>
                  <w:r>
                    <w:rPr>
                      <w:rFonts w:hint="default" w:ascii="Times New Roman" w:hAnsi="Times New Roman" w:cs="Times New Roman"/>
                      <w:b/>
                      <w:bCs/>
                      <w:color w:val="auto"/>
                    </w:rPr>
                    <w:t>标准限值dB（A）</w:t>
                  </w:r>
                </w:p>
              </w:tc>
              <w:tc>
                <w:tcPr>
                  <w:tcW w:w="552" w:type="pct"/>
                  <w:vMerge w:val="restart"/>
                  <w:tcBorders>
                    <w:tl2br w:val="nil"/>
                    <w:tr2bl w:val="nil"/>
                  </w:tcBorders>
                  <w:vAlign w:val="center"/>
                </w:tcPr>
                <w:p w14:paraId="338DC2B1">
                  <w:pPr>
                    <w:spacing w:line="360" w:lineRule="auto"/>
                    <w:jc w:val="center"/>
                    <w:rPr>
                      <w:rFonts w:hint="default" w:ascii="Times New Roman" w:hAnsi="Times New Roman" w:cs="Times New Roman"/>
                      <w:b/>
                      <w:bCs/>
                      <w:color w:val="auto"/>
                    </w:rPr>
                  </w:pPr>
                  <w:r>
                    <w:rPr>
                      <w:rFonts w:hint="default" w:ascii="Times New Roman" w:hAnsi="Times New Roman" w:cs="Times New Roman"/>
                      <w:b/>
                      <w:bCs/>
                      <w:color w:val="auto"/>
                    </w:rPr>
                    <w:t>达标情况</w:t>
                  </w:r>
                </w:p>
              </w:tc>
            </w:tr>
            <w:tr w14:paraId="36349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77" w:hRule="atLeast"/>
                <w:tblHeader/>
                <w:jc w:val="center"/>
              </w:trPr>
              <w:tc>
                <w:tcPr>
                  <w:tcW w:w="703" w:type="pct"/>
                  <w:vMerge w:val="continue"/>
                  <w:tcBorders>
                    <w:tl2br w:val="nil"/>
                    <w:tr2bl w:val="nil"/>
                  </w:tcBorders>
                  <w:vAlign w:val="center"/>
                </w:tcPr>
                <w:p w14:paraId="2F921AFC">
                  <w:pPr>
                    <w:spacing w:line="360" w:lineRule="auto"/>
                    <w:jc w:val="center"/>
                    <w:rPr>
                      <w:rFonts w:hint="default" w:ascii="Times New Roman" w:hAnsi="Times New Roman" w:cs="Times New Roman"/>
                      <w:color w:val="auto"/>
                    </w:rPr>
                  </w:pPr>
                </w:p>
              </w:tc>
              <w:tc>
                <w:tcPr>
                  <w:tcW w:w="510" w:type="pct"/>
                  <w:tcBorders>
                    <w:tl2br w:val="nil"/>
                    <w:tr2bl w:val="nil"/>
                  </w:tcBorders>
                  <w:vAlign w:val="center"/>
                </w:tcPr>
                <w:p w14:paraId="1322148F">
                  <w:pPr>
                    <w:spacing w:line="360" w:lineRule="auto"/>
                    <w:jc w:val="center"/>
                    <w:rPr>
                      <w:rFonts w:hint="default" w:ascii="Times New Roman" w:hAnsi="Times New Roman" w:cs="Times New Roman"/>
                      <w:b/>
                      <w:bCs/>
                      <w:color w:val="auto"/>
                    </w:rPr>
                  </w:pPr>
                  <w:r>
                    <w:rPr>
                      <w:rFonts w:hint="default" w:ascii="Times New Roman" w:hAnsi="Times New Roman" w:cs="Times New Roman"/>
                      <w:b/>
                      <w:bCs/>
                      <w:color w:val="auto"/>
                    </w:rPr>
                    <w:t>X</w:t>
                  </w:r>
                </w:p>
              </w:tc>
              <w:tc>
                <w:tcPr>
                  <w:tcW w:w="510" w:type="pct"/>
                  <w:tcBorders>
                    <w:tl2br w:val="nil"/>
                    <w:tr2bl w:val="nil"/>
                  </w:tcBorders>
                  <w:vAlign w:val="center"/>
                </w:tcPr>
                <w:p w14:paraId="1D7B71B7">
                  <w:pPr>
                    <w:spacing w:line="360" w:lineRule="auto"/>
                    <w:jc w:val="center"/>
                    <w:rPr>
                      <w:rFonts w:hint="default" w:ascii="Times New Roman" w:hAnsi="Times New Roman" w:cs="Times New Roman"/>
                      <w:b/>
                      <w:bCs/>
                      <w:color w:val="auto"/>
                    </w:rPr>
                  </w:pPr>
                  <w:r>
                    <w:rPr>
                      <w:rFonts w:hint="default" w:ascii="Times New Roman" w:hAnsi="Times New Roman" w:cs="Times New Roman"/>
                      <w:b/>
                      <w:bCs/>
                      <w:color w:val="auto"/>
                    </w:rPr>
                    <w:t>Y</w:t>
                  </w:r>
                </w:p>
              </w:tc>
              <w:tc>
                <w:tcPr>
                  <w:tcW w:w="510" w:type="pct"/>
                  <w:tcBorders>
                    <w:tl2br w:val="nil"/>
                    <w:tr2bl w:val="nil"/>
                  </w:tcBorders>
                  <w:vAlign w:val="center"/>
                </w:tcPr>
                <w:p w14:paraId="23C64310">
                  <w:pPr>
                    <w:spacing w:line="360" w:lineRule="auto"/>
                    <w:jc w:val="center"/>
                    <w:rPr>
                      <w:rFonts w:hint="default" w:ascii="Times New Roman" w:hAnsi="Times New Roman" w:cs="Times New Roman"/>
                      <w:b/>
                      <w:bCs/>
                      <w:color w:val="auto"/>
                    </w:rPr>
                  </w:pPr>
                  <w:r>
                    <w:rPr>
                      <w:rFonts w:hint="default" w:ascii="Times New Roman" w:hAnsi="Times New Roman" w:cs="Times New Roman"/>
                      <w:b/>
                      <w:bCs/>
                      <w:color w:val="auto"/>
                    </w:rPr>
                    <w:t>Z</w:t>
                  </w:r>
                </w:p>
              </w:tc>
              <w:tc>
                <w:tcPr>
                  <w:tcW w:w="441" w:type="pct"/>
                  <w:vMerge w:val="continue"/>
                  <w:tcBorders>
                    <w:tl2br w:val="nil"/>
                    <w:tr2bl w:val="nil"/>
                  </w:tcBorders>
                  <w:vAlign w:val="center"/>
                </w:tcPr>
                <w:p w14:paraId="08077E87">
                  <w:pPr>
                    <w:spacing w:line="360" w:lineRule="auto"/>
                    <w:jc w:val="center"/>
                    <w:rPr>
                      <w:rFonts w:hint="default" w:ascii="Times New Roman" w:hAnsi="Times New Roman" w:cs="Times New Roman"/>
                      <w:b/>
                      <w:bCs/>
                      <w:color w:val="auto"/>
                    </w:rPr>
                  </w:pPr>
                </w:p>
              </w:tc>
              <w:tc>
                <w:tcPr>
                  <w:tcW w:w="815" w:type="pct"/>
                  <w:vMerge w:val="continue"/>
                  <w:tcBorders>
                    <w:tl2br w:val="nil"/>
                    <w:tr2bl w:val="nil"/>
                  </w:tcBorders>
                  <w:vAlign w:val="center"/>
                </w:tcPr>
                <w:p w14:paraId="228DBFFC">
                  <w:pPr>
                    <w:spacing w:line="360" w:lineRule="auto"/>
                    <w:jc w:val="center"/>
                    <w:rPr>
                      <w:rFonts w:hint="default" w:ascii="Times New Roman" w:hAnsi="Times New Roman" w:cs="Times New Roman"/>
                      <w:b/>
                      <w:bCs/>
                      <w:color w:val="auto"/>
                    </w:rPr>
                  </w:pPr>
                </w:p>
              </w:tc>
              <w:tc>
                <w:tcPr>
                  <w:tcW w:w="955" w:type="pct"/>
                  <w:vMerge w:val="continue"/>
                  <w:tcBorders>
                    <w:tl2br w:val="nil"/>
                    <w:tr2bl w:val="nil"/>
                  </w:tcBorders>
                  <w:vAlign w:val="center"/>
                </w:tcPr>
                <w:p w14:paraId="330AF034">
                  <w:pPr>
                    <w:spacing w:line="360" w:lineRule="auto"/>
                    <w:jc w:val="center"/>
                    <w:rPr>
                      <w:rFonts w:hint="default" w:ascii="Times New Roman" w:hAnsi="Times New Roman" w:cs="Times New Roman"/>
                      <w:b/>
                      <w:bCs/>
                      <w:color w:val="auto"/>
                    </w:rPr>
                  </w:pPr>
                </w:p>
              </w:tc>
              <w:tc>
                <w:tcPr>
                  <w:tcW w:w="552" w:type="pct"/>
                  <w:vMerge w:val="continue"/>
                  <w:tcBorders>
                    <w:tl2br w:val="nil"/>
                    <w:tr2bl w:val="nil"/>
                  </w:tcBorders>
                  <w:vAlign w:val="center"/>
                </w:tcPr>
                <w:p w14:paraId="45ADC392">
                  <w:pPr>
                    <w:spacing w:line="360" w:lineRule="auto"/>
                    <w:jc w:val="center"/>
                    <w:rPr>
                      <w:rFonts w:hint="default" w:ascii="Times New Roman" w:hAnsi="Times New Roman" w:cs="Times New Roman"/>
                      <w:b/>
                      <w:bCs/>
                      <w:color w:val="auto"/>
                    </w:rPr>
                  </w:pPr>
                </w:p>
              </w:tc>
            </w:tr>
            <w:tr w14:paraId="517A9C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77" w:hRule="atLeast"/>
                <w:jc w:val="center"/>
              </w:trPr>
              <w:tc>
                <w:tcPr>
                  <w:tcW w:w="703" w:type="pct"/>
                  <w:tcBorders>
                    <w:tl2br w:val="nil"/>
                    <w:tr2bl w:val="nil"/>
                  </w:tcBorders>
                  <w:vAlign w:val="center"/>
                </w:tcPr>
                <w:p w14:paraId="1AE6E9BD">
                  <w:pPr>
                    <w:spacing w:line="360" w:lineRule="auto"/>
                    <w:jc w:val="center"/>
                    <w:textAlignment w:val="baseline"/>
                    <w:rPr>
                      <w:rFonts w:hint="default" w:ascii="Times New Roman" w:hAnsi="Times New Roman" w:cs="Times New Roman"/>
                      <w:color w:val="auto"/>
                    </w:rPr>
                  </w:pPr>
                  <w:r>
                    <w:rPr>
                      <w:rFonts w:hint="default" w:ascii="Times New Roman" w:hAnsi="Times New Roman" w:cs="Times New Roman"/>
                      <w:color w:val="auto"/>
                    </w:rPr>
                    <w:t>东侧</w:t>
                  </w:r>
                </w:p>
              </w:tc>
              <w:tc>
                <w:tcPr>
                  <w:tcW w:w="510" w:type="pct"/>
                  <w:tcBorders>
                    <w:tl2br w:val="nil"/>
                    <w:tr2bl w:val="nil"/>
                  </w:tcBorders>
                  <w:vAlign w:val="center"/>
                </w:tcPr>
                <w:p w14:paraId="27A1BCD2">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90</w:t>
                  </w:r>
                </w:p>
              </w:tc>
              <w:tc>
                <w:tcPr>
                  <w:tcW w:w="510" w:type="pct"/>
                  <w:tcBorders>
                    <w:tl2br w:val="nil"/>
                    <w:tr2bl w:val="nil"/>
                  </w:tcBorders>
                  <w:vAlign w:val="center"/>
                </w:tcPr>
                <w:p w14:paraId="02D590DF">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510" w:type="pct"/>
                  <w:tcBorders>
                    <w:tl2br w:val="nil"/>
                    <w:tr2bl w:val="nil"/>
                  </w:tcBorders>
                  <w:vAlign w:val="center"/>
                </w:tcPr>
                <w:p w14:paraId="5623608D">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441" w:type="pct"/>
                  <w:tcBorders>
                    <w:tl2br w:val="nil"/>
                    <w:tr2bl w:val="nil"/>
                  </w:tcBorders>
                  <w:vAlign w:val="center"/>
                </w:tcPr>
                <w:p w14:paraId="263BDB24">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昼间</w:t>
                  </w:r>
                </w:p>
              </w:tc>
              <w:tc>
                <w:tcPr>
                  <w:tcW w:w="815" w:type="pct"/>
                  <w:tcBorders>
                    <w:tl2br w:val="nil"/>
                    <w:tr2bl w:val="nil"/>
                  </w:tcBorders>
                  <w:vAlign w:val="center"/>
                </w:tcPr>
                <w:p w14:paraId="6152BD5B">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32.8</w:t>
                  </w:r>
                </w:p>
              </w:tc>
              <w:tc>
                <w:tcPr>
                  <w:tcW w:w="955" w:type="pct"/>
                  <w:tcBorders>
                    <w:tl2br w:val="nil"/>
                    <w:tr2bl w:val="nil"/>
                  </w:tcBorders>
                  <w:vAlign w:val="center"/>
                </w:tcPr>
                <w:p w14:paraId="3E373EA0">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70</w:t>
                  </w:r>
                </w:p>
              </w:tc>
              <w:tc>
                <w:tcPr>
                  <w:tcW w:w="552" w:type="pct"/>
                  <w:tcBorders>
                    <w:tl2br w:val="nil"/>
                    <w:tr2bl w:val="nil"/>
                  </w:tcBorders>
                  <w:vAlign w:val="center"/>
                </w:tcPr>
                <w:p w14:paraId="686A4F8C">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达标</w:t>
                  </w:r>
                </w:p>
              </w:tc>
            </w:tr>
            <w:tr w14:paraId="5D0F29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77" w:hRule="atLeast"/>
                <w:jc w:val="center"/>
              </w:trPr>
              <w:tc>
                <w:tcPr>
                  <w:tcW w:w="703" w:type="pct"/>
                  <w:tcBorders>
                    <w:tl2br w:val="nil"/>
                    <w:tr2bl w:val="nil"/>
                  </w:tcBorders>
                  <w:vAlign w:val="center"/>
                </w:tcPr>
                <w:p w14:paraId="67CE0C01">
                  <w:pPr>
                    <w:spacing w:line="360" w:lineRule="auto"/>
                    <w:jc w:val="center"/>
                    <w:textAlignment w:val="baseline"/>
                    <w:rPr>
                      <w:rFonts w:hint="default" w:ascii="Times New Roman" w:hAnsi="Times New Roman" w:cs="Times New Roman"/>
                      <w:color w:val="auto"/>
                    </w:rPr>
                  </w:pPr>
                  <w:r>
                    <w:rPr>
                      <w:rFonts w:hint="default" w:ascii="Times New Roman" w:hAnsi="Times New Roman" w:cs="Times New Roman"/>
                      <w:color w:val="auto"/>
                    </w:rPr>
                    <w:t>西侧</w:t>
                  </w:r>
                </w:p>
              </w:tc>
              <w:tc>
                <w:tcPr>
                  <w:tcW w:w="510" w:type="pct"/>
                  <w:tcBorders>
                    <w:tl2br w:val="nil"/>
                    <w:tr2bl w:val="nil"/>
                  </w:tcBorders>
                  <w:vAlign w:val="center"/>
                </w:tcPr>
                <w:p w14:paraId="66AF693D">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510" w:type="pct"/>
                  <w:tcBorders>
                    <w:tl2br w:val="nil"/>
                    <w:tr2bl w:val="nil"/>
                  </w:tcBorders>
                  <w:vAlign w:val="center"/>
                </w:tcPr>
                <w:p w14:paraId="7265320F">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510" w:type="pct"/>
                  <w:tcBorders>
                    <w:tl2br w:val="nil"/>
                    <w:tr2bl w:val="nil"/>
                  </w:tcBorders>
                  <w:vAlign w:val="center"/>
                </w:tcPr>
                <w:p w14:paraId="2F3E4EAE">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441" w:type="pct"/>
                  <w:tcBorders>
                    <w:tl2br w:val="nil"/>
                    <w:tr2bl w:val="nil"/>
                  </w:tcBorders>
                  <w:vAlign w:val="center"/>
                </w:tcPr>
                <w:p w14:paraId="045D2BFA">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昼间</w:t>
                  </w:r>
                </w:p>
              </w:tc>
              <w:tc>
                <w:tcPr>
                  <w:tcW w:w="815" w:type="pct"/>
                  <w:tcBorders>
                    <w:tl2br w:val="nil"/>
                    <w:tr2bl w:val="nil"/>
                  </w:tcBorders>
                  <w:vAlign w:val="center"/>
                </w:tcPr>
                <w:p w14:paraId="056CC33B">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53.6</w:t>
                  </w:r>
                </w:p>
              </w:tc>
              <w:tc>
                <w:tcPr>
                  <w:tcW w:w="955" w:type="pct"/>
                  <w:tcBorders>
                    <w:tl2br w:val="nil"/>
                    <w:tr2bl w:val="nil"/>
                  </w:tcBorders>
                  <w:vAlign w:val="center"/>
                </w:tcPr>
                <w:p w14:paraId="388A64C2">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70</w:t>
                  </w:r>
                </w:p>
              </w:tc>
              <w:tc>
                <w:tcPr>
                  <w:tcW w:w="552" w:type="pct"/>
                  <w:tcBorders>
                    <w:tl2br w:val="nil"/>
                    <w:tr2bl w:val="nil"/>
                  </w:tcBorders>
                  <w:vAlign w:val="center"/>
                </w:tcPr>
                <w:p w14:paraId="30483467">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达标</w:t>
                  </w:r>
                </w:p>
              </w:tc>
            </w:tr>
            <w:tr w14:paraId="041EE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77" w:hRule="atLeast"/>
                <w:jc w:val="center"/>
              </w:trPr>
              <w:tc>
                <w:tcPr>
                  <w:tcW w:w="703" w:type="pct"/>
                  <w:tcBorders>
                    <w:tl2br w:val="nil"/>
                    <w:tr2bl w:val="nil"/>
                  </w:tcBorders>
                  <w:vAlign w:val="center"/>
                </w:tcPr>
                <w:p w14:paraId="29BE14DC">
                  <w:pPr>
                    <w:spacing w:line="360" w:lineRule="auto"/>
                    <w:jc w:val="center"/>
                    <w:textAlignment w:val="baseline"/>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南侧</w:t>
                  </w:r>
                </w:p>
              </w:tc>
              <w:tc>
                <w:tcPr>
                  <w:tcW w:w="510" w:type="pct"/>
                  <w:tcBorders>
                    <w:tl2br w:val="nil"/>
                    <w:tr2bl w:val="nil"/>
                  </w:tcBorders>
                  <w:vAlign w:val="center"/>
                </w:tcPr>
                <w:p w14:paraId="7C32F4F0">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510" w:type="pct"/>
                  <w:tcBorders>
                    <w:tl2br w:val="nil"/>
                    <w:tr2bl w:val="nil"/>
                  </w:tcBorders>
                  <w:vAlign w:val="center"/>
                </w:tcPr>
                <w:p w14:paraId="49EBA428">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510" w:type="pct"/>
                  <w:tcBorders>
                    <w:tl2br w:val="nil"/>
                    <w:tr2bl w:val="nil"/>
                  </w:tcBorders>
                  <w:vAlign w:val="center"/>
                </w:tcPr>
                <w:p w14:paraId="70056DDE">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441" w:type="pct"/>
                  <w:tcBorders>
                    <w:tl2br w:val="nil"/>
                    <w:tr2bl w:val="nil"/>
                  </w:tcBorders>
                  <w:vAlign w:val="center"/>
                </w:tcPr>
                <w:p w14:paraId="1B54C79A">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昼间</w:t>
                  </w:r>
                </w:p>
              </w:tc>
              <w:tc>
                <w:tcPr>
                  <w:tcW w:w="815" w:type="pct"/>
                  <w:tcBorders>
                    <w:tl2br w:val="nil"/>
                    <w:tr2bl w:val="nil"/>
                  </w:tcBorders>
                  <w:vAlign w:val="center"/>
                </w:tcPr>
                <w:p w14:paraId="1E7A0C6E">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39.6</w:t>
                  </w:r>
                </w:p>
              </w:tc>
              <w:tc>
                <w:tcPr>
                  <w:tcW w:w="955" w:type="pct"/>
                  <w:tcBorders>
                    <w:tl2br w:val="nil"/>
                    <w:tr2bl w:val="nil"/>
                  </w:tcBorders>
                  <w:vAlign w:val="center"/>
                </w:tcPr>
                <w:p w14:paraId="4B3B9540">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70</w:t>
                  </w:r>
                </w:p>
              </w:tc>
              <w:tc>
                <w:tcPr>
                  <w:tcW w:w="552" w:type="pct"/>
                  <w:tcBorders>
                    <w:tl2br w:val="nil"/>
                    <w:tr2bl w:val="nil"/>
                  </w:tcBorders>
                  <w:vAlign w:val="center"/>
                </w:tcPr>
                <w:p w14:paraId="47D9A86B">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达标</w:t>
                  </w:r>
                </w:p>
              </w:tc>
            </w:tr>
            <w:tr w14:paraId="0D3D9E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8" w:hRule="atLeast"/>
                <w:jc w:val="center"/>
              </w:trPr>
              <w:tc>
                <w:tcPr>
                  <w:tcW w:w="703" w:type="pct"/>
                  <w:tcBorders>
                    <w:tl2br w:val="nil"/>
                    <w:tr2bl w:val="nil"/>
                  </w:tcBorders>
                  <w:vAlign w:val="center"/>
                </w:tcPr>
                <w:p w14:paraId="30A37F5A">
                  <w:pPr>
                    <w:spacing w:line="360" w:lineRule="auto"/>
                    <w:jc w:val="center"/>
                    <w:textAlignment w:val="baseline"/>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北侧</w:t>
                  </w:r>
                </w:p>
              </w:tc>
              <w:tc>
                <w:tcPr>
                  <w:tcW w:w="510" w:type="pct"/>
                  <w:tcBorders>
                    <w:tl2br w:val="nil"/>
                    <w:tr2bl w:val="nil"/>
                  </w:tcBorders>
                  <w:vAlign w:val="center"/>
                </w:tcPr>
                <w:p w14:paraId="0B596A7A">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510" w:type="pct"/>
                  <w:tcBorders>
                    <w:tl2br w:val="nil"/>
                    <w:tr2bl w:val="nil"/>
                  </w:tcBorders>
                  <w:vAlign w:val="center"/>
                </w:tcPr>
                <w:p w14:paraId="00568871">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510" w:type="pct"/>
                  <w:tcBorders>
                    <w:tl2br w:val="nil"/>
                    <w:tr2bl w:val="nil"/>
                  </w:tcBorders>
                  <w:vAlign w:val="center"/>
                </w:tcPr>
                <w:p w14:paraId="12BCFA6C">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441" w:type="pct"/>
                  <w:tcBorders>
                    <w:tl2br w:val="nil"/>
                    <w:tr2bl w:val="nil"/>
                  </w:tcBorders>
                  <w:vAlign w:val="center"/>
                </w:tcPr>
                <w:p w14:paraId="76DFAA85">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昼间</w:t>
                  </w:r>
                </w:p>
              </w:tc>
              <w:tc>
                <w:tcPr>
                  <w:tcW w:w="815" w:type="pct"/>
                  <w:tcBorders>
                    <w:tl2br w:val="nil"/>
                    <w:tr2bl w:val="nil"/>
                  </w:tcBorders>
                  <w:vAlign w:val="center"/>
                </w:tcPr>
                <w:p w14:paraId="7D9D9BBE">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55.6</w:t>
                  </w:r>
                </w:p>
              </w:tc>
              <w:tc>
                <w:tcPr>
                  <w:tcW w:w="955" w:type="pct"/>
                  <w:tcBorders>
                    <w:tl2br w:val="nil"/>
                    <w:tr2bl w:val="nil"/>
                  </w:tcBorders>
                  <w:vAlign w:val="center"/>
                </w:tcPr>
                <w:p w14:paraId="226CBBF1">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70</w:t>
                  </w:r>
                </w:p>
              </w:tc>
              <w:tc>
                <w:tcPr>
                  <w:tcW w:w="552" w:type="pct"/>
                  <w:tcBorders>
                    <w:tl2br w:val="nil"/>
                    <w:tr2bl w:val="nil"/>
                  </w:tcBorders>
                  <w:vAlign w:val="center"/>
                </w:tcPr>
                <w:p w14:paraId="4072C007">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达标</w:t>
                  </w:r>
                </w:p>
              </w:tc>
            </w:tr>
          </w:tbl>
          <w:p w14:paraId="71C38EB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由上表预测结果可知，本项目施工采取措施后施工场界噪声能够满足《</w:t>
            </w:r>
            <w:r>
              <w:rPr>
                <w:rFonts w:hint="default" w:ascii="Times New Roman" w:hAnsi="Times New Roman" w:cs="Times New Roman"/>
                <w:color w:val="auto"/>
                <w:sz w:val="24"/>
                <w:szCs w:val="24"/>
                <w:lang w:eastAsia="zh-CN"/>
              </w:rPr>
              <w:t>建筑施工场界环境噪声排放标准</w:t>
            </w:r>
            <w:r>
              <w:rPr>
                <w:rFonts w:hint="default" w:ascii="Times New Roman" w:hAnsi="Times New Roman" w:cs="Times New Roman"/>
                <w:color w:val="auto"/>
                <w:sz w:val="24"/>
                <w:szCs w:val="24"/>
              </w:rPr>
              <w:t>》(GB12523-2011)的相关要求。根据现场调查，项目区周围50m范围无住户等声环境敏感点，不需要进行敏感点噪声预测。</w:t>
            </w:r>
          </w:p>
          <w:p w14:paraId="12C3A7F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为减轻项目施工对周围环境的影响，建议建设单位在施工过程中采取以下控制措施</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①在满足工艺要求的前提下，首先选用先进的、噪声较低的环保型设备，严格按操作规程使用各类机械，使设备处于良好的运行状态。②合理安排工期，尽量缩短整个施工期</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严格控制施工时间，禁止夜间(22:00-次日6:00)进行施工作业</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应尽可能避免大量高噪声设备同时作业，降低对周围住户的影响。③坚持文明施工，对施工器具应该轻拿轻放，严禁抛掷，降低人为噪声。④)合理布局施工场地，噪声较大的施工设备尽量布置在项目地块中部，尽量远离地块边界布置。⑤运输车辆进入施工现场应减速行驶、并禁止鸣笛。通过严格的施工管理和落实以上控制措施后，项目施工场界噪声能够满足《</w:t>
            </w:r>
            <w:r>
              <w:rPr>
                <w:rFonts w:hint="default" w:ascii="Times New Roman" w:hAnsi="Times New Roman" w:cs="Times New Roman"/>
                <w:color w:val="auto"/>
                <w:sz w:val="24"/>
                <w:szCs w:val="24"/>
                <w:lang w:eastAsia="zh-CN"/>
              </w:rPr>
              <w:t>建筑施工场界环境噪声排放标准</w:t>
            </w:r>
            <w:r>
              <w:rPr>
                <w:rFonts w:hint="default" w:ascii="Times New Roman" w:hAnsi="Times New Roman" w:cs="Times New Roman"/>
                <w:color w:val="auto"/>
                <w:sz w:val="24"/>
                <w:szCs w:val="24"/>
              </w:rPr>
              <w:t>》(GB12523-2011)的相关要求。评价认为，项目施工活动不会对区域声环境质量造成污染性影响。</w:t>
            </w:r>
          </w:p>
          <w:p w14:paraId="17703DBC">
            <w:pPr>
              <w:keepNext w:val="0"/>
              <w:keepLines w:val="0"/>
              <w:suppressLineNumbers w:val="0"/>
              <w:spacing w:before="0" w:beforeAutospacing="0" w:after="0" w:afterAutospacing="0" w:line="360" w:lineRule="auto"/>
              <w:ind w:left="0" w:right="0" w:firstLine="48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4、固体废物</w:t>
            </w:r>
          </w:p>
          <w:p w14:paraId="2D481B25">
            <w:pPr>
              <w:keepNext w:val="0"/>
              <w:keepLines w:val="0"/>
              <w:suppressLineNumbers w:val="0"/>
              <w:spacing w:before="0" w:beforeAutospacing="0" w:after="0" w:afterAutospacing="0" w:line="360" w:lineRule="auto"/>
              <w:ind w:left="0" w:right="0" w:firstLine="361" w:firstLineChars="15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（1）建筑废物</w:t>
            </w:r>
          </w:p>
          <w:p w14:paraId="5FC4EF4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施工期建筑废物主要包括建筑垃圾，预计产生量约</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t，环评要求：施工现场应设置建筑垃圾临时堆场并树立</w:t>
            </w:r>
            <w:r>
              <w:rPr>
                <w:rFonts w:hint="default" w:ascii="Times New Roman" w:hAnsi="Times New Roman" w:cs="Times New Roman"/>
                <w:color w:val="auto"/>
                <w:sz w:val="24"/>
                <w:szCs w:val="24"/>
                <w:lang w:eastAsia="zh-CN"/>
              </w:rPr>
              <w:t>标识</w:t>
            </w:r>
            <w:r>
              <w:rPr>
                <w:rFonts w:hint="default" w:ascii="Times New Roman" w:hAnsi="Times New Roman" w:cs="Times New Roman"/>
                <w:color w:val="auto"/>
                <w:sz w:val="24"/>
                <w:szCs w:val="24"/>
              </w:rPr>
              <w:t>牌，采取进行防雨、防泄漏处理。对于施工期间产生的可回收利用的废料（如钢筋、钢板、木材等</w:t>
            </w:r>
            <w:r>
              <w:rPr>
                <w:rFonts w:hint="default" w:ascii="Times New Roman" w:hAnsi="Times New Roman" w:cs="Times New Roman"/>
                <w:color w:val="auto"/>
                <w:sz w:val="24"/>
                <w:szCs w:val="24"/>
                <w:lang w:val="en-US" w:eastAsia="zh-CN"/>
              </w:rPr>
              <w:t>边</w:t>
            </w:r>
            <w:r>
              <w:rPr>
                <w:rFonts w:hint="default" w:ascii="Times New Roman" w:hAnsi="Times New Roman" w:cs="Times New Roman"/>
                <w:color w:val="auto"/>
                <w:sz w:val="24"/>
                <w:szCs w:val="24"/>
              </w:rPr>
              <w:t>角料）通过分类收集后交废物收购站处理，对不能回收的建筑废物</w:t>
            </w:r>
            <w:r>
              <w:rPr>
                <w:rFonts w:hint="default" w:ascii="Times New Roman" w:hAnsi="Times New Roman" w:cs="Times New Roman"/>
                <w:color w:val="auto"/>
                <w:sz w:val="24"/>
                <w:szCs w:val="24"/>
                <w:lang w:val="en-US" w:eastAsia="zh-CN"/>
              </w:rPr>
              <w:t>堆放到弃渣场</w:t>
            </w:r>
            <w:r>
              <w:rPr>
                <w:rFonts w:hint="default" w:ascii="Times New Roman" w:hAnsi="Times New Roman" w:cs="Times New Roman"/>
                <w:color w:val="auto"/>
                <w:sz w:val="24"/>
                <w:szCs w:val="24"/>
              </w:rPr>
              <w:t>。</w:t>
            </w:r>
          </w:p>
          <w:p w14:paraId="2553C940">
            <w:pPr>
              <w:keepNext w:val="0"/>
              <w:keepLines w:val="0"/>
              <w:suppressLineNumbers w:val="0"/>
              <w:spacing w:before="0" w:beforeAutospacing="0" w:after="0" w:afterAutospacing="0" w:line="360" w:lineRule="auto"/>
              <w:ind w:left="0" w:right="0" w:firstLine="361" w:firstLineChars="15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（2）生活垃圾</w:t>
            </w:r>
          </w:p>
          <w:p w14:paraId="44BAA52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项目施工人员约</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0人，生活垃圾产生量按0.5kg/人·d计，预计产生量为</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kg/d，生活垃圾经袋装收集后，由</w:t>
            </w:r>
            <w:r>
              <w:rPr>
                <w:rFonts w:hint="default" w:ascii="Times New Roman" w:hAnsi="Times New Roman" w:cs="Times New Roman"/>
                <w:color w:val="auto"/>
                <w:sz w:val="24"/>
                <w:szCs w:val="24"/>
                <w:lang w:val="en-US" w:eastAsia="zh-CN"/>
              </w:rPr>
              <w:t>当地</w:t>
            </w:r>
            <w:r>
              <w:rPr>
                <w:rFonts w:hint="default" w:ascii="Times New Roman" w:hAnsi="Times New Roman" w:cs="Times New Roman"/>
                <w:color w:val="auto"/>
                <w:sz w:val="24"/>
                <w:szCs w:val="24"/>
              </w:rPr>
              <w:t>环卫部门统一</w:t>
            </w:r>
            <w:r>
              <w:rPr>
                <w:rFonts w:hint="default" w:ascii="Times New Roman" w:hAnsi="Times New Roman" w:cs="Times New Roman"/>
                <w:color w:val="auto"/>
                <w:sz w:val="24"/>
                <w:szCs w:val="24"/>
                <w:lang w:val="en-US" w:eastAsia="zh-CN"/>
              </w:rPr>
              <w:t>清运</w:t>
            </w:r>
            <w:r>
              <w:rPr>
                <w:rFonts w:hint="default" w:ascii="Times New Roman" w:hAnsi="Times New Roman" w:cs="Times New Roman"/>
                <w:color w:val="auto"/>
                <w:sz w:val="24"/>
                <w:szCs w:val="24"/>
              </w:rPr>
              <w:t>处理。</w:t>
            </w:r>
          </w:p>
          <w:p w14:paraId="622E1EB0">
            <w:pPr>
              <w:numPr>
                <w:ilvl w:val="0"/>
                <w:numId w:val="5"/>
              </w:num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生态环境影响</w:t>
            </w:r>
          </w:p>
          <w:p w14:paraId="60147324">
            <w:pPr>
              <w:spacing w:line="360" w:lineRule="auto"/>
              <w:ind w:left="27" w:leftChars="13"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sz w:val="24"/>
                <w:szCs w:val="24"/>
                <w:lang w:val="en-US" w:eastAsia="zh-CN"/>
              </w:rPr>
              <w:t>本项目利用原大路监狱闲置空地，地面已进行过碎石硬化，无自然植被覆盖</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en-US" w:eastAsia="zh-CN"/>
              </w:rPr>
              <w:t>项目在开发中因植被破坏、土壤扰动引发的生态问题（如水土流失、生物栖息地丧失等）基本不显著，但项目如新增构建筑物或硬化区域，因硬化地面缺乏自然渗透性，降雨时地表径流系数显著升高，雨水无法下渗而快速汇集形成地表径流。若周边存在未硬化地块或排水系统承载能力有限，可能加剧瞬时排水压力，导致局部积水或排水不畅风险。</w:t>
            </w:r>
          </w:p>
          <w:p w14:paraId="6B84ECAA">
            <w:pPr>
              <w:spacing w:line="360" w:lineRule="auto"/>
              <w:ind w:left="27" w:leftChars="13"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本项目施工阶段涉及场地清理</w:t>
            </w:r>
            <w:r>
              <w:rPr>
                <w:rFonts w:hint="default" w:ascii="Times New Roman" w:hAnsi="Times New Roman" w:cs="Times New Roman"/>
                <w:color w:val="auto"/>
                <w:kern w:val="0"/>
                <w:sz w:val="24"/>
                <w:lang w:val="en-US" w:eastAsia="zh-CN"/>
              </w:rPr>
              <w:t>和</w:t>
            </w:r>
            <w:r>
              <w:rPr>
                <w:rFonts w:hint="default" w:ascii="Times New Roman" w:hAnsi="Times New Roman" w:cs="Times New Roman"/>
                <w:color w:val="auto"/>
                <w:kern w:val="0"/>
                <w:sz w:val="24"/>
              </w:rPr>
              <w:t>材料堆放，局部开挖或堆放可能短期破坏硬化层造成表层土壤裸露，需防范雨水冲刷导致的细颗粒流失。</w:t>
            </w:r>
            <w:r>
              <w:rPr>
                <w:rFonts w:hint="default" w:ascii="Times New Roman" w:hAnsi="Times New Roman" w:cs="Times New Roman"/>
                <w:color w:val="auto"/>
                <w:kern w:val="0"/>
                <w:sz w:val="24"/>
                <w:lang w:val="en-US" w:eastAsia="zh-CN"/>
              </w:rPr>
              <w:t>通过</w:t>
            </w:r>
            <w:r>
              <w:rPr>
                <w:rFonts w:hint="default" w:ascii="Times New Roman" w:hAnsi="Times New Roman" w:cs="Times New Roman"/>
                <w:color w:val="auto"/>
                <w:kern w:val="0"/>
                <w:sz w:val="24"/>
              </w:rPr>
              <w:t>采取覆盖防尘网、分段施工、及时清运废弃物等措施控制水土流失。</w:t>
            </w:r>
          </w:p>
          <w:p w14:paraId="314BECFC">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kern w:val="0"/>
                <w:sz w:val="24"/>
              </w:rPr>
              <w:t>综上所述，本项目</w:t>
            </w:r>
            <w:r>
              <w:rPr>
                <w:rFonts w:hint="default" w:ascii="Times New Roman" w:hAnsi="Times New Roman" w:cs="Times New Roman"/>
                <w:color w:val="auto"/>
                <w:kern w:val="0"/>
                <w:sz w:val="24"/>
                <w:lang w:val="en-US" w:eastAsia="zh-CN"/>
              </w:rPr>
              <w:t>利用已硬化无植被的闲置空地，对</w:t>
            </w:r>
            <w:r>
              <w:rPr>
                <w:rFonts w:hint="default" w:ascii="Times New Roman" w:hAnsi="Times New Roman" w:cs="Times New Roman"/>
                <w:color w:val="auto"/>
                <w:kern w:val="0"/>
                <w:sz w:val="24"/>
              </w:rPr>
              <w:t>项目区生态环境</w:t>
            </w:r>
            <w:r>
              <w:rPr>
                <w:rFonts w:hint="default" w:ascii="Times New Roman" w:hAnsi="Times New Roman" w:cs="Times New Roman"/>
                <w:color w:val="auto"/>
                <w:kern w:val="0"/>
                <w:sz w:val="24"/>
                <w:lang w:val="en-US" w:eastAsia="zh-CN"/>
              </w:rPr>
              <w:t>影响较小，主要需关注施工期的次生生态问题，有效控制风险。</w:t>
            </w:r>
            <w:r>
              <w:rPr>
                <w:rFonts w:hint="default" w:ascii="Times New Roman" w:hAnsi="Times New Roman" w:cs="Times New Roman"/>
                <w:color w:val="auto"/>
                <w:kern w:val="0"/>
                <w:sz w:val="24"/>
              </w:rPr>
              <w:t>通过采取相应的生态保护措施后工程对生态环境的影响可以得到减轻，工程施工期短，项目建设对生态环境影响随着施工的结束而结束。</w:t>
            </w:r>
          </w:p>
        </w:tc>
      </w:tr>
      <w:tr w14:paraId="52142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160068B8">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运营</w:t>
            </w:r>
          </w:p>
          <w:p w14:paraId="47EDB114">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期环</w:t>
            </w:r>
          </w:p>
          <w:p w14:paraId="76A1258A">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境影响和保护措施</w:t>
            </w:r>
          </w:p>
        </w:tc>
        <w:tc>
          <w:tcPr>
            <w:tcW w:w="8893" w:type="dxa"/>
            <w:vAlign w:val="center"/>
          </w:tcPr>
          <w:p w14:paraId="0048E4E9">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1、废气</w:t>
            </w:r>
          </w:p>
          <w:p w14:paraId="7475686D">
            <w:pPr>
              <w:spacing w:line="360" w:lineRule="auto"/>
              <w:ind w:firstLine="480"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val="0"/>
                <w:bCs w:val="0"/>
                <w:color w:val="auto"/>
                <w:sz w:val="24"/>
                <w:szCs w:val="24"/>
              </w:rPr>
              <w:t>本项目沥青混凝土生产线的废气主要包括：骨料上料粉尘</w:t>
            </w:r>
            <w:r>
              <w:rPr>
                <w:rFonts w:hint="default"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矿粉筒仓粉尘</w:t>
            </w:r>
            <w:r>
              <w:rPr>
                <w:rFonts w:hint="default"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沥青废气（沥青烟、苯并[a]芘、VOCs（以非甲烷总烃计））</w:t>
            </w:r>
            <w:r>
              <w:rPr>
                <w:rFonts w:hint="default"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骨料烘干筛分废气</w:t>
            </w:r>
            <w:r>
              <w:rPr>
                <w:rFonts w:hint="default"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轻质油燃烧废气</w:t>
            </w:r>
            <w:r>
              <w:rPr>
                <w:rFonts w:hint="default"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骨料堆场及装卸扬尘</w:t>
            </w:r>
            <w:r>
              <w:rPr>
                <w:rFonts w:hint="default"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运输道路扬尘</w:t>
            </w:r>
            <w:r>
              <w:rPr>
                <w:rFonts w:hint="default"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汽车尾气</w:t>
            </w:r>
            <w:r>
              <w:rPr>
                <w:rFonts w:hint="default"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食堂油烟。乳化沥青生产线的废气主要包括：</w:t>
            </w:r>
            <w:r>
              <w:rPr>
                <w:rFonts w:hint="default" w:ascii="Times New Roman" w:hAnsi="Times New Roman" w:eastAsia="宋体" w:cs="Times New Roman"/>
                <w:b/>
                <w:bCs/>
                <w:color w:val="auto"/>
                <w:sz w:val="24"/>
                <w:szCs w:val="24"/>
              </w:rPr>
              <w:t>沥青储罐呼吸口</w:t>
            </w:r>
            <w:r>
              <w:rPr>
                <w:rFonts w:hint="default" w:ascii="Times New Roman" w:hAnsi="Times New Roman" w:cs="Times New Roman"/>
                <w:b/>
                <w:bCs/>
                <w:color w:val="auto"/>
                <w:sz w:val="24"/>
                <w:szCs w:val="24"/>
                <w:lang w:val="en-US" w:eastAsia="zh-CN"/>
              </w:rPr>
              <w:t>和乳化沥青成品卸料口</w:t>
            </w:r>
            <w:r>
              <w:rPr>
                <w:rFonts w:hint="default" w:ascii="Times New Roman" w:hAnsi="Times New Roman" w:eastAsia="宋体" w:cs="Times New Roman"/>
                <w:b/>
                <w:bCs/>
                <w:color w:val="auto"/>
                <w:sz w:val="24"/>
                <w:szCs w:val="24"/>
              </w:rPr>
              <w:t>排出的废气，该生产设备不单独设置储罐，纳入沥青储罐一起计算，不再单独计算。</w:t>
            </w:r>
          </w:p>
          <w:p w14:paraId="13667D0D">
            <w:pPr>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（1）产排污环节、污染物种类、产生量核算</w:t>
            </w:r>
          </w:p>
          <w:p w14:paraId="7653B05B">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①骨料上料粉尘</w:t>
            </w:r>
          </w:p>
          <w:p w14:paraId="7C354F58">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hint="default" w:ascii="Times New Roman" w:hAnsi="Times New Roman" w:cs="Times New Roman"/>
                <w:color w:val="auto"/>
                <w:sz w:val="24"/>
                <w:szCs w:val="24"/>
                <w:lang w:val="en-US" w:eastAsia="zh-CN"/>
              </w:rPr>
              <w:t>骨料会通过上料斗把骨料上到固定的料仓内，上料过程中会产生粉尘，</w:t>
            </w:r>
            <w:r>
              <w:rPr>
                <w:rFonts w:hint="default" w:ascii="Times New Roman" w:hAnsi="Times New Roman" w:cs="Times New Roman"/>
                <w:color w:val="auto"/>
                <w:sz w:val="24"/>
                <w:lang w:val="en-US" w:eastAsia="zh-CN"/>
              </w:rPr>
              <w:t>参考</w:t>
            </w:r>
            <w:r>
              <w:rPr>
                <w:rFonts w:hint="default" w:ascii="Times New Roman" w:hAnsi="Times New Roman" w:cs="Times New Roman"/>
                <w:color w:val="auto"/>
                <w:sz w:val="24"/>
              </w:rPr>
              <w:t>《逸散性工业粉尘控制技术》</w:t>
            </w:r>
            <w:r>
              <w:rPr>
                <w:rFonts w:hint="default" w:ascii="Times New Roman" w:hAnsi="Times New Roman" w:cs="Times New Roman"/>
                <w:color w:val="auto"/>
                <w:sz w:val="24"/>
                <w:lang w:val="en-US" w:eastAsia="zh-CN"/>
              </w:rPr>
              <w:t>水泥厂原料装入一级破碎机的粉尘产污系数为</w:t>
            </w:r>
            <w:r>
              <w:rPr>
                <w:rFonts w:hint="default" w:ascii="Times New Roman" w:hAnsi="Times New Roman" w:eastAsia="宋体" w:cs="Times New Roman"/>
                <w:color w:val="auto"/>
                <w:sz w:val="24"/>
                <w:szCs w:val="24"/>
                <w:lang w:val="en-US" w:eastAsia="zh-CN"/>
              </w:rPr>
              <w:t>0.00015~0.02</w:t>
            </w:r>
            <w:r>
              <w:rPr>
                <w:rFonts w:hint="default" w:ascii="Times New Roman" w:hAnsi="Times New Roman" w:cs="Times New Roman"/>
                <w:color w:val="auto"/>
                <w:sz w:val="24"/>
                <w:szCs w:val="24"/>
                <w:lang w:val="en-US" w:eastAsia="zh-CN"/>
              </w:rPr>
              <w:t>kg/t，本项目取0.02kg/t，</w:t>
            </w:r>
            <w:r>
              <w:rPr>
                <w:rFonts w:hint="default" w:ascii="Times New Roman" w:hAnsi="Times New Roman" w:cs="Times New Roman"/>
                <w:color w:val="auto"/>
                <w:sz w:val="24"/>
                <w:lang w:val="en-US" w:eastAsia="zh-CN"/>
              </w:rPr>
              <w:t>项目需要46000t/a的原生料上料，</w:t>
            </w:r>
            <w:r>
              <w:rPr>
                <w:rFonts w:hint="default" w:ascii="Times New Roman" w:hAnsi="Times New Roman" w:cs="Times New Roman"/>
                <w:color w:val="auto"/>
                <w:sz w:val="24"/>
                <w:szCs w:val="24"/>
                <w:lang w:val="en-US" w:eastAsia="zh-CN"/>
              </w:rPr>
              <w:t>产生的粉尘量为0.9200t/a，1.0222</w:t>
            </w:r>
            <w:r>
              <w:rPr>
                <w:rFonts w:hint="default" w:ascii="Times New Roman" w:hAnsi="Times New Roman" w:eastAsia="宋体" w:cs="Times New Roman"/>
                <w:color w:val="auto"/>
                <w:sz w:val="24"/>
                <w:szCs w:val="24"/>
                <w:lang w:val="en-US" w:eastAsia="zh-CN"/>
              </w:rPr>
              <w:t>kg/h（工作时间按</w:t>
            </w:r>
            <w:r>
              <w:rPr>
                <w:rFonts w:hint="default" w:ascii="Times New Roman" w:hAnsi="Times New Roman" w:cs="Times New Roman"/>
                <w:color w:val="auto"/>
                <w:sz w:val="24"/>
                <w:szCs w:val="24"/>
                <w:lang w:val="en-US" w:eastAsia="zh-CN"/>
              </w:rPr>
              <w:t>150</w:t>
            </w:r>
            <w:r>
              <w:rPr>
                <w:rFonts w:hint="default" w:ascii="Times New Roman" w:hAnsi="Times New Roman" w:eastAsia="宋体" w:cs="Times New Roman"/>
                <w:color w:val="auto"/>
                <w:sz w:val="24"/>
                <w:szCs w:val="24"/>
                <w:lang w:val="en-US" w:eastAsia="zh-CN"/>
              </w:rPr>
              <w:t>d/a，</w:t>
            </w:r>
            <w:r>
              <w:rPr>
                <w:rFonts w:hint="default"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h/d）。</w:t>
            </w:r>
          </w:p>
          <w:p w14:paraId="68F84532">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bCs/>
                <w:color w:val="auto"/>
                <w:sz w:val="24"/>
                <w:szCs w:val="24"/>
                <w:lang w:val="en-US" w:eastAsia="zh-CN"/>
              </w:rPr>
              <w:t>②</w:t>
            </w:r>
            <w:r>
              <w:rPr>
                <w:rFonts w:hint="default" w:ascii="Times New Roman" w:hAnsi="Times New Roman" w:cs="Times New Roman"/>
                <w:b/>
                <w:color w:val="auto"/>
                <w:sz w:val="24"/>
                <w:szCs w:val="24"/>
              </w:rPr>
              <w:t>矿粉筒仓粉尘</w:t>
            </w:r>
          </w:p>
          <w:p w14:paraId="17838807">
            <w:pPr>
              <w:spacing w:line="360" w:lineRule="auto"/>
              <w:ind w:firstLine="480" w:firstLineChars="200"/>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本工程矿粉为储罐储藏，在粉料灌装过程中，由于通过管道进入储罐时进料口在储罐下方，</w:t>
            </w:r>
            <w:r>
              <w:rPr>
                <w:rFonts w:hint="default" w:ascii="Times New Roman" w:hAnsi="Times New Roman" w:cs="Times New Roman"/>
                <w:color w:val="auto"/>
                <w:sz w:val="24"/>
                <w:szCs w:val="24"/>
                <w:lang w:eastAsia="zh-CN"/>
              </w:rPr>
              <w:t>灌装</w:t>
            </w:r>
            <w:r>
              <w:rPr>
                <w:rFonts w:hint="default" w:ascii="Times New Roman" w:hAnsi="Times New Roman" w:cs="Times New Roman"/>
                <w:color w:val="auto"/>
                <w:sz w:val="24"/>
                <w:szCs w:val="24"/>
              </w:rPr>
              <w:t>车通过气力输送将原料送至储罐内，此时粉尘会随储罐里的空气从罐顶顶部排气孔排出。根据《排放源统计调查产排污核算方法和系数手册》（2021年6月9日生态环境部发布），3021水泥制品制造行业系数手册的系数中混凝土制品物料输送储存工序中，工业粉尘排污系数为0.12kg/t，本工程矿粉的使用量为</w:t>
            </w:r>
            <w:r>
              <w:rPr>
                <w:rFonts w:hint="default" w:ascii="Times New Roman" w:hAnsi="Times New Roman" w:cs="Times New Roman"/>
                <w:color w:val="auto"/>
                <w:sz w:val="24"/>
                <w:szCs w:val="24"/>
                <w:lang w:val="en-US" w:eastAsia="zh-CN"/>
              </w:rPr>
              <w:t>30</w:t>
            </w:r>
            <w:r>
              <w:rPr>
                <w:rFonts w:hint="default" w:ascii="Times New Roman" w:hAnsi="Times New Roman" w:cs="Times New Roman"/>
                <w:color w:val="auto"/>
                <w:sz w:val="24"/>
                <w:szCs w:val="24"/>
              </w:rPr>
              <w:t>00t/a，则工程产生的粉尘为</w:t>
            </w:r>
            <w:r>
              <w:rPr>
                <w:rFonts w:hint="default" w:ascii="Times New Roman" w:hAnsi="Times New Roman" w:cs="Times New Roman"/>
                <w:color w:val="auto"/>
                <w:sz w:val="24"/>
                <w:szCs w:val="24"/>
                <w:lang w:val="en-US" w:eastAsia="zh-CN"/>
              </w:rPr>
              <w:t>0.3600</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val="en-US" w:eastAsia="zh-CN"/>
              </w:rPr>
              <w:t>0.4000</w:t>
            </w:r>
            <w:r>
              <w:rPr>
                <w:rFonts w:hint="default" w:ascii="Times New Roman" w:hAnsi="Times New Roman" w:cs="Times New Roman"/>
                <w:color w:val="auto"/>
                <w:sz w:val="24"/>
                <w:szCs w:val="24"/>
              </w:rPr>
              <w:t>kg/h（工作时间按1</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0d/a，</w:t>
            </w:r>
            <w:r>
              <w:rPr>
                <w:rFonts w:hint="default" w:ascii="Times New Roman" w:hAnsi="Times New Roman" w:cs="Times New Roman"/>
                <w:color w:val="auto"/>
                <w:sz w:val="24"/>
                <w:szCs w:val="24"/>
                <w:lang w:val="en-US" w:eastAsia="zh-CN"/>
              </w:rPr>
              <w:t>6h</w:t>
            </w:r>
            <w:r>
              <w:rPr>
                <w:rFonts w:hint="default" w:ascii="Times New Roman" w:hAnsi="Times New Roman" w:cs="Times New Roman"/>
                <w:color w:val="auto"/>
                <w:sz w:val="24"/>
                <w:szCs w:val="24"/>
              </w:rPr>
              <w:t>/d）。</w:t>
            </w:r>
          </w:p>
          <w:p w14:paraId="40159C85">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③</w:t>
            </w:r>
            <w:r>
              <w:rPr>
                <w:rFonts w:hint="default" w:ascii="Times New Roman" w:hAnsi="Times New Roman" w:cs="Times New Roman"/>
                <w:b/>
                <w:color w:val="auto"/>
                <w:sz w:val="24"/>
                <w:szCs w:val="24"/>
              </w:rPr>
              <w:t>沥青废气（沥青烟、苯并[a]芘、</w:t>
            </w:r>
            <w:r>
              <w:rPr>
                <w:rFonts w:hint="default" w:ascii="Times New Roman" w:hAnsi="Times New Roman" w:cs="Times New Roman"/>
                <w:b/>
                <w:color w:val="auto"/>
                <w:sz w:val="24"/>
                <w:szCs w:val="24"/>
                <w:lang w:val="en-US" w:eastAsia="zh-CN"/>
              </w:rPr>
              <w:t>挥发性有机物（以非甲烷总烃计）</w:t>
            </w:r>
            <w:r>
              <w:rPr>
                <w:rFonts w:hint="default" w:ascii="Times New Roman" w:hAnsi="Times New Roman" w:cs="Times New Roman"/>
                <w:b/>
                <w:color w:val="auto"/>
                <w:sz w:val="24"/>
                <w:szCs w:val="24"/>
              </w:rPr>
              <w:t>）</w:t>
            </w:r>
          </w:p>
          <w:p w14:paraId="1A78FF2C">
            <w:pPr>
              <w:spacing w:line="360" w:lineRule="auto"/>
              <w:ind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主要为沥青搅拌、成品卸料、沥青储罐呼吸口废气。</w:t>
            </w:r>
          </w:p>
          <w:p w14:paraId="1822792E">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w:t>
            </w:r>
            <w:r>
              <w:rPr>
                <w:rFonts w:hint="default" w:ascii="Times New Roman" w:hAnsi="Times New Roman" w:cs="Times New Roman"/>
                <w:b/>
                <w:color w:val="auto"/>
                <w:sz w:val="24"/>
                <w:szCs w:val="24"/>
                <w:lang w:val="en-US" w:eastAsia="zh-CN"/>
              </w:rPr>
              <w:t>沥青</w:t>
            </w:r>
            <w:r>
              <w:rPr>
                <w:rFonts w:hint="default" w:ascii="Times New Roman" w:hAnsi="Times New Roman" w:cs="Times New Roman"/>
                <w:b/>
                <w:color w:val="auto"/>
                <w:sz w:val="24"/>
                <w:szCs w:val="24"/>
              </w:rPr>
              <w:t>搅拌、成品仓卸料</w:t>
            </w:r>
          </w:p>
          <w:p w14:paraId="396EFAB4">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本工程沥青采取密闭管道通过泵输送到储罐内加热，沥青加热后通过密闭管道输送至封闭搅拌缸与预热后的骨料进行搅拌混合。沥青、热骨料、矿粉按一定比例在密闭搅拌器中进行搅拌，搅拌后输送到成品仓中进行卸料装车，考虑热沥青为流动液态，则</w:t>
            </w:r>
            <w:r>
              <w:rPr>
                <w:rFonts w:hint="default" w:ascii="Times New Roman" w:hAnsi="Times New Roman" w:cs="Times New Roman"/>
                <w:b/>
                <w:color w:val="auto"/>
                <w:sz w:val="24"/>
                <w:szCs w:val="24"/>
              </w:rPr>
              <w:t>加热、搅拌、成品仓卸料</w:t>
            </w:r>
            <w:r>
              <w:rPr>
                <w:rFonts w:hint="default" w:ascii="Times New Roman" w:hAnsi="Times New Roman" w:cs="Times New Roman"/>
                <w:bCs/>
                <w:color w:val="auto"/>
                <w:sz w:val="24"/>
                <w:szCs w:val="24"/>
              </w:rPr>
              <w:t>无粉尘产生，但会产生少量沥青烟气、苯并[a]芘、</w:t>
            </w:r>
            <w:r>
              <w:rPr>
                <w:rFonts w:hint="default" w:ascii="Times New Roman" w:hAnsi="Times New Roman" w:cs="Times New Roman"/>
                <w:bCs/>
                <w:color w:val="auto"/>
                <w:sz w:val="24"/>
                <w:szCs w:val="24"/>
                <w:lang w:val="en-US" w:eastAsia="zh-CN"/>
              </w:rPr>
              <w:t>挥发性有机物（以非甲烷总烃计）</w:t>
            </w:r>
            <w:r>
              <w:rPr>
                <w:rFonts w:hint="default" w:ascii="Times New Roman" w:hAnsi="Times New Roman" w:cs="Times New Roman"/>
                <w:bCs/>
                <w:color w:val="auto"/>
                <w:sz w:val="24"/>
                <w:szCs w:val="24"/>
              </w:rPr>
              <w:t>。</w:t>
            </w:r>
            <w:r>
              <w:rPr>
                <w:rFonts w:hint="default" w:ascii="Times New Roman" w:hAnsi="Times New Roman" w:cs="Times New Roman"/>
                <w:b w:val="0"/>
                <w:bCs w:val="0"/>
                <w:color w:val="auto"/>
                <w:sz w:val="24"/>
                <w:szCs w:val="24"/>
                <w:lang w:val="en-US" w:eastAsia="zh-CN"/>
              </w:rPr>
              <w:t>本项目不设置乳化沥青储罐，</w:t>
            </w:r>
            <w:r>
              <w:rPr>
                <w:rFonts w:hint="default" w:ascii="Times New Roman" w:hAnsi="Times New Roman" w:cs="Times New Roman"/>
                <w:bCs/>
                <w:color w:val="auto"/>
                <w:sz w:val="24"/>
                <w:szCs w:val="24"/>
              </w:rPr>
              <w:t>沥青废气的无组织排放源为沥青罐呼吸口大小呼吸和沥青混凝土</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lang w:val="en-US" w:eastAsia="zh-CN"/>
              </w:rPr>
              <w:t>乳化沥青</w:t>
            </w:r>
            <w:r>
              <w:rPr>
                <w:rFonts w:hint="default" w:ascii="Times New Roman" w:hAnsi="Times New Roman" w:cs="Times New Roman"/>
                <w:bCs/>
                <w:color w:val="auto"/>
                <w:sz w:val="24"/>
                <w:szCs w:val="24"/>
              </w:rPr>
              <w:t>出料口。</w:t>
            </w:r>
          </w:p>
          <w:p w14:paraId="06E8FEF5">
            <w:pPr>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沥青烟：</w:t>
            </w:r>
            <w:r>
              <w:rPr>
                <w:rFonts w:hint="default" w:ascii="Times New Roman" w:hAnsi="Times New Roman" w:cs="Times New Roman"/>
                <w:color w:val="auto"/>
                <w:sz w:val="24"/>
                <w:szCs w:val="24"/>
              </w:rPr>
              <w:t>根据才洪美《沥青使用过程中对环境的影响研究》(中国石油大学,博士学位论文，2010年4月)一文中对沥青拌合过程沥青烟产生的模拟实验，不同拌合温度下沥青烟释放量有所差异,在160℃下沥青烟释放量约100mg/kg。</w:t>
            </w:r>
          </w:p>
          <w:p w14:paraId="3389BDF8">
            <w:pPr>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苯并[a]芘：</w:t>
            </w:r>
            <w:r>
              <w:rPr>
                <w:rFonts w:hint="default" w:ascii="Times New Roman" w:hAnsi="Times New Roman" w:cs="Times New Roman"/>
                <w:color w:val="auto"/>
                <w:sz w:val="24"/>
                <w:szCs w:val="24"/>
              </w:rPr>
              <w:t>根据《工业生产中有害物物质手册》(化学工业出版社，1987年12月出版)，沥青烟中苯并[a]芘含量为0.001~0.002%。本次</w:t>
            </w:r>
            <w:r>
              <w:rPr>
                <w:rFonts w:hint="default" w:ascii="Times New Roman" w:hAnsi="Times New Roman" w:cs="Times New Roman"/>
                <w:color w:val="auto"/>
                <w:sz w:val="24"/>
                <w:szCs w:val="24"/>
                <w:lang w:val="en-US" w:eastAsia="zh-CN"/>
              </w:rPr>
              <w:t>环评</w:t>
            </w:r>
            <w:r>
              <w:rPr>
                <w:rFonts w:hint="default" w:ascii="Times New Roman" w:hAnsi="Times New Roman" w:cs="Times New Roman"/>
                <w:color w:val="auto"/>
                <w:sz w:val="24"/>
                <w:szCs w:val="24"/>
              </w:rPr>
              <w:t>苯并[a]芘含量按最不利0.002%计。</w:t>
            </w:r>
          </w:p>
          <w:p w14:paraId="46499914">
            <w:pPr>
              <w:spacing w:line="360" w:lineRule="auto"/>
              <w:ind w:firstLine="482" w:firstLineChars="200"/>
              <w:rPr>
                <w:rFonts w:hint="default" w:ascii="Times New Roman" w:hAnsi="Times New Roman" w:cs="Times New Roman"/>
                <w:color w:val="auto"/>
              </w:rPr>
            </w:pPr>
            <w:r>
              <w:rPr>
                <w:rFonts w:hint="default" w:ascii="Times New Roman" w:hAnsi="Times New Roman" w:cs="Times New Roman"/>
                <w:b/>
                <w:bCs/>
                <w:color w:val="auto"/>
                <w:sz w:val="24"/>
                <w:szCs w:val="24"/>
                <w:lang w:val="en-US" w:eastAsia="zh-CN"/>
              </w:rPr>
              <w:t>挥发性有机物（以非甲烷总烃计）</w:t>
            </w:r>
            <w:r>
              <w:rPr>
                <w:rFonts w:hint="default" w:ascii="Times New Roman" w:hAnsi="Times New Roman" w:cs="Times New Roman"/>
                <w:b/>
                <w:bCs/>
                <w:color w:val="auto"/>
                <w:sz w:val="24"/>
                <w:szCs w:val="24"/>
              </w:rPr>
              <w:t>：</w:t>
            </w:r>
            <w:r>
              <w:rPr>
                <w:rFonts w:hint="default" w:ascii="Times New Roman" w:hAnsi="Times New Roman" w:cs="Times New Roman"/>
                <w:color w:val="auto"/>
                <w:sz w:val="24"/>
                <w:szCs w:val="24"/>
              </w:rPr>
              <w:t>根据《沥青烟气净化研究》（李昌建等全国恶臭污染测试与控制研讨会，2005），沥青烟气和沥青组分近似，</w:t>
            </w:r>
            <w:r>
              <w:rPr>
                <w:rFonts w:hint="default" w:ascii="Times New Roman" w:hAnsi="Times New Roman" w:cs="Times New Roman"/>
                <w:color w:val="auto"/>
                <w:sz w:val="24"/>
                <w:szCs w:val="24"/>
                <w:lang w:val="en-US" w:eastAsia="zh-CN"/>
              </w:rPr>
              <w:t>挥发性有机物（以非甲烷总烃计）</w:t>
            </w:r>
            <w:r>
              <w:rPr>
                <w:rFonts w:hint="default" w:ascii="Times New Roman" w:hAnsi="Times New Roman" w:cs="Times New Roman"/>
                <w:color w:val="auto"/>
                <w:sz w:val="24"/>
                <w:szCs w:val="24"/>
              </w:rPr>
              <w:t>按沥青烟的70%计。</w:t>
            </w:r>
          </w:p>
          <w:p w14:paraId="108260C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rPr>
              <w:t>消耗沥青</w:t>
            </w:r>
            <w:r>
              <w:rPr>
                <w:rFonts w:hint="default" w:ascii="Times New Roman" w:hAnsi="Times New Roman" w:cs="Times New Roman"/>
                <w:color w:val="auto"/>
                <w:sz w:val="24"/>
                <w:szCs w:val="24"/>
                <w:lang w:val="en-US" w:eastAsia="zh-CN"/>
              </w:rPr>
              <w:t>总</w:t>
            </w:r>
            <w:r>
              <w:rPr>
                <w:rFonts w:hint="default" w:ascii="Times New Roman" w:hAnsi="Times New Roman" w:cs="Times New Roman"/>
                <w:color w:val="auto"/>
                <w:sz w:val="24"/>
                <w:szCs w:val="24"/>
              </w:rPr>
              <w:t>量约为</w:t>
            </w:r>
            <w:r>
              <w:rPr>
                <w:rFonts w:hint="default" w:ascii="Times New Roman" w:hAnsi="Times New Roman" w:cs="Times New Roman"/>
                <w:color w:val="auto"/>
                <w:sz w:val="24"/>
                <w:szCs w:val="24"/>
                <w:lang w:val="en-US" w:eastAsia="zh-CN"/>
              </w:rPr>
              <w:t>2000</w:t>
            </w:r>
            <w:r>
              <w:rPr>
                <w:rFonts w:hint="default" w:ascii="Times New Roman" w:hAnsi="Times New Roman" w:cs="Times New Roman"/>
                <w:color w:val="auto"/>
                <w:sz w:val="24"/>
                <w:szCs w:val="24"/>
              </w:rPr>
              <w:t>t，则沥青烟产生量约为</w:t>
            </w:r>
            <w:r>
              <w:rPr>
                <w:rFonts w:hint="default" w:ascii="Times New Roman" w:hAnsi="Times New Roman" w:cs="Times New Roman"/>
                <w:color w:val="auto"/>
                <w:sz w:val="24"/>
                <w:szCs w:val="24"/>
                <w:lang w:val="en-US" w:eastAsia="zh-CN"/>
              </w:rPr>
              <w:t>0.2000</w:t>
            </w:r>
            <w:r>
              <w:rPr>
                <w:rFonts w:hint="default" w:ascii="Times New Roman" w:hAnsi="Times New Roman" w:cs="Times New Roman"/>
                <w:color w:val="auto"/>
                <w:sz w:val="24"/>
                <w:szCs w:val="24"/>
              </w:rPr>
              <w:t>t/a，0.</w:t>
            </w:r>
            <w:r>
              <w:rPr>
                <w:rFonts w:hint="default" w:ascii="Times New Roman" w:hAnsi="Times New Roman" w:cs="Times New Roman"/>
                <w:color w:val="auto"/>
                <w:sz w:val="24"/>
                <w:szCs w:val="24"/>
                <w:lang w:val="en-US" w:eastAsia="zh-CN"/>
              </w:rPr>
              <w:t>2222</w:t>
            </w:r>
            <w:r>
              <w:rPr>
                <w:rFonts w:hint="default" w:ascii="Times New Roman" w:hAnsi="Times New Roman" w:cs="Times New Roman"/>
                <w:color w:val="auto"/>
                <w:sz w:val="24"/>
                <w:szCs w:val="24"/>
              </w:rPr>
              <w:t>kg/h；苯并[a]芘产生量约为</w:t>
            </w:r>
            <w:r>
              <w:rPr>
                <w:rFonts w:hint="default" w:ascii="Times New Roman" w:hAnsi="Times New Roman" w:cs="Times New Roman"/>
                <w:color w:val="auto"/>
                <w:sz w:val="24"/>
                <w:szCs w:val="24"/>
                <w:lang w:val="en-US" w:eastAsia="zh-CN"/>
              </w:rPr>
              <w:t>4.00</w:t>
            </w: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vertAlign w:val="superscript"/>
                <w:lang w:val="en-US" w:eastAsia="zh-CN"/>
              </w:rPr>
              <w:t>6</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val="en-US" w:eastAsia="zh-CN"/>
              </w:rPr>
              <w:t>4.44</w:t>
            </w: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vertAlign w:val="superscript"/>
                <w:lang w:val="en-US" w:eastAsia="zh-CN"/>
              </w:rPr>
              <w:t>6</w:t>
            </w:r>
            <w:r>
              <w:rPr>
                <w:rFonts w:hint="default" w:ascii="Times New Roman" w:hAnsi="Times New Roman" w:cs="Times New Roman"/>
                <w:color w:val="auto"/>
                <w:sz w:val="24"/>
                <w:szCs w:val="24"/>
              </w:rPr>
              <w:t>kg/h。</w:t>
            </w:r>
            <w:r>
              <w:rPr>
                <w:rFonts w:hint="default" w:ascii="Times New Roman" w:hAnsi="Times New Roman" w:cs="Times New Roman"/>
                <w:color w:val="auto"/>
                <w:sz w:val="24"/>
                <w:szCs w:val="24"/>
                <w:lang w:val="en-US" w:eastAsia="zh-CN"/>
              </w:rPr>
              <w:t>挥发性有机物（以非甲烷总烃计）</w:t>
            </w:r>
            <w:r>
              <w:rPr>
                <w:rFonts w:hint="default" w:ascii="Times New Roman" w:hAnsi="Times New Roman" w:cs="Times New Roman"/>
                <w:color w:val="auto"/>
                <w:sz w:val="24"/>
                <w:szCs w:val="24"/>
              </w:rPr>
              <w:t>按沥青烟的70%计，则烘干废气中</w:t>
            </w:r>
            <w:r>
              <w:rPr>
                <w:rFonts w:hint="default" w:ascii="Times New Roman" w:hAnsi="Times New Roman" w:cs="Times New Roman"/>
                <w:color w:val="auto"/>
                <w:sz w:val="24"/>
                <w:szCs w:val="24"/>
                <w:lang w:val="en-US" w:eastAsia="zh-CN"/>
              </w:rPr>
              <w:t>挥发性有机物（以非甲烷总烃计）</w:t>
            </w:r>
            <w:r>
              <w:rPr>
                <w:rFonts w:hint="default" w:ascii="Times New Roman" w:hAnsi="Times New Roman" w:cs="Times New Roman"/>
                <w:color w:val="auto"/>
                <w:sz w:val="24"/>
                <w:szCs w:val="24"/>
              </w:rPr>
              <w:t>量约为</w:t>
            </w:r>
            <w:r>
              <w:rPr>
                <w:rFonts w:hint="default" w:ascii="Times New Roman" w:hAnsi="Times New Roman" w:cs="Times New Roman"/>
                <w:color w:val="auto"/>
                <w:sz w:val="24"/>
                <w:szCs w:val="24"/>
                <w:lang w:val="en-US" w:eastAsia="zh-CN"/>
              </w:rPr>
              <w:t>0.1400</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val="en-US" w:eastAsia="zh-CN"/>
              </w:rPr>
              <w:t>0.1556</w:t>
            </w:r>
            <w:r>
              <w:rPr>
                <w:rFonts w:hint="default" w:ascii="Times New Roman" w:hAnsi="Times New Roman" w:cs="Times New Roman"/>
                <w:color w:val="auto"/>
                <w:sz w:val="24"/>
                <w:szCs w:val="24"/>
              </w:rPr>
              <w:t>kg/h（工作时间按1</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0d/a，</w:t>
            </w:r>
            <w:r>
              <w:rPr>
                <w:rFonts w:hint="default" w:ascii="Times New Roman" w:hAnsi="Times New Roman" w:cs="Times New Roman"/>
                <w:color w:val="auto"/>
                <w:sz w:val="24"/>
                <w:szCs w:val="24"/>
                <w:lang w:val="en-US" w:eastAsia="zh-CN"/>
              </w:rPr>
              <w:t>6h</w:t>
            </w:r>
            <w:r>
              <w:rPr>
                <w:rFonts w:hint="default" w:ascii="Times New Roman" w:hAnsi="Times New Roman" w:cs="Times New Roman"/>
                <w:color w:val="auto"/>
                <w:sz w:val="24"/>
                <w:szCs w:val="24"/>
              </w:rPr>
              <w:t>/d）。</w:t>
            </w:r>
          </w:p>
          <w:p w14:paraId="74C72A7F">
            <w:pPr>
              <w:spacing w:line="360" w:lineRule="auto"/>
              <w:ind w:firstLine="482" w:firstLineChars="200"/>
              <w:rPr>
                <w:rFonts w:hint="default" w:ascii="Times New Roman" w:hAnsi="Times New Roman" w:cs="Times New Roman"/>
                <w:bCs/>
                <w:color w:val="auto"/>
                <w:sz w:val="24"/>
                <w:szCs w:val="24"/>
                <w:highlight w:val="none"/>
              </w:rPr>
            </w:pPr>
            <w:r>
              <w:rPr>
                <w:rFonts w:hint="default" w:ascii="Times New Roman" w:hAnsi="Times New Roman" w:cs="Times New Roman"/>
                <w:b/>
                <w:color w:val="auto"/>
                <w:sz w:val="24"/>
                <w:szCs w:val="24"/>
                <w:highlight w:val="none"/>
              </w:rPr>
              <w:t>2）</w:t>
            </w:r>
            <w:r>
              <w:rPr>
                <w:rFonts w:hint="default" w:ascii="Times New Roman" w:hAnsi="Times New Roman" w:cs="Times New Roman"/>
                <w:b/>
                <w:bCs/>
                <w:color w:val="auto"/>
                <w:sz w:val="24"/>
                <w:szCs w:val="24"/>
                <w:highlight w:val="none"/>
              </w:rPr>
              <w:t>沥青储罐呼吸废气</w:t>
            </w:r>
          </w:p>
          <w:p w14:paraId="17B64E8A">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本工程</w:t>
            </w:r>
            <w:r>
              <w:rPr>
                <w:rFonts w:hint="default" w:ascii="Times New Roman" w:hAnsi="Times New Roman" w:cs="Times New Roman"/>
                <w:color w:val="auto"/>
                <w:sz w:val="24"/>
                <w:szCs w:val="24"/>
                <w:lang w:eastAsia="zh-CN"/>
              </w:rPr>
              <w:t>沥青混凝土</w:t>
            </w:r>
            <w:r>
              <w:rPr>
                <w:rFonts w:hint="default" w:ascii="Times New Roman" w:hAnsi="Times New Roman" w:cs="Times New Roman"/>
                <w:color w:val="auto"/>
                <w:sz w:val="24"/>
                <w:szCs w:val="24"/>
              </w:rPr>
              <w:t>生产线设有</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个</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的沥青储罐。沥青储罐在储存过程中会发生大小呼吸废气。</w:t>
            </w:r>
          </w:p>
          <w:p w14:paraId="47EFB61C">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固定顶罐的主要是呼吸排放（小呼吸）和工作排放（大呼吸）两种排放方式。在储罐进料时，随着原料液面的升高，气体空间体积变小，混合气受到压缩，压力不断升高。当罐内混合气压升高到呼气阀的控制压力时，压力阀盘开启，呼出混合气。查阅《污染源源强核算技术指南》（准则）HJ884-2018 以及《排污许可证申请与核发技术规范 石墨及其他非金属矿物制品制造》 HJ1119-2020均未提及沥青储罐呼吸废气的核算系数，因此本报告采用中国石油化工（CPCC）推荐的经验公式计算沥青储罐大小呼吸所产生的损耗量。</w:t>
            </w:r>
          </w:p>
          <w:p w14:paraId="522A2FEE">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a：大呼吸损耗</w:t>
            </w:r>
          </w:p>
          <w:p w14:paraId="377D9C8C">
            <w:pPr>
              <w:spacing w:line="360" w:lineRule="auto"/>
              <w:ind w:firstLine="480" w:firstLineChars="20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Lpw = 4.35×10</w:t>
            </w:r>
            <w:r>
              <w:rPr>
                <w:rFonts w:hint="default" w:ascii="Times New Roman" w:hAnsi="Times New Roman" w:cs="Times New Roman"/>
                <w:color w:val="auto"/>
                <w:sz w:val="24"/>
                <w:szCs w:val="24"/>
                <w:vertAlign w:val="superscript"/>
              </w:rPr>
              <w:t>-5</w:t>
            </w:r>
            <w:r>
              <w:rPr>
                <w:rFonts w:hint="default" w:ascii="Times New Roman" w:hAnsi="Times New Roman" w:cs="Times New Roman"/>
                <w:color w:val="auto"/>
                <w:sz w:val="24"/>
                <w:szCs w:val="24"/>
              </w:rPr>
              <w:t>×P×VL×V×KT×KE</w:t>
            </w:r>
          </w:p>
          <w:p w14:paraId="68EB6D9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式中：LPW—拱顶罐大呼吸损失量（kg/a）；</w:t>
            </w:r>
          </w:p>
          <w:p w14:paraId="2AD825AE">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P—储罐内平均温度下液体真实</w:t>
            </w:r>
            <w:r>
              <w:rPr>
                <w:rFonts w:hint="default" w:ascii="Times New Roman" w:hAnsi="Times New Roman" w:cs="Times New Roman"/>
                <w:color w:val="auto"/>
                <w:sz w:val="24"/>
                <w:szCs w:val="24"/>
                <w:lang w:eastAsia="zh-CN"/>
              </w:rPr>
              <w:t>蒸汽压</w:t>
            </w:r>
            <w:r>
              <w:rPr>
                <w:rFonts w:hint="default" w:ascii="Times New Roman" w:hAnsi="Times New Roman" w:cs="Times New Roman"/>
                <w:color w:val="auto"/>
                <w:sz w:val="24"/>
                <w:szCs w:val="24"/>
              </w:rPr>
              <w:t>（Pa）；</w:t>
            </w:r>
          </w:p>
          <w:p w14:paraId="412A464C">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VL—年入罐贮存量（m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p>
          <w:p w14:paraId="0DD7B36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V—储存沥青的平均密度（t/m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14:paraId="2709DEBE">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KT—周转因子（无量纲），取值按年周转次数（K）确定：（K≤36，KT=1，36&lt;K≤220，KT=11.467×K</w:t>
            </w:r>
            <w:r>
              <w:rPr>
                <w:rFonts w:hint="default" w:ascii="Times New Roman" w:hAnsi="Times New Roman" w:cs="Times New Roman"/>
                <w:color w:val="auto"/>
                <w:sz w:val="24"/>
                <w:szCs w:val="24"/>
                <w:vertAlign w:val="superscript"/>
              </w:rPr>
              <w:t>-0.7026</w:t>
            </w:r>
            <w:r>
              <w:rPr>
                <w:rFonts w:hint="default" w:ascii="Times New Roman" w:hAnsi="Times New Roman" w:cs="Times New Roman"/>
                <w:color w:val="auto"/>
                <w:sz w:val="24"/>
                <w:szCs w:val="24"/>
              </w:rPr>
              <w:t>，K&gt;220，KT=0.26）；</w:t>
            </w:r>
          </w:p>
          <w:p w14:paraId="40B2E994">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KE—产品因子系数，汽油或其他油品KE=1.0，原油KE=0.75。</w:t>
            </w:r>
          </w:p>
          <w:p w14:paraId="2AB7A257">
            <w:pPr>
              <w:spacing w:line="360" w:lineRule="auto"/>
              <w:ind w:firstLine="422" w:firstLineChars="20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表</w:t>
            </w:r>
            <w:r>
              <w:rPr>
                <w:rFonts w:hint="default" w:ascii="Times New Roman" w:hAnsi="Times New Roman" w:cs="Times New Roman"/>
                <w:b/>
                <w:bCs/>
                <w:color w:val="auto"/>
                <w:kern w:val="0"/>
                <w:szCs w:val="21"/>
                <w:highlight w:val="none"/>
                <w:lang w:val="en-US" w:eastAsia="zh-CN"/>
              </w:rPr>
              <w:t>4</w:t>
            </w:r>
            <w:r>
              <w:rPr>
                <w:rFonts w:hint="default" w:ascii="Times New Roman" w:hAnsi="Times New Roman" w:cs="Times New Roman"/>
                <w:b/>
                <w:bCs/>
                <w:color w:val="auto"/>
                <w:kern w:val="0"/>
                <w:szCs w:val="21"/>
                <w:highlight w:val="none"/>
              </w:rPr>
              <w:t>-</w:t>
            </w:r>
            <w:r>
              <w:rPr>
                <w:rFonts w:hint="default" w:ascii="Times New Roman" w:hAnsi="Times New Roman" w:cs="Times New Roman"/>
                <w:b/>
                <w:bCs/>
                <w:color w:val="auto"/>
                <w:kern w:val="0"/>
                <w:szCs w:val="21"/>
                <w:highlight w:val="none"/>
                <w:lang w:val="en-US" w:eastAsia="zh-CN"/>
              </w:rPr>
              <w:t>3</w:t>
            </w:r>
            <w:r>
              <w:rPr>
                <w:rFonts w:hint="default" w:ascii="Times New Roman" w:hAnsi="Times New Roman" w:cs="Times New Roman"/>
                <w:b/>
                <w:bCs/>
                <w:color w:val="auto"/>
                <w:kern w:val="0"/>
                <w:szCs w:val="21"/>
                <w:highlight w:val="none"/>
              </w:rPr>
              <w:t xml:space="preserve"> 储罐大呼吸废气计算取值</w:t>
            </w:r>
          </w:p>
          <w:tbl>
            <w:tblPr>
              <w:tblStyle w:val="29"/>
              <w:tblW w:w="498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81"/>
              <w:gridCol w:w="771"/>
              <w:gridCol w:w="1136"/>
              <w:gridCol w:w="1136"/>
              <w:gridCol w:w="1136"/>
              <w:gridCol w:w="1136"/>
              <w:gridCol w:w="1136"/>
              <w:gridCol w:w="1141"/>
            </w:tblGrid>
            <w:tr w14:paraId="56D3E5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1282" w:type="dxa"/>
                  <w:tcBorders>
                    <w:tl2br w:val="nil"/>
                    <w:tr2bl w:val="nil"/>
                  </w:tcBorders>
                  <w:vAlign w:val="center"/>
                </w:tcPr>
                <w:p w14:paraId="61DBB9B2">
                  <w:pPr>
                    <w:jc w:val="center"/>
                    <w:rPr>
                      <w:rFonts w:hint="default" w:ascii="Times New Roman" w:hAnsi="Times New Roman" w:cs="Times New Roman"/>
                      <w:color w:val="auto"/>
                    </w:rPr>
                  </w:pPr>
                  <w:r>
                    <w:rPr>
                      <w:rFonts w:hint="default" w:ascii="Times New Roman" w:hAnsi="Times New Roman" w:cs="Times New Roman"/>
                      <w:color w:val="auto"/>
                    </w:rPr>
                    <w:t>产品</w:t>
                  </w:r>
                </w:p>
              </w:tc>
              <w:tc>
                <w:tcPr>
                  <w:tcW w:w="772" w:type="dxa"/>
                  <w:tcBorders>
                    <w:tl2br w:val="nil"/>
                    <w:tr2bl w:val="nil"/>
                  </w:tcBorders>
                  <w:vAlign w:val="center"/>
                </w:tcPr>
                <w:p w14:paraId="456FD68D">
                  <w:pPr>
                    <w:jc w:val="center"/>
                    <w:rPr>
                      <w:rFonts w:hint="default" w:ascii="Times New Roman" w:hAnsi="Times New Roman" w:cs="Times New Roman"/>
                      <w:color w:val="auto"/>
                    </w:rPr>
                  </w:pPr>
                  <w:r>
                    <w:rPr>
                      <w:rFonts w:hint="default" w:ascii="Times New Roman" w:hAnsi="Times New Roman" w:cs="Times New Roman"/>
                      <w:color w:val="auto"/>
                    </w:rPr>
                    <w:t>P</w:t>
                  </w:r>
                </w:p>
              </w:tc>
              <w:tc>
                <w:tcPr>
                  <w:tcW w:w="1136" w:type="dxa"/>
                  <w:tcBorders>
                    <w:tl2br w:val="nil"/>
                    <w:tr2bl w:val="nil"/>
                  </w:tcBorders>
                  <w:vAlign w:val="center"/>
                </w:tcPr>
                <w:p w14:paraId="6E86C6D9">
                  <w:pPr>
                    <w:jc w:val="center"/>
                    <w:rPr>
                      <w:rFonts w:hint="default" w:ascii="Times New Roman" w:hAnsi="Times New Roman" w:cs="Times New Roman"/>
                      <w:color w:val="auto"/>
                    </w:rPr>
                  </w:pPr>
                  <w:r>
                    <w:rPr>
                      <w:rFonts w:hint="default" w:ascii="Times New Roman" w:hAnsi="Times New Roman" w:cs="Times New Roman"/>
                      <w:color w:val="auto"/>
                    </w:rPr>
                    <w:t>VL</w:t>
                  </w:r>
                </w:p>
              </w:tc>
              <w:tc>
                <w:tcPr>
                  <w:tcW w:w="1136" w:type="dxa"/>
                  <w:tcBorders>
                    <w:tl2br w:val="nil"/>
                    <w:tr2bl w:val="nil"/>
                  </w:tcBorders>
                  <w:vAlign w:val="center"/>
                </w:tcPr>
                <w:p w14:paraId="438754B0">
                  <w:pPr>
                    <w:jc w:val="center"/>
                    <w:rPr>
                      <w:rFonts w:hint="default" w:ascii="Times New Roman" w:hAnsi="Times New Roman" w:cs="Times New Roman"/>
                      <w:color w:val="auto"/>
                    </w:rPr>
                  </w:pPr>
                  <w:r>
                    <w:rPr>
                      <w:rFonts w:hint="default" w:ascii="Times New Roman" w:hAnsi="Times New Roman" w:cs="Times New Roman"/>
                      <w:color w:val="auto"/>
                    </w:rPr>
                    <w:t>V</w:t>
                  </w:r>
                </w:p>
              </w:tc>
              <w:tc>
                <w:tcPr>
                  <w:tcW w:w="1136" w:type="dxa"/>
                  <w:tcBorders>
                    <w:tl2br w:val="nil"/>
                    <w:tr2bl w:val="nil"/>
                  </w:tcBorders>
                  <w:vAlign w:val="center"/>
                </w:tcPr>
                <w:p w14:paraId="39C8C678">
                  <w:pPr>
                    <w:jc w:val="center"/>
                    <w:rPr>
                      <w:rFonts w:hint="default" w:ascii="Times New Roman" w:hAnsi="Times New Roman" w:cs="Times New Roman"/>
                      <w:color w:val="auto"/>
                    </w:rPr>
                  </w:pPr>
                  <w:r>
                    <w:rPr>
                      <w:rFonts w:hint="default" w:ascii="Times New Roman" w:hAnsi="Times New Roman" w:cs="Times New Roman"/>
                      <w:color w:val="auto"/>
                    </w:rPr>
                    <w:t>K</w:t>
                  </w:r>
                </w:p>
              </w:tc>
              <w:tc>
                <w:tcPr>
                  <w:tcW w:w="1136" w:type="dxa"/>
                  <w:tcBorders>
                    <w:tl2br w:val="nil"/>
                    <w:tr2bl w:val="nil"/>
                  </w:tcBorders>
                  <w:vAlign w:val="center"/>
                </w:tcPr>
                <w:p w14:paraId="6672BDF6">
                  <w:pPr>
                    <w:jc w:val="center"/>
                    <w:rPr>
                      <w:rFonts w:hint="default" w:ascii="Times New Roman" w:hAnsi="Times New Roman" w:cs="Times New Roman"/>
                      <w:color w:val="auto"/>
                    </w:rPr>
                  </w:pPr>
                  <w:r>
                    <w:rPr>
                      <w:rFonts w:hint="default" w:ascii="Times New Roman" w:hAnsi="Times New Roman" w:cs="Times New Roman"/>
                      <w:color w:val="auto"/>
                    </w:rPr>
                    <w:t>KT</w:t>
                  </w:r>
                </w:p>
              </w:tc>
              <w:tc>
                <w:tcPr>
                  <w:tcW w:w="1136" w:type="dxa"/>
                  <w:tcBorders>
                    <w:tl2br w:val="nil"/>
                    <w:tr2bl w:val="nil"/>
                  </w:tcBorders>
                  <w:vAlign w:val="center"/>
                </w:tcPr>
                <w:p w14:paraId="5AEE746F">
                  <w:pPr>
                    <w:jc w:val="center"/>
                    <w:rPr>
                      <w:rFonts w:hint="default" w:ascii="Times New Roman" w:hAnsi="Times New Roman" w:cs="Times New Roman"/>
                      <w:color w:val="auto"/>
                    </w:rPr>
                  </w:pPr>
                  <w:r>
                    <w:rPr>
                      <w:rFonts w:hint="default" w:ascii="Times New Roman" w:hAnsi="Times New Roman" w:cs="Times New Roman"/>
                      <w:color w:val="auto"/>
                    </w:rPr>
                    <w:t>KE</w:t>
                  </w:r>
                </w:p>
              </w:tc>
              <w:tc>
                <w:tcPr>
                  <w:tcW w:w="1141" w:type="dxa"/>
                  <w:tcBorders>
                    <w:tl2br w:val="nil"/>
                    <w:tr2bl w:val="nil"/>
                  </w:tcBorders>
                  <w:vAlign w:val="center"/>
                </w:tcPr>
                <w:p w14:paraId="08F5C003">
                  <w:pPr>
                    <w:jc w:val="center"/>
                    <w:rPr>
                      <w:rFonts w:hint="default" w:ascii="Times New Roman" w:hAnsi="Times New Roman" w:cs="Times New Roman"/>
                      <w:color w:val="auto"/>
                    </w:rPr>
                  </w:pPr>
                  <w:r>
                    <w:rPr>
                      <w:rFonts w:hint="default" w:ascii="Times New Roman" w:hAnsi="Times New Roman" w:cs="Times New Roman"/>
                      <w:color w:val="auto"/>
                    </w:rPr>
                    <w:t>LPW</w:t>
                  </w:r>
                </w:p>
              </w:tc>
            </w:tr>
            <w:tr w14:paraId="63989D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1282" w:type="dxa"/>
                  <w:tcBorders>
                    <w:tl2br w:val="nil"/>
                    <w:tr2bl w:val="nil"/>
                  </w:tcBorders>
                  <w:vAlign w:val="center"/>
                </w:tcPr>
                <w:p w14:paraId="1A2A1B63">
                  <w:pPr>
                    <w:jc w:val="center"/>
                    <w:rPr>
                      <w:rFonts w:hint="default" w:ascii="Times New Roman" w:hAnsi="Times New Roman" w:cs="Times New Roman"/>
                      <w:color w:val="auto"/>
                    </w:rPr>
                  </w:pPr>
                  <w:r>
                    <w:rPr>
                      <w:rFonts w:hint="default" w:ascii="Times New Roman" w:hAnsi="Times New Roman" w:cs="Times New Roman"/>
                      <w:color w:val="auto"/>
                    </w:rPr>
                    <w:t>沥青储罐</w:t>
                  </w:r>
                </w:p>
              </w:tc>
              <w:tc>
                <w:tcPr>
                  <w:tcW w:w="772" w:type="dxa"/>
                  <w:tcBorders>
                    <w:tl2br w:val="nil"/>
                    <w:tr2bl w:val="nil"/>
                  </w:tcBorders>
                  <w:vAlign w:val="center"/>
                </w:tcPr>
                <w:p w14:paraId="5C695298">
                  <w:pPr>
                    <w:jc w:val="center"/>
                    <w:rPr>
                      <w:rFonts w:hint="default" w:ascii="Times New Roman" w:hAnsi="Times New Roman" w:cs="Times New Roman"/>
                      <w:color w:val="auto"/>
                    </w:rPr>
                  </w:pPr>
                  <w:r>
                    <w:rPr>
                      <w:rFonts w:hint="default" w:ascii="Times New Roman" w:hAnsi="Times New Roman" w:cs="Times New Roman"/>
                      <w:color w:val="auto"/>
                    </w:rPr>
                    <w:t>853</w:t>
                  </w:r>
                </w:p>
              </w:tc>
              <w:tc>
                <w:tcPr>
                  <w:tcW w:w="1136" w:type="dxa"/>
                  <w:tcBorders>
                    <w:tl2br w:val="nil"/>
                    <w:tr2bl w:val="nil"/>
                  </w:tcBorders>
                  <w:vAlign w:val="center"/>
                </w:tcPr>
                <w:p w14:paraId="4F9282CF">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2000</w:t>
                  </w:r>
                </w:p>
              </w:tc>
              <w:tc>
                <w:tcPr>
                  <w:tcW w:w="1136" w:type="dxa"/>
                  <w:tcBorders>
                    <w:tl2br w:val="nil"/>
                    <w:tr2bl w:val="nil"/>
                  </w:tcBorders>
                  <w:vAlign w:val="center"/>
                </w:tcPr>
                <w:p w14:paraId="42B12720">
                  <w:pPr>
                    <w:jc w:val="center"/>
                    <w:rPr>
                      <w:rFonts w:hint="default" w:ascii="Times New Roman" w:hAnsi="Times New Roman" w:cs="Times New Roman"/>
                      <w:color w:val="auto"/>
                    </w:rPr>
                  </w:pPr>
                  <w:r>
                    <w:rPr>
                      <w:rFonts w:hint="default" w:ascii="Times New Roman" w:hAnsi="Times New Roman" w:cs="Times New Roman"/>
                      <w:color w:val="auto"/>
                    </w:rPr>
                    <w:t>1.2</w:t>
                  </w:r>
                </w:p>
              </w:tc>
              <w:tc>
                <w:tcPr>
                  <w:tcW w:w="1136" w:type="dxa"/>
                  <w:tcBorders>
                    <w:tl2br w:val="nil"/>
                    <w:tr2bl w:val="nil"/>
                  </w:tcBorders>
                  <w:vAlign w:val="center"/>
                </w:tcPr>
                <w:p w14:paraId="2136CDFE">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40</w:t>
                  </w:r>
                </w:p>
              </w:tc>
              <w:tc>
                <w:tcPr>
                  <w:tcW w:w="1136" w:type="dxa"/>
                  <w:tcBorders>
                    <w:tl2br w:val="nil"/>
                    <w:tr2bl w:val="nil"/>
                  </w:tcBorders>
                  <w:vAlign w:val="center"/>
                </w:tcPr>
                <w:p w14:paraId="4E895B2B">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0.86</w:t>
                  </w:r>
                </w:p>
              </w:tc>
              <w:tc>
                <w:tcPr>
                  <w:tcW w:w="1136" w:type="dxa"/>
                  <w:tcBorders>
                    <w:tl2br w:val="nil"/>
                    <w:tr2bl w:val="nil"/>
                  </w:tcBorders>
                  <w:vAlign w:val="center"/>
                </w:tcPr>
                <w:p w14:paraId="067B6EEB">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1141" w:type="dxa"/>
                  <w:tcBorders>
                    <w:tl2br w:val="nil"/>
                    <w:tr2bl w:val="nil"/>
                  </w:tcBorders>
                  <w:vAlign w:val="center"/>
                </w:tcPr>
                <w:p w14:paraId="485AEF3C">
                  <w:pPr>
                    <w:jc w:val="center"/>
                    <w:rPr>
                      <w:rFonts w:hint="default" w:ascii="Times New Roman" w:hAnsi="Times New Roman" w:cs="Times New Roman"/>
                      <w:color w:val="auto"/>
                    </w:rPr>
                  </w:pPr>
                  <w:r>
                    <w:rPr>
                      <w:rFonts w:hint="default" w:ascii="Times New Roman" w:hAnsi="Times New Roman" w:cs="Times New Roman"/>
                      <w:color w:val="auto"/>
                      <w:lang w:val="en-US" w:eastAsia="zh-CN"/>
                    </w:rPr>
                    <w:t>76.586</w:t>
                  </w:r>
                  <w:r>
                    <w:rPr>
                      <w:rFonts w:hint="default" w:ascii="Times New Roman" w:hAnsi="Times New Roman" w:cs="Times New Roman"/>
                      <w:color w:val="auto"/>
                    </w:rPr>
                    <w:t>kg</w:t>
                  </w:r>
                </w:p>
              </w:tc>
            </w:tr>
          </w:tbl>
          <w:p w14:paraId="70E5B742">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b：小呼吸损耗</w:t>
            </w:r>
          </w:p>
          <w:p w14:paraId="37B44EC5">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Lps=12.751×10</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×KE×(P/(101325-P))</w:t>
            </w:r>
            <w:r>
              <w:rPr>
                <w:rFonts w:hint="default" w:ascii="Times New Roman" w:hAnsi="Times New Roman" w:cs="Times New Roman"/>
                <w:color w:val="auto"/>
                <w:sz w:val="24"/>
                <w:szCs w:val="24"/>
                <w:vertAlign w:val="superscript"/>
              </w:rPr>
              <w:t>0.68</w:t>
            </w:r>
            <w:r>
              <w:rPr>
                <w:rFonts w:hint="default" w:ascii="Times New Roman" w:hAnsi="Times New Roman" w:cs="Times New Roman"/>
                <w:color w:val="auto"/>
                <w:sz w:val="24"/>
                <w:szCs w:val="24"/>
              </w:rPr>
              <w:t>×V×D</w:t>
            </w:r>
            <w:r>
              <w:rPr>
                <w:rFonts w:hint="default" w:ascii="Times New Roman" w:hAnsi="Times New Roman" w:cs="Times New Roman"/>
                <w:color w:val="auto"/>
                <w:sz w:val="24"/>
                <w:szCs w:val="24"/>
                <w:vertAlign w:val="superscript"/>
              </w:rPr>
              <w:t>1.73</w:t>
            </w: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vertAlign w:val="superscript"/>
              </w:rPr>
              <w:t>0.51</w:t>
            </w:r>
            <w:r>
              <w:rPr>
                <w:rFonts w:hint="default" w:ascii="Times New Roman" w:hAnsi="Times New Roman" w:cs="Times New Roman"/>
                <w:color w:val="auto"/>
                <w:sz w:val="24"/>
                <w:szCs w:val="24"/>
              </w:rPr>
              <w:t>×△T</w:t>
            </w:r>
            <w:r>
              <w:rPr>
                <w:rFonts w:hint="default" w:ascii="Times New Roman" w:hAnsi="Times New Roman" w:cs="Times New Roman"/>
                <w:color w:val="auto"/>
                <w:sz w:val="24"/>
                <w:szCs w:val="24"/>
                <w:vertAlign w:val="superscript"/>
              </w:rPr>
              <w:t>0.45</w:t>
            </w:r>
            <w:r>
              <w:rPr>
                <w:rFonts w:hint="default" w:ascii="Times New Roman" w:hAnsi="Times New Roman" w:cs="Times New Roman"/>
                <w:color w:val="auto"/>
                <w:sz w:val="24"/>
                <w:szCs w:val="24"/>
              </w:rPr>
              <w:t>×FP×C</w:t>
            </w:r>
          </w:p>
          <w:p w14:paraId="1B3EB5B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式中：LPS—拱顶罐小呼吸损失量（kg/a）；</w:t>
            </w:r>
          </w:p>
          <w:p w14:paraId="4FCDA7EF">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KE—产品因子系数，汽油或其他油品KE=24，原油KE=14；</w:t>
            </w:r>
          </w:p>
          <w:p w14:paraId="1FB06B18">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P—储罐内平均温度下液体真实蒸汽压（Pa）；</w:t>
            </w:r>
          </w:p>
          <w:p w14:paraId="4E094771">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V—储存沥青的平均密度（t/m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14:paraId="55069E14">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D—储罐的直径（m）；</w:t>
            </w:r>
          </w:p>
          <w:p w14:paraId="79EB51E9">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H—储罐平均留空高度（m）；</w:t>
            </w:r>
          </w:p>
          <w:p w14:paraId="53B2400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△T—日环境温度变化（即温度差）的平均值(℃);</w:t>
            </w:r>
          </w:p>
          <w:p w14:paraId="784EDAB4">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FP—涂料系数（铅漆Fp=1.39，白漆Fp=1.02）；</w:t>
            </w:r>
          </w:p>
          <w:p w14:paraId="042911E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C—小直径储罐的修正系数（罐径0-9m，C=1-0.0123(D-9)2，罐径≥9m，C=1）。</w:t>
            </w:r>
          </w:p>
          <w:p w14:paraId="36A04440">
            <w:pPr>
              <w:spacing w:line="360" w:lineRule="auto"/>
              <w:ind w:firstLine="422" w:firstLineChars="20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表</w:t>
            </w:r>
            <w:r>
              <w:rPr>
                <w:rFonts w:hint="default" w:ascii="Times New Roman" w:hAnsi="Times New Roman" w:cs="Times New Roman"/>
                <w:b/>
                <w:bCs/>
                <w:color w:val="auto"/>
                <w:kern w:val="0"/>
                <w:szCs w:val="21"/>
                <w:lang w:val="en-US" w:eastAsia="zh-CN"/>
              </w:rPr>
              <w:t>4</w:t>
            </w:r>
            <w:r>
              <w:rPr>
                <w:rFonts w:hint="default" w:ascii="Times New Roman" w:hAnsi="Times New Roman" w:cs="Times New Roman"/>
                <w:b/>
                <w:bCs/>
                <w:color w:val="auto"/>
                <w:kern w:val="0"/>
                <w:szCs w:val="21"/>
              </w:rPr>
              <w:t>-</w:t>
            </w:r>
            <w:r>
              <w:rPr>
                <w:rFonts w:hint="default" w:ascii="Times New Roman" w:hAnsi="Times New Roman" w:cs="Times New Roman"/>
                <w:b/>
                <w:bCs/>
                <w:color w:val="auto"/>
                <w:kern w:val="0"/>
                <w:szCs w:val="21"/>
                <w:lang w:val="en-US" w:eastAsia="zh-CN"/>
              </w:rPr>
              <w:t>4</w:t>
            </w:r>
            <w:r>
              <w:rPr>
                <w:rFonts w:hint="default" w:ascii="Times New Roman" w:hAnsi="Times New Roman" w:cs="Times New Roman"/>
                <w:b/>
                <w:bCs/>
                <w:color w:val="auto"/>
                <w:kern w:val="0"/>
                <w:szCs w:val="21"/>
              </w:rPr>
              <w:t xml:space="preserve"> 储罐小呼吸废气计算取值</w:t>
            </w:r>
          </w:p>
          <w:tbl>
            <w:tblPr>
              <w:tblStyle w:val="29"/>
              <w:tblW w:w="498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082"/>
              <w:gridCol w:w="727"/>
              <w:gridCol w:w="638"/>
              <w:gridCol w:w="856"/>
              <w:gridCol w:w="637"/>
              <w:gridCol w:w="726"/>
              <w:gridCol w:w="682"/>
              <w:gridCol w:w="774"/>
              <w:gridCol w:w="814"/>
              <w:gridCol w:w="936"/>
            </w:tblGrid>
            <w:tr w14:paraId="66C1C8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2083" w:type="dxa"/>
                  <w:tcBorders>
                    <w:tl2br w:val="nil"/>
                    <w:tr2bl w:val="nil"/>
                  </w:tcBorders>
                  <w:vAlign w:val="center"/>
                </w:tcPr>
                <w:p w14:paraId="3D671EB8">
                  <w:pPr>
                    <w:jc w:val="center"/>
                    <w:rPr>
                      <w:rFonts w:hint="default" w:ascii="Times New Roman" w:hAnsi="Times New Roman" w:cs="Times New Roman"/>
                      <w:color w:val="auto"/>
                    </w:rPr>
                  </w:pPr>
                  <w:r>
                    <w:rPr>
                      <w:rFonts w:hint="default" w:ascii="Times New Roman" w:hAnsi="Times New Roman" w:cs="Times New Roman"/>
                      <w:color w:val="auto"/>
                    </w:rPr>
                    <w:t>产品</w:t>
                  </w:r>
                </w:p>
              </w:tc>
              <w:tc>
                <w:tcPr>
                  <w:tcW w:w="727" w:type="dxa"/>
                  <w:tcBorders>
                    <w:tl2br w:val="nil"/>
                    <w:tr2bl w:val="nil"/>
                  </w:tcBorders>
                  <w:vAlign w:val="center"/>
                </w:tcPr>
                <w:p w14:paraId="38126005">
                  <w:pPr>
                    <w:jc w:val="center"/>
                    <w:rPr>
                      <w:rFonts w:hint="default" w:ascii="Times New Roman" w:hAnsi="Times New Roman" w:cs="Times New Roman"/>
                      <w:color w:val="auto"/>
                    </w:rPr>
                  </w:pPr>
                  <w:r>
                    <w:rPr>
                      <w:rFonts w:hint="default" w:ascii="Times New Roman" w:hAnsi="Times New Roman" w:cs="Times New Roman"/>
                      <w:color w:val="auto"/>
                    </w:rPr>
                    <w:t>KE</w:t>
                  </w:r>
                </w:p>
              </w:tc>
              <w:tc>
                <w:tcPr>
                  <w:tcW w:w="638" w:type="dxa"/>
                  <w:tcBorders>
                    <w:tl2br w:val="nil"/>
                    <w:tr2bl w:val="nil"/>
                  </w:tcBorders>
                  <w:vAlign w:val="center"/>
                </w:tcPr>
                <w:p w14:paraId="33FA7E3A">
                  <w:pPr>
                    <w:jc w:val="center"/>
                    <w:rPr>
                      <w:rFonts w:hint="default" w:ascii="Times New Roman" w:hAnsi="Times New Roman" w:cs="Times New Roman"/>
                      <w:color w:val="auto"/>
                    </w:rPr>
                  </w:pPr>
                  <w:r>
                    <w:rPr>
                      <w:rFonts w:hint="default" w:ascii="Times New Roman" w:hAnsi="Times New Roman" w:cs="Times New Roman"/>
                      <w:color w:val="auto"/>
                    </w:rPr>
                    <w:t>P</w:t>
                  </w:r>
                </w:p>
              </w:tc>
              <w:tc>
                <w:tcPr>
                  <w:tcW w:w="856" w:type="dxa"/>
                  <w:tcBorders>
                    <w:tl2br w:val="nil"/>
                    <w:tr2bl w:val="nil"/>
                  </w:tcBorders>
                  <w:vAlign w:val="center"/>
                </w:tcPr>
                <w:p w14:paraId="2BC94BD1">
                  <w:pPr>
                    <w:jc w:val="center"/>
                    <w:rPr>
                      <w:rFonts w:hint="default" w:ascii="Times New Roman" w:hAnsi="Times New Roman" w:cs="Times New Roman"/>
                      <w:color w:val="auto"/>
                    </w:rPr>
                  </w:pPr>
                  <w:r>
                    <w:rPr>
                      <w:rFonts w:hint="default" w:ascii="Times New Roman" w:hAnsi="Times New Roman" w:cs="Times New Roman"/>
                      <w:color w:val="auto"/>
                    </w:rPr>
                    <w:t>V</w:t>
                  </w:r>
                </w:p>
              </w:tc>
              <w:tc>
                <w:tcPr>
                  <w:tcW w:w="637" w:type="dxa"/>
                  <w:tcBorders>
                    <w:tl2br w:val="nil"/>
                    <w:tr2bl w:val="nil"/>
                  </w:tcBorders>
                  <w:vAlign w:val="center"/>
                </w:tcPr>
                <w:p w14:paraId="646E551C">
                  <w:pPr>
                    <w:jc w:val="center"/>
                    <w:rPr>
                      <w:rFonts w:hint="default" w:ascii="Times New Roman" w:hAnsi="Times New Roman" w:cs="Times New Roman"/>
                      <w:color w:val="auto"/>
                    </w:rPr>
                  </w:pPr>
                  <w:r>
                    <w:rPr>
                      <w:rFonts w:hint="default" w:ascii="Times New Roman" w:hAnsi="Times New Roman" w:cs="Times New Roman"/>
                      <w:color w:val="auto"/>
                    </w:rPr>
                    <w:t>D</w:t>
                  </w:r>
                </w:p>
              </w:tc>
              <w:tc>
                <w:tcPr>
                  <w:tcW w:w="726" w:type="dxa"/>
                  <w:tcBorders>
                    <w:tl2br w:val="nil"/>
                    <w:tr2bl w:val="nil"/>
                  </w:tcBorders>
                  <w:vAlign w:val="center"/>
                </w:tcPr>
                <w:p w14:paraId="77C3F83F">
                  <w:pPr>
                    <w:jc w:val="center"/>
                    <w:rPr>
                      <w:rFonts w:hint="default" w:ascii="Times New Roman" w:hAnsi="Times New Roman" w:cs="Times New Roman"/>
                      <w:color w:val="auto"/>
                    </w:rPr>
                  </w:pPr>
                  <w:r>
                    <w:rPr>
                      <w:rFonts w:hint="default" w:ascii="Times New Roman" w:hAnsi="Times New Roman" w:cs="Times New Roman"/>
                      <w:color w:val="auto"/>
                    </w:rPr>
                    <w:t>H</w:t>
                  </w:r>
                </w:p>
              </w:tc>
              <w:tc>
                <w:tcPr>
                  <w:tcW w:w="682" w:type="dxa"/>
                  <w:tcBorders>
                    <w:tl2br w:val="nil"/>
                    <w:tr2bl w:val="nil"/>
                  </w:tcBorders>
                  <w:vAlign w:val="center"/>
                </w:tcPr>
                <w:p w14:paraId="34178A5D">
                  <w:pPr>
                    <w:jc w:val="center"/>
                    <w:rPr>
                      <w:rFonts w:hint="default" w:ascii="Times New Roman" w:hAnsi="Times New Roman" w:cs="Times New Roman"/>
                      <w:color w:val="auto"/>
                    </w:rPr>
                  </w:pPr>
                  <w:r>
                    <w:rPr>
                      <w:rFonts w:hint="default" w:ascii="Times New Roman" w:hAnsi="Times New Roman" w:cs="Times New Roman"/>
                      <w:color w:val="auto"/>
                    </w:rPr>
                    <w:t>△T</w:t>
                  </w:r>
                </w:p>
              </w:tc>
              <w:tc>
                <w:tcPr>
                  <w:tcW w:w="774" w:type="dxa"/>
                  <w:tcBorders>
                    <w:tl2br w:val="nil"/>
                    <w:tr2bl w:val="nil"/>
                  </w:tcBorders>
                  <w:vAlign w:val="center"/>
                </w:tcPr>
                <w:p w14:paraId="0623E6D5">
                  <w:pPr>
                    <w:jc w:val="center"/>
                    <w:rPr>
                      <w:rFonts w:hint="default" w:ascii="Times New Roman" w:hAnsi="Times New Roman" w:cs="Times New Roman"/>
                      <w:color w:val="auto"/>
                    </w:rPr>
                  </w:pPr>
                  <w:r>
                    <w:rPr>
                      <w:rFonts w:hint="default" w:ascii="Times New Roman" w:hAnsi="Times New Roman" w:cs="Times New Roman"/>
                      <w:color w:val="auto"/>
                    </w:rPr>
                    <w:t>Fp</w:t>
                  </w:r>
                </w:p>
              </w:tc>
              <w:tc>
                <w:tcPr>
                  <w:tcW w:w="814" w:type="dxa"/>
                  <w:tcBorders>
                    <w:tl2br w:val="nil"/>
                    <w:tr2bl w:val="nil"/>
                  </w:tcBorders>
                  <w:vAlign w:val="center"/>
                </w:tcPr>
                <w:p w14:paraId="2A5B3313">
                  <w:pPr>
                    <w:jc w:val="center"/>
                    <w:rPr>
                      <w:rFonts w:hint="default" w:ascii="Times New Roman" w:hAnsi="Times New Roman" w:cs="Times New Roman"/>
                      <w:color w:val="auto"/>
                    </w:rPr>
                  </w:pPr>
                  <w:r>
                    <w:rPr>
                      <w:rFonts w:hint="default" w:ascii="Times New Roman" w:hAnsi="Times New Roman" w:cs="Times New Roman"/>
                      <w:color w:val="auto"/>
                    </w:rPr>
                    <w:t>C</w:t>
                  </w:r>
                </w:p>
              </w:tc>
              <w:tc>
                <w:tcPr>
                  <w:tcW w:w="936" w:type="dxa"/>
                  <w:tcBorders>
                    <w:tl2br w:val="nil"/>
                    <w:tr2bl w:val="nil"/>
                  </w:tcBorders>
                  <w:vAlign w:val="center"/>
                </w:tcPr>
                <w:p w14:paraId="07C33480">
                  <w:pPr>
                    <w:jc w:val="center"/>
                    <w:rPr>
                      <w:rFonts w:hint="default" w:ascii="Times New Roman" w:hAnsi="Times New Roman" w:cs="Times New Roman"/>
                      <w:color w:val="auto"/>
                    </w:rPr>
                  </w:pPr>
                  <w:r>
                    <w:rPr>
                      <w:rFonts w:hint="default" w:ascii="Times New Roman" w:hAnsi="Times New Roman" w:cs="Times New Roman"/>
                      <w:color w:val="auto"/>
                    </w:rPr>
                    <w:t>LDS</w:t>
                  </w:r>
                </w:p>
              </w:tc>
            </w:tr>
            <w:tr w14:paraId="7B5FC5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2083" w:type="dxa"/>
                  <w:tcBorders>
                    <w:tl2br w:val="nil"/>
                    <w:tr2bl w:val="nil"/>
                  </w:tcBorders>
                  <w:vAlign w:val="center"/>
                </w:tcPr>
                <w:p w14:paraId="333F34B5">
                  <w:pPr>
                    <w:jc w:val="center"/>
                    <w:rPr>
                      <w:rFonts w:hint="default" w:ascii="Times New Roman" w:hAnsi="Times New Roman" w:cs="Times New Roman"/>
                      <w:color w:val="auto"/>
                    </w:rPr>
                  </w:pPr>
                  <w:r>
                    <w:rPr>
                      <w:rFonts w:hint="default" w:ascii="Times New Roman" w:hAnsi="Times New Roman" w:cs="Times New Roman"/>
                      <w:color w:val="auto"/>
                    </w:rPr>
                    <w:t>沥青储罐</w:t>
                  </w:r>
                </w:p>
              </w:tc>
              <w:tc>
                <w:tcPr>
                  <w:tcW w:w="727" w:type="dxa"/>
                  <w:tcBorders>
                    <w:tl2br w:val="nil"/>
                    <w:tr2bl w:val="nil"/>
                  </w:tcBorders>
                  <w:vAlign w:val="center"/>
                </w:tcPr>
                <w:p w14:paraId="1AD5DE1F">
                  <w:pPr>
                    <w:jc w:val="center"/>
                    <w:rPr>
                      <w:rFonts w:hint="default" w:ascii="Times New Roman" w:hAnsi="Times New Roman" w:cs="Times New Roman"/>
                      <w:color w:val="auto"/>
                    </w:rPr>
                  </w:pPr>
                  <w:r>
                    <w:rPr>
                      <w:rFonts w:hint="default" w:ascii="Times New Roman" w:hAnsi="Times New Roman" w:cs="Times New Roman"/>
                      <w:color w:val="auto"/>
                    </w:rPr>
                    <w:t>24</w:t>
                  </w:r>
                </w:p>
              </w:tc>
              <w:tc>
                <w:tcPr>
                  <w:tcW w:w="638" w:type="dxa"/>
                  <w:tcBorders>
                    <w:tl2br w:val="nil"/>
                    <w:tr2bl w:val="nil"/>
                  </w:tcBorders>
                  <w:vAlign w:val="center"/>
                </w:tcPr>
                <w:p w14:paraId="19B700FD">
                  <w:pPr>
                    <w:jc w:val="center"/>
                    <w:rPr>
                      <w:rFonts w:hint="default" w:ascii="Times New Roman" w:hAnsi="Times New Roman" w:cs="Times New Roman"/>
                      <w:color w:val="auto"/>
                    </w:rPr>
                  </w:pPr>
                  <w:r>
                    <w:rPr>
                      <w:rFonts w:hint="default" w:ascii="Times New Roman" w:hAnsi="Times New Roman" w:cs="Times New Roman"/>
                      <w:color w:val="auto"/>
                    </w:rPr>
                    <w:t>853</w:t>
                  </w:r>
                </w:p>
              </w:tc>
              <w:tc>
                <w:tcPr>
                  <w:tcW w:w="856" w:type="dxa"/>
                  <w:tcBorders>
                    <w:tl2br w:val="nil"/>
                    <w:tr2bl w:val="nil"/>
                  </w:tcBorders>
                  <w:vAlign w:val="center"/>
                </w:tcPr>
                <w:p w14:paraId="1CADA674">
                  <w:pPr>
                    <w:jc w:val="center"/>
                    <w:rPr>
                      <w:rFonts w:hint="default" w:ascii="Times New Roman" w:hAnsi="Times New Roman" w:cs="Times New Roman"/>
                      <w:color w:val="auto"/>
                    </w:rPr>
                  </w:pPr>
                  <w:r>
                    <w:rPr>
                      <w:rFonts w:hint="default" w:ascii="Times New Roman" w:hAnsi="Times New Roman" w:cs="Times New Roman"/>
                      <w:color w:val="auto"/>
                    </w:rPr>
                    <w:t>1.2</w:t>
                  </w:r>
                </w:p>
              </w:tc>
              <w:tc>
                <w:tcPr>
                  <w:tcW w:w="637" w:type="dxa"/>
                  <w:tcBorders>
                    <w:tl2br w:val="nil"/>
                    <w:tr2bl w:val="nil"/>
                  </w:tcBorders>
                  <w:vAlign w:val="center"/>
                </w:tcPr>
                <w:p w14:paraId="4CD780FD">
                  <w:pPr>
                    <w:jc w:val="center"/>
                    <w:rPr>
                      <w:rFonts w:hint="default" w:ascii="Times New Roman" w:hAnsi="Times New Roman" w:cs="Times New Roman"/>
                      <w:color w:val="auto"/>
                    </w:rPr>
                  </w:pPr>
                  <w:r>
                    <w:rPr>
                      <w:rFonts w:hint="default" w:ascii="Times New Roman" w:hAnsi="Times New Roman" w:cs="Times New Roman"/>
                      <w:color w:val="auto"/>
                    </w:rPr>
                    <w:t>3.0</w:t>
                  </w:r>
                </w:p>
              </w:tc>
              <w:tc>
                <w:tcPr>
                  <w:tcW w:w="726" w:type="dxa"/>
                  <w:tcBorders>
                    <w:tl2br w:val="nil"/>
                    <w:tr2bl w:val="nil"/>
                  </w:tcBorders>
                  <w:vAlign w:val="center"/>
                </w:tcPr>
                <w:p w14:paraId="027C4361">
                  <w:pPr>
                    <w:jc w:val="center"/>
                    <w:rPr>
                      <w:rFonts w:hint="default" w:ascii="Times New Roman" w:hAnsi="Times New Roman" w:cs="Times New Roman"/>
                      <w:color w:val="auto"/>
                    </w:rPr>
                  </w:pPr>
                  <w:r>
                    <w:rPr>
                      <w:rFonts w:hint="default" w:ascii="Times New Roman" w:hAnsi="Times New Roman" w:cs="Times New Roman"/>
                      <w:color w:val="auto"/>
                    </w:rPr>
                    <w:t>0.2</w:t>
                  </w:r>
                </w:p>
              </w:tc>
              <w:tc>
                <w:tcPr>
                  <w:tcW w:w="682" w:type="dxa"/>
                  <w:tcBorders>
                    <w:tl2br w:val="nil"/>
                    <w:tr2bl w:val="nil"/>
                  </w:tcBorders>
                  <w:vAlign w:val="center"/>
                </w:tcPr>
                <w:p w14:paraId="74318F11">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774" w:type="dxa"/>
                  <w:tcBorders>
                    <w:tl2br w:val="nil"/>
                    <w:tr2bl w:val="nil"/>
                  </w:tcBorders>
                  <w:vAlign w:val="center"/>
                </w:tcPr>
                <w:p w14:paraId="2C4A6D2D">
                  <w:pPr>
                    <w:jc w:val="center"/>
                    <w:rPr>
                      <w:rFonts w:hint="default" w:ascii="Times New Roman" w:hAnsi="Times New Roman" w:cs="Times New Roman"/>
                      <w:color w:val="auto"/>
                    </w:rPr>
                  </w:pPr>
                  <w:r>
                    <w:rPr>
                      <w:rFonts w:hint="default" w:ascii="Times New Roman" w:hAnsi="Times New Roman" w:cs="Times New Roman"/>
                      <w:color w:val="auto"/>
                    </w:rPr>
                    <w:t>1.39</w:t>
                  </w:r>
                </w:p>
              </w:tc>
              <w:tc>
                <w:tcPr>
                  <w:tcW w:w="814" w:type="dxa"/>
                  <w:tcBorders>
                    <w:tl2br w:val="nil"/>
                    <w:tr2bl w:val="nil"/>
                  </w:tcBorders>
                  <w:vAlign w:val="center"/>
                </w:tcPr>
                <w:p w14:paraId="3E4B146A">
                  <w:pPr>
                    <w:jc w:val="center"/>
                    <w:rPr>
                      <w:rFonts w:hint="default" w:ascii="Times New Roman" w:hAnsi="Times New Roman" w:cs="Times New Roman"/>
                      <w:color w:val="auto"/>
                    </w:rPr>
                  </w:pPr>
                  <w:r>
                    <w:rPr>
                      <w:rFonts w:hint="default" w:ascii="Times New Roman" w:hAnsi="Times New Roman" w:cs="Times New Roman"/>
                      <w:color w:val="auto"/>
                    </w:rPr>
                    <w:t>0.54</w:t>
                  </w:r>
                </w:p>
              </w:tc>
              <w:tc>
                <w:tcPr>
                  <w:tcW w:w="936" w:type="dxa"/>
                  <w:tcBorders>
                    <w:tl2br w:val="nil"/>
                    <w:tr2bl w:val="nil"/>
                  </w:tcBorders>
                  <w:vAlign w:val="center"/>
                </w:tcPr>
                <w:p w14:paraId="615B01C5">
                  <w:pPr>
                    <w:jc w:val="center"/>
                    <w:rPr>
                      <w:rFonts w:hint="default" w:ascii="Times New Roman" w:hAnsi="Times New Roman" w:cs="Times New Roman"/>
                      <w:color w:val="auto"/>
                    </w:rPr>
                  </w:pPr>
                  <w:r>
                    <w:rPr>
                      <w:rFonts w:hint="default" w:ascii="Times New Roman" w:hAnsi="Times New Roman" w:cs="Times New Roman"/>
                      <w:color w:val="auto"/>
                    </w:rPr>
                    <w:t>0.089kg</w:t>
                  </w:r>
                </w:p>
              </w:tc>
            </w:tr>
            <w:tr w14:paraId="465362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7937" w:type="dxa"/>
                  <w:gridSpan w:val="9"/>
                  <w:tcBorders>
                    <w:tl2br w:val="nil"/>
                    <w:tr2bl w:val="nil"/>
                  </w:tcBorders>
                  <w:vAlign w:val="center"/>
                </w:tcPr>
                <w:p w14:paraId="242A63AD">
                  <w:pPr>
                    <w:jc w:val="center"/>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cs="Times New Roman"/>
                      <w:color w:val="auto"/>
                    </w:rPr>
                    <w:t>个</w:t>
                  </w:r>
                  <w:r>
                    <w:rPr>
                      <w:rFonts w:hint="default" w:ascii="Times New Roman" w:hAnsi="Times New Roman" w:cs="Times New Roman"/>
                      <w:color w:val="auto"/>
                      <w:lang w:val="en-US" w:eastAsia="zh-CN"/>
                    </w:rPr>
                    <w:t>3</w:t>
                  </w:r>
                  <w:r>
                    <w:rPr>
                      <w:rFonts w:hint="default" w:ascii="Times New Roman" w:hAnsi="Times New Roman" w:cs="Times New Roman"/>
                      <w:color w:val="auto"/>
                    </w:rPr>
                    <w:t>0m</w:t>
                  </w:r>
                  <w:r>
                    <w:rPr>
                      <w:rFonts w:hint="default" w:ascii="Times New Roman" w:hAnsi="Times New Roman" w:cs="Times New Roman"/>
                      <w:color w:val="auto"/>
                      <w:vertAlign w:val="superscript"/>
                    </w:rPr>
                    <w:t>3</w:t>
                  </w:r>
                  <w:r>
                    <w:rPr>
                      <w:rFonts w:hint="default" w:ascii="Times New Roman" w:hAnsi="Times New Roman" w:cs="Times New Roman"/>
                      <w:color w:val="auto"/>
                    </w:rPr>
                    <w:t>沥青储罐总计</w:t>
                  </w:r>
                </w:p>
              </w:tc>
              <w:tc>
                <w:tcPr>
                  <w:tcW w:w="936" w:type="dxa"/>
                  <w:tcBorders>
                    <w:tl2br w:val="nil"/>
                    <w:tr2bl w:val="nil"/>
                  </w:tcBorders>
                  <w:vAlign w:val="center"/>
                </w:tcPr>
                <w:p w14:paraId="093EB932">
                  <w:pPr>
                    <w:jc w:val="center"/>
                    <w:rPr>
                      <w:rFonts w:hint="default" w:ascii="Times New Roman" w:hAnsi="Times New Roman" w:cs="Times New Roman"/>
                      <w:color w:val="auto"/>
                    </w:rPr>
                  </w:pPr>
                  <w:r>
                    <w:rPr>
                      <w:rFonts w:hint="default" w:ascii="Times New Roman" w:hAnsi="Times New Roman" w:cs="Times New Roman"/>
                      <w:color w:val="auto"/>
                      <w:lang w:val="en-US" w:eastAsia="zh-CN"/>
                    </w:rPr>
                    <w:t>0.178</w:t>
                  </w:r>
                  <w:r>
                    <w:rPr>
                      <w:rFonts w:hint="default" w:ascii="Times New Roman" w:hAnsi="Times New Roman" w:cs="Times New Roman"/>
                      <w:color w:val="auto"/>
                    </w:rPr>
                    <w:t>kg</w:t>
                  </w:r>
                </w:p>
              </w:tc>
            </w:tr>
          </w:tbl>
          <w:p w14:paraId="07F19AA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共有</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个</w:t>
            </w:r>
            <w:r>
              <w:rPr>
                <w:rFonts w:hint="default" w:ascii="Times New Roman" w:hAnsi="Times New Roman" w:cs="Times New Roman"/>
                <w:color w:val="auto"/>
                <w:sz w:val="24"/>
                <w:szCs w:val="24"/>
                <w:lang w:val="en-US" w:eastAsia="zh-CN"/>
              </w:rPr>
              <w:t>30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沥青储罐，沥青储罐因大呼吸产生废气量约为</w:t>
            </w:r>
            <w:r>
              <w:rPr>
                <w:rFonts w:hint="default" w:ascii="Times New Roman" w:hAnsi="Times New Roman" w:cs="Times New Roman"/>
                <w:color w:val="auto"/>
                <w:sz w:val="24"/>
                <w:szCs w:val="24"/>
                <w:lang w:val="en-US" w:eastAsia="zh-CN"/>
              </w:rPr>
              <w:t>0.0766</w:t>
            </w:r>
            <w:r>
              <w:rPr>
                <w:rFonts w:hint="default" w:ascii="Times New Roman" w:hAnsi="Times New Roman" w:cs="Times New Roman"/>
                <w:color w:val="auto"/>
                <w:sz w:val="24"/>
                <w:szCs w:val="24"/>
              </w:rPr>
              <w:t>t/a，沥青储罐因小呼吸产生废气量约为</w:t>
            </w:r>
            <w:r>
              <w:rPr>
                <w:rFonts w:hint="default" w:ascii="Times New Roman" w:hAnsi="Times New Roman" w:cs="Times New Roman"/>
                <w:color w:val="auto"/>
                <w:sz w:val="24"/>
                <w:szCs w:val="24"/>
                <w:lang w:val="en-US" w:eastAsia="zh-CN"/>
              </w:rPr>
              <w:t>0.178</w:t>
            </w:r>
            <w:r>
              <w:rPr>
                <w:rFonts w:hint="default" w:ascii="Times New Roman" w:hAnsi="Times New Roman" w:cs="Times New Roman"/>
                <w:color w:val="auto"/>
                <w:sz w:val="24"/>
                <w:szCs w:val="24"/>
              </w:rPr>
              <w:t>kg/a。可得到沥青储罐大小呼吸污染物沥青烟</w:t>
            </w:r>
            <w:r>
              <w:rPr>
                <w:rFonts w:hint="default" w:ascii="Times New Roman" w:hAnsi="Times New Roman" w:cs="Times New Roman"/>
                <w:color w:val="auto"/>
                <w:sz w:val="24"/>
                <w:szCs w:val="24"/>
                <w:lang w:val="en-US" w:eastAsia="zh-CN"/>
              </w:rPr>
              <w:t>产生</w:t>
            </w:r>
            <w:r>
              <w:rPr>
                <w:rFonts w:hint="default" w:ascii="Times New Roman" w:hAnsi="Times New Roman" w:cs="Times New Roman"/>
                <w:color w:val="auto"/>
                <w:sz w:val="24"/>
                <w:szCs w:val="24"/>
              </w:rPr>
              <w:t>量为</w:t>
            </w:r>
            <w:r>
              <w:rPr>
                <w:rFonts w:hint="default" w:ascii="Times New Roman" w:hAnsi="Times New Roman" w:cs="Times New Roman"/>
                <w:color w:val="auto"/>
                <w:sz w:val="24"/>
                <w:szCs w:val="24"/>
                <w:lang w:val="en-US" w:eastAsia="zh-CN"/>
              </w:rPr>
              <w:t>0.0768</w:t>
            </w:r>
            <w:r>
              <w:rPr>
                <w:rFonts w:hint="default" w:ascii="Times New Roman" w:hAnsi="Times New Roman" w:cs="Times New Roman"/>
                <w:color w:val="auto"/>
                <w:sz w:val="24"/>
                <w:szCs w:val="24"/>
              </w:rPr>
              <w:t>t/a，0.</w:t>
            </w:r>
            <w:r>
              <w:rPr>
                <w:rFonts w:hint="default" w:ascii="Times New Roman" w:hAnsi="Times New Roman" w:cs="Times New Roman"/>
                <w:color w:val="auto"/>
                <w:sz w:val="24"/>
                <w:szCs w:val="24"/>
                <w:lang w:val="en-US" w:eastAsia="zh-CN"/>
              </w:rPr>
              <w:t>0213</w:t>
            </w:r>
            <w:r>
              <w:rPr>
                <w:rFonts w:hint="default" w:ascii="Times New Roman" w:hAnsi="Times New Roman" w:cs="Times New Roman"/>
                <w:color w:val="auto"/>
                <w:sz w:val="24"/>
                <w:szCs w:val="24"/>
              </w:rPr>
              <w:t>kg/h；苯并[a]芘为</w:t>
            </w:r>
            <w:r>
              <w:rPr>
                <w:rFonts w:hint="default" w:ascii="Times New Roman" w:hAnsi="Times New Roman" w:cs="Times New Roman"/>
                <w:color w:val="auto"/>
                <w:sz w:val="24"/>
                <w:szCs w:val="24"/>
                <w:lang w:val="en-US" w:eastAsia="zh-CN"/>
              </w:rPr>
              <w:t>1.53</w:t>
            </w: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vertAlign w:val="superscript"/>
                <w:lang w:val="en-US" w:eastAsia="zh-CN"/>
              </w:rPr>
              <w:t>6</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val="en-US" w:eastAsia="zh-CN"/>
              </w:rPr>
              <w:t>4.26</w:t>
            </w: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vertAlign w:val="superscript"/>
                <w:lang w:val="en-US" w:eastAsia="zh-CN"/>
              </w:rPr>
              <w:t>7</w:t>
            </w:r>
            <w:r>
              <w:rPr>
                <w:rFonts w:hint="default" w:ascii="Times New Roman" w:hAnsi="Times New Roman" w:cs="Times New Roman"/>
                <w:color w:val="auto"/>
                <w:sz w:val="24"/>
                <w:szCs w:val="24"/>
              </w:rPr>
              <w:t>kg/h；挥发性有机物</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以非甲烷总烃计</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为</w:t>
            </w:r>
            <w:r>
              <w:rPr>
                <w:rFonts w:hint="default" w:ascii="Times New Roman" w:hAnsi="Times New Roman" w:cs="Times New Roman"/>
                <w:color w:val="auto"/>
                <w:sz w:val="24"/>
                <w:szCs w:val="24"/>
                <w:lang w:val="en-US" w:eastAsia="zh-CN"/>
              </w:rPr>
              <w:t>0.0538</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val="en-US" w:eastAsia="zh-CN"/>
              </w:rPr>
              <w:t>0.0149</w:t>
            </w:r>
            <w:r>
              <w:rPr>
                <w:rFonts w:hint="default" w:ascii="Times New Roman" w:hAnsi="Times New Roman" w:cs="Times New Roman"/>
                <w:color w:val="auto"/>
                <w:sz w:val="24"/>
                <w:szCs w:val="24"/>
              </w:rPr>
              <w:t>kg/h。（工作时间按1</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0d，24h/d）</w:t>
            </w:r>
          </w:p>
          <w:p w14:paraId="6B6D2C16">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④</w:t>
            </w:r>
            <w:r>
              <w:rPr>
                <w:rFonts w:hint="default" w:ascii="Times New Roman" w:hAnsi="Times New Roman" w:eastAsia="宋体" w:cs="Times New Roman"/>
                <w:b/>
                <w:bCs/>
                <w:color w:val="auto"/>
                <w:sz w:val="24"/>
                <w:szCs w:val="24"/>
                <w:lang w:val="en-US" w:eastAsia="zh-CN"/>
              </w:rPr>
              <w:t>骨料烘干、筛分</w:t>
            </w:r>
            <w:r>
              <w:rPr>
                <w:rFonts w:hint="default" w:ascii="Times New Roman" w:hAnsi="Times New Roman" w:cs="Times New Roman"/>
                <w:b/>
                <w:bCs/>
                <w:color w:val="auto"/>
                <w:sz w:val="24"/>
                <w:szCs w:val="24"/>
                <w:lang w:val="en-US" w:eastAsia="zh-CN"/>
              </w:rPr>
              <w:t>废气</w:t>
            </w:r>
          </w:p>
          <w:p w14:paraId="6820DC12">
            <w:pPr>
              <w:adjustRightInd w:val="0"/>
              <w:snapToGrid w:val="0"/>
              <w:spacing w:line="480" w:lineRule="exact"/>
              <w:ind w:firstLine="480" w:firstLineChars="200"/>
              <w:rPr>
                <w:rFonts w:hint="default" w:ascii="Times New Roman" w:hAnsi="Times New Roman" w:eastAsia="宋体" w:cs="Times New Roman"/>
                <w:bCs/>
                <w:color w:val="auto"/>
                <w:spacing w:val="-10"/>
                <w:sz w:val="24"/>
                <w:lang w:eastAsia="zh-CN"/>
              </w:rPr>
            </w:pPr>
            <w:r>
              <w:rPr>
                <w:rFonts w:hint="default" w:ascii="Times New Roman" w:hAnsi="Times New Roman" w:cs="Times New Roman"/>
                <w:bCs/>
                <w:snapToGrid w:val="0"/>
                <w:color w:val="auto"/>
                <w:kern w:val="0"/>
                <w:sz w:val="24"/>
              </w:rPr>
              <w:t>本项目为使沥青砼产品不至于因过快冷却而带来运输上的不便，</w:t>
            </w:r>
            <w:r>
              <w:rPr>
                <w:rFonts w:hint="default" w:ascii="Times New Roman" w:hAnsi="Times New Roman" w:cs="Times New Roman"/>
                <w:bCs/>
                <w:snapToGrid w:val="0"/>
                <w:color w:val="auto"/>
                <w:kern w:val="0"/>
                <w:sz w:val="24"/>
                <w:lang w:val="en-US" w:eastAsia="zh-CN"/>
              </w:rPr>
              <w:t>骨料</w:t>
            </w:r>
            <w:r>
              <w:rPr>
                <w:rFonts w:hint="default" w:ascii="Times New Roman" w:hAnsi="Times New Roman" w:cs="Times New Roman"/>
                <w:bCs/>
                <w:snapToGrid w:val="0"/>
                <w:color w:val="auto"/>
                <w:kern w:val="0"/>
                <w:sz w:val="24"/>
              </w:rPr>
              <w:t>在</w:t>
            </w:r>
            <w:r>
              <w:rPr>
                <w:rFonts w:hint="default" w:ascii="Times New Roman" w:hAnsi="Times New Roman" w:cs="Times New Roman"/>
                <w:bCs/>
                <w:snapToGrid w:val="0"/>
                <w:color w:val="auto"/>
                <w:kern w:val="0"/>
                <w:sz w:val="24"/>
                <w:lang w:val="en-US" w:eastAsia="zh-CN"/>
              </w:rPr>
              <w:t>搅拌</w:t>
            </w:r>
            <w:r>
              <w:rPr>
                <w:rFonts w:hint="default" w:ascii="Times New Roman" w:hAnsi="Times New Roman" w:cs="Times New Roman"/>
                <w:bCs/>
                <w:snapToGrid w:val="0"/>
                <w:color w:val="auto"/>
                <w:kern w:val="0"/>
                <w:sz w:val="24"/>
              </w:rPr>
              <w:t>前需要经过加热处理，通过密闭的干燥滚筒不停转动以使</w:t>
            </w:r>
            <w:r>
              <w:rPr>
                <w:rFonts w:hint="default" w:ascii="Times New Roman" w:hAnsi="Times New Roman" w:cs="Times New Roman"/>
                <w:bCs/>
                <w:snapToGrid w:val="0"/>
                <w:color w:val="auto"/>
                <w:kern w:val="0"/>
                <w:sz w:val="24"/>
                <w:lang w:val="en-US" w:eastAsia="zh-CN"/>
              </w:rPr>
              <w:t>骨料</w:t>
            </w:r>
            <w:r>
              <w:rPr>
                <w:rFonts w:hint="default" w:ascii="Times New Roman" w:hAnsi="Times New Roman" w:cs="Times New Roman"/>
                <w:bCs/>
                <w:snapToGrid w:val="0"/>
                <w:color w:val="auto"/>
                <w:kern w:val="0"/>
                <w:sz w:val="24"/>
              </w:rPr>
              <w:t>受热均匀，干燥滚筒一端鼓风，另一端用引风机将废气引出，则</w:t>
            </w:r>
            <w:r>
              <w:rPr>
                <w:rFonts w:hint="default" w:ascii="Times New Roman" w:hAnsi="Times New Roman" w:cs="Times New Roman"/>
                <w:bCs/>
                <w:snapToGrid w:val="0"/>
                <w:color w:val="auto"/>
                <w:kern w:val="0"/>
                <w:sz w:val="24"/>
                <w:lang w:val="en-US" w:eastAsia="zh-CN"/>
              </w:rPr>
              <w:t>骨料</w:t>
            </w:r>
            <w:r>
              <w:rPr>
                <w:rFonts w:hint="default" w:ascii="Times New Roman" w:hAnsi="Times New Roman" w:cs="Times New Roman"/>
                <w:bCs/>
                <w:snapToGrid w:val="0"/>
                <w:color w:val="auto"/>
                <w:kern w:val="0"/>
                <w:sz w:val="24"/>
              </w:rPr>
              <w:t>在干燥滚筒烘干过程产生一定量粉尘。根据《逸散性工业粉尘控制技术》中粒料加工厂，粒料在烘干过程中产生的工业粉尘以0.5kg/t-粒料计，则</w:t>
            </w:r>
            <w:r>
              <w:rPr>
                <w:rFonts w:hint="default" w:ascii="Times New Roman" w:hAnsi="Times New Roman" w:cs="Times New Roman"/>
                <w:bCs/>
                <w:snapToGrid w:val="0"/>
                <w:color w:val="auto"/>
                <w:kern w:val="0"/>
                <w:sz w:val="24"/>
                <w:lang w:val="en-US" w:eastAsia="zh-CN"/>
              </w:rPr>
              <w:t>骨</w:t>
            </w:r>
            <w:r>
              <w:rPr>
                <w:rFonts w:hint="default" w:ascii="Times New Roman" w:hAnsi="Times New Roman" w:cs="Times New Roman"/>
                <w:bCs/>
                <w:snapToGrid w:val="0"/>
                <w:color w:val="auto"/>
                <w:kern w:val="0"/>
                <w:sz w:val="24"/>
              </w:rPr>
              <w:t>料烘干工序粉尘产生量为</w:t>
            </w:r>
            <w:r>
              <w:rPr>
                <w:rFonts w:hint="default" w:ascii="Times New Roman" w:hAnsi="Times New Roman" w:cs="Times New Roman"/>
                <w:bCs/>
                <w:snapToGrid w:val="0"/>
                <w:color w:val="auto"/>
                <w:kern w:val="0"/>
                <w:sz w:val="24"/>
                <w:lang w:val="en-US" w:eastAsia="zh-CN"/>
              </w:rPr>
              <w:t>23</w:t>
            </w:r>
            <w:r>
              <w:rPr>
                <w:rFonts w:hint="default" w:ascii="Times New Roman" w:hAnsi="Times New Roman" w:cs="Times New Roman"/>
                <w:bCs/>
                <w:snapToGrid w:val="0"/>
                <w:color w:val="auto"/>
                <w:kern w:val="0"/>
                <w:sz w:val="24"/>
              </w:rPr>
              <w:t>t/a，</w:t>
            </w:r>
            <w:r>
              <w:rPr>
                <w:rFonts w:hint="default" w:ascii="Times New Roman" w:hAnsi="Times New Roman" w:cs="Times New Roman"/>
                <w:bCs/>
                <w:snapToGrid w:val="0"/>
                <w:color w:val="auto"/>
                <w:kern w:val="0"/>
                <w:sz w:val="24"/>
                <w:lang w:val="en-US" w:eastAsia="zh-CN"/>
              </w:rPr>
              <w:t>25.5556</w:t>
            </w:r>
            <w:r>
              <w:rPr>
                <w:rFonts w:hint="default" w:ascii="Times New Roman" w:hAnsi="Times New Roman" w:cs="Times New Roman"/>
                <w:bCs/>
                <w:snapToGrid w:val="0"/>
                <w:color w:val="auto"/>
                <w:kern w:val="0"/>
                <w:sz w:val="24"/>
              </w:rPr>
              <w:t>kg/h</w:t>
            </w:r>
            <w:r>
              <w:rPr>
                <w:rFonts w:hint="default" w:ascii="Times New Roman" w:hAnsi="Times New Roman" w:cs="Times New Roman"/>
                <w:bCs/>
                <w:snapToGrid w:val="0"/>
                <w:color w:val="auto"/>
                <w:kern w:val="0"/>
                <w:sz w:val="24"/>
                <w:lang w:eastAsia="zh-CN"/>
              </w:rPr>
              <w:t>。</w:t>
            </w:r>
            <w:r>
              <w:rPr>
                <w:rFonts w:hint="default" w:ascii="Times New Roman" w:hAnsi="Times New Roman" w:cs="Times New Roman"/>
                <w:color w:val="auto"/>
                <w:sz w:val="24"/>
                <w:szCs w:val="24"/>
              </w:rPr>
              <w:t>（工作时间按1</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0d，</w:t>
            </w:r>
            <w:r>
              <w:rPr>
                <w:rFonts w:hint="default" w:ascii="Times New Roman" w:hAnsi="Times New Roman" w:cs="Times New Roman"/>
                <w:color w:val="auto"/>
                <w:sz w:val="24"/>
                <w:szCs w:val="24"/>
                <w:lang w:eastAsia="zh-CN"/>
              </w:rPr>
              <w:t>6h</w:t>
            </w:r>
            <w:r>
              <w:rPr>
                <w:rFonts w:hint="default" w:ascii="Times New Roman" w:hAnsi="Times New Roman" w:cs="Times New Roman"/>
                <w:color w:val="auto"/>
                <w:sz w:val="24"/>
                <w:szCs w:val="24"/>
              </w:rPr>
              <w:t>/d）</w:t>
            </w:r>
          </w:p>
          <w:p w14:paraId="7D1B5FDF">
            <w:pPr>
              <w:adjustRightInd w:val="0"/>
              <w:snapToGrid w:val="0"/>
              <w:spacing w:line="480" w:lineRule="exact"/>
              <w:ind w:firstLine="480" w:firstLineChars="200"/>
              <w:jc w:val="left"/>
              <w:rPr>
                <w:rFonts w:hint="default" w:ascii="Times New Roman" w:hAnsi="Times New Roman" w:cs="Times New Roman"/>
                <w:b/>
                <w:color w:val="auto"/>
                <w:spacing w:val="-10"/>
                <w:sz w:val="24"/>
                <w:lang w:val="en-US"/>
              </w:rPr>
            </w:pPr>
            <w:r>
              <w:rPr>
                <w:rFonts w:hint="default" w:ascii="Times New Roman" w:hAnsi="Times New Roman" w:cs="Times New Roman"/>
                <w:bCs/>
                <w:color w:val="auto"/>
                <w:kern w:val="0"/>
                <w:sz w:val="24"/>
              </w:rPr>
              <w:t>加热后的</w:t>
            </w:r>
            <w:r>
              <w:rPr>
                <w:rFonts w:hint="default" w:ascii="Times New Roman" w:hAnsi="Times New Roman" w:cs="Times New Roman"/>
                <w:bCs/>
                <w:color w:val="auto"/>
                <w:kern w:val="0"/>
                <w:sz w:val="24"/>
                <w:lang w:val="en-US" w:eastAsia="zh-CN"/>
              </w:rPr>
              <w:t>骨</w:t>
            </w:r>
            <w:r>
              <w:rPr>
                <w:rFonts w:hint="default" w:ascii="Times New Roman" w:hAnsi="Times New Roman" w:cs="Times New Roman"/>
                <w:bCs/>
                <w:color w:val="auto"/>
                <w:kern w:val="0"/>
                <w:sz w:val="24"/>
              </w:rPr>
              <w:t>料随后通过提升机送至振动筛筛分，分别送入不同粒径的热料仓，同时将少数不合规格的石料分离出来，该筛分过程会产生一定粉尘。参考《逸散性工业粉尘控制技术》（中国环境科学出版社）中粒料加工厂</w:t>
            </w:r>
            <w:r>
              <w:rPr>
                <w:rFonts w:hint="default" w:ascii="Times New Roman" w:hAnsi="Times New Roman" w:cs="Times New Roman"/>
                <w:bCs/>
                <w:color w:val="auto"/>
                <w:kern w:val="0"/>
                <w:sz w:val="24"/>
                <w:lang w:eastAsia="zh-CN"/>
              </w:rPr>
              <w:t>，</w:t>
            </w:r>
            <w:r>
              <w:rPr>
                <w:rFonts w:hint="default" w:ascii="Times New Roman" w:hAnsi="Times New Roman" w:cs="Times New Roman"/>
                <w:bCs/>
                <w:color w:val="auto"/>
                <w:kern w:val="0"/>
                <w:sz w:val="24"/>
                <w:lang w:val="en-US" w:eastAsia="zh-CN"/>
              </w:rPr>
              <w:t>粒料在振动筛分过程中一级破碎和筛选（碎石）产生的工业粉尘以0.25kg/t-破碎料计，由于本项目不破碎仅进行筛选，因此取排放因子0.125kg/t（仅筛选），则骨料筛分工序粉尘产生量为</w:t>
            </w:r>
            <w:r>
              <w:rPr>
                <w:rFonts w:hint="default" w:ascii="Times New Roman" w:hAnsi="Times New Roman" w:cs="Times New Roman"/>
                <w:bCs/>
                <w:snapToGrid w:val="0"/>
                <w:color w:val="auto"/>
                <w:kern w:val="0"/>
                <w:sz w:val="24"/>
                <w:lang w:val="en-US" w:eastAsia="zh-CN"/>
              </w:rPr>
              <w:t>5.75</w:t>
            </w:r>
            <w:r>
              <w:rPr>
                <w:rFonts w:hint="default" w:ascii="Times New Roman" w:hAnsi="Times New Roman" w:cs="Times New Roman"/>
                <w:bCs/>
                <w:snapToGrid w:val="0"/>
                <w:color w:val="auto"/>
                <w:kern w:val="0"/>
                <w:sz w:val="24"/>
              </w:rPr>
              <w:t>t/a，</w:t>
            </w:r>
            <w:r>
              <w:rPr>
                <w:rFonts w:hint="default" w:ascii="Times New Roman" w:hAnsi="Times New Roman" w:cs="Times New Roman"/>
                <w:bCs/>
                <w:snapToGrid w:val="0"/>
                <w:color w:val="auto"/>
                <w:kern w:val="0"/>
                <w:sz w:val="24"/>
                <w:lang w:val="en-US" w:eastAsia="zh-CN"/>
              </w:rPr>
              <w:t>6.3889</w:t>
            </w:r>
            <w:r>
              <w:rPr>
                <w:rFonts w:hint="default" w:ascii="Times New Roman" w:hAnsi="Times New Roman" w:cs="Times New Roman"/>
                <w:bCs/>
                <w:snapToGrid w:val="0"/>
                <w:color w:val="auto"/>
                <w:kern w:val="0"/>
                <w:sz w:val="24"/>
              </w:rPr>
              <w:t>kg/h</w:t>
            </w:r>
            <w:r>
              <w:rPr>
                <w:rFonts w:hint="default" w:ascii="Times New Roman" w:hAnsi="Times New Roman" w:cs="Times New Roman"/>
                <w:bCs/>
                <w:snapToGrid w:val="0"/>
                <w:color w:val="auto"/>
                <w:kern w:val="0"/>
                <w:sz w:val="24"/>
                <w:lang w:eastAsia="zh-CN"/>
              </w:rPr>
              <w:t>。</w:t>
            </w:r>
            <w:r>
              <w:rPr>
                <w:rFonts w:hint="default" w:ascii="Times New Roman" w:hAnsi="Times New Roman" w:cs="Times New Roman"/>
                <w:color w:val="auto"/>
                <w:sz w:val="24"/>
                <w:szCs w:val="24"/>
              </w:rPr>
              <w:t>（工作时间按1</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0d，</w:t>
            </w:r>
            <w:r>
              <w:rPr>
                <w:rFonts w:hint="default" w:ascii="Times New Roman" w:hAnsi="Times New Roman" w:cs="Times New Roman"/>
                <w:color w:val="auto"/>
                <w:sz w:val="24"/>
                <w:szCs w:val="24"/>
                <w:lang w:eastAsia="zh-CN"/>
              </w:rPr>
              <w:t>6h</w:t>
            </w:r>
            <w:r>
              <w:rPr>
                <w:rFonts w:hint="default" w:ascii="Times New Roman" w:hAnsi="Times New Roman" w:cs="Times New Roman"/>
                <w:color w:val="auto"/>
                <w:sz w:val="24"/>
                <w:szCs w:val="24"/>
              </w:rPr>
              <w:t>/d）</w:t>
            </w:r>
          </w:p>
          <w:p w14:paraId="5BC39278">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⑤轻质油</w:t>
            </w:r>
            <w:r>
              <w:rPr>
                <w:rFonts w:hint="default" w:ascii="Times New Roman" w:hAnsi="Times New Roman" w:eastAsia="宋体" w:cs="Times New Roman"/>
                <w:b/>
                <w:bCs/>
                <w:color w:val="auto"/>
                <w:sz w:val="24"/>
                <w:szCs w:val="24"/>
                <w:lang w:val="en-US" w:eastAsia="zh-CN"/>
              </w:rPr>
              <w:t>燃烧废气</w:t>
            </w:r>
          </w:p>
          <w:p w14:paraId="04DDC69C">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采用燃烧器向烘干滚筒喷入火焰的方式对骨料进行加热，使用轻质油为燃料，燃烧会产生燃油烟气，废气中主要污染物包括 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、NOx、烟尘颗粒物等。参考《排污许可证申请与核发技术规范</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锅炉》</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HJ953-2018</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中以轻油为燃料的工业炉窑排污情况，根据业主提供的资料，本</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所用轻质油含硫量约为0.04%，燃烧器轻质油的消耗量为</w:t>
            </w:r>
            <w:r>
              <w:rPr>
                <w:rFonts w:hint="default" w:ascii="Times New Roman" w:hAnsi="Times New Roman" w:cs="Times New Roman"/>
                <w:color w:val="auto"/>
                <w:sz w:val="24"/>
                <w:szCs w:val="24"/>
                <w:lang w:val="en-US" w:eastAsia="zh-CN"/>
              </w:rPr>
              <w:t>200</w:t>
            </w:r>
            <w:r>
              <w:rPr>
                <w:rFonts w:hint="default" w:ascii="Times New Roman" w:hAnsi="Times New Roman" w:cs="Times New Roman"/>
                <w:color w:val="auto"/>
                <w:sz w:val="24"/>
                <w:szCs w:val="24"/>
              </w:rPr>
              <w:t>t/a。燃烧废气在烘干筒中与烘干产生的粉尘一并进入除尘系统处理后由</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m排气筒（</w:t>
            </w:r>
            <w:r>
              <w:rPr>
                <w:rFonts w:hint="default" w:ascii="Times New Roman" w:hAnsi="Times New Roman" w:cs="Times New Roman"/>
                <w:color w:val="auto"/>
                <w:sz w:val="24"/>
                <w:szCs w:val="24"/>
                <w:lang w:eastAsia="zh-CN"/>
              </w:rPr>
              <w:t>DA001</w:t>
            </w:r>
            <w:r>
              <w:rPr>
                <w:rFonts w:hint="default" w:ascii="Times New Roman" w:hAnsi="Times New Roman" w:cs="Times New Roman"/>
                <w:color w:val="auto"/>
                <w:sz w:val="24"/>
                <w:szCs w:val="24"/>
              </w:rPr>
              <w:t>）排放，除尘系统对燃烧废气中的烟尘去除率按99%计算，对SO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、NOx无治理效果。燃烧排放废气中各污染物产生量见下表</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w:t>
            </w:r>
          </w:p>
          <w:p w14:paraId="4B190DD6">
            <w:pPr>
              <w:spacing w:line="36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w:t>
            </w:r>
            <w:r>
              <w:rPr>
                <w:rFonts w:hint="default" w:ascii="Times New Roman" w:hAnsi="Times New Roman" w:cs="Times New Roman"/>
                <w:b/>
                <w:bCs/>
                <w:color w:val="auto"/>
                <w:szCs w:val="21"/>
                <w:lang w:val="en-US" w:eastAsia="zh-CN"/>
              </w:rPr>
              <w:t>4</w:t>
            </w:r>
            <w:r>
              <w:rPr>
                <w:rFonts w:hint="default" w:ascii="Times New Roman" w:hAnsi="Times New Roman" w:cs="Times New Roman"/>
                <w:b/>
                <w:bCs/>
                <w:color w:val="auto"/>
                <w:szCs w:val="21"/>
              </w:rPr>
              <w:t>-</w:t>
            </w:r>
            <w:r>
              <w:rPr>
                <w:rFonts w:hint="default" w:ascii="Times New Roman" w:hAnsi="Times New Roman" w:cs="Times New Roman"/>
                <w:b/>
                <w:bCs/>
                <w:color w:val="auto"/>
                <w:szCs w:val="21"/>
                <w:lang w:val="en-US" w:eastAsia="zh-CN"/>
              </w:rPr>
              <w:t>5</w:t>
            </w:r>
            <w:r>
              <w:rPr>
                <w:rFonts w:hint="default" w:ascii="Times New Roman" w:hAnsi="Times New Roman" w:cs="Times New Roman"/>
                <w:b/>
                <w:bCs/>
                <w:color w:val="auto"/>
                <w:szCs w:val="21"/>
              </w:rPr>
              <w:t xml:space="preserve"> 本工程烘干筒燃烧废气产生量情况统计表</w:t>
            </w:r>
          </w:p>
          <w:tbl>
            <w:tblPr>
              <w:tblStyle w:val="30"/>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638"/>
              <w:gridCol w:w="475"/>
              <w:gridCol w:w="667"/>
              <w:gridCol w:w="1133"/>
              <w:gridCol w:w="990"/>
              <w:gridCol w:w="795"/>
              <w:gridCol w:w="1615"/>
              <w:gridCol w:w="983"/>
              <w:gridCol w:w="963"/>
            </w:tblGrid>
            <w:tr w14:paraId="4B577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31" w:type="dxa"/>
                  <w:vAlign w:val="center"/>
                </w:tcPr>
                <w:p w14:paraId="1B34A94E">
                  <w:pPr>
                    <w:pStyle w:val="25"/>
                    <w:spacing w:line="240" w:lineRule="auto"/>
                    <w:ind w:left="0" w:leftChars="0" w:right="0" w:righ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产品名称</w:t>
                  </w:r>
                </w:p>
              </w:tc>
              <w:tc>
                <w:tcPr>
                  <w:tcW w:w="638" w:type="dxa"/>
                  <w:vAlign w:val="center"/>
                </w:tcPr>
                <w:p w14:paraId="4E4FD1A7">
                  <w:pPr>
                    <w:pStyle w:val="25"/>
                    <w:spacing w:line="240" w:lineRule="auto"/>
                    <w:ind w:left="0" w:leftChars="0" w:right="0" w:righ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原料名称</w:t>
                  </w:r>
                </w:p>
              </w:tc>
              <w:tc>
                <w:tcPr>
                  <w:tcW w:w="475" w:type="dxa"/>
                  <w:vAlign w:val="center"/>
                </w:tcPr>
                <w:p w14:paraId="672AD5F9">
                  <w:pPr>
                    <w:pStyle w:val="25"/>
                    <w:spacing w:line="240" w:lineRule="auto"/>
                    <w:ind w:left="0" w:leftChars="0" w:right="0" w:righ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工艺</w:t>
                  </w:r>
                </w:p>
              </w:tc>
              <w:tc>
                <w:tcPr>
                  <w:tcW w:w="667" w:type="dxa"/>
                  <w:vAlign w:val="center"/>
                </w:tcPr>
                <w:p w14:paraId="715F9748">
                  <w:pPr>
                    <w:pStyle w:val="25"/>
                    <w:spacing w:line="240" w:lineRule="auto"/>
                    <w:ind w:left="0" w:leftChars="0" w:right="0" w:righ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等级规模</w:t>
                  </w:r>
                </w:p>
              </w:tc>
              <w:tc>
                <w:tcPr>
                  <w:tcW w:w="1133" w:type="dxa"/>
                  <w:vAlign w:val="center"/>
                </w:tcPr>
                <w:p w14:paraId="7B3B9F96">
                  <w:pPr>
                    <w:pStyle w:val="25"/>
                    <w:spacing w:line="240" w:lineRule="auto"/>
                    <w:ind w:left="0" w:leftChars="0" w:right="0" w:righ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污染物指标</w:t>
                  </w:r>
                </w:p>
              </w:tc>
              <w:tc>
                <w:tcPr>
                  <w:tcW w:w="990" w:type="dxa"/>
                  <w:vAlign w:val="center"/>
                </w:tcPr>
                <w:p w14:paraId="39663634">
                  <w:pPr>
                    <w:pStyle w:val="25"/>
                    <w:spacing w:line="240" w:lineRule="auto"/>
                    <w:ind w:left="0" w:leftChars="0" w:right="0" w:righ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单位</w:t>
                  </w:r>
                </w:p>
              </w:tc>
              <w:tc>
                <w:tcPr>
                  <w:tcW w:w="795" w:type="dxa"/>
                  <w:vAlign w:val="center"/>
                </w:tcPr>
                <w:p w14:paraId="213A3458">
                  <w:pPr>
                    <w:pStyle w:val="25"/>
                    <w:spacing w:line="240" w:lineRule="auto"/>
                    <w:ind w:left="0" w:leftChars="0" w:right="0" w:righ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产污系数</w:t>
                  </w:r>
                </w:p>
              </w:tc>
              <w:tc>
                <w:tcPr>
                  <w:tcW w:w="1615" w:type="dxa"/>
                  <w:vAlign w:val="center"/>
                </w:tcPr>
                <w:p w14:paraId="6963CF72">
                  <w:pPr>
                    <w:pStyle w:val="25"/>
                    <w:spacing w:line="240" w:lineRule="auto"/>
                    <w:ind w:left="0" w:leftChars="0" w:right="0" w:rightChars="0" w:firstLine="0" w:firstLine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末端治理技术名称</w:t>
                  </w:r>
                </w:p>
              </w:tc>
              <w:tc>
                <w:tcPr>
                  <w:tcW w:w="983" w:type="dxa"/>
                  <w:vAlign w:val="center"/>
                </w:tcPr>
                <w:p w14:paraId="50F6EA6F">
                  <w:pPr>
                    <w:pStyle w:val="25"/>
                    <w:spacing w:line="240" w:lineRule="auto"/>
                    <w:ind w:left="0" w:leftChars="0" w:right="0" w:righ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产生量</w:t>
                  </w:r>
                </w:p>
              </w:tc>
              <w:tc>
                <w:tcPr>
                  <w:tcW w:w="963" w:type="dxa"/>
                  <w:vAlign w:val="center"/>
                </w:tcPr>
                <w:p w14:paraId="2B8C95B1">
                  <w:pPr>
                    <w:pStyle w:val="25"/>
                    <w:spacing w:line="240" w:lineRule="auto"/>
                    <w:ind w:left="0" w:leftChars="0" w:right="0" w:righ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排放速率</w:t>
                  </w:r>
                </w:p>
              </w:tc>
            </w:tr>
            <w:tr w14:paraId="6F9D2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31" w:type="dxa"/>
                  <w:vMerge w:val="restart"/>
                  <w:shd w:val="clear" w:color="auto" w:fill="auto"/>
                  <w:vAlign w:val="center"/>
                </w:tcPr>
                <w:p w14:paraId="61ADF39A">
                  <w:pPr>
                    <w:pStyle w:val="25"/>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蒸汽</w:t>
                  </w:r>
                  <w:r>
                    <w:rPr>
                      <w:rFonts w:hint="default" w:ascii="Times New Roman" w:hAnsi="Times New Roman" w:cs="Times New Roman"/>
                      <w:color w:val="auto"/>
                      <w:sz w:val="21"/>
                      <w:szCs w:val="21"/>
                      <w:lang w:val="en-US" w:eastAsia="zh-CN"/>
                    </w:rPr>
                    <w:t>/热水/</w:t>
                  </w:r>
                  <w:r>
                    <w:rPr>
                      <w:rFonts w:hint="default" w:ascii="Times New Roman" w:hAnsi="Times New Roman" w:eastAsia="宋体" w:cs="Times New Roman"/>
                      <w:color w:val="auto"/>
                      <w:sz w:val="21"/>
                      <w:szCs w:val="21"/>
                    </w:rPr>
                    <w:t>其他</w:t>
                  </w:r>
                </w:p>
              </w:tc>
              <w:tc>
                <w:tcPr>
                  <w:tcW w:w="638" w:type="dxa"/>
                  <w:vMerge w:val="restart"/>
                  <w:shd w:val="clear" w:color="auto" w:fill="auto"/>
                  <w:vAlign w:val="center"/>
                </w:tcPr>
                <w:p w14:paraId="69673FB9">
                  <w:pPr>
                    <w:pStyle w:val="25"/>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普通柴油（</w:t>
                  </w:r>
                  <w:r>
                    <w:rPr>
                      <w:rFonts w:hint="default" w:ascii="Times New Roman" w:hAnsi="Times New Roman" w:eastAsia="宋体" w:cs="Times New Roman"/>
                      <w:color w:val="auto"/>
                      <w:sz w:val="21"/>
                      <w:szCs w:val="21"/>
                    </w:rPr>
                    <w:t>轻油</w:t>
                  </w:r>
                  <w:r>
                    <w:rPr>
                      <w:rFonts w:hint="default" w:ascii="Times New Roman" w:hAnsi="Times New Roman" w:cs="Times New Roman"/>
                      <w:color w:val="auto"/>
                      <w:sz w:val="21"/>
                      <w:szCs w:val="21"/>
                      <w:lang w:val="en-US" w:eastAsia="zh-CN"/>
                    </w:rPr>
                    <w:t>）</w:t>
                  </w:r>
                </w:p>
              </w:tc>
              <w:tc>
                <w:tcPr>
                  <w:tcW w:w="475" w:type="dxa"/>
                  <w:vMerge w:val="restart"/>
                  <w:shd w:val="clear" w:color="auto" w:fill="auto"/>
                  <w:vAlign w:val="center"/>
                </w:tcPr>
                <w:p w14:paraId="390481CF">
                  <w:pPr>
                    <w:pStyle w:val="25"/>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室</w:t>
                  </w:r>
                  <w:r>
                    <w:rPr>
                      <w:rFonts w:hint="default" w:ascii="Times New Roman" w:hAnsi="Times New Roman" w:cs="Times New Roman"/>
                      <w:color w:val="auto"/>
                      <w:sz w:val="21"/>
                      <w:szCs w:val="21"/>
                      <w:lang w:val="en-US" w:eastAsia="zh-CN"/>
                    </w:rPr>
                    <w:t>燃</w:t>
                  </w:r>
                  <w:r>
                    <w:rPr>
                      <w:rFonts w:hint="default" w:ascii="Times New Roman" w:hAnsi="Times New Roman" w:eastAsia="宋体" w:cs="Times New Roman"/>
                      <w:color w:val="auto"/>
                      <w:sz w:val="21"/>
                      <w:szCs w:val="21"/>
                    </w:rPr>
                    <w:t>炉</w:t>
                  </w:r>
                </w:p>
              </w:tc>
              <w:tc>
                <w:tcPr>
                  <w:tcW w:w="667" w:type="dxa"/>
                  <w:vMerge w:val="restart"/>
                  <w:shd w:val="clear" w:color="auto" w:fill="auto"/>
                  <w:vAlign w:val="center"/>
                </w:tcPr>
                <w:p w14:paraId="7CF4C7B9">
                  <w:pPr>
                    <w:pStyle w:val="25"/>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所有规模</w:t>
                  </w:r>
                </w:p>
              </w:tc>
              <w:tc>
                <w:tcPr>
                  <w:tcW w:w="1133" w:type="dxa"/>
                  <w:shd w:val="clear" w:color="auto" w:fill="auto"/>
                  <w:vAlign w:val="center"/>
                </w:tcPr>
                <w:p w14:paraId="559F0921">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二氧化硫</w:t>
                  </w:r>
                </w:p>
              </w:tc>
              <w:tc>
                <w:tcPr>
                  <w:tcW w:w="990" w:type="dxa"/>
                  <w:shd w:val="clear" w:color="auto" w:fill="auto"/>
                  <w:vAlign w:val="center"/>
                </w:tcPr>
                <w:p w14:paraId="512E19D1">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千克/吨-原料</w:t>
                  </w:r>
                </w:p>
              </w:tc>
              <w:tc>
                <w:tcPr>
                  <w:tcW w:w="795" w:type="dxa"/>
                  <w:vAlign w:val="center"/>
                </w:tcPr>
                <w:p w14:paraId="70A1572A">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19S</w:t>
                  </w:r>
                </w:p>
              </w:tc>
              <w:tc>
                <w:tcPr>
                  <w:tcW w:w="1615" w:type="dxa"/>
                  <w:vAlign w:val="center"/>
                </w:tcPr>
                <w:p w14:paraId="6F66633C">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直排</w:t>
                  </w:r>
                </w:p>
              </w:tc>
              <w:tc>
                <w:tcPr>
                  <w:tcW w:w="983" w:type="dxa"/>
                  <w:vAlign w:val="center"/>
                </w:tcPr>
                <w:p w14:paraId="7899EA34">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0.1520</w:t>
                  </w:r>
                </w:p>
              </w:tc>
              <w:tc>
                <w:tcPr>
                  <w:tcW w:w="963" w:type="dxa"/>
                  <w:vAlign w:val="center"/>
                </w:tcPr>
                <w:p w14:paraId="43BAC826">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0.1689</w:t>
                  </w:r>
                </w:p>
              </w:tc>
            </w:tr>
            <w:tr w14:paraId="25B54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31" w:type="dxa"/>
                  <w:vMerge w:val="continue"/>
                  <w:vAlign w:val="center"/>
                </w:tcPr>
                <w:p w14:paraId="7BADDFCD">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638" w:type="dxa"/>
                  <w:vMerge w:val="continue"/>
                  <w:vAlign w:val="center"/>
                </w:tcPr>
                <w:p w14:paraId="586FB993">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475" w:type="dxa"/>
                  <w:vMerge w:val="continue"/>
                  <w:vAlign w:val="center"/>
                </w:tcPr>
                <w:p w14:paraId="512F3137">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667" w:type="dxa"/>
                  <w:vMerge w:val="continue"/>
                  <w:vAlign w:val="center"/>
                </w:tcPr>
                <w:p w14:paraId="1A7FEBA4">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1133" w:type="dxa"/>
                  <w:shd w:val="clear" w:color="auto" w:fill="auto"/>
                  <w:vAlign w:val="center"/>
                </w:tcPr>
                <w:p w14:paraId="387FB231">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烟尘</w:t>
                  </w:r>
                </w:p>
              </w:tc>
              <w:tc>
                <w:tcPr>
                  <w:tcW w:w="990" w:type="dxa"/>
                  <w:shd w:val="clear" w:color="auto" w:fill="auto"/>
                  <w:vAlign w:val="center"/>
                </w:tcPr>
                <w:p w14:paraId="15E3E3CF">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千克/吨-原料</w:t>
                  </w:r>
                </w:p>
              </w:tc>
              <w:tc>
                <w:tcPr>
                  <w:tcW w:w="795" w:type="dxa"/>
                  <w:vAlign w:val="center"/>
                </w:tcPr>
                <w:p w14:paraId="62A74627">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0.26</w:t>
                  </w:r>
                </w:p>
              </w:tc>
              <w:tc>
                <w:tcPr>
                  <w:tcW w:w="1615" w:type="dxa"/>
                  <w:vAlign w:val="center"/>
                </w:tcPr>
                <w:p w14:paraId="503A782A">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直排</w:t>
                  </w:r>
                </w:p>
              </w:tc>
              <w:tc>
                <w:tcPr>
                  <w:tcW w:w="983" w:type="dxa"/>
                  <w:vAlign w:val="center"/>
                </w:tcPr>
                <w:p w14:paraId="463B2AB9">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0.0520</w:t>
                  </w:r>
                </w:p>
              </w:tc>
              <w:tc>
                <w:tcPr>
                  <w:tcW w:w="963" w:type="dxa"/>
                  <w:vAlign w:val="center"/>
                </w:tcPr>
                <w:p w14:paraId="66E2CBE7">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0.0578</w:t>
                  </w:r>
                </w:p>
              </w:tc>
            </w:tr>
            <w:tr w14:paraId="3767B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31" w:type="dxa"/>
                  <w:vMerge w:val="continue"/>
                  <w:vAlign w:val="center"/>
                </w:tcPr>
                <w:p w14:paraId="379D38A3">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638" w:type="dxa"/>
                  <w:vMerge w:val="continue"/>
                  <w:vAlign w:val="center"/>
                </w:tcPr>
                <w:p w14:paraId="25928C19">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475" w:type="dxa"/>
                  <w:vMerge w:val="continue"/>
                  <w:vAlign w:val="center"/>
                </w:tcPr>
                <w:p w14:paraId="02156E7B">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667" w:type="dxa"/>
                  <w:vMerge w:val="continue"/>
                  <w:vAlign w:val="center"/>
                </w:tcPr>
                <w:p w14:paraId="0B3C1E88">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rPr>
                  </w:pPr>
                </w:p>
              </w:tc>
              <w:tc>
                <w:tcPr>
                  <w:tcW w:w="1133" w:type="dxa"/>
                  <w:shd w:val="clear" w:color="auto" w:fill="auto"/>
                  <w:vAlign w:val="center"/>
                </w:tcPr>
                <w:p w14:paraId="1C6C0394">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氮氧化物</w:t>
                  </w:r>
                </w:p>
              </w:tc>
              <w:tc>
                <w:tcPr>
                  <w:tcW w:w="990" w:type="dxa"/>
                  <w:shd w:val="clear" w:color="auto" w:fill="auto"/>
                  <w:vAlign w:val="center"/>
                </w:tcPr>
                <w:p w14:paraId="76D209C3">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千克/吨-原料</w:t>
                  </w:r>
                </w:p>
              </w:tc>
              <w:tc>
                <w:tcPr>
                  <w:tcW w:w="795" w:type="dxa"/>
                  <w:shd w:val="clear" w:color="auto" w:fill="auto"/>
                  <w:vAlign w:val="center"/>
                </w:tcPr>
                <w:p w14:paraId="72CD79F5">
                  <w:pPr>
                    <w:pStyle w:val="25"/>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1.84（低氮燃烧）</w:t>
                  </w:r>
                </w:p>
              </w:tc>
              <w:tc>
                <w:tcPr>
                  <w:tcW w:w="1615" w:type="dxa"/>
                  <w:shd w:val="clear" w:color="auto" w:fill="auto"/>
                  <w:vAlign w:val="center"/>
                </w:tcPr>
                <w:p w14:paraId="1A2D1F44">
                  <w:pPr>
                    <w:pStyle w:val="25"/>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直排</w:t>
                  </w:r>
                </w:p>
              </w:tc>
              <w:tc>
                <w:tcPr>
                  <w:tcW w:w="983" w:type="dxa"/>
                  <w:vAlign w:val="center"/>
                </w:tcPr>
                <w:p w14:paraId="4FCC94D4">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0.3680</w:t>
                  </w:r>
                </w:p>
              </w:tc>
              <w:tc>
                <w:tcPr>
                  <w:tcW w:w="963" w:type="dxa"/>
                  <w:vAlign w:val="center"/>
                </w:tcPr>
                <w:p w14:paraId="76766759">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0.4089</w:t>
                  </w:r>
                </w:p>
              </w:tc>
            </w:tr>
          </w:tbl>
          <w:p w14:paraId="20A9AB6A">
            <w:pPr>
              <w:widowControl/>
              <w:ind w:firstLine="422" w:firstLineChars="200"/>
              <w:jc w:val="left"/>
              <w:rPr>
                <w:rFonts w:hint="default" w:ascii="Times New Roman" w:hAnsi="Times New Roman" w:cs="Times New Roman"/>
                <w:color w:val="auto"/>
                <w:szCs w:val="21"/>
              </w:rPr>
            </w:pPr>
            <w:r>
              <w:rPr>
                <w:rFonts w:hint="default" w:ascii="Times New Roman" w:hAnsi="Times New Roman" w:cs="Times New Roman"/>
                <w:b/>
                <w:bCs/>
                <w:color w:val="auto"/>
                <w:kern w:val="0"/>
                <w:szCs w:val="21"/>
                <w:lang w:bidi="ar"/>
              </w:rPr>
              <w:t xml:space="preserve">注：产排污系数表中二氧化硫的产排污系数是以含硫量（S％）的形式表示的，其中含硫量（S％） </w:t>
            </w:r>
          </w:p>
          <w:p w14:paraId="2821CDC9">
            <w:pPr>
              <w:widowControl/>
              <w:jc w:val="left"/>
              <w:rPr>
                <w:rFonts w:hint="default" w:ascii="Times New Roman" w:hAnsi="Times New Roman" w:cs="Times New Roman"/>
                <w:color w:val="auto"/>
                <w:szCs w:val="21"/>
              </w:rPr>
            </w:pPr>
            <w:r>
              <w:rPr>
                <w:rFonts w:hint="default" w:ascii="Times New Roman" w:hAnsi="Times New Roman" w:cs="Times New Roman"/>
                <w:b/>
                <w:bCs/>
                <w:color w:val="auto"/>
                <w:kern w:val="0"/>
                <w:szCs w:val="21"/>
                <w:lang w:bidi="ar"/>
              </w:rPr>
              <w:t>是指燃油收到基硫分含量，以质量百分数的形式表示。例如燃料中含硫量（S％）为 0. 1，则 S=0.1。</w:t>
            </w:r>
          </w:p>
          <w:p w14:paraId="4F0E3FAC">
            <w:pPr>
              <w:numPr>
                <w:ilvl w:val="0"/>
                <w:numId w:val="0"/>
              </w:num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bCs/>
                <w:color w:val="auto"/>
                <w:sz w:val="24"/>
                <w:highlight w:val="none"/>
                <w:lang w:val="en-US" w:eastAsia="zh-CN"/>
              </w:rPr>
              <w:t>⑥骨料堆场</w:t>
            </w:r>
            <w:r>
              <w:rPr>
                <w:rFonts w:hint="default" w:ascii="Times New Roman" w:hAnsi="Times New Roman" w:cs="Times New Roman"/>
                <w:b/>
                <w:color w:val="auto"/>
                <w:sz w:val="24"/>
                <w:szCs w:val="24"/>
              </w:rPr>
              <w:t>及装卸扬尘</w:t>
            </w:r>
          </w:p>
          <w:p w14:paraId="07729B8D">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1）</w:t>
            </w:r>
            <w:r>
              <w:rPr>
                <w:rFonts w:hint="default" w:ascii="Times New Roman" w:hAnsi="Times New Roman" w:cs="Times New Roman"/>
                <w:b/>
                <w:color w:val="auto"/>
                <w:sz w:val="24"/>
                <w:szCs w:val="24"/>
              </w:rPr>
              <w:t>堆场扬尘</w:t>
            </w:r>
          </w:p>
          <w:p w14:paraId="52C6134A">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lang w:val="en-US" w:eastAsia="zh-CN"/>
              </w:rPr>
              <w:t>本项目</w:t>
            </w:r>
            <w:r>
              <w:rPr>
                <w:rFonts w:hint="default" w:ascii="Times New Roman" w:hAnsi="Times New Roman" w:cs="Times New Roman"/>
                <w:bCs/>
                <w:color w:val="auto"/>
                <w:sz w:val="24"/>
                <w:szCs w:val="24"/>
              </w:rPr>
              <w:t>设置一个</w:t>
            </w:r>
            <w:r>
              <w:rPr>
                <w:rFonts w:hint="default" w:ascii="Times New Roman" w:hAnsi="Times New Roman" w:cs="Times New Roman"/>
                <w:bCs/>
                <w:color w:val="auto"/>
                <w:sz w:val="24"/>
                <w:szCs w:val="24"/>
                <w:lang w:eastAsia="zh-CN"/>
              </w:rPr>
              <w:t>骨料堆场</w:t>
            </w:r>
            <w:r>
              <w:rPr>
                <w:rFonts w:hint="default" w:ascii="Times New Roman" w:hAnsi="Times New Roman" w:cs="Times New Roman"/>
                <w:bCs/>
                <w:color w:val="auto"/>
                <w:sz w:val="24"/>
                <w:szCs w:val="24"/>
              </w:rPr>
              <w:t>用于骨料堆放，在不采取覆盖措施情况下，露天堆场扬尘排放受风速、堆场密度、水分含量等多种因素的影响，本次评价采用清华大学在霍州电厂现场试验的模式进行计算：</w:t>
            </w:r>
          </w:p>
          <w:p w14:paraId="13DED806">
            <w:pPr>
              <w:spacing w:line="360" w:lineRule="auto"/>
              <w:jc w:val="center"/>
              <w:rPr>
                <w:rFonts w:hint="default" w:ascii="Times New Roman" w:hAnsi="Times New Roman" w:cs="Times New Roman"/>
                <w:bCs/>
                <w:color w:val="auto"/>
                <w:sz w:val="24"/>
                <w:szCs w:val="24"/>
              </w:rPr>
            </w:pPr>
            <w:r>
              <w:rPr>
                <w:rFonts w:hint="default" w:ascii="Times New Roman" w:hAnsi="Times New Roman" w:cs="Times New Roman"/>
                <w:color w:val="auto"/>
                <w:position w:val="-10"/>
                <w:szCs w:val="21"/>
              </w:rPr>
              <w:object>
                <v:shape id="_x0000_i1026" o:spt="75" type="#_x0000_t75" style="height:20.25pt;width:126.8pt;" o:ole="t" filled="f" o:preferrelative="t" stroked="f" coordsize="21600,21600">
                  <v:path/>
                  <v:fill on="f" focussize="0,0"/>
                  <v:stroke on="f" joinstyle="miter"/>
                  <v:imagedata r:id="rId22" o:title=""/>
                  <o:lock v:ext="edit" aspectratio="t"/>
                  <w10:wrap type="none"/>
                  <w10:anchorlock/>
                </v:shape>
                <o:OLEObject Type="Embed" ProgID="Equation.DSMT4" ShapeID="_x0000_i1026" DrawAspect="Content" ObjectID="_1468075726" r:id="rId21">
                  <o:LockedField>false</o:LockedField>
                </o:OLEObject>
              </w:object>
            </w:r>
          </w:p>
          <w:p w14:paraId="6712255C">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式中，Q——堆场起尘量，mg/s；</w:t>
            </w:r>
          </w:p>
          <w:p w14:paraId="3E3029B1">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U——地面平均风速，m/s，取1.3m/s；</w:t>
            </w:r>
          </w:p>
          <w:p w14:paraId="58BC3B06">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S——堆场表面积，m</w:t>
            </w:r>
            <w:r>
              <w:rPr>
                <w:rFonts w:hint="default" w:ascii="Times New Roman" w:hAnsi="Times New Roman" w:cs="Times New Roman"/>
                <w:bCs/>
                <w:color w:val="auto"/>
                <w:sz w:val="24"/>
                <w:szCs w:val="24"/>
                <w:vertAlign w:val="superscript"/>
              </w:rPr>
              <w:t>2</w:t>
            </w:r>
            <w:r>
              <w:rPr>
                <w:rFonts w:hint="default" w:ascii="Times New Roman" w:hAnsi="Times New Roman" w:cs="Times New Roman"/>
                <w:bCs/>
                <w:color w:val="auto"/>
                <w:sz w:val="24"/>
                <w:szCs w:val="24"/>
              </w:rPr>
              <w:t>；</w:t>
            </w:r>
          </w:p>
          <w:p w14:paraId="48313935">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W——物料含水率，%，本次评价取5%。</w:t>
            </w:r>
          </w:p>
          <w:p w14:paraId="236C92E7">
            <w:pPr>
              <w:spacing w:line="360" w:lineRule="auto"/>
              <w:ind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本工程</w:t>
            </w:r>
            <w:r>
              <w:rPr>
                <w:rFonts w:hint="default" w:ascii="Times New Roman" w:hAnsi="Times New Roman" w:cs="Times New Roman"/>
                <w:bCs/>
                <w:color w:val="auto"/>
                <w:sz w:val="24"/>
                <w:szCs w:val="24"/>
                <w:highlight w:val="none"/>
                <w:lang w:eastAsia="zh-CN"/>
              </w:rPr>
              <w:t>骨料堆场</w:t>
            </w:r>
            <w:r>
              <w:rPr>
                <w:rFonts w:hint="default" w:ascii="Times New Roman" w:hAnsi="Times New Roman" w:cs="Times New Roman"/>
                <w:bCs/>
                <w:color w:val="auto"/>
                <w:sz w:val="24"/>
                <w:szCs w:val="24"/>
                <w:highlight w:val="none"/>
              </w:rPr>
              <w:t>占地面积为</w:t>
            </w:r>
            <w:r>
              <w:rPr>
                <w:rFonts w:hint="default" w:ascii="Times New Roman" w:hAnsi="Times New Roman" w:cs="Times New Roman"/>
                <w:bCs/>
                <w:color w:val="auto"/>
                <w:sz w:val="24"/>
                <w:szCs w:val="24"/>
                <w:highlight w:val="none"/>
                <w:lang w:val="en-US" w:eastAsia="zh-CN"/>
              </w:rPr>
              <w:t>8</w:t>
            </w:r>
            <w:r>
              <w:rPr>
                <w:rFonts w:hint="default" w:ascii="Times New Roman" w:hAnsi="Times New Roman" w:cs="Times New Roman"/>
                <w:bCs/>
                <w:color w:val="auto"/>
                <w:sz w:val="24"/>
                <w:szCs w:val="24"/>
                <w:highlight w:val="none"/>
              </w:rPr>
              <w:t>00m</w:t>
            </w:r>
            <w:r>
              <w:rPr>
                <w:rFonts w:hint="default" w:ascii="Times New Roman" w:hAnsi="Times New Roman" w:cs="Times New Roman"/>
                <w:bCs/>
                <w:color w:val="auto"/>
                <w:sz w:val="24"/>
                <w:szCs w:val="24"/>
                <w:highlight w:val="none"/>
                <w:vertAlign w:val="superscript"/>
              </w:rPr>
              <w:t>2</w:t>
            </w:r>
            <w:r>
              <w:rPr>
                <w:rFonts w:hint="default" w:ascii="Times New Roman" w:hAnsi="Times New Roman" w:cs="Times New Roman"/>
                <w:bCs/>
                <w:color w:val="auto"/>
                <w:sz w:val="24"/>
                <w:szCs w:val="24"/>
                <w:highlight w:val="none"/>
              </w:rPr>
              <w:t>，根据上述公式计算，生产期堆场起尘量为</w:t>
            </w:r>
            <w:r>
              <w:rPr>
                <w:rFonts w:hint="default" w:ascii="Times New Roman" w:hAnsi="Times New Roman" w:cs="Times New Roman"/>
                <w:bCs/>
                <w:color w:val="auto"/>
                <w:sz w:val="24"/>
                <w:szCs w:val="24"/>
                <w:highlight w:val="none"/>
                <w:lang w:val="en-US" w:eastAsia="zh-CN"/>
              </w:rPr>
              <w:t>217.80</w:t>
            </w:r>
            <w:r>
              <w:rPr>
                <w:rFonts w:hint="default" w:ascii="Times New Roman" w:hAnsi="Times New Roman" w:cs="Times New Roman"/>
                <w:bCs/>
                <w:color w:val="auto"/>
                <w:sz w:val="24"/>
                <w:szCs w:val="24"/>
                <w:highlight w:val="none"/>
              </w:rPr>
              <w:t>mg/s，</w:t>
            </w:r>
            <w:r>
              <w:rPr>
                <w:rFonts w:hint="default" w:ascii="Times New Roman" w:hAnsi="Times New Roman" w:cs="Times New Roman"/>
                <w:bCs/>
                <w:color w:val="auto"/>
                <w:sz w:val="24"/>
                <w:szCs w:val="24"/>
                <w:highlight w:val="none"/>
                <w:lang w:val="en-US" w:eastAsia="zh-CN"/>
              </w:rPr>
              <w:t>0.7841</w:t>
            </w:r>
            <w:r>
              <w:rPr>
                <w:rFonts w:hint="default" w:ascii="Times New Roman" w:hAnsi="Times New Roman" w:cs="Times New Roman"/>
                <w:bCs/>
                <w:color w:val="auto"/>
                <w:sz w:val="24"/>
                <w:szCs w:val="24"/>
                <w:highlight w:val="none"/>
              </w:rPr>
              <w:t>kg/h，</w:t>
            </w:r>
            <w:r>
              <w:rPr>
                <w:rFonts w:hint="default" w:ascii="Times New Roman" w:hAnsi="Times New Roman" w:cs="Times New Roman"/>
                <w:bCs/>
                <w:color w:val="auto"/>
                <w:sz w:val="24"/>
                <w:szCs w:val="24"/>
                <w:highlight w:val="none"/>
                <w:lang w:val="en-US" w:eastAsia="zh-CN"/>
              </w:rPr>
              <w:t>2.8227</w:t>
            </w:r>
            <w:r>
              <w:rPr>
                <w:rFonts w:hint="default" w:ascii="Times New Roman" w:hAnsi="Times New Roman" w:cs="Times New Roman"/>
                <w:bCs/>
                <w:color w:val="auto"/>
                <w:sz w:val="24"/>
                <w:szCs w:val="24"/>
                <w:highlight w:val="none"/>
              </w:rPr>
              <w:t>t/a（1</w:t>
            </w:r>
            <w:r>
              <w:rPr>
                <w:rFonts w:hint="default" w:ascii="Times New Roman" w:hAnsi="Times New Roman" w:cs="Times New Roman"/>
                <w:bCs/>
                <w:color w:val="auto"/>
                <w:sz w:val="24"/>
                <w:szCs w:val="24"/>
                <w:highlight w:val="none"/>
                <w:lang w:val="en-US" w:eastAsia="zh-CN"/>
              </w:rPr>
              <w:t>5</w:t>
            </w:r>
            <w:r>
              <w:rPr>
                <w:rFonts w:hint="default" w:ascii="Times New Roman" w:hAnsi="Times New Roman" w:cs="Times New Roman"/>
                <w:bCs/>
                <w:color w:val="auto"/>
                <w:sz w:val="24"/>
                <w:szCs w:val="24"/>
                <w:highlight w:val="none"/>
              </w:rPr>
              <w:t>0d，24h）。</w:t>
            </w:r>
          </w:p>
          <w:p w14:paraId="174C69EF">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2）</w:t>
            </w:r>
            <w:r>
              <w:rPr>
                <w:rFonts w:hint="default" w:ascii="Times New Roman" w:hAnsi="Times New Roman" w:cs="Times New Roman"/>
                <w:b/>
                <w:color w:val="auto"/>
                <w:sz w:val="24"/>
                <w:szCs w:val="24"/>
              </w:rPr>
              <w:t>卸料粉尘</w:t>
            </w:r>
          </w:p>
          <w:p w14:paraId="6988AA46">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工程原料采用自卸汽车进行卸料，卸料过程中起尘量采用山西环保科研所、武汉水运工程学院经验公式进行估算：</w:t>
            </w:r>
          </w:p>
          <w:p w14:paraId="3AF91EF7">
            <w:pPr>
              <w:spacing w:line="360" w:lineRule="auto"/>
              <w:jc w:val="center"/>
              <w:rPr>
                <w:rFonts w:hint="default" w:ascii="Times New Roman" w:hAnsi="Times New Roman" w:cs="Times New Roman"/>
                <w:bCs/>
                <w:color w:val="auto"/>
                <w:sz w:val="24"/>
                <w:szCs w:val="24"/>
              </w:rPr>
            </w:pPr>
            <w:r>
              <w:rPr>
                <w:rFonts w:hint="default" w:ascii="Times New Roman" w:hAnsi="Times New Roman" w:cs="Times New Roman"/>
                <w:color w:val="auto"/>
                <w:position w:val="-24"/>
                <w:szCs w:val="21"/>
              </w:rPr>
              <w:object>
                <v:shape id="_x0000_i1027" o:spt="75" type="#_x0000_t75" style="height:24.75pt;width:55.5pt;" o:ole="t" filled="f" o:preferrelative="t" stroked="f" coordsize="21600,21600">
                  <v:path/>
                  <v:fill on="f" focussize="0,0"/>
                  <v:stroke on="f" joinstyle="miter"/>
                  <v:imagedata r:id="rId24" o:title=""/>
                  <o:lock v:ext="edit" aspectratio="t"/>
                  <w10:wrap type="none"/>
                  <w10:anchorlock/>
                </v:shape>
                <o:OLEObject Type="Embed" ProgID="Equation.DSMT4" ShapeID="_x0000_i1027" DrawAspect="Content" ObjectID="_1468075727" r:id="rId23">
                  <o:LockedField>false</o:LockedField>
                </o:OLEObject>
              </w:object>
            </w:r>
          </w:p>
          <w:p w14:paraId="0225B3EA">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式中，Q——自卸汽车卸料起尘量，g；</w:t>
            </w:r>
          </w:p>
          <w:p w14:paraId="7B73C4BD">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u——平均风速，m/s，取1.3m/s；</w:t>
            </w:r>
          </w:p>
          <w:p w14:paraId="234F715D">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本拌合站全年卸料量约</w:t>
            </w:r>
            <w:r>
              <w:rPr>
                <w:rFonts w:hint="default" w:ascii="Times New Roman" w:hAnsi="Times New Roman" w:cs="Times New Roman"/>
                <w:bCs/>
                <w:color w:val="auto"/>
                <w:sz w:val="24"/>
                <w:szCs w:val="24"/>
                <w:lang w:val="en-US" w:eastAsia="zh-CN"/>
              </w:rPr>
              <w:t>46000</w:t>
            </w:r>
            <w:r>
              <w:rPr>
                <w:rFonts w:hint="default" w:ascii="Times New Roman" w:hAnsi="Times New Roman" w:cs="Times New Roman"/>
                <w:bCs/>
                <w:color w:val="auto"/>
                <w:sz w:val="24"/>
                <w:szCs w:val="24"/>
              </w:rPr>
              <w:t>t/a，则原料装卸粉尘产生量为</w:t>
            </w:r>
            <w:r>
              <w:rPr>
                <w:rFonts w:hint="default" w:ascii="Times New Roman" w:hAnsi="Times New Roman" w:cs="Times New Roman"/>
                <w:bCs/>
                <w:color w:val="auto"/>
                <w:sz w:val="24"/>
                <w:szCs w:val="24"/>
                <w:lang w:val="en-US" w:eastAsia="zh-CN"/>
              </w:rPr>
              <w:t>0.0075</w:t>
            </w:r>
            <w:r>
              <w:rPr>
                <w:rFonts w:hint="default" w:ascii="Times New Roman" w:hAnsi="Times New Roman" w:cs="Times New Roman"/>
                <w:bCs/>
                <w:color w:val="auto"/>
                <w:sz w:val="24"/>
                <w:szCs w:val="24"/>
              </w:rPr>
              <w:t>t/a，0.0</w:t>
            </w:r>
            <w:r>
              <w:rPr>
                <w:rFonts w:hint="default" w:ascii="Times New Roman" w:hAnsi="Times New Roman" w:cs="Times New Roman"/>
                <w:bCs/>
                <w:color w:val="auto"/>
                <w:sz w:val="24"/>
                <w:szCs w:val="24"/>
                <w:lang w:val="en-US" w:eastAsia="zh-CN"/>
              </w:rPr>
              <w:t>084</w:t>
            </w:r>
            <w:r>
              <w:rPr>
                <w:rFonts w:hint="default" w:ascii="Times New Roman" w:hAnsi="Times New Roman" w:cs="Times New Roman"/>
                <w:bCs/>
                <w:color w:val="auto"/>
                <w:sz w:val="24"/>
                <w:szCs w:val="24"/>
              </w:rPr>
              <w:t>kg/h（1</w:t>
            </w:r>
            <w:r>
              <w:rPr>
                <w:rFonts w:hint="default" w:ascii="Times New Roman" w:hAnsi="Times New Roman" w:cs="Times New Roman"/>
                <w:bCs/>
                <w:color w:val="auto"/>
                <w:sz w:val="24"/>
                <w:szCs w:val="24"/>
                <w:lang w:val="en-US" w:eastAsia="zh-CN"/>
              </w:rPr>
              <w:t>5</w:t>
            </w:r>
            <w:r>
              <w:rPr>
                <w:rFonts w:hint="default" w:ascii="Times New Roman" w:hAnsi="Times New Roman" w:cs="Times New Roman"/>
                <w:bCs/>
                <w:color w:val="auto"/>
                <w:sz w:val="24"/>
                <w:szCs w:val="24"/>
              </w:rPr>
              <w:t>0d，</w:t>
            </w:r>
            <w:r>
              <w:rPr>
                <w:rFonts w:hint="default" w:ascii="Times New Roman" w:hAnsi="Times New Roman" w:cs="Times New Roman"/>
                <w:bCs/>
                <w:color w:val="auto"/>
                <w:sz w:val="24"/>
                <w:szCs w:val="24"/>
                <w:lang w:val="en-US" w:eastAsia="zh-CN"/>
              </w:rPr>
              <w:t>6h</w:t>
            </w:r>
            <w:r>
              <w:rPr>
                <w:rFonts w:hint="default" w:ascii="Times New Roman" w:hAnsi="Times New Roman" w:cs="Times New Roman"/>
                <w:bCs/>
                <w:color w:val="auto"/>
                <w:sz w:val="24"/>
                <w:szCs w:val="24"/>
              </w:rPr>
              <w:t>）。</w:t>
            </w:r>
          </w:p>
          <w:p w14:paraId="51FBE0F5">
            <w:pPr>
              <w:numPr>
                <w:ilvl w:val="0"/>
                <w:numId w:val="0"/>
              </w:numPr>
              <w:spacing w:line="360" w:lineRule="auto"/>
              <w:ind w:firstLine="482" w:firstLineChars="20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⑦运输道路扬尘</w:t>
            </w:r>
          </w:p>
          <w:p w14:paraId="183E3AF2">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自卸式载重汽车在转运砂石过程中会产生扬尘，其产尘强度与路面种类、季节干湿以及汽车运行速度等因素有关，汽车运输扬尘产生量采用上海港环境保护中心和武汉水运工程学院经验公式进行估算：</w:t>
            </w:r>
          </w:p>
          <w:p w14:paraId="2668020C">
            <w:pPr>
              <w:spacing w:line="360" w:lineRule="auto"/>
              <w:jc w:val="center"/>
              <w:rPr>
                <w:rFonts w:hint="default" w:ascii="Times New Roman" w:hAnsi="Times New Roman" w:cs="Times New Roman"/>
                <w:bCs/>
                <w:color w:val="auto"/>
                <w:sz w:val="24"/>
                <w:szCs w:val="24"/>
              </w:rPr>
            </w:pPr>
            <w:r>
              <w:rPr>
                <w:rFonts w:hint="default" w:ascii="Times New Roman" w:hAnsi="Times New Roman" w:cs="Times New Roman"/>
                <w:color w:val="auto"/>
                <w:position w:val="-28"/>
                <w:szCs w:val="21"/>
              </w:rPr>
              <w:object>
                <v:shape id="_x0000_i1028" o:spt="75" type="#_x0000_t75" style="height:36pt;width:233.95pt;" o:ole="t" filled="f" o:preferrelative="t" stroked="f" coordsize="21600,21600">
                  <v:path/>
                  <v:fill on="f" focussize="0,0"/>
                  <v:stroke on="f" joinstyle="miter"/>
                  <v:imagedata r:id="rId26" o:title=""/>
                  <o:lock v:ext="edit" aspectratio="t"/>
                  <w10:wrap type="none"/>
                  <w10:anchorlock/>
                </v:shape>
                <o:OLEObject Type="Embed" ProgID="Equation.DSMT4" ShapeID="_x0000_i1028" DrawAspect="Content" ObjectID="_1468075728" r:id="rId25">
                  <o:LockedField>false</o:LockedField>
                </o:OLEObject>
              </w:object>
            </w:r>
          </w:p>
          <w:p w14:paraId="7F235FAC">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式中，Qy——汽车行驶的起尘量，kg/辆；</w:t>
            </w:r>
          </w:p>
          <w:p w14:paraId="0B1A371C">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v——汽车行驶速度，km/h，取10km/h；</w:t>
            </w:r>
          </w:p>
          <w:p w14:paraId="07C0D6C3">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M——车辆载重量，t，取20t；</w:t>
            </w:r>
          </w:p>
          <w:p w14:paraId="0BFBA30D">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P——道路表面粉尘量，kg/m</w:t>
            </w:r>
            <w:r>
              <w:rPr>
                <w:rFonts w:hint="default" w:ascii="Times New Roman" w:hAnsi="Times New Roman" w:cs="Times New Roman"/>
                <w:bCs/>
                <w:color w:val="auto"/>
                <w:sz w:val="24"/>
                <w:szCs w:val="24"/>
                <w:vertAlign w:val="superscript"/>
              </w:rPr>
              <w:t>2</w:t>
            </w:r>
            <w:r>
              <w:rPr>
                <w:rFonts w:hint="default" w:ascii="Times New Roman" w:hAnsi="Times New Roman" w:cs="Times New Roman"/>
                <w:bCs/>
                <w:color w:val="auto"/>
                <w:sz w:val="24"/>
                <w:szCs w:val="24"/>
              </w:rPr>
              <w:t>，厂区采用水泥路面，本次评价取0.1kg/m</w:t>
            </w:r>
            <w:r>
              <w:rPr>
                <w:rFonts w:hint="default" w:ascii="Times New Roman" w:hAnsi="Times New Roman" w:cs="Times New Roman"/>
                <w:bCs/>
                <w:color w:val="auto"/>
                <w:sz w:val="24"/>
                <w:szCs w:val="24"/>
                <w:vertAlign w:val="superscript"/>
              </w:rPr>
              <w:t>2</w:t>
            </w:r>
            <w:r>
              <w:rPr>
                <w:rFonts w:hint="default" w:ascii="Times New Roman" w:hAnsi="Times New Roman" w:cs="Times New Roman"/>
                <w:bCs/>
                <w:color w:val="auto"/>
                <w:sz w:val="24"/>
                <w:szCs w:val="24"/>
              </w:rPr>
              <w:t>；</w:t>
            </w:r>
          </w:p>
          <w:p w14:paraId="4FAAE3A4">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L——道路长度，km。</w:t>
            </w:r>
          </w:p>
          <w:p w14:paraId="69EBF413">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工程原料及成品运输频次为</w:t>
            </w:r>
            <w:r>
              <w:rPr>
                <w:rFonts w:hint="default" w:ascii="Times New Roman" w:hAnsi="Times New Roman" w:cs="Times New Roman"/>
                <w:bCs/>
                <w:color w:val="auto"/>
                <w:sz w:val="24"/>
                <w:szCs w:val="24"/>
                <w:lang w:val="en-US" w:eastAsia="zh-CN"/>
              </w:rPr>
              <w:t>33</w:t>
            </w:r>
            <w:r>
              <w:rPr>
                <w:rFonts w:hint="default" w:ascii="Times New Roman" w:hAnsi="Times New Roman" w:cs="Times New Roman"/>
                <w:bCs/>
                <w:color w:val="auto"/>
                <w:sz w:val="24"/>
                <w:szCs w:val="24"/>
              </w:rPr>
              <w:t>车次/d次，厂区道路长度约</w:t>
            </w:r>
            <w:r>
              <w:rPr>
                <w:rFonts w:hint="default" w:ascii="Times New Roman" w:hAnsi="Times New Roman" w:cs="Times New Roman"/>
                <w:bCs/>
                <w:color w:val="auto"/>
                <w:sz w:val="24"/>
                <w:szCs w:val="24"/>
                <w:lang w:val="en-US" w:eastAsia="zh-CN"/>
              </w:rPr>
              <w:t>1</w:t>
            </w:r>
            <w:r>
              <w:rPr>
                <w:rFonts w:hint="default" w:ascii="Times New Roman" w:hAnsi="Times New Roman" w:cs="Times New Roman"/>
                <w:bCs/>
                <w:color w:val="auto"/>
                <w:sz w:val="24"/>
                <w:szCs w:val="24"/>
              </w:rPr>
              <w:t>00m，则运输扬尘产生量为</w:t>
            </w:r>
            <w:r>
              <w:rPr>
                <w:rFonts w:hint="default" w:ascii="Times New Roman" w:hAnsi="Times New Roman" w:cs="Times New Roman"/>
                <w:bCs/>
                <w:color w:val="auto"/>
                <w:sz w:val="24"/>
                <w:szCs w:val="24"/>
                <w:lang w:val="en-US" w:eastAsia="zh-CN"/>
              </w:rPr>
              <w:t>0.0656</w:t>
            </w:r>
            <w:r>
              <w:rPr>
                <w:rFonts w:hint="default" w:ascii="Times New Roman" w:hAnsi="Times New Roman" w:cs="Times New Roman"/>
                <w:bCs/>
                <w:color w:val="auto"/>
                <w:sz w:val="24"/>
                <w:szCs w:val="24"/>
              </w:rPr>
              <w:t>t/a，</w:t>
            </w:r>
            <w:r>
              <w:rPr>
                <w:rFonts w:hint="default" w:ascii="Times New Roman" w:hAnsi="Times New Roman" w:cs="Times New Roman"/>
                <w:bCs/>
                <w:color w:val="auto"/>
                <w:sz w:val="24"/>
                <w:szCs w:val="24"/>
                <w:lang w:val="en-US" w:eastAsia="zh-CN"/>
              </w:rPr>
              <w:t>0.0437</w:t>
            </w:r>
            <w:r>
              <w:rPr>
                <w:rFonts w:hint="default" w:ascii="Times New Roman" w:hAnsi="Times New Roman" w:cs="Times New Roman"/>
                <w:bCs/>
                <w:color w:val="auto"/>
                <w:sz w:val="24"/>
                <w:szCs w:val="24"/>
              </w:rPr>
              <w:t>kg/h。</w:t>
            </w:r>
          </w:p>
          <w:p w14:paraId="25A155EF">
            <w:pPr>
              <w:numPr>
                <w:ilvl w:val="0"/>
                <w:numId w:val="0"/>
              </w:numPr>
              <w:spacing w:line="360" w:lineRule="auto"/>
              <w:ind w:firstLine="482" w:firstLineChars="20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⑧汽车尾气</w:t>
            </w:r>
          </w:p>
          <w:p w14:paraId="31FF5709">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工程在生产期间运输车辆会产生汽车尾气。汽车废气污染物主要来自曲轴箱漏气、燃油系统挥发和排气管的排放，主要有CO、NOx、THC等。CO是燃料在发动机内不完全燃烧的产物，主要取决于空燃比和各种汽缸燃料分配的均匀性。NOx是汽缸内过量空气中的氧气和氮气在高温下形成的产物。THC产生于汽缸壁面淬效应和混合缸不完全燃烧。</w:t>
            </w:r>
          </w:p>
          <w:p w14:paraId="102E5C25">
            <w:pPr>
              <w:numPr>
                <w:ilvl w:val="0"/>
                <w:numId w:val="0"/>
              </w:numPr>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⑨食堂油烟</w:t>
            </w:r>
          </w:p>
          <w:p w14:paraId="0ACD2696">
            <w:pPr>
              <w:spacing w:line="360" w:lineRule="auto"/>
              <w:ind w:firstLine="480" w:firstLineChars="200"/>
              <w:rPr>
                <w:rFonts w:hint="default" w:ascii="Times New Roman" w:hAnsi="Times New Roman" w:eastAsia="宋体"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项目</w:t>
            </w:r>
            <w:r>
              <w:rPr>
                <w:rFonts w:hint="default" w:ascii="Times New Roman" w:hAnsi="Times New Roman" w:eastAsia="宋体" w:cs="Times New Roman"/>
                <w:b w:val="0"/>
                <w:bCs/>
                <w:color w:val="auto"/>
                <w:sz w:val="24"/>
                <w:szCs w:val="24"/>
                <w:lang w:val="en-US" w:eastAsia="zh-CN"/>
              </w:rPr>
              <w:t>提供员工食堂供工作人员就餐，食堂就餐人数为</w:t>
            </w:r>
            <w:r>
              <w:rPr>
                <w:rFonts w:hint="default" w:ascii="Times New Roman" w:hAnsi="Times New Roman" w:cs="Times New Roman"/>
                <w:b w:val="0"/>
                <w:bCs/>
                <w:color w:val="auto"/>
                <w:sz w:val="24"/>
                <w:szCs w:val="24"/>
                <w:lang w:val="en-US" w:eastAsia="zh-CN"/>
              </w:rPr>
              <w:t>10</w:t>
            </w:r>
            <w:r>
              <w:rPr>
                <w:rFonts w:hint="default" w:ascii="Times New Roman" w:hAnsi="Times New Roman" w:eastAsia="宋体" w:cs="Times New Roman"/>
                <w:b w:val="0"/>
                <w:bCs/>
                <w:color w:val="auto"/>
                <w:sz w:val="24"/>
                <w:szCs w:val="24"/>
                <w:lang w:val="en-US" w:eastAsia="zh-CN"/>
              </w:rPr>
              <w:t>人，食物在烹饪、加工过程中将挥发出油脂、有机质及热分解或裂解产物，从而产生油烟废气。油烟废气成分复杂，</w:t>
            </w:r>
            <w:r>
              <w:rPr>
                <w:rFonts w:hint="default" w:ascii="Times New Roman" w:hAnsi="Times New Roman" w:cs="Times New Roman"/>
                <w:b w:val="0"/>
                <w:bCs/>
                <w:color w:val="auto"/>
                <w:sz w:val="24"/>
                <w:szCs w:val="24"/>
                <w:lang w:val="en-US" w:eastAsia="zh-CN"/>
              </w:rPr>
              <w:t>包括</w:t>
            </w:r>
            <w:r>
              <w:rPr>
                <w:rFonts w:hint="default" w:ascii="Times New Roman" w:hAnsi="Times New Roman" w:eastAsia="宋体" w:cs="Times New Roman"/>
                <w:b w:val="0"/>
                <w:bCs/>
                <w:color w:val="auto"/>
                <w:sz w:val="24"/>
                <w:szCs w:val="24"/>
                <w:lang w:val="en-US" w:eastAsia="zh-CN"/>
              </w:rPr>
              <w:t>醛、酮、烃、脂肪酸、醇、芳香化合物、脂、内脂和杂环化合物等300多种化学物质，对人体危害较大。人均食用油日用量约30g/人·d，一般油烟挥发量占总耗油量的</w:t>
            </w:r>
            <w:r>
              <w:rPr>
                <w:rFonts w:hint="default" w:ascii="Times New Roman" w:hAnsi="Times New Roman" w:cs="Times New Roman"/>
                <w:b w:val="0"/>
                <w:bCs/>
                <w:color w:val="auto"/>
                <w:sz w:val="24"/>
                <w:szCs w:val="24"/>
                <w:lang w:val="en-US" w:eastAsia="zh-CN"/>
              </w:rPr>
              <w:t>2%~4%</w:t>
            </w:r>
            <w:r>
              <w:rPr>
                <w:rFonts w:hint="default" w:ascii="Times New Roman" w:hAnsi="Times New Roman" w:eastAsia="宋体" w:cs="Times New Roman"/>
                <w:b w:val="0"/>
                <w:bCs/>
                <w:color w:val="auto"/>
                <w:sz w:val="24"/>
                <w:szCs w:val="24"/>
                <w:lang w:val="en-US" w:eastAsia="zh-CN"/>
              </w:rPr>
              <w:t>，平均为2.83%，则本</w:t>
            </w:r>
            <w:r>
              <w:rPr>
                <w:rFonts w:hint="default" w:ascii="Times New Roman" w:hAnsi="Times New Roman" w:cs="Times New Roman"/>
                <w:b w:val="0"/>
                <w:bCs/>
                <w:color w:val="auto"/>
                <w:sz w:val="24"/>
                <w:szCs w:val="24"/>
                <w:lang w:val="en-US" w:eastAsia="zh-CN"/>
              </w:rPr>
              <w:t>工程</w:t>
            </w:r>
            <w:r>
              <w:rPr>
                <w:rFonts w:hint="default" w:ascii="Times New Roman" w:hAnsi="Times New Roman" w:eastAsia="宋体" w:cs="Times New Roman"/>
                <w:b w:val="0"/>
                <w:bCs/>
                <w:color w:val="auto"/>
                <w:sz w:val="24"/>
                <w:szCs w:val="24"/>
                <w:lang w:val="en-US" w:eastAsia="zh-CN"/>
              </w:rPr>
              <w:t>食堂油烟产生量为</w:t>
            </w:r>
            <w:r>
              <w:rPr>
                <w:rFonts w:hint="default" w:ascii="Times New Roman" w:hAnsi="Times New Roman" w:cs="Times New Roman"/>
                <w:b w:val="0"/>
                <w:bCs/>
                <w:color w:val="auto"/>
                <w:sz w:val="24"/>
                <w:szCs w:val="24"/>
                <w:lang w:val="en-US" w:eastAsia="zh-CN"/>
              </w:rPr>
              <w:t>0.0085</w:t>
            </w:r>
            <w:r>
              <w:rPr>
                <w:rFonts w:hint="default" w:ascii="Times New Roman" w:hAnsi="Times New Roman" w:eastAsia="宋体" w:cs="Times New Roman"/>
                <w:b w:val="0"/>
                <w:bCs/>
                <w:color w:val="auto"/>
                <w:sz w:val="24"/>
                <w:szCs w:val="24"/>
                <w:lang w:val="en-US" w:eastAsia="zh-CN"/>
              </w:rPr>
              <w:t>kg/d，</w:t>
            </w:r>
            <w:r>
              <w:rPr>
                <w:rFonts w:hint="default" w:ascii="Times New Roman" w:hAnsi="Times New Roman" w:cs="Times New Roman"/>
                <w:b w:val="0"/>
                <w:bCs/>
                <w:color w:val="auto"/>
                <w:sz w:val="24"/>
                <w:szCs w:val="24"/>
                <w:lang w:val="en-US" w:eastAsia="zh-CN"/>
              </w:rPr>
              <w:t>0.0012</w:t>
            </w:r>
            <w:r>
              <w:rPr>
                <w:rFonts w:hint="default" w:ascii="Times New Roman" w:hAnsi="Times New Roman" w:eastAsia="宋体" w:cs="Times New Roman"/>
                <w:b w:val="0"/>
                <w:bCs/>
                <w:color w:val="auto"/>
                <w:sz w:val="24"/>
                <w:szCs w:val="24"/>
                <w:lang w:val="en-US" w:eastAsia="zh-CN"/>
              </w:rPr>
              <w:t>t/a。（以</w:t>
            </w:r>
            <w:r>
              <w:rPr>
                <w:rFonts w:hint="default" w:ascii="Times New Roman" w:hAnsi="Times New Roman" w:cs="Times New Roman"/>
                <w:b w:val="0"/>
                <w:bCs/>
                <w:color w:val="auto"/>
                <w:sz w:val="24"/>
                <w:szCs w:val="24"/>
                <w:lang w:val="en-US" w:eastAsia="zh-CN"/>
              </w:rPr>
              <w:t>150</w:t>
            </w:r>
            <w:r>
              <w:rPr>
                <w:rFonts w:hint="default" w:ascii="Times New Roman" w:hAnsi="Times New Roman" w:eastAsia="宋体" w:cs="Times New Roman"/>
                <w:b w:val="0"/>
                <w:bCs/>
                <w:color w:val="auto"/>
                <w:sz w:val="24"/>
                <w:szCs w:val="24"/>
                <w:lang w:val="en-US" w:eastAsia="zh-CN"/>
              </w:rPr>
              <w:t>d计）。</w:t>
            </w:r>
          </w:p>
          <w:p w14:paraId="3F459CE8">
            <w:pPr>
              <w:numPr>
                <w:ilvl w:val="0"/>
                <w:numId w:val="0"/>
              </w:numPr>
              <w:spacing w:line="360" w:lineRule="auto"/>
              <w:ind w:firstLine="480" w:firstLineChars="200"/>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cs="Times New Roman"/>
                <w:color w:val="auto"/>
                <w:sz w:val="24"/>
                <w:szCs w:val="24"/>
              </w:rPr>
              <w:t>综上所述，项目废气产排污环节、污染物种类及产生量见下表：</w:t>
            </w:r>
          </w:p>
          <w:p w14:paraId="556A0FD7">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lang w:val="en-US" w:eastAsia="zh-CN" w:bidi="ar-SA"/>
              </w:rPr>
            </w:pPr>
            <w:r>
              <w:rPr>
                <w:rFonts w:hint="default" w:ascii="Times New Roman" w:hAnsi="Times New Roman" w:eastAsia="黑体" w:cs="Times New Roman"/>
                <w:b/>
                <w:bCs/>
                <w:color w:val="auto"/>
                <w:kern w:val="0"/>
                <w:sz w:val="21"/>
                <w:szCs w:val="21"/>
                <w:lang w:val="en-US" w:eastAsia="zh-CN" w:bidi="ar-SA"/>
              </w:rPr>
              <w:t>表4-6 废气产排污环节、污染物种类及产生量表</w:t>
            </w:r>
          </w:p>
          <w:tbl>
            <w:tblPr>
              <w:tblStyle w:val="30"/>
              <w:tblW w:w="506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6"/>
              <w:gridCol w:w="1365"/>
              <w:gridCol w:w="1388"/>
              <w:gridCol w:w="1516"/>
              <w:gridCol w:w="1273"/>
              <w:gridCol w:w="1417"/>
              <w:gridCol w:w="1425"/>
            </w:tblGrid>
            <w:tr w14:paraId="2B2F0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47" w:type="pct"/>
                  <w:vMerge w:val="restart"/>
                  <w:tcBorders>
                    <w:tl2br w:val="nil"/>
                    <w:tr2bl w:val="nil"/>
                  </w:tcBorders>
                  <w:vAlign w:val="center"/>
                </w:tcPr>
                <w:p w14:paraId="1BB51222">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生产单元</w:t>
                  </w:r>
                </w:p>
              </w:tc>
              <w:tc>
                <w:tcPr>
                  <w:tcW w:w="757" w:type="pct"/>
                  <w:vMerge w:val="restart"/>
                  <w:tcBorders>
                    <w:tl2br w:val="nil"/>
                    <w:tr2bl w:val="nil"/>
                  </w:tcBorders>
                  <w:vAlign w:val="center"/>
                </w:tcPr>
                <w:p w14:paraId="08E692B1">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主要生产工艺</w:t>
                  </w:r>
                </w:p>
              </w:tc>
              <w:tc>
                <w:tcPr>
                  <w:tcW w:w="770" w:type="pct"/>
                  <w:vMerge w:val="restart"/>
                  <w:tcBorders>
                    <w:tl2br w:val="nil"/>
                    <w:tr2bl w:val="nil"/>
                  </w:tcBorders>
                  <w:vAlign w:val="center"/>
                </w:tcPr>
                <w:p w14:paraId="2EAF31DA">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废气产污环节</w:t>
                  </w:r>
                </w:p>
              </w:tc>
              <w:tc>
                <w:tcPr>
                  <w:tcW w:w="841" w:type="pct"/>
                  <w:vMerge w:val="restart"/>
                  <w:tcBorders>
                    <w:tl2br w:val="nil"/>
                    <w:tr2bl w:val="nil"/>
                  </w:tcBorders>
                  <w:vAlign w:val="center"/>
                </w:tcPr>
                <w:p w14:paraId="52F5BD87">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废气类别</w:t>
                  </w:r>
                </w:p>
              </w:tc>
              <w:tc>
                <w:tcPr>
                  <w:tcW w:w="706" w:type="pct"/>
                  <w:vMerge w:val="restart"/>
                  <w:tcBorders>
                    <w:tl2br w:val="nil"/>
                    <w:tr2bl w:val="nil"/>
                  </w:tcBorders>
                  <w:vAlign w:val="center"/>
                </w:tcPr>
                <w:p w14:paraId="2110DB94">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污染物种类</w:t>
                  </w:r>
                </w:p>
              </w:tc>
              <w:tc>
                <w:tcPr>
                  <w:tcW w:w="1576" w:type="pct"/>
                  <w:gridSpan w:val="2"/>
                  <w:tcBorders>
                    <w:tl2br w:val="nil"/>
                    <w:tr2bl w:val="nil"/>
                  </w:tcBorders>
                  <w:vAlign w:val="center"/>
                </w:tcPr>
                <w:p w14:paraId="61113E6F">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产生量</w:t>
                  </w:r>
                </w:p>
              </w:tc>
            </w:tr>
            <w:tr w14:paraId="086B25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47" w:type="pct"/>
                  <w:vMerge w:val="continue"/>
                  <w:tcBorders>
                    <w:tl2br w:val="nil"/>
                    <w:tr2bl w:val="nil"/>
                  </w:tcBorders>
                  <w:vAlign w:val="center"/>
                </w:tcPr>
                <w:p w14:paraId="577415EC">
                  <w:pPr>
                    <w:jc w:val="center"/>
                    <w:rPr>
                      <w:rFonts w:hint="default" w:ascii="Times New Roman" w:hAnsi="Times New Roman" w:cs="Times New Roman"/>
                      <w:b/>
                      <w:bCs/>
                      <w:color w:val="auto"/>
                      <w:szCs w:val="21"/>
                    </w:rPr>
                  </w:pPr>
                </w:p>
              </w:tc>
              <w:tc>
                <w:tcPr>
                  <w:tcW w:w="757" w:type="pct"/>
                  <w:vMerge w:val="continue"/>
                  <w:tcBorders>
                    <w:tl2br w:val="nil"/>
                    <w:tr2bl w:val="nil"/>
                  </w:tcBorders>
                  <w:vAlign w:val="center"/>
                </w:tcPr>
                <w:p w14:paraId="646EFA98">
                  <w:pPr>
                    <w:jc w:val="center"/>
                    <w:rPr>
                      <w:rFonts w:hint="default" w:ascii="Times New Roman" w:hAnsi="Times New Roman" w:cs="Times New Roman"/>
                      <w:b/>
                      <w:bCs/>
                      <w:color w:val="auto"/>
                      <w:szCs w:val="21"/>
                    </w:rPr>
                  </w:pPr>
                </w:p>
              </w:tc>
              <w:tc>
                <w:tcPr>
                  <w:tcW w:w="770" w:type="pct"/>
                  <w:vMerge w:val="continue"/>
                  <w:tcBorders>
                    <w:tl2br w:val="nil"/>
                    <w:tr2bl w:val="nil"/>
                  </w:tcBorders>
                  <w:vAlign w:val="center"/>
                </w:tcPr>
                <w:p w14:paraId="68934A5C">
                  <w:pPr>
                    <w:jc w:val="center"/>
                    <w:rPr>
                      <w:rFonts w:hint="default" w:ascii="Times New Roman" w:hAnsi="Times New Roman" w:cs="Times New Roman"/>
                      <w:b/>
                      <w:bCs/>
                      <w:color w:val="auto"/>
                      <w:szCs w:val="21"/>
                    </w:rPr>
                  </w:pPr>
                </w:p>
              </w:tc>
              <w:tc>
                <w:tcPr>
                  <w:tcW w:w="841" w:type="pct"/>
                  <w:vMerge w:val="continue"/>
                  <w:tcBorders>
                    <w:tl2br w:val="nil"/>
                    <w:tr2bl w:val="nil"/>
                  </w:tcBorders>
                  <w:vAlign w:val="center"/>
                </w:tcPr>
                <w:p w14:paraId="41E7E60D">
                  <w:pPr>
                    <w:jc w:val="center"/>
                    <w:rPr>
                      <w:rFonts w:hint="default" w:ascii="Times New Roman" w:hAnsi="Times New Roman" w:cs="Times New Roman"/>
                      <w:b/>
                      <w:bCs/>
                      <w:color w:val="auto"/>
                      <w:szCs w:val="21"/>
                    </w:rPr>
                  </w:pPr>
                </w:p>
              </w:tc>
              <w:tc>
                <w:tcPr>
                  <w:tcW w:w="706" w:type="pct"/>
                  <w:vMerge w:val="continue"/>
                  <w:tcBorders>
                    <w:tl2br w:val="nil"/>
                    <w:tr2bl w:val="nil"/>
                  </w:tcBorders>
                  <w:vAlign w:val="center"/>
                </w:tcPr>
                <w:p w14:paraId="2D627DA7">
                  <w:pPr>
                    <w:jc w:val="center"/>
                    <w:rPr>
                      <w:rFonts w:hint="default" w:ascii="Times New Roman" w:hAnsi="Times New Roman" w:cs="Times New Roman"/>
                      <w:b/>
                      <w:bCs/>
                      <w:color w:val="auto"/>
                      <w:szCs w:val="21"/>
                    </w:rPr>
                  </w:pPr>
                </w:p>
              </w:tc>
              <w:tc>
                <w:tcPr>
                  <w:tcW w:w="786" w:type="pct"/>
                  <w:tcBorders>
                    <w:tl2br w:val="nil"/>
                    <w:tr2bl w:val="nil"/>
                  </w:tcBorders>
                  <w:vAlign w:val="center"/>
                </w:tcPr>
                <w:p w14:paraId="7F76B819">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t/a</w:t>
                  </w:r>
                </w:p>
              </w:tc>
              <w:tc>
                <w:tcPr>
                  <w:tcW w:w="790" w:type="pct"/>
                  <w:tcBorders>
                    <w:tl2br w:val="nil"/>
                    <w:tr2bl w:val="nil"/>
                  </w:tcBorders>
                  <w:vAlign w:val="center"/>
                </w:tcPr>
                <w:p w14:paraId="56DB14D0">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kg/h</w:t>
                  </w:r>
                </w:p>
              </w:tc>
            </w:tr>
            <w:tr w14:paraId="5D34D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47" w:type="pct"/>
                  <w:vMerge w:val="restart"/>
                  <w:tcBorders>
                    <w:tl2br w:val="nil"/>
                    <w:tr2bl w:val="nil"/>
                  </w:tcBorders>
                  <w:vAlign w:val="center"/>
                </w:tcPr>
                <w:p w14:paraId="5738647F">
                  <w:pPr>
                    <w:jc w:val="center"/>
                    <w:rPr>
                      <w:rFonts w:hint="default" w:ascii="Times New Roman" w:hAnsi="Times New Roman" w:cs="Times New Roman"/>
                      <w:color w:val="auto"/>
                      <w:szCs w:val="21"/>
                    </w:rPr>
                  </w:pPr>
                  <w:r>
                    <w:rPr>
                      <w:rFonts w:hint="default" w:ascii="Times New Roman" w:hAnsi="Times New Roman" w:cs="Times New Roman"/>
                      <w:bCs/>
                      <w:color w:val="auto"/>
                      <w:kern w:val="0"/>
                      <w:szCs w:val="21"/>
                    </w:rPr>
                    <w:t>沥青拌合站</w:t>
                  </w:r>
                </w:p>
              </w:tc>
              <w:tc>
                <w:tcPr>
                  <w:tcW w:w="757" w:type="pct"/>
                  <w:tcBorders>
                    <w:tl2br w:val="nil"/>
                    <w:tr2bl w:val="nil"/>
                  </w:tcBorders>
                  <w:shd w:val="clear" w:color="auto" w:fill="auto"/>
                  <w:vAlign w:val="center"/>
                </w:tcPr>
                <w:p w14:paraId="56788C5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上料</w:t>
                  </w:r>
                </w:p>
              </w:tc>
              <w:tc>
                <w:tcPr>
                  <w:tcW w:w="770" w:type="pct"/>
                  <w:tcBorders>
                    <w:tl2br w:val="nil"/>
                    <w:tr2bl w:val="nil"/>
                  </w:tcBorders>
                  <w:shd w:val="clear" w:color="auto" w:fill="auto"/>
                  <w:vAlign w:val="center"/>
                </w:tcPr>
                <w:p w14:paraId="30994CC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骨料上料</w:t>
                  </w:r>
                </w:p>
              </w:tc>
              <w:tc>
                <w:tcPr>
                  <w:tcW w:w="841" w:type="pct"/>
                  <w:tcBorders>
                    <w:tl2br w:val="nil"/>
                    <w:tr2bl w:val="nil"/>
                  </w:tcBorders>
                  <w:shd w:val="clear" w:color="auto" w:fill="auto"/>
                  <w:vAlign w:val="center"/>
                </w:tcPr>
                <w:p w14:paraId="3D3C7C4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骨料上料粉尘</w:t>
                  </w:r>
                </w:p>
              </w:tc>
              <w:tc>
                <w:tcPr>
                  <w:tcW w:w="706" w:type="pct"/>
                  <w:tcBorders>
                    <w:tl2br w:val="nil"/>
                    <w:tr2bl w:val="nil"/>
                  </w:tcBorders>
                  <w:shd w:val="clear" w:color="auto" w:fill="auto"/>
                  <w:vAlign w:val="center"/>
                </w:tcPr>
                <w:p w14:paraId="7A92918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颗粒物</w:t>
                  </w:r>
                </w:p>
              </w:tc>
              <w:tc>
                <w:tcPr>
                  <w:tcW w:w="786" w:type="pct"/>
                  <w:tcBorders>
                    <w:tl2br w:val="nil"/>
                    <w:tr2bl w:val="nil"/>
                  </w:tcBorders>
                  <w:shd w:val="clear" w:color="auto" w:fill="auto"/>
                  <w:vAlign w:val="center"/>
                </w:tcPr>
                <w:p w14:paraId="465D8D6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0.9200</w:t>
                  </w:r>
                </w:p>
              </w:tc>
              <w:tc>
                <w:tcPr>
                  <w:tcW w:w="790" w:type="pct"/>
                  <w:tcBorders>
                    <w:tl2br w:val="nil"/>
                    <w:tr2bl w:val="nil"/>
                  </w:tcBorders>
                  <w:shd w:val="clear" w:color="auto" w:fill="auto"/>
                  <w:vAlign w:val="center"/>
                </w:tcPr>
                <w:p w14:paraId="6716553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1.0222</w:t>
                  </w:r>
                </w:p>
              </w:tc>
            </w:tr>
            <w:tr w14:paraId="6642AC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47" w:type="pct"/>
                  <w:vMerge w:val="continue"/>
                  <w:tcBorders>
                    <w:tl2br w:val="nil"/>
                    <w:tr2bl w:val="nil"/>
                  </w:tcBorders>
                  <w:vAlign w:val="center"/>
                </w:tcPr>
                <w:p w14:paraId="2F4E1B79">
                  <w:pPr>
                    <w:jc w:val="center"/>
                    <w:rPr>
                      <w:rFonts w:hint="default" w:ascii="Times New Roman" w:hAnsi="Times New Roman" w:cs="Times New Roman"/>
                      <w:b/>
                      <w:bCs/>
                      <w:color w:val="auto"/>
                      <w:szCs w:val="21"/>
                    </w:rPr>
                  </w:pPr>
                </w:p>
              </w:tc>
              <w:tc>
                <w:tcPr>
                  <w:tcW w:w="757" w:type="pct"/>
                  <w:tcBorders>
                    <w:tl2br w:val="nil"/>
                    <w:tr2bl w:val="nil"/>
                  </w:tcBorders>
                  <w:shd w:val="clear" w:color="auto" w:fill="auto"/>
                  <w:vAlign w:val="center"/>
                </w:tcPr>
                <w:p w14:paraId="572C210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粉料罐装、储存、进料</w:t>
                  </w:r>
                </w:p>
              </w:tc>
              <w:tc>
                <w:tcPr>
                  <w:tcW w:w="770" w:type="pct"/>
                  <w:tcBorders>
                    <w:tl2br w:val="nil"/>
                    <w:tr2bl w:val="nil"/>
                  </w:tcBorders>
                  <w:shd w:val="clear" w:color="auto" w:fill="auto"/>
                  <w:vAlign w:val="center"/>
                </w:tcPr>
                <w:p w14:paraId="7DA5E9A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粉料罐装、储存、进料</w:t>
                  </w:r>
                </w:p>
              </w:tc>
              <w:tc>
                <w:tcPr>
                  <w:tcW w:w="841" w:type="pct"/>
                  <w:tcBorders>
                    <w:tl2br w:val="nil"/>
                    <w:tr2bl w:val="nil"/>
                  </w:tcBorders>
                  <w:shd w:val="clear" w:color="auto" w:fill="auto"/>
                  <w:vAlign w:val="center"/>
                </w:tcPr>
                <w:p w14:paraId="35FD641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矿粉筒仓粉尘</w:t>
                  </w:r>
                </w:p>
              </w:tc>
              <w:tc>
                <w:tcPr>
                  <w:tcW w:w="706" w:type="pct"/>
                  <w:tcBorders>
                    <w:tl2br w:val="nil"/>
                    <w:tr2bl w:val="nil"/>
                  </w:tcBorders>
                  <w:shd w:val="clear" w:color="auto" w:fill="auto"/>
                  <w:vAlign w:val="center"/>
                </w:tcPr>
                <w:p w14:paraId="274C704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颗粒物</w:t>
                  </w:r>
                </w:p>
              </w:tc>
              <w:tc>
                <w:tcPr>
                  <w:tcW w:w="786" w:type="pct"/>
                  <w:tcBorders>
                    <w:tl2br w:val="nil"/>
                    <w:tr2bl w:val="nil"/>
                  </w:tcBorders>
                  <w:shd w:val="clear" w:color="auto" w:fill="auto"/>
                  <w:vAlign w:val="center"/>
                </w:tcPr>
                <w:p w14:paraId="5E8B0E4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0.3600</w:t>
                  </w:r>
                </w:p>
              </w:tc>
              <w:tc>
                <w:tcPr>
                  <w:tcW w:w="790" w:type="pct"/>
                  <w:tcBorders>
                    <w:tl2br w:val="nil"/>
                    <w:tr2bl w:val="nil"/>
                  </w:tcBorders>
                  <w:shd w:val="clear" w:color="auto" w:fill="auto"/>
                  <w:vAlign w:val="center"/>
                </w:tcPr>
                <w:p w14:paraId="1BE39B4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0.4000</w:t>
                  </w:r>
                </w:p>
              </w:tc>
            </w:tr>
            <w:tr w14:paraId="52C787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47" w:type="pct"/>
                  <w:vMerge w:val="continue"/>
                  <w:tcBorders>
                    <w:tl2br w:val="nil"/>
                    <w:tr2bl w:val="nil"/>
                  </w:tcBorders>
                  <w:shd w:val="clear" w:color="auto" w:fill="auto"/>
                  <w:vAlign w:val="center"/>
                </w:tcPr>
                <w:p w14:paraId="50D1924A">
                  <w:pPr>
                    <w:jc w:val="center"/>
                    <w:rPr>
                      <w:rFonts w:hint="default" w:ascii="Times New Roman" w:hAnsi="Times New Roman" w:cs="Times New Roman"/>
                      <w:color w:val="auto"/>
                      <w:szCs w:val="21"/>
                    </w:rPr>
                  </w:pPr>
                </w:p>
              </w:tc>
              <w:tc>
                <w:tcPr>
                  <w:tcW w:w="757" w:type="pct"/>
                  <w:vMerge w:val="restart"/>
                  <w:tcBorders>
                    <w:tl2br w:val="nil"/>
                    <w:tr2bl w:val="nil"/>
                  </w:tcBorders>
                  <w:shd w:val="clear" w:color="auto" w:fill="auto"/>
                  <w:vAlign w:val="center"/>
                </w:tcPr>
                <w:p w14:paraId="269D7474">
                  <w:pPr>
                    <w:jc w:val="center"/>
                    <w:rPr>
                      <w:rFonts w:hint="default" w:ascii="Times New Roman" w:hAnsi="Times New Roman" w:cs="Times New Roman"/>
                      <w:color w:val="auto"/>
                      <w:szCs w:val="21"/>
                    </w:rPr>
                  </w:pPr>
                  <w:r>
                    <w:rPr>
                      <w:rFonts w:hint="default" w:ascii="Times New Roman" w:hAnsi="Times New Roman" w:cs="Times New Roman"/>
                      <w:color w:val="auto"/>
                      <w:szCs w:val="21"/>
                    </w:rPr>
                    <w:t>沥青储存、加热、搅拌、卸料装车</w:t>
                  </w:r>
                </w:p>
              </w:tc>
              <w:tc>
                <w:tcPr>
                  <w:tcW w:w="770" w:type="pct"/>
                  <w:vMerge w:val="restart"/>
                  <w:tcBorders>
                    <w:tl2br w:val="nil"/>
                    <w:tr2bl w:val="nil"/>
                  </w:tcBorders>
                  <w:shd w:val="clear" w:color="auto" w:fill="auto"/>
                  <w:vAlign w:val="center"/>
                </w:tcPr>
                <w:p w14:paraId="5858E5E6">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沥青</w:t>
                  </w:r>
                  <w:r>
                    <w:rPr>
                      <w:rFonts w:hint="default" w:ascii="Times New Roman" w:hAnsi="Times New Roman" w:cs="Times New Roman"/>
                      <w:color w:val="auto"/>
                      <w:szCs w:val="21"/>
                    </w:rPr>
                    <w:t>搅拌、成品卸料</w:t>
                  </w:r>
                </w:p>
              </w:tc>
              <w:tc>
                <w:tcPr>
                  <w:tcW w:w="841" w:type="pct"/>
                  <w:vMerge w:val="restart"/>
                  <w:tcBorders>
                    <w:tl2br w:val="nil"/>
                    <w:tr2bl w:val="nil"/>
                  </w:tcBorders>
                  <w:vAlign w:val="center"/>
                </w:tcPr>
                <w:p w14:paraId="6004EA28">
                  <w:pPr>
                    <w:jc w:val="center"/>
                    <w:rPr>
                      <w:rFonts w:hint="default" w:ascii="Times New Roman" w:hAnsi="Times New Roman" w:cs="Times New Roman"/>
                      <w:color w:val="auto"/>
                      <w:szCs w:val="21"/>
                    </w:rPr>
                  </w:pPr>
                  <w:r>
                    <w:rPr>
                      <w:rFonts w:hint="default" w:ascii="Times New Roman" w:hAnsi="Times New Roman" w:cs="Times New Roman"/>
                      <w:color w:val="auto"/>
                      <w:szCs w:val="21"/>
                    </w:rPr>
                    <w:t>沥青废气</w:t>
                  </w:r>
                </w:p>
              </w:tc>
              <w:tc>
                <w:tcPr>
                  <w:tcW w:w="706" w:type="pct"/>
                  <w:tcBorders>
                    <w:tl2br w:val="nil"/>
                    <w:tr2bl w:val="nil"/>
                  </w:tcBorders>
                  <w:vAlign w:val="center"/>
                </w:tcPr>
                <w:p w14:paraId="09A158C1">
                  <w:pPr>
                    <w:jc w:val="center"/>
                    <w:rPr>
                      <w:rFonts w:hint="default" w:ascii="Times New Roman" w:hAnsi="Times New Roman" w:cs="Times New Roman"/>
                      <w:color w:val="auto"/>
                      <w:szCs w:val="21"/>
                    </w:rPr>
                  </w:pPr>
                  <w:r>
                    <w:rPr>
                      <w:rFonts w:hint="default" w:ascii="Times New Roman" w:hAnsi="Times New Roman" w:cs="Times New Roman"/>
                      <w:color w:val="auto"/>
                      <w:szCs w:val="21"/>
                    </w:rPr>
                    <w:t>沥青烟</w:t>
                  </w:r>
                </w:p>
              </w:tc>
              <w:tc>
                <w:tcPr>
                  <w:tcW w:w="786" w:type="pct"/>
                  <w:tcBorders>
                    <w:tl2br w:val="nil"/>
                    <w:tr2bl w:val="nil"/>
                  </w:tcBorders>
                  <w:shd w:val="clear" w:color="auto" w:fill="auto"/>
                  <w:vAlign w:val="center"/>
                </w:tcPr>
                <w:p w14:paraId="540B88E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0.2000</w:t>
                  </w:r>
                </w:p>
              </w:tc>
              <w:tc>
                <w:tcPr>
                  <w:tcW w:w="790" w:type="pct"/>
                  <w:tcBorders>
                    <w:tl2br w:val="nil"/>
                    <w:tr2bl w:val="nil"/>
                  </w:tcBorders>
                  <w:shd w:val="clear" w:color="auto" w:fill="auto"/>
                  <w:vAlign w:val="center"/>
                </w:tcPr>
                <w:p w14:paraId="5541AE2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0.2222</w:t>
                  </w:r>
                </w:p>
              </w:tc>
            </w:tr>
            <w:tr w14:paraId="11CF8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47" w:type="pct"/>
                  <w:vMerge w:val="continue"/>
                  <w:tcBorders>
                    <w:tl2br w:val="nil"/>
                    <w:tr2bl w:val="nil"/>
                  </w:tcBorders>
                  <w:shd w:val="clear" w:color="auto" w:fill="auto"/>
                  <w:vAlign w:val="center"/>
                </w:tcPr>
                <w:p w14:paraId="08ACB37A">
                  <w:pPr>
                    <w:jc w:val="center"/>
                    <w:rPr>
                      <w:rFonts w:hint="default" w:ascii="Times New Roman" w:hAnsi="Times New Roman" w:cs="Times New Roman"/>
                      <w:bCs/>
                      <w:color w:val="auto"/>
                      <w:kern w:val="0"/>
                      <w:szCs w:val="21"/>
                    </w:rPr>
                  </w:pPr>
                </w:p>
              </w:tc>
              <w:tc>
                <w:tcPr>
                  <w:tcW w:w="757" w:type="pct"/>
                  <w:vMerge w:val="continue"/>
                  <w:tcBorders>
                    <w:tl2br w:val="nil"/>
                    <w:tr2bl w:val="nil"/>
                  </w:tcBorders>
                  <w:shd w:val="clear" w:color="auto" w:fill="auto"/>
                  <w:vAlign w:val="center"/>
                </w:tcPr>
                <w:p w14:paraId="6C193D1E">
                  <w:pPr>
                    <w:jc w:val="center"/>
                    <w:rPr>
                      <w:rFonts w:hint="default" w:ascii="Times New Roman" w:hAnsi="Times New Roman" w:cs="Times New Roman"/>
                      <w:color w:val="auto"/>
                      <w:szCs w:val="21"/>
                    </w:rPr>
                  </w:pPr>
                </w:p>
              </w:tc>
              <w:tc>
                <w:tcPr>
                  <w:tcW w:w="770" w:type="pct"/>
                  <w:vMerge w:val="continue"/>
                  <w:tcBorders>
                    <w:tl2br w:val="nil"/>
                    <w:tr2bl w:val="nil"/>
                  </w:tcBorders>
                  <w:shd w:val="clear" w:color="auto" w:fill="auto"/>
                  <w:vAlign w:val="center"/>
                </w:tcPr>
                <w:p w14:paraId="3B971BF2">
                  <w:pPr>
                    <w:jc w:val="center"/>
                    <w:rPr>
                      <w:rFonts w:hint="default" w:ascii="Times New Roman" w:hAnsi="Times New Roman" w:cs="Times New Roman"/>
                      <w:color w:val="auto"/>
                      <w:szCs w:val="21"/>
                    </w:rPr>
                  </w:pPr>
                </w:p>
              </w:tc>
              <w:tc>
                <w:tcPr>
                  <w:tcW w:w="841" w:type="pct"/>
                  <w:vMerge w:val="continue"/>
                  <w:tcBorders>
                    <w:tl2br w:val="nil"/>
                    <w:tr2bl w:val="nil"/>
                  </w:tcBorders>
                  <w:vAlign w:val="center"/>
                </w:tcPr>
                <w:p w14:paraId="760442E0">
                  <w:pPr>
                    <w:jc w:val="center"/>
                    <w:rPr>
                      <w:rFonts w:hint="default" w:ascii="Times New Roman" w:hAnsi="Times New Roman" w:cs="Times New Roman"/>
                      <w:color w:val="auto"/>
                      <w:szCs w:val="21"/>
                    </w:rPr>
                  </w:pPr>
                </w:p>
              </w:tc>
              <w:tc>
                <w:tcPr>
                  <w:tcW w:w="706" w:type="pct"/>
                  <w:tcBorders>
                    <w:tl2br w:val="nil"/>
                    <w:tr2bl w:val="nil"/>
                  </w:tcBorders>
                  <w:vAlign w:val="center"/>
                </w:tcPr>
                <w:p w14:paraId="171757E6">
                  <w:pPr>
                    <w:jc w:val="center"/>
                    <w:rPr>
                      <w:rFonts w:hint="default" w:ascii="Times New Roman" w:hAnsi="Times New Roman" w:cs="Times New Roman"/>
                      <w:color w:val="auto"/>
                      <w:szCs w:val="21"/>
                    </w:rPr>
                  </w:pPr>
                  <w:r>
                    <w:rPr>
                      <w:rFonts w:hint="default" w:ascii="Times New Roman" w:hAnsi="Times New Roman" w:cs="Times New Roman"/>
                      <w:color w:val="auto"/>
                      <w:szCs w:val="21"/>
                    </w:rPr>
                    <w:t>苯并[a]芘</w:t>
                  </w:r>
                </w:p>
              </w:tc>
              <w:tc>
                <w:tcPr>
                  <w:tcW w:w="786" w:type="pct"/>
                  <w:tcBorders>
                    <w:tl2br w:val="nil"/>
                    <w:tr2bl w:val="nil"/>
                  </w:tcBorders>
                  <w:shd w:val="clear" w:color="auto" w:fill="auto"/>
                  <w:vAlign w:val="center"/>
                </w:tcPr>
                <w:p w14:paraId="575281B7">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lang w:val="en-US" w:eastAsia="zh-CN"/>
                    </w:rPr>
                    <w:t>4.00</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vertAlign w:val="superscript"/>
                      <w:lang w:val="en-US" w:eastAsia="zh-CN"/>
                    </w:rPr>
                    <w:t>6</w:t>
                  </w:r>
                </w:p>
              </w:tc>
              <w:tc>
                <w:tcPr>
                  <w:tcW w:w="790" w:type="pct"/>
                  <w:tcBorders>
                    <w:tl2br w:val="nil"/>
                    <w:tr2bl w:val="nil"/>
                  </w:tcBorders>
                  <w:shd w:val="clear" w:color="auto" w:fill="auto"/>
                  <w:vAlign w:val="center"/>
                </w:tcPr>
                <w:p w14:paraId="7EC59B2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4.44</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vertAlign w:val="superscript"/>
                      <w:lang w:val="en-US" w:eastAsia="zh-CN"/>
                    </w:rPr>
                    <w:t>6</w:t>
                  </w:r>
                </w:p>
              </w:tc>
            </w:tr>
            <w:tr w14:paraId="4AE9BA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47" w:type="pct"/>
                  <w:vMerge w:val="continue"/>
                  <w:tcBorders>
                    <w:tl2br w:val="nil"/>
                    <w:tr2bl w:val="nil"/>
                  </w:tcBorders>
                  <w:shd w:val="clear" w:color="auto" w:fill="auto"/>
                  <w:vAlign w:val="center"/>
                </w:tcPr>
                <w:p w14:paraId="4579D47C">
                  <w:pPr>
                    <w:jc w:val="center"/>
                    <w:rPr>
                      <w:rFonts w:hint="default" w:ascii="Times New Roman" w:hAnsi="Times New Roman" w:cs="Times New Roman"/>
                      <w:bCs/>
                      <w:color w:val="auto"/>
                      <w:kern w:val="0"/>
                      <w:szCs w:val="21"/>
                    </w:rPr>
                  </w:pPr>
                </w:p>
              </w:tc>
              <w:tc>
                <w:tcPr>
                  <w:tcW w:w="757" w:type="pct"/>
                  <w:vMerge w:val="continue"/>
                  <w:tcBorders>
                    <w:tl2br w:val="nil"/>
                    <w:tr2bl w:val="nil"/>
                  </w:tcBorders>
                  <w:shd w:val="clear" w:color="auto" w:fill="auto"/>
                  <w:vAlign w:val="center"/>
                </w:tcPr>
                <w:p w14:paraId="0519DFBD">
                  <w:pPr>
                    <w:jc w:val="center"/>
                    <w:rPr>
                      <w:rFonts w:hint="default" w:ascii="Times New Roman" w:hAnsi="Times New Roman" w:cs="Times New Roman"/>
                      <w:color w:val="auto"/>
                      <w:szCs w:val="21"/>
                    </w:rPr>
                  </w:pPr>
                </w:p>
              </w:tc>
              <w:tc>
                <w:tcPr>
                  <w:tcW w:w="770" w:type="pct"/>
                  <w:vMerge w:val="continue"/>
                  <w:tcBorders>
                    <w:tl2br w:val="nil"/>
                    <w:tr2bl w:val="nil"/>
                  </w:tcBorders>
                  <w:shd w:val="clear" w:color="auto" w:fill="auto"/>
                  <w:vAlign w:val="center"/>
                </w:tcPr>
                <w:p w14:paraId="1AD8C542">
                  <w:pPr>
                    <w:jc w:val="center"/>
                    <w:rPr>
                      <w:rFonts w:hint="default" w:ascii="Times New Roman" w:hAnsi="Times New Roman" w:cs="Times New Roman"/>
                      <w:color w:val="auto"/>
                      <w:szCs w:val="21"/>
                    </w:rPr>
                  </w:pPr>
                </w:p>
              </w:tc>
              <w:tc>
                <w:tcPr>
                  <w:tcW w:w="841" w:type="pct"/>
                  <w:vMerge w:val="continue"/>
                  <w:tcBorders>
                    <w:tl2br w:val="nil"/>
                    <w:tr2bl w:val="nil"/>
                  </w:tcBorders>
                  <w:vAlign w:val="center"/>
                </w:tcPr>
                <w:p w14:paraId="36160D4F">
                  <w:pPr>
                    <w:jc w:val="center"/>
                    <w:rPr>
                      <w:rFonts w:hint="default" w:ascii="Times New Roman" w:hAnsi="Times New Roman" w:cs="Times New Roman"/>
                      <w:color w:val="auto"/>
                      <w:szCs w:val="21"/>
                    </w:rPr>
                  </w:pPr>
                </w:p>
              </w:tc>
              <w:tc>
                <w:tcPr>
                  <w:tcW w:w="706" w:type="pct"/>
                  <w:tcBorders>
                    <w:tl2br w:val="nil"/>
                    <w:tr2bl w:val="nil"/>
                  </w:tcBorders>
                  <w:vAlign w:val="center"/>
                </w:tcPr>
                <w:p w14:paraId="4D4DF18F">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VOCs</w:t>
                  </w:r>
                  <w:r>
                    <w:rPr>
                      <w:rFonts w:hint="default" w:ascii="Times New Roman" w:hAnsi="Times New Roman" w:cs="Times New Roman"/>
                      <w:color w:val="auto"/>
                      <w:szCs w:val="21"/>
                      <w:lang w:eastAsia="zh-CN"/>
                    </w:rPr>
                    <w:t>（以非甲烷总烃计）</w:t>
                  </w:r>
                </w:p>
              </w:tc>
              <w:tc>
                <w:tcPr>
                  <w:tcW w:w="786" w:type="pct"/>
                  <w:tcBorders>
                    <w:tl2br w:val="nil"/>
                    <w:tr2bl w:val="nil"/>
                  </w:tcBorders>
                  <w:shd w:val="clear" w:color="auto" w:fill="auto"/>
                  <w:vAlign w:val="center"/>
                </w:tcPr>
                <w:p w14:paraId="1439F8EC">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lang w:val="en-US" w:eastAsia="zh-CN"/>
                    </w:rPr>
                    <w:t>0.1400</w:t>
                  </w:r>
                </w:p>
              </w:tc>
              <w:tc>
                <w:tcPr>
                  <w:tcW w:w="790" w:type="pct"/>
                  <w:tcBorders>
                    <w:tl2br w:val="nil"/>
                    <w:tr2bl w:val="nil"/>
                  </w:tcBorders>
                  <w:shd w:val="clear" w:color="auto" w:fill="auto"/>
                  <w:vAlign w:val="center"/>
                </w:tcPr>
                <w:p w14:paraId="6A70E52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0.1556</w:t>
                  </w:r>
                </w:p>
              </w:tc>
            </w:tr>
            <w:tr w14:paraId="419DE6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47" w:type="pct"/>
                  <w:vMerge w:val="continue"/>
                  <w:tcBorders>
                    <w:tl2br w:val="nil"/>
                    <w:tr2bl w:val="nil"/>
                  </w:tcBorders>
                  <w:vAlign w:val="center"/>
                </w:tcPr>
                <w:p w14:paraId="7B2E185C">
                  <w:pPr>
                    <w:jc w:val="center"/>
                    <w:rPr>
                      <w:rFonts w:hint="default" w:ascii="Times New Roman" w:hAnsi="Times New Roman" w:cs="Times New Roman"/>
                      <w:color w:val="auto"/>
                      <w:szCs w:val="21"/>
                    </w:rPr>
                  </w:pPr>
                </w:p>
              </w:tc>
              <w:tc>
                <w:tcPr>
                  <w:tcW w:w="757" w:type="pct"/>
                  <w:vMerge w:val="continue"/>
                  <w:tcBorders>
                    <w:tl2br w:val="nil"/>
                    <w:tr2bl w:val="nil"/>
                  </w:tcBorders>
                  <w:shd w:val="clear" w:color="auto" w:fill="auto"/>
                  <w:vAlign w:val="center"/>
                </w:tcPr>
                <w:p w14:paraId="33EFC193">
                  <w:pPr>
                    <w:jc w:val="center"/>
                    <w:rPr>
                      <w:rFonts w:hint="default" w:ascii="Times New Roman" w:hAnsi="Times New Roman" w:cs="Times New Roman"/>
                      <w:color w:val="auto"/>
                      <w:szCs w:val="21"/>
                    </w:rPr>
                  </w:pPr>
                </w:p>
              </w:tc>
              <w:tc>
                <w:tcPr>
                  <w:tcW w:w="770" w:type="pct"/>
                  <w:vMerge w:val="restart"/>
                  <w:tcBorders>
                    <w:tl2br w:val="nil"/>
                    <w:tr2bl w:val="nil"/>
                  </w:tcBorders>
                  <w:shd w:val="clear" w:color="auto" w:fill="auto"/>
                  <w:vAlign w:val="center"/>
                </w:tcPr>
                <w:p w14:paraId="3DB35166">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沥青储罐</w:t>
                  </w:r>
                </w:p>
              </w:tc>
              <w:tc>
                <w:tcPr>
                  <w:tcW w:w="841" w:type="pct"/>
                  <w:vMerge w:val="restart"/>
                  <w:tcBorders>
                    <w:tl2br w:val="nil"/>
                    <w:tr2bl w:val="nil"/>
                  </w:tcBorders>
                  <w:vAlign w:val="center"/>
                </w:tcPr>
                <w:p w14:paraId="36987BA3">
                  <w:pPr>
                    <w:jc w:val="center"/>
                    <w:rPr>
                      <w:rFonts w:hint="default" w:ascii="Times New Roman" w:hAnsi="Times New Roman" w:cs="Times New Roman"/>
                      <w:color w:val="auto"/>
                      <w:szCs w:val="21"/>
                    </w:rPr>
                  </w:pPr>
                  <w:r>
                    <w:rPr>
                      <w:rFonts w:hint="default" w:ascii="Times New Roman" w:hAnsi="Times New Roman" w:cs="Times New Roman"/>
                      <w:color w:val="auto"/>
                      <w:szCs w:val="21"/>
                    </w:rPr>
                    <w:t>沥青废气</w:t>
                  </w:r>
                </w:p>
              </w:tc>
              <w:tc>
                <w:tcPr>
                  <w:tcW w:w="706" w:type="pct"/>
                  <w:tcBorders>
                    <w:tl2br w:val="nil"/>
                    <w:tr2bl w:val="nil"/>
                  </w:tcBorders>
                  <w:shd w:val="clear" w:color="auto" w:fill="auto"/>
                  <w:vAlign w:val="center"/>
                </w:tcPr>
                <w:p w14:paraId="545776B9">
                  <w:pPr>
                    <w:jc w:val="center"/>
                    <w:rPr>
                      <w:rFonts w:hint="default" w:ascii="Times New Roman" w:hAnsi="Times New Roman" w:cs="Times New Roman"/>
                      <w:color w:val="auto"/>
                      <w:szCs w:val="21"/>
                    </w:rPr>
                  </w:pPr>
                  <w:r>
                    <w:rPr>
                      <w:rFonts w:hint="default" w:ascii="Times New Roman" w:hAnsi="Times New Roman" w:cs="Times New Roman"/>
                      <w:color w:val="auto"/>
                      <w:szCs w:val="21"/>
                    </w:rPr>
                    <w:t>沥青烟</w:t>
                  </w:r>
                </w:p>
              </w:tc>
              <w:tc>
                <w:tcPr>
                  <w:tcW w:w="786" w:type="pct"/>
                  <w:tcBorders>
                    <w:tl2br w:val="nil"/>
                    <w:tr2bl w:val="nil"/>
                  </w:tcBorders>
                  <w:shd w:val="clear" w:color="auto" w:fill="auto"/>
                  <w:vAlign w:val="center"/>
                </w:tcPr>
                <w:p w14:paraId="0B87944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0.0768</w:t>
                  </w:r>
                </w:p>
              </w:tc>
              <w:tc>
                <w:tcPr>
                  <w:tcW w:w="790" w:type="pct"/>
                  <w:tcBorders>
                    <w:tl2br w:val="nil"/>
                    <w:tr2bl w:val="nil"/>
                  </w:tcBorders>
                  <w:shd w:val="clear" w:color="auto" w:fill="auto"/>
                  <w:vAlign w:val="center"/>
                </w:tcPr>
                <w:p w14:paraId="7A0618A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0.0213</w:t>
                  </w:r>
                </w:p>
              </w:tc>
            </w:tr>
            <w:tr w14:paraId="5C596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47" w:type="pct"/>
                  <w:vMerge w:val="continue"/>
                  <w:tcBorders>
                    <w:tl2br w:val="nil"/>
                    <w:tr2bl w:val="nil"/>
                  </w:tcBorders>
                  <w:vAlign w:val="center"/>
                </w:tcPr>
                <w:p w14:paraId="23F19257">
                  <w:pPr>
                    <w:jc w:val="center"/>
                    <w:rPr>
                      <w:rFonts w:hint="default" w:ascii="Times New Roman" w:hAnsi="Times New Roman" w:cs="Times New Roman"/>
                      <w:color w:val="auto"/>
                      <w:szCs w:val="21"/>
                    </w:rPr>
                  </w:pPr>
                </w:p>
              </w:tc>
              <w:tc>
                <w:tcPr>
                  <w:tcW w:w="757" w:type="pct"/>
                  <w:vMerge w:val="continue"/>
                  <w:tcBorders>
                    <w:tl2br w:val="nil"/>
                    <w:tr2bl w:val="nil"/>
                  </w:tcBorders>
                  <w:shd w:val="clear" w:color="auto" w:fill="auto"/>
                  <w:vAlign w:val="center"/>
                </w:tcPr>
                <w:p w14:paraId="7605496E">
                  <w:pPr>
                    <w:jc w:val="center"/>
                    <w:rPr>
                      <w:rFonts w:hint="default" w:ascii="Times New Roman" w:hAnsi="Times New Roman" w:cs="Times New Roman"/>
                      <w:color w:val="auto"/>
                      <w:szCs w:val="21"/>
                    </w:rPr>
                  </w:pPr>
                </w:p>
              </w:tc>
              <w:tc>
                <w:tcPr>
                  <w:tcW w:w="770" w:type="pct"/>
                  <w:vMerge w:val="continue"/>
                  <w:tcBorders>
                    <w:tl2br w:val="nil"/>
                    <w:tr2bl w:val="nil"/>
                  </w:tcBorders>
                  <w:shd w:val="clear" w:color="auto" w:fill="auto"/>
                  <w:vAlign w:val="center"/>
                </w:tcPr>
                <w:p w14:paraId="3BC9E2F7">
                  <w:pPr>
                    <w:jc w:val="center"/>
                    <w:rPr>
                      <w:rFonts w:hint="default" w:ascii="Times New Roman" w:hAnsi="Times New Roman" w:cs="Times New Roman"/>
                      <w:color w:val="auto"/>
                      <w:szCs w:val="21"/>
                    </w:rPr>
                  </w:pPr>
                </w:p>
              </w:tc>
              <w:tc>
                <w:tcPr>
                  <w:tcW w:w="841" w:type="pct"/>
                  <w:vMerge w:val="continue"/>
                  <w:tcBorders>
                    <w:tl2br w:val="nil"/>
                    <w:tr2bl w:val="nil"/>
                  </w:tcBorders>
                  <w:vAlign w:val="center"/>
                </w:tcPr>
                <w:p w14:paraId="468E9D87">
                  <w:pPr>
                    <w:jc w:val="center"/>
                    <w:rPr>
                      <w:rFonts w:hint="default" w:ascii="Times New Roman" w:hAnsi="Times New Roman" w:cs="Times New Roman"/>
                      <w:color w:val="auto"/>
                      <w:szCs w:val="21"/>
                    </w:rPr>
                  </w:pPr>
                </w:p>
              </w:tc>
              <w:tc>
                <w:tcPr>
                  <w:tcW w:w="706" w:type="pct"/>
                  <w:tcBorders>
                    <w:tl2br w:val="nil"/>
                    <w:tr2bl w:val="nil"/>
                  </w:tcBorders>
                  <w:shd w:val="clear" w:color="auto" w:fill="auto"/>
                  <w:vAlign w:val="center"/>
                </w:tcPr>
                <w:p w14:paraId="2612EE6B">
                  <w:pPr>
                    <w:jc w:val="center"/>
                    <w:rPr>
                      <w:rFonts w:hint="default" w:ascii="Times New Roman" w:hAnsi="Times New Roman" w:cs="Times New Roman"/>
                      <w:color w:val="auto"/>
                      <w:szCs w:val="21"/>
                    </w:rPr>
                  </w:pPr>
                  <w:r>
                    <w:rPr>
                      <w:rFonts w:hint="default" w:ascii="Times New Roman" w:hAnsi="Times New Roman" w:cs="Times New Roman"/>
                      <w:color w:val="auto"/>
                      <w:szCs w:val="21"/>
                    </w:rPr>
                    <w:t>苯并[a]芘</w:t>
                  </w:r>
                </w:p>
              </w:tc>
              <w:tc>
                <w:tcPr>
                  <w:tcW w:w="786" w:type="pct"/>
                  <w:tcBorders>
                    <w:tl2br w:val="nil"/>
                    <w:tr2bl w:val="nil"/>
                  </w:tcBorders>
                  <w:shd w:val="clear" w:color="auto" w:fill="auto"/>
                  <w:vAlign w:val="center"/>
                </w:tcPr>
                <w:p w14:paraId="025BB3C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1.53</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vertAlign w:val="superscript"/>
                      <w:lang w:val="en-US" w:eastAsia="zh-CN"/>
                    </w:rPr>
                    <w:t>6</w:t>
                  </w:r>
                </w:p>
              </w:tc>
              <w:tc>
                <w:tcPr>
                  <w:tcW w:w="790" w:type="pct"/>
                  <w:tcBorders>
                    <w:tl2br w:val="nil"/>
                    <w:tr2bl w:val="nil"/>
                  </w:tcBorders>
                  <w:shd w:val="clear" w:color="auto" w:fill="auto"/>
                  <w:vAlign w:val="center"/>
                </w:tcPr>
                <w:p w14:paraId="703EFE6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4.26</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vertAlign w:val="superscript"/>
                      <w:lang w:val="en-US" w:eastAsia="zh-CN"/>
                    </w:rPr>
                    <w:t>7</w:t>
                  </w:r>
                </w:p>
              </w:tc>
            </w:tr>
            <w:tr w14:paraId="6F9BD0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47" w:type="pct"/>
                  <w:vMerge w:val="continue"/>
                  <w:tcBorders>
                    <w:tl2br w:val="nil"/>
                    <w:tr2bl w:val="nil"/>
                  </w:tcBorders>
                  <w:vAlign w:val="center"/>
                </w:tcPr>
                <w:p w14:paraId="40B26664">
                  <w:pPr>
                    <w:jc w:val="center"/>
                    <w:rPr>
                      <w:rFonts w:hint="default" w:ascii="Times New Roman" w:hAnsi="Times New Roman" w:cs="Times New Roman"/>
                      <w:color w:val="auto"/>
                      <w:szCs w:val="21"/>
                    </w:rPr>
                  </w:pPr>
                </w:p>
              </w:tc>
              <w:tc>
                <w:tcPr>
                  <w:tcW w:w="757" w:type="pct"/>
                  <w:vMerge w:val="continue"/>
                  <w:tcBorders>
                    <w:tl2br w:val="nil"/>
                    <w:tr2bl w:val="nil"/>
                  </w:tcBorders>
                  <w:shd w:val="clear" w:color="auto" w:fill="auto"/>
                  <w:vAlign w:val="center"/>
                </w:tcPr>
                <w:p w14:paraId="777C699E">
                  <w:pPr>
                    <w:jc w:val="center"/>
                    <w:rPr>
                      <w:rFonts w:hint="default" w:ascii="Times New Roman" w:hAnsi="Times New Roman" w:cs="Times New Roman"/>
                      <w:color w:val="auto"/>
                      <w:szCs w:val="21"/>
                    </w:rPr>
                  </w:pPr>
                </w:p>
              </w:tc>
              <w:tc>
                <w:tcPr>
                  <w:tcW w:w="770" w:type="pct"/>
                  <w:vMerge w:val="continue"/>
                  <w:tcBorders>
                    <w:tl2br w:val="nil"/>
                    <w:tr2bl w:val="nil"/>
                  </w:tcBorders>
                  <w:shd w:val="clear" w:color="auto" w:fill="auto"/>
                  <w:vAlign w:val="center"/>
                </w:tcPr>
                <w:p w14:paraId="34138F3B">
                  <w:pPr>
                    <w:jc w:val="center"/>
                    <w:rPr>
                      <w:rFonts w:hint="default" w:ascii="Times New Roman" w:hAnsi="Times New Roman" w:cs="Times New Roman"/>
                      <w:color w:val="auto"/>
                      <w:szCs w:val="21"/>
                    </w:rPr>
                  </w:pPr>
                </w:p>
              </w:tc>
              <w:tc>
                <w:tcPr>
                  <w:tcW w:w="841" w:type="pct"/>
                  <w:vMerge w:val="continue"/>
                  <w:tcBorders>
                    <w:tl2br w:val="nil"/>
                    <w:tr2bl w:val="nil"/>
                  </w:tcBorders>
                  <w:vAlign w:val="center"/>
                </w:tcPr>
                <w:p w14:paraId="32009DF6">
                  <w:pPr>
                    <w:jc w:val="center"/>
                    <w:rPr>
                      <w:rFonts w:hint="default" w:ascii="Times New Roman" w:hAnsi="Times New Roman" w:cs="Times New Roman"/>
                      <w:color w:val="auto"/>
                      <w:szCs w:val="21"/>
                    </w:rPr>
                  </w:pPr>
                </w:p>
              </w:tc>
              <w:tc>
                <w:tcPr>
                  <w:tcW w:w="706" w:type="pct"/>
                  <w:tcBorders>
                    <w:tl2br w:val="nil"/>
                    <w:tr2bl w:val="nil"/>
                  </w:tcBorders>
                  <w:shd w:val="clear" w:color="auto" w:fill="auto"/>
                  <w:vAlign w:val="center"/>
                </w:tcPr>
                <w:p w14:paraId="7792B8F6">
                  <w:pPr>
                    <w:jc w:val="center"/>
                    <w:rPr>
                      <w:rFonts w:hint="default" w:ascii="Times New Roman" w:hAnsi="Times New Roman" w:cs="Times New Roman"/>
                      <w:color w:val="auto"/>
                      <w:szCs w:val="21"/>
                    </w:rPr>
                  </w:pPr>
                  <w:r>
                    <w:rPr>
                      <w:rFonts w:hint="default" w:ascii="Times New Roman" w:hAnsi="Times New Roman" w:cs="Times New Roman"/>
                      <w:color w:val="auto"/>
                      <w:szCs w:val="21"/>
                    </w:rPr>
                    <w:t>VOCs</w:t>
                  </w:r>
                  <w:r>
                    <w:rPr>
                      <w:rFonts w:hint="default" w:ascii="Times New Roman" w:hAnsi="Times New Roman" w:cs="Times New Roman"/>
                      <w:color w:val="auto"/>
                      <w:szCs w:val="21"/>
                      <w:lang w:eastAsia="zh-CN"/>
                    </w:rPr>
                    <w:t>（以非甲烷总烃计）</w:t>
                  </w:r>
                </w:p>
              </w:tc>
              <w:tc>
                <w:tcPr>
                  <w:tcW w:w="786" w:type="pct"/>
                  <w:tcBorders>
                    <w:tl2br w:val="nil"/>
                    <w:tr2bl w:val="nil"/>
                  </w:tcBorders>
                  <w:shd w:val="clear" w:color="auto" w:fill="auto"/>
                  <w:vAlign w:val="center"/>
                </w:tcPr>
                <w:p w14:paraId="40821E6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0.0538</w:t>
                  </w:r>
                </w:p>
              </w:tc>
              <w:tc>
                <w:tcPr>
                  <w:tcW w:w="790" w:type="pct"/>
                  <w:tcBorders>
                    <w:tl2br w:val="nil"/>
                    <w:tr2bl w:val="nil"/>
                  </w:tcBorders>
                  <w:shd w:val="clear" w:color="auto" w:fill="auto"/>
                  <w:vAlign w:val="center"/>
                </w:tcPr>
                <w:p w14:paraId="19D9DBF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0.0149</w:t>
                  </w:r>
                </w:p>
              </w:tc>
            </w:tr>
            <w:tr w14:paraId="5E434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47" w:type="pct"/>
                  <w:vMerge w:val="continue"/>
                  <w:tcBorders>
                    <w:tl2br w:val="nil"/>
                    <w:tr2bl w:val="nil"/>
                  </w:tcBorders>
                  <w:vAlign w:val="center"/>
                </w:tcPr>
                <w:p w14:paraId="0C117D55">
                  <w:pPr>
                    <w:jc w:val="center"/>
                    <w:rPr>
                      <w:rFonts w:hint="default" w:ascii="Times New Roman" w:hAnsi="Times New Roman" w:cs="Times New Roman"/>
                      <w:color w:val="auto"/>
                      <w:szCs w:val="21"/>
                    </w:rPr>
                  </w:pPr>
                </w:p>
              </w:tc>
              <w:tc>
                <w:tcPr>
                  <w:tcW w:w="757" w:type="pct"/>
                  <w:tcBorders>
                    <w:tl2br w:val="nil"/>
                    <w:tr2bl w:val="nil"/>
                  </w:tcBorders>
                  <w:shd w:val="clear" w:color="auto" w:fill="auto"/>
                  <w:vAlign w:val="center"/>
                </w:tcPr>
                <w:p w14:paraId="12BE430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骨料烘干</w:t>
                  </w:r>
                </w:p>
              </w:tc>
              <w:tc>
                <w:tcPr>
                  <w:tcW w:w="770" w:type="pct"/>
                  <w:tcBorders>
                    <w:tl2br w:val="nil"/>
                    <w:tr2bl w:val="nil"/>
                  </w:tcBorders>
                  <w:shd w:val="clear" w:color="auto" w:fill="auto"/>
                  <w:vAlign w:val="center"/>
                </w:tcPr>
                <w:p w14:paraId="14FA8D6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骨料烘干</w:t>
                  </w:r>
                </w:p>
              </w:tc>
              <w:tc>
                <w:tcPr>
                  <w:tcW w:w="841" w:type="pct"/>
                  <w:tcBorders>
                    <w:tl2br w:val="nil"/>
                    <w:tr2bl w:val="nil"/>
                  </w:tcBorders>
                  <w:shd w:val="clear" w:color="auto" w:fill="auto"/>
                  <w:vAlign w:val="center"/>
                </w:tcPr>
                <w:p w14:paraId="584C5EB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骨料烘干</w:t>
                  </w:r>
                  <w:r>
                    <w:rPr>
                      <w:rFonts w:hint="default" w:ascii="Times New Roman" w:hAnsi="Times New Roman" w:cs="Times New Roman"/>
                      <w:color w:val="auto"/>
                      <w:szCs w:val="21"/>
                      <w:lang w:val="en-US" w:eastAsia="zh-CN"/>
                    </w:rPr>
                    <w:t>粉尘</w:t>
                  </w:r>
                </w:p>
              </w:tc>
              <w:tc>
                <w:tcPr>
                  <w:tcW w:w="706" w:type="pct"/>
                  <w:tcBorders>
                    <w:tl2br w:val="nil"/>
                    <w:tr2bl w:val="nil"/>
                  </w:tcBorders>
                  <w:shd w:val="clear" w:color="auto" w:fill="auto"/>
                  <w:vAlign w:val="center"/>
                </w:tcPr>
                <w:p w14:paraId="694B074F">
                  <w:pPr>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786" w:type="pct"/>
                  <w:tcBorders>
                    <w:tl2br w:val="nil"/>
                    <w:tr2bl w:val="nil"/>
                  </w:tcBorders>
                  <w:shd w:val="clear" w:color="auto" w:fill="auto"/>
                  <w:vAlign w:val="center"/>
                </w:tcPr>
                <w:p w14:paraId="3973B9F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23</w:t>
                  </w:r>
                </w:p>
              </w:tc>
              <w:tc>
                <w:tcPr>
                  <w:tcW w:w="790" w:type="pct"/>
                  <w:tcBorders>
                    <w:tl2br w:val="nil"/>
                    <w:tr2bl w:val="nil"/>
                  </w:tcBorders>
                  <w:shd w:val="clear" w:color="auto" w:fill="auto"/>
                  <w:vAlign w:val="center"/>
                </w:tcPr>
                <w:p w14:paraId="4FA3A56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25.5556</w:t>
                  </w:r>
                </w:p>
              </w:tc>
            </w:tr>
            <w:tr w14:paraId="25AEA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47" w:type="pct"/>
                  <w:vMerge w:val="continue"/>
                  <w:tcBorders>
                    <w:tl2br w:val="nil"/>
                    <w:tr2bl w:val="nil"/>
                  </w:tcBorders>
                  <w:vAlign w:val="center"/>
                </w:tcPr>
                <w:p w14:paraId="3DB0FA7A">
                  <w:pPr>
                    <w:jc w:val="center"/>
                    <w:rPr>
                      <w:rFonts w:hint="default" w:ascii="Times New Roman" w:hAnsi="Times New Roman" w:cs="Times New Roman"/>
                      <w:color w:val="auto"/>
                      <w:szCs w:val="21"/>
                    </w:rPr>
                  </w:pPr>
                </w:p>
              </w:tc>
              <w:tc>
                <w:tcPr>
                  <w:tcW w:w="757" w:type="pct"/>
                  <w:tcBorders>
                    <w:tl2br w:val="nil"/>
                    <w:tr2bl w:val="nil"/>
                  </w:tcBorders>
                  <w:shd w:val="clear" w:color="auto" w:fill="auto"/>
                  <w:vAlign w:val="center"/>
                </w:tcPr>
                <w:p w14:paraId="0C782760">
                  <w:pPr>
                    <w:jc w:val="center"/>
                    <w:rPr>
                      <w:rFonts w:hint="default" w:ascii="Times New Roman" w:hAnsi="Times New Roman" w:cs="Times New Roman"/>
                      <w:color w:val="auto"/>
                      <w:szCs w:val="21"/>
                    </w:rPr>
                  </w:pPr>
                  <w:r>
                    <w:rPr>
                      <w:rFonts w:hint="default" w:ascii="Times New Roman" w:hAnsi="Times New Roman" w:cs="Times New Roman"/>
                      <w:color w:val="auto"/>
                      <w:szCs w:val="21"/>
                    </w:rPr>
                    <w:t>骨料筛分</w:t>
                  </w:r>
                </w:p>
              </w:tc>
              <w:tc>
                <w:tcPr>
                  <w:tcW w:w="770" w:type="pct"/>
                  <w:tcBorders>
                    <w:tl2br w:val="nil"/>
                    <w:tr2bl w:val="nil"/>
                  </w:tcBorders>
                  <w:shd w:val="clear" w:color="auto" w:fill="auto"/>
                  <w:vAlign w:val="center"/>
                </w:tcPr>
                <w:p w14:paraId="62CC172E">
                  <w:pPr>
                    <w:jc w:val="center"/>
                    <w:rPr>
                      <w:rFonts w:hint="default" w:ascii="Times New Roman" w:hAnsi="Times New Roman" w:cs="Times New Roman"/>
                      <w:color w:val="auto"/>
                      <w:szCs w:val="21"/>
                    </w:rPr>
                  </w:pPr>
                  <w:r>
                    <w:rPr>
                      <w:rFonts w:hint="default" w:ascii="Times New Roman" w:hAnsi="Times New Roman" w:cs="Times New Roman"/>
                      <w:color w:val="auto"/>
                      <w:szCs w:val="21"/>
                    </w:rPr>
                    <w:t>骨料筛分</w:t>
                  </w:r>
                </w:p>
              </w:tc>
              <w:tc>
                <w:tcPr>
                  <w:tcW w:w="841" w:type="pct"/>
                  <w:tcBorders>
                    <w:tl2br w:val="nil"/>
                    <w:tr2bl w:val="nil"/>
                  </w:tcBorders>
                  <w:vAlign w:val="center"/>
                </w:tcPr>
                <w:p w14:paraId="13838C97">
                  <w:pPr>
                    <w:jc w:val="center"/>
                    <w:rPr>
                      <w:rFonts w:hint="default" w:ascii="Times New Roman" w:hAnsi="Times New Roman" w:cs="Times New Roman"/>
                      <w:color w:val="auto"/>
                      <w:szCs w:val="21"/>
                    </w:rPr>
                  </w:pPr>
                  <w:r>
                    <w:rPr>
                      <w:rFonts w:hint="default" w:ascii="Times New Roman" w:hAnsi="Times New Roman" w:cs="Times New Roman"/>
                      <w:color w:val="auto"/>
                      <w:szCs w:val="21"/>
                    </w:rPr>
                    <w:t>骨料筛分</w:t>
                  </w:r>
                  <w:r>
                    <w:rPr>
                      <w:rFonts w:hint="default" w:ascii="Times New Roman" w:hAnsi="Times New Roman" w:cs="Times New Roman"/>
                      <w:color w:val="auto"/>
                      <w:szCs w:val="21"/>
                      <w:lang w:val="en-US" w:eastAsia="zh-CN"/>
                    </w:rPr>
                    <w:t>粉尘</w:t>
                  </w:r>
                </w:p>
              </w:tc>
              <w:tc>
                <w:tcPr>
                  <w:tcW w:w="706" w:type="pct"/>
                  <w:tcBorders>
                    <w:tl2br w:val="nil"/>
                    <w:tr2bl w:val="nil"/>
                  </w:tcBorders>
                  <w:shd w:val="clear" w:color="auto" w:fill="auto"/>
                  <w:vAlign w:val="center"/>
                </w:tcPr>
                <w:p w14:paraId="018EAA6B">
                  <w:pPr>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786" w:type="pct"/>
                  <w:tcBorders>
                    <w:tl2br w:val="nil"/>
                    <w:tr2bl w:val="nil"/>
                  </w:tcBorders>
                  <w:shd w:val="clear" w:color="auto" w:fill="auto"/>
                  <w:vAlign w:val="center"/>
                </w:tcPr>
                <w:p w14:paraId="50F4971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5.75</w:t>
                  </w:r>
                </w:p>
              </w:tc>
              <w:tc>
                <w:tcPr>
                  <w:tcW w:w="790" w:type="pct"/>
                  <w:tcBorders>
                    <w:tl2br w:val="nil"/>
                    <w:tr2bl w:val="nil"/>
                  </w:tcBorders>
                  <w:shd w:val="clear" w:color="auto" w:fill="auto"/>
                  <w:vAlign w:val="center"/>
                </w:tcPr>
                <w:p w14:paraId="3842D5E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6.3889</w:t>
                  </w:r>
                </w:p>
              </w:tc>
            </w:tr>
            <w:tr w14:paraId="21B60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47" w:type="pct"/>
                  <w:vMerge w:val="continue"/>
                  <w:tcBorders>
                    <w:tl2br w:val="nil"/>
                    <w:tr2bl w:val="nil"/>
                  </w:tcBorders>
                  <w:vAlign w:val="center"/>
                </w:tcPr>
                <w:p w14:paraId="1427CB90">
                  <w:pPr>
                    <w:jc w:val="center"/>
                    <w:rPr>
                      <w:rFonts w:hint="default" w:ascii="Times New Roman" w:hAnsi="Times New Roman" w:cs="Times New Roman"/>
                      <w:color w:val="auto"/>
                      <w:szCs w:val="21"/>
                    </w:rPr>
                  </w:pPr>
                </w:p>
              </w:tc>
              <w:tc>
                <w:tcPr>
                  <w:tcW w:w="757" w:type="pct"/>
                  <w:vMerge w:val="restart"/>
                  <w:tcBorders>
                    <w:tl2br w:val="nil"/>
                    <w:tr2bl w:val="nil"/>
                  </w:tcBorders>
                  <w:shd w:val="clear" w:color="auto" w:fill="auto"/>
                  <w:vAlign w:val="center"/>
                </w:tcPr>
                <w:p w14:paraId="7AAB275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骨料烘干</w:t>
                  </w:r>
                </w:p>
              </w:tc>
              <w:tc>
                <w:tcPr>
                  <w:tcW w:w="770" w:type="pct"/>
                  <w:vMerge w:val="restart"/>
                  <w:tcBorders>
                    <w:tl2br w:val="nil"/>
                    <w:tr2bl w:val="nil"/>
                  </w:tcBorders>
                  <w:shd w:val="clear" w:color="auto" w:fill="auto"/>
                  <w:vAlign w:val="center"/>
                </w:tcPr>
                <w:p w14:paraId="2A50F2B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骨料烘干</w:t>
                  </w:r>
                </w:p>
              </w:tc>
              <w:tc>
                <w:tcPr>
                  <w:tcW w:w="841" w:type="pct"/>
                  <w:vMerge w:val="restart"/>
                  <w:tcBorders>
                    <w:tl2br w:val="nil"/>
                    <w:tr2bl w:val="nil"/>
                  </w:tcBorders>
                  <w:shd w:val="clear" w:color="auto" w:fill="auto"/>
                  <w:vAlign w:val="center"/>
                </w:tcPr>
                <w:p w14:paraId="31F410D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燃烧废气</w:t>
                  </w:r>
                </w:p>
              </w:tc>
              <w:tc>
                <w:tcPr>
                  <w:tcW w:w="706" w:type="pct"/>
                  <w:tcBorders>
                    <w:tl2br w:val="nil"/>
                    <w:tr2bl w:val="nil"/>
                  </w:tcBorders>
                  <w:shd w:val="clear" w:color="auto" w:fill="auto"/>
                  <w:vAlign w:val="center"/>
                </w:tcPr>
                <w:p w14:paraId="110F7F8E">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二氧化硫</w:t>
                  </w:r>
                </w:p>
              </w:tc>
              <w:tc>
                <w:tcPr>
                  <w:tcW w:w="786" w:type="pct"/>
                  <w:tcBorders>
                    <w:tl2br w:val="nil"/>
                    <w:tr2bl w:val="nil"/>
                  </w:tcBorders>
                  <w:shd w:val="clear" w:color="auto" w:fill="auto"/>
                  <w:vAlign w:val="center"/>
                </w:tcPr>
                <w:p w14:paraId="553EF58E">
                  <w:pPr>
                    <w:pStyle w:val="25"/>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0.1520</w:t>
                  </w:r>
                </w:p>
              </w:tc>
              <w:tc>
                <w:tcPr>
                  <w:tcW w:w="790" w:type="pct"/>
                  <w:tcBorders>
                    <w:tl2br w:val="nil"/>
                    <w:tr2bl w:val="nil"/>
                  </w:tcBorders>
                  <w:shd w:val="clear" w:color="auto" w:fill="auto"/>
                  <w:vAlign w:val="center"/>
                </w:tcPr>
                <w:p w14:paraId="65494E60">
                  <w:pPr>
                    <w:pStyle w:val="25"/>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0.1689</w:t>
                  </w:r>
                </w:p>
              </w:tc>
            </w:tr>
            <w:tr w14:paraId="19D49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47" w:type="pct"/>
                  <w:vMerge w:val="continue"/>
                  <w:tcBorders>
                    <w:tl2br w:val="nil"/>
                    <w:tr2bl w:val="nil"/>
                  </w:tcBorders>
                  <w:vAlign w:val="center"/>
                </w:tcPr>
                <w:p w14:paraId="3FBF581B">
                  <w:pPr>
                    <w:jc w:val="center"/>
                    <w:rPr>
                      <w:rFonts w:hint="default" w:ascii="Times New Roman" w:hAnsi="Times New Roman" w:cs="Times New Roman"/>
                      <w:color w:val="auto"/>
                      <w:szCs w:val="21"/>
                    </w:rPr>
                  </w:pPr>
                </w:p>
              </w:tc>
              <w:tc>
                <w:tcPr>
                  <w:tcW w:w="757" w:type="pct"/>
                  <w:vMerge w:val="continue"/>
                  <w:tcBorders>
                    <w:tl2br w:val="nil"/>
                    <w:tr2bl w:val="nil"/>
                  </w:tcBorders>
                  <w:vAlign w:val="center"/>
                </w:tcPr>
                <w:p w14:paraId="63DD095B">
                  <w:pPr>
                    <w:jc w:val="center"/>
                    <w:rPr>
                      <w:rFonts w:hint="default" w:ascii="Times New Roman" w:hAnsi="Times New Roman" w:cs="Times New Roman"/>
                      <w:color w:val="auto"/>
                      <w:szCs w:val="21"/>
                    </w:rPr>
                  </w:pPr>
                </w:p>
              </w:tc>
              <w:tc>
                <w:tcPr>
                  <w:tcW w:w="770" w:type="pct"/>
                  <w:vMerge w:val="continue"/>
                  <w:tcBorders>
                    <w:tl2br w:val="nil"/>
                    <w:tr2bl w:val="nil"/>
                  </w:tcBorders>
                  <w:vAlign w:val="center"/>
                </w:tcPr>
                <w:p w14:paraId="209CC175">
                  <w:pPr>
                    <w:jc w:val="center"/>
                    <w:rPr>
                      <w:rFonts w:hint="default" w:ascii="Times New Roman" w:hAnsi="Times New Roman" w:cs="Times New Roman"/>
                      <w:color w:val="auto"/>
                      <w:szCs w:val="21"/>
                    </w:rPr>
                  </w:pPr>
                </w:p>
              </w:tc>
              <w:tc>
                <w:tcPr>
                  <w:tcW w:w="841" w:type="pct"/>
                  <w:vMerge w:val="continue"/>
                  <w:tcBorders>
                    <w:tl2br w:val="nil"/>
                    <w:tr2bl w:val="nil"/>
                  </w:tcBorders>
                  <w:vAlign w:val="center"/>
                </w:tcPr>
                <w:p w14:paraId="1F0AE147">
                  <w:pPr>
                    <w:jc w:val="center"/>
                    <w:rPr>
                      <w:rFonts w:hint="default" w:ascii="Times New Roman" w:hAnsi="Times New Roman" w:cs="Times New Roman"/>
                      <w:color w:val="auto"/>
                      <w:szCs w:val="21"/>
                    </w:rPr>
                  </w:pPr>
                </w:p>
              </w:tc>
              <w:tc>
                <w:tcPr>
                  <w:tcW w:w="706" w:type="pct"/>
                  <w:tcBorders>
                    <w:tl2br w:val="nil"/>
                    <w:tr2bl w:val="nil"/>
                  </w:tcBorders>
                  <w:shd w:val="clear" w:color="auto" w:fill="auto"/>
                  <w:vAlign w:val="center"/>
                </w:tcPr>
                <w:p w14:paraId="42A003AF">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烟尘</w:t>
                  </w:r>
                </w:p>
              </w:tc>
              <w:tc>
                <w:tcPr>
                  <w:tcW w:w="786" w:type="pct"/>
                  <w:tcBorders>
                    <w:tl2br w:val="nil"/>
                    <w:tr2bl w:val="nil"/>
                  </w:tcBorders>
                  <w:shd w:val="clear" w:color="auto" w:fill="auto"/>
                  <w:vAlign w:val="center"/>
                </w:tcPr>
                <w:p w14:paraId="34E25156">
                  <w:pPr>
                    <w:pStyle w:val="25"/>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0.0520</w:t>
                  </w:r>
                </w:p>
              </w:tc>
              <w:tc>
                <w:tcPr>
                  <w:tcW w:w="790" w:type="pct"/>
                  <w:tcBorders>
                    <w:tl2br w:val="nil"/>
                    <w:tr2bl w:val="nil"/>
                  </w:tcBorders>
                  <w:shd w:val="clear" w:color="auto" w:fill="auto"/>
                  <w:vAlign w:val="center"/>
                </w:tcPr>
                <w:p w14:paraId="43250957">
                  <w:pPr>
                    <w:pStyle w:val="25"/>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0.0578</w:t>
                  </w:r>
                </w:p>
              </w:tc>
            </w:tr>
            <w:tr w14:paraId="2B5E83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47" w:type="pct"/>
                  <w:vMerge w:val="continue"/>
                  <w:tcBorders>
                    <w:tl2br w:val="nil"/>
                    <w:tr2bl w:val="nil"/>
                  </w:tcBorders>
                  <w:vAlign w:val="center"/>
                </w:tcPr>
                <w:p w14:paraId="1D4188BC">
                  <w:pPr>
                    <w:jc w:val="center"/>
                    <w:rPr>
                      <w:rFonts w:hint="default" w:ascii="Times New Roman" w:hAnsi="Times New Roman" w:cs="Times New Roman"/>
                      <w:color w:val="auto"/>
                      <w:szCs w:val="21"/>
                    </w:rPr>
                  </w:pPr>
                </w:p>
              </w:tc>
              <w:tc>
                <w:tcPr>
                  <w:tcW w:w="757" w:type="pct"/>
                  <w:vMerge w:val="continue"/>
                  <w:tcBorders>
                    <w:tl2br w:val="nil"/>
                    <w:tr2bl w:val="nil"/>
                  </w:tcBorders>
                  <w:vAlign w:val="center"/>
                </w:tcPr>
                <w:p w14:paraId="5A6E92A6">
                  <w:pPr>
                    <w:jc w:val="center"/>
                    <w:rPr>
                      <w:rFonts w:hint="default" w:ascii="Times New Roman" w:hAnsi="Times New Roman" w:cs="Times New Roman"/>
                      <w:color w:val="auto"/>
                      <w:szCs w:val="21"/>
                    </w:rPr>
                  </w:pPr>
                </w:p>
              </w:tc>
              <w:tc>
                <w:tcPr>
                  <w:tcW w:w="770" w:type="pct"/>
                  <w:vMerge w:val="continue"/>
                  <w:tcBorders>
                    <w:tl2br w:val="nil"/>
                    <w:tr2bl w:val="nil"/>
                  </w:tcBorders>
                  <w:vAlign w:val="center"/>
                </w:tcPr>
                <w:p w14:paraId="6BC5D277">
                  <w:pPr>
                    <w:jc w:val="center"/>
                    <w:rPr>
                      <w:rFonts w:hint="default" w:ascii="Times New Roman" w:hAnsi="Times New Roman" w:cs="Times New Roman"/>
                      <w:color w:val="auto"/>
                      <w:szCs w:val="21"/>
                    </w:rPr>
                  </w:pPr>
                </w:p>
              </w:tc>
              <w:tc>
                <w:tcPr>
                  <w:tcW w:w="841" w:type="pct"/>
                  <w:vMerge w:val="continue"/>
                  <w:tcBorders>
                    <w:tl2br w:val="nil"/>
                    <w:tr2bl w:val="nil"/>
                  </w:tcBorders>
                  <w:shd w:val="clear" w:color="auto" w:fill="auto"/>
                  <w:vAlign w:val="center"/>
                </w:tcPr>
                <w:p w14:paraId="5E88BE3D">
                  <w:pPr>
                    <w:jc w:val="center"/>
                    <w:rPr>
                      <w:rFonts w:hint="default" w:ascii="Times New Roman" w:hAnsi="Times New Roman" w:cs="Times New Roman"/>
                      <w:color w:val="auto"/>
                      <w:szCs w:val="21"/>
                    </w:rPr>
                  </w:pPr>
                </w:p>
              </w:tc>
              <w:tc>
                <w:tcPr>
                  <w:tcW w:w="706" w:type="pct"/>
                  <w:tcBorders>
                    <w:tl2br w:val="nil"/>
                    <w:tr2bl w:val="nil"/>
                  </w:tcBorders>
                  <w:shd w:val="clear" w:color="auto" w:fill="auto"/>
                  <w:vAlign w:val="center"/>
                </w:tcPr>
                <w:p w14:paraId="4C2AB693">
                  <w:pPr>
                    <w:pStyle w:val="25"/>
                    <w:spacing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氮氧化物</w:t>
                  </w:r>
                </w:p>
              </w:tc>
              <w:tc>
                <w:tcPr>
                  <w:tcW w:w="786" w:type="pct"/>
                  <w:tcBorders>
                    <w:tl2br w:val="nil"/>
                    <w:tr2bl w:val="nil"/>
                  </w:tcBorders>
                  <w:shd w:val="clear" w:color="auto" w:fill="auto"/>
                  <w:vAlign w:val="center"/>
                </w:tcPr>
                <w:p w14:paraId="11D8EEB0">
                  <w:pPr>
                    <w:pStyle w:val="25"/>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0.3680</w:t>
                  </w:r>
                </w:p>
              </w:tc>
              <w:tc>
                <w:tcPr>
                  <w:tcW w:w="790" w:type="pct"/>
                  <w:tcBorders>
                    <w:tl2br w:val="nil"/>
                    <w:tr2bl w:val="nil"/>
                  </w:tcBorders>
                  <w:shd w:val="clear" w:color="auto" w:fill="auto"/>
                  <w:vAlign w:val="center"/>
                </w:tcPr>
                <w:p w14:paraId="1929B9DE">
                  <w:pPr>
                    <w:pStyle w:val="25"/>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0.4089</w:t>
                  </w:r>
                </w:p>
              </w:tc>
            </w:tr>
            <w:tr w14:paraId="1D5105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47" w:type="pct"/>
                  <w:vMerge w:val="restart"/>
                  <w:tcBorders>
                    <w:tl2br w:val="nil"/>
                    <w:tr2bl w:val="nil"/>
                  </w:tcBorders>
                  <w:vAlign w:val="center"/>
                </w:tcPr>
                <w:p w14:paraId="65CB55E5">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57" w:type="pct"/>
                  <w:tcBorders>
                    <w:tl2br w:val="nil"/>
                    <w:tr2bl w:val="nil"/>
                  </w:tcBorders>
                  <w:shd w:val="clear" w:color="auto" w:fill="auto"/>
                  <w:vAlign w:val="center"/>
                </w:tcPr>
                <w:p w14:paraId="6FF4F217">
                  <w:pPr>
                    <w:jc w:val="center"/>
                    <w:rPr>
                      <w:rFonts w:hint="default" w:ascii="Times New Roman" w:hAnsi="Times New Roman" w:cs="Times New Roman"/>
                      <w:color w:val="auto"/>
                      <w:szCs w:val="21"/>
                    </w:rPr>
                  </w:pPr>
                  <w:r>
                    <w:rPr>
                      <w:rFonts w:hint="default" w:ascii="Times New Roman" w:hAnsi="Times New Roman" w:cs="Times New Roman"/>
                      <w:color w:val="auto"/>
                      <w:szCs w:val="21"/>
                    </w:rPr>
                    <w:t>贮存</w:t>
                  </w:r>
                </w:p>
              </w:tc>
              <w:tc>
                <w:tcPr>
                  <w:tcW w:w="770" w:type="pct"/>
                  <w:tcBorders>
                    <w:tl2br w:val="nil"/>
                    <w:tr2bl w:val="nil"/>
                  </w:tcBorders>
                  <w:shd w:val="clear" w:color="auto" w:fill="auto"/>
                  <w:vAlign w:val="center"/>
                </w:tcPr>
                <w:p w14:paraId="56D5BF9C">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骨料堆场</w:t>
                  </w:r>
                </w:p>
              </w:tc>
              <w:tc>
                <w:tcPr>
                  <w:tcW w:w="841" w:type="pct"/>
                  <w:tcBorders>
                    <w:tl2br w:val="nil"/>
                    <w:tr2bl w:val="nil"/>
                  </w:tcBorders>
                  <w:shd w:val="clear" w:color="auto" w:fill="auto"/>
                  <w:vAlign w:val="center"/>
                </w:tcPr>
                <w:p w14:paraId="4D46AF46">
                  <w:pPr>
                    <w:jc w:val="center"/>
                    <w:rPr>
                      <w:rFonts w:hint="default" w:ascii="Times New Roman" w:hAnsi="Times New Roman" w:cs="Times New Roman"/>
                      <w:color w:val="auto"/>
                      <w:szCs w:val="21"/>
                    </w:rPr>
                  </w:pPr>
                  <w:r>
                    <w:rPr>
                      <w:rFonts w:hint="default" w:ascii="Times New Roman" w:hAnsi="Times New Roman" w:cs="Times New Roman"/>
                      <w:color w:val="auto"/>
                      <w:szCs w:val="21"/>
                    </w:rPr>
                    <w:t>堆场扬尘</w:t>
                  </w:r>
                </w:p>
              </w:tc>
              <w:tc>
                <w:tcPr>
                  <w:tcW w:w="706" w:type="pct"/>
                  <w:tcBorders>
                    <w:tl2br w:val="nil"/>
                    <w:tr2bl w:val="nil"/>
                  </w:tcBorders>
                  <w:shd w:val="clear" w:color="auto" w:fill="auto"/>
                  <w:vAlign w:val="center"/>
                </w:tcPr>
                <w:p w14:paraId="03E3780C">
                  <w:pPr>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786" w:type="pct"/>
                  <w:tcBorders>
                    <w:tl2br w:val="nil"/>
                    <w:tr2bl w:val="nil"/>
                  </w:tcBorders>
                  <w:shd w:val="clear" w:color="auto" w:fill="auto"/>
                  <w:vAlign w:val="center"/>
                </w:tcPr>
                <w:p w14:paraId="6FEF352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2.8227</w:t>
                  </w:r>
                </w:p>
              </w:tc>
              <w:tc>
                <w:tcPr>
                  <w:tcW w:w="790" w:type="pct"/>
                  <w:tcBorders>
                    <w:tl2br w:val="nil"/>
                    <w:tr2bl w:val="nil"/>
                  </w:tcBorders>
                  <w:shd w:val="clear" w:color="auto" w:fill="auto"/>
                  <w:vAlign w:val="center"/>
                </w:tcPr>
                <w:p w14:paraId="49D1068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0.7841</w:t>
                  </w:r>
                </w:p>
              </w:tc>
            </w:tr>
            <w:tr w14:paraId="7AF8B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47" w:type="pct"/>
                  <w:vMerge w:val="continue"/>
                </w:tcPr>
                <w:p w14:paraId="65F95103">
                  <w:pPr>
                    <w:jc w:val="center"/>
                    <w:rPr>
                      <w:rFonts w:hint="default" w:ascii="Times New Roman" w:hAnsi="Times New Roman" w:cs="Times New Roman"/>
                      <w:color w:val="auto"/>
                      <w:szCs w:val="21"/>
                    </w:rPr>
                  </w:pPr>
                </w:p>
              </w:tc>
              <w:tc>
                <w:tcPr>
                  <w:tcW w:w="757" w:type="pct"/>
                  <w:shd w:val="clear" w:color="auto" w:fill="auto"/>
                  <w:vAlign w:val="center"/>
                </w:tcPr>
                <w:p w14:paraId="45DD6BA1">
                  <w:pPr>
                    <w:jc w:val="center"/>
                    <w:rPr>
                      <w:rFonts w:hint="default" w:ascii="Times New Roman" w:hAnsi="Times New Roman" w:cs="Times New Roman"/>
                      <w:color w:val="auto"/>
                      <w:szCs w:val="21"/>
                    </w:rPr>
                  </w:pPr>
                  <w:r>
                    <w:rPr>
                      <w:rFonts w:hint="default" w:ascii="Times New Roman" w:hAnsi="Times New Roman" w:cs="Times New Roman"/>
                      <w:color w:val="auto"/>
                      <w:szCs w:val="21"/>
                    </w:rPr>
                    <w:t>卸料</w:t>
                  </w:r>
                </w:p>
              </w:tc>
              <w:tc>
                <w:tcPr>
                  <w:tcW w:w="770" w:type="pct"/>
                  <w:shd w:val="clear" w:color="auto" w:fill="auto"/>
                  <w:vAlign w:val="center"/>
                </w:tcPr>
                <w:p w14:paraId="3182A096">
                  <w:pPr>
                    <w:jc w:val="center"/>
                    <w:rPr>
                      <w:rFonts w:hint="default" w:ascii="Times New Roman" w:hAnsi="Times New Roman" w:cs="Times New Roman"/>
                      <w:color w:val="auto"/>
                      <w:szCs w:val="21"/>
                    </w:rPr>
                  </w:pPr>
                  <w:r>
                    <w:rPr>
                      <w:rFonts w:hint="default" w:ascii="Times New Roman" w:hAnsi="Times New Roman" w:cs="Times New Roman"/>
                      <w:color w:val="auto"/>
                      <w:szCs w:val="21"/>
                    </w:rPr>
                    <w:t>原料卸料</w:t>
                  </w:r>
                </w:p>
              </w:tc>
              <w:tc>
                <w:tcPr>
                  <w:tcW w:w="841" w:type="pct"/>
                  <w:shd w:val="clear" w:color="auto" w:fill="auto"/>
                  <w:vAlign w:val="center"/>
                </w:tcPr>
                <w:p w14:paraId="4C7CB671">
                  <w:pPr>
                    <w:jc w:val="center"/>
                    <w:rPr>
                      <w:rFonts w:hint="default" w:ascii="Times New Roman" w:hAnsi="Times New Roman" w:cs="Times New Roman"/>
                      <w:color w:val="auto"/>
                      <w:szCs w:val="21"/>
                    </w:rPr>
                  </w:pPr>
                  <w:r>
                    <w:rPr>
                      <w:rFonts w:hint="default" w:ascii="Times New Roman" w:hAnsi="Times New Roman" w:cs="Times New Roman"/>
                      <w:color w:val="auto"/>
                      <w:szCs w:val="21"/>
                    </w:rPr>
                    <w:t>卸料粉尘</w:t>
                  </w:r>
                </w:p>
              </w:tc>
              <w:tc>
                <w:tcPr>
                  <w:tcW w:w="706" w:type="pct"/>
                  <w:shd w:val="clear" w:color="auto" w:fill="auto"/>
                  <w:vAlign w:val="center"/>
                </w:tcPr>
                <w:p w14:paraId="5C507F19">
                  <w:pPr>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786" w:type="pct"/>
                  <w:shd w:val="clear" w:color="auto" w:fill="auto"/>
                  <w:vAlign w:val="center"/>
                </w:tcPr>
                <w:p w14:paraId="063F2DD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0.0075</w:t>
                  </w:r>
                </w:p>
              </w:tc>
              <w:tc>
                <w:tcPr>
                  <w:tcW w:w="790" w:type="pct"/>
                  <w:shd w:val="clear" w:color="auto" w:fill="auto"/>
                  <w:vAlign w:val="center"/>
                </w:tcPr>
                <w:p w14:paraId="1566896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0.0084</w:t>
                  </w:r>
                </w:p>
              </w:tc>
            </w:tr>
            <w:tr w14:paraId="05C938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47" w:type="pct"/>
                  <w:vMerge w:val="continue"/>
                </w:tcPr>
                <w:p w14:paraId="08D42BCD">
                  <w:pPr>
                    <w:jc w:val="center"/>
                    <w:rPr>
                      <w:rFonts w:hint="default" w:ascii="Times New Roman" w:hAnsi="Times New Roman" w:cs="Times New Roman"/>
                      <w:color w:val="auto"/>
                      <w:szCs w:val="21"/>
                    </w:rPr>
                  </w:pPr>
                </w:p>
              </w:tc>
              <w:tc>
                <w:tcPr>
                  <w:tcW w:w="757" w:type="pct"/>
                  <w:vMerge w:val="restart"/>
                  <w:shd w:val="clear" w:color="auto" w:fill="auto"/>
                  <w:vAlign w:val="center"/>
                </w:tcPr>
                <w:p w14:paraId="3CF471C5">
                  <w:pPr>
                    <w:jc w:val="center"/>
                    <w:rPr>
                      <w:rFonts w:hint="default" w:ascii="Times New Roman" w:hAnsi="Times New Roman" w:cs="Times New Roman"/>
                      <w:color w:val="auto"/>
                      <w:szCs w:val="21"/>
                    </w:rPr>
                  </w:pPr>
                  <w:r>
                    <w:rPr>
                      <w:rFonts w:hint="default" w:ascii="Times New Roman" w:hAnsi="Times New Roman" w:cs="Times New Roman"/>
                      <w:color w:val="auto"/>
                      <w:szCs w:val="21"/>
                    </w:rPr>
                    <w:t>运输</w:t>
                  </w:r>
                </w:p>
              </w:tc>
              <w:tc>
                <w:tcPr>
                  <w:tcW w:w="770" w:type="pct"/>
                  <w:vMerge w:val="restart"/>
                  <w:shd w:val="clear" w:color="auto" w:fill="auto"/>
                  <w:vAlign w:val="center"/>
                </w:tcPr>
                <w:p w14:paraId="306413D4">
                  <w:pPr>
                    <w:jc w:val="center"/>
                    <w:rPr>
                      <w:rFonts w:hint="default" w:ascii="Times New Roman" w:hAnsi="Times New Roman" w:cs="Times New Roman"/>
                      <w:color w:val="auto"/>
                      <w:szCs w:val="21"/>
                    </w:rPr>
                  </w:pPr>
                  <w:r>
                    <w:rPr>
                      <w:rFonts w:hint="default" w:ascii="Times New Roman" w:hAnsi="Times New Roman" w:cs="Times New Roman"/>
                      <w:color w:val="auto"/>
                      <w:szCs w:val="21"/>
                    </w:rPr>
                    <w:t>运输车辆</w:t>
                  </w:r>
                </w:p>
              </w:tc>
              <w:tc>
                <w:tcPr>
                  <w:tcW w:w="841" w:type="pct"/>
                  <w:shd w:val="clear" w:color="auto" w:fill="auto"/>
                  <w:vAlign w:val="center"/>
                </w:tcPr>
                <w:p w14:paraId="12C5DD8B">
                  <w:pPr>
                    <w:jc w:val="center"/>
                    <w:rPr>
                      <w:rFonts w:hint="default" w:ascii="Times New Roman" w:hAnsi="Times New Roman" w:cs="Times New Roman"/>
                      <w:color w:val="auto"/>
                      <w:szCs w:val="21"/>
                    </w:rPr>
                  </w:pPr>
                  <w:r>
                    <w:rPr>
                      <w:rFonts w:hint="default" w:ascii="Times New Roman" w:hAnsi="Times New Roman" w:cs="Times New Roman"/>
                      <w:color w:val="auto"/>
                      <w:szCs w:val="21"/>
                    </w:rPr>
                    <w:t>运输扬尘</w:t>
                  </w:r>
                </w:p>
              </w:tc>
              <w:tc>
                <w:tcPr>
                  <w:tcW w:w="706" w:type="pct"/>
                  <w:shd w:val="clear" w:color="auto" w:fill="auto"/>
                  <w:vAlign w:val="center"/>
                </w:tcPr>
                <w:p w14:paraId="13E84DFB">
                  <w:pPr>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786" w:type="pct"/>
                  <w:shd w:val="clear" w:color="auto" w:fill="auto"/>
                  <w:vAlign w:val="center"/>
                </w:tcPr>
                <w:p w14:paraId="3B22979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0.0656</w:t>
                  </w:r>
                </w:p>
              </w:tc>
              <w:tc>
                <w:tcPr>
                  <w:tcW w:w="790" w:type="pct"/>
                  <w:shd w:val="clear" w:color="auto" w:fill="auto"/>
                  <w:vAlign w:val="center"/>
                </w:tcPr>
                <w:p w14:paraId="0072D8F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0.0437</w:t>
                  </w:r>
                </w:p>
              </w:tc>
            </w:tr>
            <w:tr w14:paraId="024D1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47" w:type="pct"/>
                  <w:vMerge w:val="continue"/>
                </w:tcPr>
                <w:p w14:paraId="6FE2ECD1">
                  <w:pPr>
                    <w:jc w:val="center"/>
                    <w:rPr>
                      <w:rFonts w:hint="default" w:ascii="Times New Roman" w:hAnsi="Times New Roman" w:cs="Times New Roman"/>
                      <w:color w:val="auto"/>
                      <w:szCs w:val="21"/>
                    </w:rPr>
                  </w:pPr>
                </w:p>
              </w:tc>
              <w:tc>
                <w:tcPr>
                  <w:tcW w:w="757" w:type="pct"/>
                  <w:vMerge w:val="continue"/>
                </w:tcPr>
                <w:p w14:paraId="4BEDD4DD">
                  <w:pPr>
                    <w:jc w:val="center"/>
                    <w:rPr>
                      <w:rFonts w:hint="default" w:ascii="Times New Roman" w:hAnsi="Times New Roman" w:cs="Times New Roman"/>
                      <w:color w:val="auto"/>
                      <w:szCs w:val="21"/>
                    </w:rPr>
                  </w:pPr>
                </w:p>
              </w:tc>
              <w:tc>
                <w:tcPr>
                  <w:tcW w:w="770" w:type="pct"/>
                  <w:vMerge w:val="continue"/>
                </w:tcPr>
                <w:p w14:paraId="700AA42D">
                  <w:pPr>
                    <w:jc w:val="center"/>
                    <w:rPr>
                      <w:rFonts w:hint="default" w:ascii="Times New Roman" w:hAnsi="Times New Roman" w:cs="Times New Roman"/>
                      <w:color w:val="auto"/>
                      <w:szCs w:val="21"/>
                    </w:rPr>
                  </w:pPr>
                </w:p>
              </w:tc>
              <w:tc>
                <w:tcPr>
                  <w:tcW w:w="841" w:type="pct"/>
                  <w:shd w:val="clear" w:color="auto" w:fill="auto"/>
                  <w:vAlign w:val="center"/>
                </w:tcPr>
                <w:p w14:paraId="76EBB7A7">
                  <w:pPr>
                    <w:jc w:val="center"/>
                    <w:rPr>
                      <w:rFonts w:hint="default" w:ascii="Times New Roman" w:hAnsi="Times New Roman" w:cs="Times New Roman"/>
                      <w:color w:val="auto"/>
                      <w:szCs w:val="21"/>
                    </w:rPr>
                  </w:pPr>
                  <w:r>
                    <w:rPr>
                      <w:rFonts w:hint="default" w:ascii="Times New Roman" w:hAnsi="Times New Roman" w:cs="Times New Roman"/>
                      <w:color w:val="auto"/>
                      <w:szCs w:val="21"/>
                    </w:rPr>
                    <w:t>汽车尾气</w:t>
                  </w:r>
                </w:p>
              </w:tc>
              <w:tc>
                <w:tcPr>
                  <w:tcW w:w="706" w:type="pct"/>
                  <w:shd w:val="clear" w:color="auto" w:fill="auto"/>
                  <w:vAlign w:val="center"/>
                </w:tcPr>
                <w:p w14:paraId="12AB28B4">
                  <w:pPr>
                    <w:jc w:val="center"/>
                    <w:rPr>
                      <w:rFonts w:hint="default" w:ascii="Times New Roman" w:hAnsi="Times New Roman" w:cs="Times New Roman"/>
                      <w:color w:val="auto"/>
                      <w:szCs w:val="21"/>
                    </w:rPr>
                  </w:pPr>
                  <w:r>
                    <w:rPr>
                      <w:rFonts w:hint="default" w:ascii="Times New Roman" w:hAnsi="Times New Roman" w:cs="Times New Roman"/>
                      <w:color w:val="auto"/>
                      <w:szCs w:val="21"/>
                    </w:rPr>
                    <w:t>CO、NOx、THC</w:t>
                  </w:r>
                </w:p>
              </w:tc>
              <w:tc>
                <w:tcPr>
                  <w:tcW w:w="786" w:type="pct"/>
                  <w:shd w:val="clear" w:color="auto" w:fill="auto"/>
                  <w:vAlign w:val="center"/>
                </w:tcPr>
                <w:p w14:paraId="2278A95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少量</w:t>
                  </w:r>
                </w:p>
              </w:tc>
              <w:tc>
                <w:tcPr>
                  <w:tcW w:w="790" w:type="pct"/>
                  <w:shd w:val="clear" w:color="auto" w:fill="auto"/>
                  <w:vAlign w:val="center"/>
                </w:tcPr>
                <w:p w14:paraId="4EC6954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少量</w:t>
                  </w:r>
                </w:p>
              </w:tc>
            </w:tr>
            <w:tr w14:paraId="537DB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47" w:type="pct"/>
                  <w:vAlign w:val="center"/>
                </w:tcPr>
                <w:p w14:paraId="17FD4CB9">
                  <w:pPr>
                    <w:ind w:left="0" w:leftChars="0" w:right="0" w:rightChars="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57" w:type="pct"/>
                  <w:shd w:val="clear" w:color="auto" w:fill="auto"/>
                  <w:vAlign w:val="center"/>
                </w:tcPr>
                <w:p w14:paraId="537DF3B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生活</w:t>
                  </w:r>
                </w:p>
              </w:tc>
              <w:tc>
                <w:tcPr>
                  <w:tcW w:w="770" w:type="pct"/>
                  <w:shd w:val="clear" w:color="auto" w:fill="auto"/>
                  <w:vAlign w:val="center"/>
                </w:tcPr>
                <w:p w14:paraId="32520CF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食堂</w:t>
                  </w:r>
                </w:p>
              </w:tc>
              <w:tc>
                <w:tcPr>
                  <w:tcW w:w="841" w:type="pct"/>
                  <w:shd w:val="clear" w:color="auto" w:fill="auto"/>
                  <w:vAlign w:val="center"/>
                </w:tcPr>
                <w:p w14:paraId="3628E6A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油烟</w:t>
                  </w:r>
                </w:p>
              </w:tc>
              <w:tc>
                <w:tcPr>
                  <w:tcW w:w="706" w:type="pct"/>
                  <w:shd w:val="clear" w:color="auto" w:fill="auto"/>
                  <w:vAlign w:val="center"/>
                </w:tcPr>
                <w:p w14:paraId="77E6F69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石油类</w:t>
                  </w:r>
                </w:p>
              </w:tc>
              <w:tc>
                <w:tcPr>
                  <w:tcW w:w="786" w:type="pct"/>
                  <w:shd w:val="clear" w:color="auto" w:fill="auto"/>
                  <w:vAlign w:val="center"/>
                </w:tcPr>
                <w:p w14:paraId="2A50809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0.0012</w:t>
                  </w:r>
                </w:p>
              </w:tc>
              <w:tc>
                <w:tcPr>
                  <w:tcW w:w="790" w:type="pct"/>
                  <w:shd w:val="clear" w:color="auto" w:fill="auto"/>
                  <w:vAlign w:val="center"/>
                </w:tcPr>
                <w:p w14:paraId="44ED7A4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r>
          </w:tbl>
          <w:p w14:paraId="36A10EAB">
            <w:pPr>
              <w:numPr>
                <w:ilvl w:val="0"/>
                <w:numId w:val="6"/>
              </w:numPr>
              <w:spacing w:line="360" w:lineRule="auto"/>
              <w:ind w:firstLine="482" w:firstLineChars="200"/>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rPr>
              <w:t>治理设施、排放形式、排放口基本信息</w:t>
            </w:r>
          </w:p>
          <w:p w14:paraId="73234177">
            <w:p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①骨料上料粉尘</w:t>
            </w:r>
          </w:p>
          <w:p w14:paraId="5B308523">
            <w:pPr>
              <w:widowControl/>
              <w:spacing w:line="360" w:lineRule="auto"/>
              <w:ind w:firstLine="516" w:firstLineChars="200"/>
              <w:jc w:val="left"/>
              <w:rPr>
                <w:rFonts w:hint="default" w:ascii="Times New Roman" w:hAnsi="Times New Roman" w:cs="Times New Roman"/>
                <w:color w:val="auto"/>
                <w:kern w:val="0"/>
                <w:sz w:val="24"/>
                <w:szCs w:val="24"/>
                <w:highlight w:val="none"/>
                <w:lang w:bidi="ar"/>
              </w:rPr>
            </w:pPr>
            <w:r>
              <w:rPr>
                <w:rFonts w:hint="default" w:ascii="Times New Roman" w:hAnsi="Times New Roman" w:cs="Times New Roman"/>
                <w:color w:val="auto"/>
                <w:spacing w:val="9"/>
                <w:sz w:val="24"/>
                <w:szCs w:val="24"/>
                <w:highlight w:val="none"/>
              </w:rPr>
              <w:t>骨料通过装载机转运至计量配料区进行上料，配料区设置</w:t>
            </w:r>
            <w:r>
              <w:rPr>
                <w:rFonts w:hint="default" w:ascii="Times New Roman" w:hAnsi="Times New Roman" w:cs="Times New Roman"/>
                <w:color w:val="auto"/>
                <w:sz w:val="24"/>
                <w:szCs w:val="24"/>
                <w:highlight w:val="none"/>
                <w:lang w:eastAsia="zh-CN"/>
              </w:rPr>
              <w:t>三面围挡，顶部加盖</w:t>
            </w:r>
            <w:r>
              <w:rPr>
                <w:rFonts w:hint="default" w:ascii="Times New Roman" w:hAnsi="Times New Roman" w:cs="Times New Roman"/>
                <w:color w:val="auto"/>
                <w:sz w:val="24"/>
                <w:szCs w:val="24"/>
                <w:highlight w:val="none"/>
              </w:rPr>
              <w:t>，上料区</w:t>
            </w:r>
            <w:r>
              <w:rPr>
                <w:rFonts w:hint="default" w:ascii="Times New Roman" w:hAnsi="Times New Roman" w:cs="Times New Roman"/>
                <w:color w:val="auto"/>
                <w:spacing w:val="9"/>
                <w:sz w:val="24"/>
                <w:szCs w:val="24"/>
                <w:highlight w:val="none"/>
              </w:rPr>
              <w:t>上方采取喷雾降尘装置、</w:t>
            </w:r>
            <w:r>
              <w:rPr>
                <w:rFonts w:hint="default" w:ascii="Times New Roman" w:hAnsi="Times New Roman" w:cs="Times New Roman"/>
                <w:color w:val="auto"/>
                <w:spacing w:val="8"/>
                <w:sz w:val="24"/>
                <w:szCs w:val="24"/>
                <w:highlight w:val="none"/>
              </w:rPr>
              <w:t>平缓上料、减小落差等措施，</w:t>
            </w:r>
            <w:r>
              <w:rPr>
                <w:rFonts w:hint="default" w:ascii="Times New Roman" w:hAnsi="Times New Roman" w:cs="Times New Roman"/>
                <w:color w:val="auto"/>
                <w:spacing w:val="9"/>
                <w:sz w:val="24"/>
                <w:szCs w:val="24"/>
                <w:highlight w:val="none"/>
              </w:rPr>
              <w:t>降低骨料上料、输送过程产生的粉尘，</w:t>
            </w:r>
            <w:r>
              <w:rPr>
                <w:rFonts w:hint="default" w:ascii="Times New Roman" w:hAnsi="Times New Roman" w:cs="Times New Roman"/>
                <w:bCs/>
                <w:color w:val="auto"/>
                <w:sz w:val="24"/>
                <w:szCs w:val="24"/>
                <w:highlight w:val="none"/>
              </w:rPr>
              <w:t>治理效率90%。</w:t>
            </w:r>
          </w:p>
          <w:p w14:paraId="6F707192">
            <w:pPr>
              <w:spacing w:line="360" w:lineRule="auto"/>
              <w:ind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骨料上料粉尘采取上述措施后，无组织排放量为</w:t>
            </w:r>
            <w:r>
              <w:rPr>
                <w:rFonts w:hint="default" w:ascii="Times New Roman" w:hAnsi="Times New Roman" w:cs="Times New Roman"/>
                <w:bCs/>
                <w:color w:val="auto"/>
                <w:sz w:val="24"/>
                <w:szCs w:val="24"/>
                <w:highlight w:val="none"/>
                <w:lang w:val="en-US" w:eastAsia="zh-CN"/>
              </w:rPr>
              <w:t>0.0920</w:t>
            </w:r>
            <w:r>
              <w:rPr>
                <w:rFonts w:hint="default" w:ascii="Times New Roman" w:hAnsi="Times New Roman" w:cs="Times New Roman"/>
                <w:bCs/>
                <w:color w:val="auto"/>
                <w:sz w:val="24"/>
                <w:szCs w:val="24"/>
                <w:highlight w:val="none"/>
              </w:rPr>
              <w:t>t/a，排放速率为</w:t>
            </w:r>
            <w:r>
              <w:rPr>
                <w:rFonts w:hint="default" w:ascii="Times New Roman" w:hAnsi="Times New Roman" w:cs="Times New Roman"/>
                <w:bCs/>
                <w:color w:val="auto"/>
                <w:sz w:val="24"/>
                <w:szCs w:val="24"/>
                <w:highlight w:val="none"/>
                <w:lang w:val="en-US" w:eastAsia="zh-CN"/>
              </w:rPr>
              <w:t>0.1022</w:t>
            </w:r>
            <w:r>
              <w:rPr>
                <w:rFonts w:hint="default" w:ascii="Times New Roman" w:hAnsi="Times New Roman" w:cs="Times New Roman"/>
                <w:bCs/>
                <w:color w:val="auto"/>
                <w:sz w:val="24"/>
                <w:szCs w:val="24"/>
                <w:highlight w:val="none"/>
              </w:rPr>
              <w:t>kg/h。</w:t>
            </w:r>
          </w:p>
          <w:p w14:paraId="436864D0">
            <w:pPr>
              <w:spacing w:line="360" w:lineRule="auto"/>
              <w:ind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bCs/>
                <w:color w:val="auto"/>
                <w:sz w:val="24"/>
                <w:szCs w:val="24"/>
                <w:highlight w:val="none"/>
                <w:lang w:val="en-US" w:eastAsia="zh-CN"/>
              </w:rPr>
              <w:t>②</w:t>
            </w:r>
            <w:r>
              <w:rPr>
                <w:rFonts w:hint="default" w:ascii="Times New Roman" w:hAnsi="Times New Roman" w:cs="Times New Roman"/>
                <w:b/>
                <w:color w:val="auto"/>
                <w:sz w:val="24"/>
                <w:szCs w:val="24"/>
                <w:highlight w:val="none"/>
              </w:rPr>
              <w:t>矿粉筒仓粉尘</w:t>
            </w:r>
          </w:p>
          <w:p w14:paraId="5BAF31BB">
            <w:pPr>
              <w:widowControl/>
              <w:spacing w:line="360" w:lineRule="auto"/>
              <w:ind w:firstLine="516" w:firstLineChars="200"/>
              <w:jc w:val="left"/>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pacing w:val="9"/>
                <w:sz w:val="24"/>
                <w:szCs w:val="24"/>
                <w:highlight w:val="none"/>
                <w:lang w:eastAsia="zh-CN"/>
              </w:rPr>
              <w:t>原料矿粉采用封闭式罐车运入厂区，</w:t>
            </w:r>
            <w:r>
              <w:rPr>
                <w:rFonts w:hint="default" w:ascii="Times New Roman" w:hAnsi="Times New Roman" w:eastAsia="宋体" w:cs="Times New Roman"/>
                <w:color w:val="auto"/>
                <w:spacing w:val="9"/>
                <w:sz w:val="24"/>
                <w:szCs w:val="24"/>
                <w:highlight w:val="none"/>
                <w:lang w:val="en-US" w:eastAsia="zh-CN"/>
              </w:rPr>
              <w:t>粉料</w:t>
            </w:r>
            <w:r>
              <w:rPr>
                <w:rFonts w:hint="default" w:ascii="Times New Roman" w:hAnsi="Times New Roman" w:eastAsia="宋体" w:cs="Times New Roman"/>
                <w:color w:val="auto"/>
                <w:spacing w:val="9"/>
                <w:sz w:val="24"/>
                <w:szCs w:val="24"/>
                <w:highlight w:val="none"/>
                <w:lang w:eastAsia="zh-CN"/>
              </w:rPr>
              <w:t>的输送、计量及投料均为封闭式</w:t>
            </w:r>
            <w:r>
              <w:rPr>
                <w:rFonts w:hint="default" w:ascii="Times New Roman" w:hAnsi="Times New Roman" w:cs="Times New Roman"/>
                <w:color w:val="auto"/>
                <w:sz w:val="24"/>
                <w:szCs w:val="24"/>
                <w:highlight w:val="none"/>
              </w:rPr>
              <w:t>，每个筒仓上方配备有布袋除尘器</w:t>
            </w:r>
            <w:r>
              <w:rPr>
                <w:rFonts w:hint="default" w:ascii="Times New Roman" w:hAnsi="Times New Roman" w:cs="Times New Roman"/>
                <w:bCs/>
                <w:color w:val="auto"/>
                <w:sz w:val="24"/>
                <w:szCs w:val="24"/>
                <w:highlight w:val="none"/>
              </w:rPr>
              <w:t>（共</w:t>
            </w:r>
            <w:r>
              <w:rPr>
                <w:rFonts w:hint="default" w:ascii="Times New Roman" w:hAnsi="Times New Roman" w:cs="Times New Roman"/>
                <w:bCs/>
                <w:color w:val="auto"/>
                <w:sz w:val="24"/>
                <w:szCs w:val="24"/>
                <w:highlight w:val="none"/>
                <w:lang w:val="en-US" w:eastAsia="zh-CN"/>
              </w:rPr>
              <w:t>2</w:t>
            </w:r>
            <w:r>
              <w:rPr>
                <w:rFonts w:hint="default" w:ascii="Times New Roman" w:hAnsi="Times New Roman" w:cs="Times New Roman"/>
                <w:bCs/>
                <w:color w:val="auto"/>
                <w:sz w:val="24"/>
                <w:szCs w:val="24"/>
                <w:highlight w:val="none"/>
              </w:rPr>
              <w:t>套，单台处理风机风量为5000m</w:t>
            </w:r>
            <w:r>
              <w:rPr>
                <w:rFonts w:hint="default" w:ascii="Times New Roman" w:hAnsi="Times New Roman" w:cs="Times New Roman"/>
                <w:bCs/>
                <w:color w:val="auto"/>
                <w:sz w:val="24"/>
                <w:szCs w:val="24"/>
                <w:highlight w:val="none"/>
                <w:vertAlign w:val="superscript"/>
              </w:rPr>
              <w:t>3</w:t>
            </w:r>
            <w:r>
              <w:rPr>
                <w:rFonts w:hint="default" w:ascii="Times New Roman" w:hAnsi="Times New Roman" w:cs="Times New Roman"/>
                <w:bCs/>
                <w:color w:val="auto"/>
                <w:sz w:val="24"/>
                <w:szCs w:val="24"/>
                <w:highlight w:val="none"/>
              </w:rPr>
              <w:t>/h，收集效率以100%计，除尘效率以99%计），</w:t>
            </w:r>
            <w:r>
              <w:rPr>
                <w:rFonts w:hint="default" w:ascii="Times New Roman" w:hAnsi="Times New Roman" w:cs="Times New Roman"/>
                <w:color w:val="auto"/>
                <w:sz w:val="24"/>
                <w:szCs w:val="24"/>
                <w:highlight w:val="none"/>
              </w:rPr>
              <w:t>处理后无组织排放。</w:t>
            </w:r>
          </w:p>
          <w:p w14:paraId="6B13C340">
            <w:pPr>
              <w:spacing w:line="360" w:lineRule="auto"/>
              <w:ind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矿粉筒仓粉尘采取上述措施后，筒仓粉尘无组织排放量为</w:t>
            </w:r>
            <w:r>
              <w:rPr>
                <w:rFonts w:hint="default" w:ascii="Times New Roman" w:hAnsi="Times New Roman" w:cs="Times New Roman"/>
                <w:bCs/>
                <w:color w:val="auto"/>
                <w:sz w:val="24"/>
                <w:szCs w:val="24"/>
                <w:highlight w:val="none"/>
                <w:lang w:val="en-US" w:eastAsia="zh-CN"/>
              </w:rPr>
              <w:t>0.0036</w:t>
            </w:r>
            <w:r>
              <w:rPr>
                <w:rFonts w:hint="default" w:ascii="Times New Roman" w:hAnsi="Times New Roman" w:cs="Times New Roman"/>
                <w:bCs/>
                <w:color w:val="auto"/>
                <w:sz w:val="24"/>
                <w:szCs w:val="24"/>
                <w:highlight w:val="none"/>
              </w:rPr>
              <w:t>t/a，排放速率为</w:t>
            </w:r>
            <w:r>
              <w:rPr>
                <w:rFonts w:hint="default" w:ascii="Times New Roman" w:hAnsi="Times New Roman" w:cs="Times New Roman"/>
                <w:bCs/>
                <w:color w:val="auto"/>
                <w:sz w:val="24"/>
                <w:szCs w:val="24"/>
                <w:highlight w:val="none"/>
                <w:lang w:val="en-US" w:eastAsia="zh-CN"/>
              </w:rPr>
              <w:t>0.0040</w:t>
            </w:r>
            <w:r>
              <w:rPr>
                <w:rFonts w:hint="default" w:ascii="Times New Roman" w:hAnsi="Times New Roman" w:cs="Times New Roman"/>
                <w:bCs/>
                <w:color w:val="auto"/>
                <w:sz w:val="24"/>
                <w:szCs w:val="24"/>
                <w:highlight w:val="none"/>
              </w:rPr>
              <w:t>kg/h。</w:t>
            </w:r>
          </w:p>
          <w:p w14:paraId="12CE5B15">
            <w:pPr>
              <w:spacing w:line="360" w:lineRule="auto"/>
              <w:ind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③</w:t>
            </w:r>
            <w:r>
              <w:rPr>
                <w:rFonts w:hint="default" w:ascii="Times New Roman" w:hAnsi="Times New Roman" w:cs="Times New Roman"/>
                <w:b/>
                <w:color w:val="auto"/>
                <w:sz w:val="24"/>
                <w:szCs w:val="24"/>
                <w:highlight w:val="none"/>
              </w:rPr>
              <w:t>沥青废气（沥青烟、苯并[a]芘、</w:t>
            </w:r>
            <w:r>
              <w:rPr>
                <w:rFonts w:hint="default" w:ascii="Times New Roman" w:hAnsi="Times New Roman" w:cs="Times New Roman"/>
                <w:b/>
                <w:color w:val="auto"/>
                <w:sz w:val="24"/>
                <w:szCs w:val="24"/>
                <w:highlight w:val="none"/>
                <w:lang w:val="en-US" w:eastAsia="zh-CN"/>
              </w:rPr>
              <w:t>挥发性有机物（以非甲烷总烃计）</w:t>
            </w:r>
            <w:r>
              <w:rPr>
                <w:rFonts w:hint="default" w:ascii="Times New Roman" w:hAnsi="Times New Roman" w:cs="Times New Roman"/>
                <w:b/>
                <w:color w:val="auto"/>
                <w:sz w:val="24"/>
                <w:szCs w:val="24"/>
                <w:highlight w:val="none"/>
              </w:rPr>
              <w:t>）</w:t>
            </w:r>
          </w:p>
          <w:p w14:paraId="03EB7984">
            <w:pPr>
              <w:widowControl/>
              <w:spacing w:line="360" w:lineRule="auto"/>
              <w:ind w:firstLine="480" w:firstLineChars="200"/>
              <w:jc w:val="left"/>
              <w:rPr>
                <w:rFonts w:hint="default" w:ascii="Times New Roman" w:hAnsi="Times New Roman" w:cs="Times New Roman"/>
                <w:color w:val="auto"/>
                <w:kern w:val="0"/>
                <w:sz w:val="24"/>
                <w:szCs w:val="24"/>
                <w:highlight w:val="none"/>
                <w:lang w:bidi="ar"/>
              </w:rPr>
            </w:pPr>
            <w:r>
              <w:rPr>
                <w:rFonts w:hint="default" w:ascii="Times New Roman" w:hAnsi="Times New Roman" w:cs="Times New Roman"/>
                <w:color w:val="auto"/>
                <w:kern w:val="0"/>
                <w:sz w:val="24"/>
                <w:szCs w:val="24"/>
                <w:highlight w:val="none"/>
                <w:lang w:eastAsia="zh-CN" w:bidi="ar"/>
              </w:rPr>
              <w:t>搅拌缸为密闭设备，沥青搅拌过程中产生的沥青废气通过管道收集；成品卸料口的沥青烟气采取静电捕集，与沥青搅拌缸废气经管道一并引至烘干筒前端与燃烧器火焰进行高温燃烧后，同烘干筛分废气一起经除尘系统（一级重力除尘+二级布袋除尘）处理后通过20m排气筒（DA001）排放。沥青罐密闭设置，设置储存呼吸口，呼吸口阀门关闭，储罐上方采用管道连通，沥青烟气通过管道密闭式收集，然后引至烘干筒燃烧器外焰高温燃烧后，引至20m排气筒（DA001）排放。</w:t>
            </w:r>
            <w:r>
              <w:rPr>
                <w:rFonts w:hint="default" w:ascii="Times New Roman" w:hAnsi="Times New Roman" w:cs="Times New Roman"/>
                <w:bCs/>
                <w:color w:val="auto"/>
                <w:sz w:val="24"/>
                <w:szCs w:val="24"/>
                <w:highlight w:val="none"/>
              </w:rPr>
              <w:t>（风机风量</w:t>
            </w:r>
            <w:r>
              <w:rPr>
                <w:rFonts w:hint="default" w:ascii="Times New Roman" w:hAnsi="Times New Roman" w:cs="Times New Roman"/>
                <w:bCs/>
                <w:color w:val="auto"/>
                <w:sz w:val="24"/>
                <w:szCs w:val="24"/>
                <w:highlight w:val="none"/>
                <w:lang w:val="en-US" w:eastAsia="zh-CN"/>
              </w:rPr>
              <w:t>92000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/h</w:t>
            </w:r>
            <w:r>
              <w:rPr>
                <w:rFonts w:hint="default" w:ascii="Times New Roman" w:hAnsi="Times New Roman" w:cs="Times New Roman"/>
                <w:bCs/>
                <w:color w:val="auto"/>
                <w:sz w:val="24"/>
                <w:szCs w:val="24"/>
                <w:highlight w:val="none"/>
              </w:rPr>
              <w:t>）。</w:t>
            </w:r>
          </w:p>
          <w:p w14:paraId="208F047F">
            <w:pPr>
              <w:spacing w:line="360" w:lineRule="auto"/>
              <w:ind w:firstLine="480" w:firstLineChars="200"/>
              <w:rPr>
                <w:rFonts w:hint="default" w:ascii="Times New Roman" w:hAnsi="Times New Roman" w:cs="Times New Roman"/>
                <w:bCs/>
                <w:color w:val="auto"/>
                <w:sz w:val="24"/>
                <w:szCs w:val="24"/>
                <w:highlight w:val="green"/>
              </w:rPr>
            </w:pPr>
            <w:r>
              <w:rPr>
                <w:rFonts w:hint="default" w:ascii="Times New Roman" w:hAnsi="Times New Roman" w:cs="Times New Roman"/>
                <w:color w:val="auto"/>
                <w:kern w:val="0"/>
                <w:sz w:val="24"/>
                <w:szCs w:val="24"/>
                <w:highlight w:val="none"/>
                <w:lang w:bidi="ar"/>
              </w:rPr>
              <w:t>沥青废气主要是在沥青加热搅拌及成品装车过程中产生，</w:t>
            </w:r>
            <w:r>
              <w:rPr>
                <w:rFonts w:hint="default" w:ascii="Times New Roman" w:hAnsi="Times New Roman" w:cs="Times New Roman"/>
                <w:color w:val="auto"/>
                <w:sz w:val="24"/>
                <w:szCs w:val="24"/>
                <w:highlight w:val="none"/>
                <w:lang w:eastAsia="zh-CN"/>
              </w:rPr>
              <w:t>搅拌缸</w:t>
            </w:r>
            <w:r>
              <w:rPr>
                <w:rFonts w:hint="default" w:ascii="Times New Roman" w:hAnsi="Times New Roman" w:cs="Times New Roman"/>
                <w:color w:val="auto"/>
                <w:sz w:val="24"/>
                <w:szCs w:val="24"/>
                <w:highlight w:val="none"/>
              </w:rPr>
              <w:t>为密闭设备，产生的废气主要通过成品仓卸料时排放，成品卸料口产生的沥青烟气通过</w:t>
            </w:r>
            <w:r>
              <w:rPr>
                <w:rFonts w:hint="default" w:ascii="Times New Roman" w:hAnsi="Times New Roman" w:cs="Times New Roman"/>
                <w:color w:val="auto"/>
                <w:sz w:val="24"/>
                <w:szCs w:val="24"/>
                <w:highlight w:val="none"/>
                <w:lang w:val="en-US" w:eastAsia="zh-CN"/>
              </w:rPr>
              <w:t>静电捕集</w:t>
            </w:r>
            <w:r>
              <w:rPr>
                <w:rFonts w:hint="default" w:ascii="Times New Roman" w:hAnsi="Times New Roman" w:cs="Times New Roman"/>
                <w:bCs/>
                <w:color w:val="auto"/>
                <w:sz w:val="24"/>
                <w:szCs w:val="24"/>
                <w:highlight w:val="none"/>
              </w:rPr>
              <w:t>（</w:t>
            </w:r>
            <w:r>
              <w:rPr>
                <w:rFonts w:hint="default" w:ascii="Times New Roman" w:hAnsi="Times New Roman" w:cs="Times New Roman"/>
                <w:color w:val="auto"/>
                <w:sz w:val="24"/>
                <w:highlight w:val="none"/>
              </w:rPr>
              <w:t>收集效率按9</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%计</w:t>
            </w:r>
            <w:r>
              <w:rPr>
                <w:rFonts w:hint="default" w:ascii="Times New Roman" w:hAnsi="Times New Roman" w:cs="Times New Roman"/>
                <w:bCs/>
                <w:color w:val="auto"/>
                <w:sz w:val="24"/>
                <w:szCs w:val="24"/>
                <w:highlight w:val="none"/>
              </w:rPr>
              <w:t>）</w:t>
            </w:r>
            <w:r>
              <w:rPr>
                <w:rFonts w:hint="default" w:ascii="Times New Roman" w:hAnsi="Times New Roman" w:cs="Times New Roman"/>
                <w:color w:val="auto"/>
                <w:sz w:val="24"/>
                <w:szCs w:val="24"/>
                <w:highlight w:val="none"/>
                <w:lang w:val="en-US" w:eastAsia="zh-CN"/>
              </w:rPr>
              <w:t>后</w:t>
            </w:r>
            <w:r>
              <w:rPr>
                <w:rFonts w:hint="default" w:ascii="Times New Roman" w:hAnsi="Times New Roman" w:cs="Times New Roman"/>
                <w:color w:val="auto"/>
                <w:sz w:val="24"/>
                <w:szCs w:val="24"/>
                <w:highlight w:val="none"/>
              </w:rPr>
              <w:t>，</w:t>
            </w:r>
            <w:r>
              <w:rPr>
                <w:rFonts w:hint="default" w:ascii="Times New Roman" w:hAnsi="Times New Roman" w:cs="Times New Roman"/>
                <w:b/>
                <w:bCs/>
                <w:color w:val="auto"/>
                <w:kern w:val="0"/>
                <w:sz w:val="24"/>
                <w:szCs w:val="24"/>
                <w:highlight w:val="none"/>
                <w:lang w:bidi="ar"/>
              </w:rPr>
              <w:t>沥青烟气</w:t>
            </w:r>
            <w:r>
              <w:rPr>
                <w:rFonts w:hint="default" w:ascii="Times New Roman" w:hAnsi="Times New Roman" w:cs="Times New Roman"/>
                <w:color w:val="auto"/>
                <w:kern w:val="0"/>
                <w:sz w:val="24"/>
                <w:szCs w:val="24"/>
                <w:highlight w:val="none"/>
                <w:lang w:bidi="ar"/>
              </w:rPr>
              <w:t>进入燃烧器，燃烧温度达1000℃以上，可将沥青烟中各类烃类物质燃烧分解成CO</w:t>
            </w:r>
            <w:r>
              <w:rPr>
                <w:rFonts w:hint="default" w:ascii="Times New Roman" w:hAnsi="Times New Roman" w:cs="Times New Roman"/>
                <w:color w:val="auto"/>
                <w:kern w:val="0"/>
                <w:sz w:val="24"/>
                <w:szCs w:val="24"/>
                <w:highlight w:val="none"/>
                <w:vertAlign w:val="subscript"/>
                <w:lang w:bidi="ar"/>
              </w:rPr>
              <w:t>2</w:t>
            </w:r>
            <w:r>
              <w:rPr>
                <w:rFonts w:hint="default" w:ascii="Times New Roman" w:hAnsi="Times New Roman" w:cs="Times New Roman"/>
                <w:color w:val="auto"/>
                <w:kern w:val="0"/>
                <w:sz w:val="24"/>
                <w:szCs w:val="24"/>
                <w:highlight w:val="none"/>
                <w:lang w:bidi="ar"/>
              </w:rPr>
              <w:t>和水，去除率可达98%以上，则经燃烧处理后的废气中沥青烟有组织排放量为</w:t>
            </w:r>
            <w:r>
              <w:rPr>
                <w:rFonts w:hint="default" w:ascii="Times New Roman" w:hAnsi="Times New Roman" w:cs="Times New Roman"/>
                <w:color w:val="auto"/>
                <w:kern w:val="0"/>
                <w:sz w:val="24"/>
                <w:szCs w:val="24"/>
                <w:highlight w:val="none"/>
                <w:lang w:val="en-US" w:eastAsia="zh-CN" w:bidi="ar"/>
              </w:rPr>
              <w:t>0.0038</w:t>
            </w:r>
            <w:r>
              <w:rPr>
                <w:rFonts w:hint="default" w:ascii="Times New Roman" w:hAnsi="Times New Roman" w:cs="Times New Roman"/>
                <w:color w:val="auto"/>
                <w:kern w:val="0"/>
                <w:sz w:val="24"/>
                <w:szCs w:val="24"/>
                <w:highlight w:val="none"/>
                <w:lang w:bidi="ar"/>
              </w:rPr>
              <w:t>t/a</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kern w:val="0"/>
                <w:sz w:val="24"/>
                <w:szCs w:val="24"/>
                <w:highlight w:val="none"/>
                <w:lang w:bidi="ar"/>
              </w:rPr>
              <w:t>排放速率为0.0</w:t>
            </w:r>
            <w:r>
              <w:rPr>
                <w:rFonts w:hint="default" w:ascii="Times New Roman" w:hAnsi="Times New Roman" w:cs="Times New Roman"/>
                <w:color w:val="auto"/>
                <w:kern w:val="0"/>
                <w:sz w:val="24"/>
                <w:szCs w:val="24"/>
                <w:highlight w:val="none"/>
                <w:lang w:val="en-US" w:eastAsia="zh-CN" w:bidi="ar"/>
              </w:rPr>
              <w:t>040</w:t>
            </w:r>
            <w:r>
              <w:rPr>
                <w:rFonts w:hint="default" w:ascii="Times New Roman" w:hAnsi="Times New Roman" w:cs="Times New Roman"/>
                <w:color w:val="auto"/>
                <w:kern w:val="0"/>
                <w:sz w:val="24"/>
                <w:szCs w:val="24"/>
                <w:highlight w:val="none"/>
                <w:lang w:bidi="ar"/>
              </w:rPr>
              <w:t>kg/h，</w:t>
            </w:r>
            <w:r>
              <w:rPr>
                <w:rFonts w:hint="default" w:ascii="Times New Roman" w:hAnsi="Times New Roman" w:cs="Times New Roman"/>
                <w:color w:val="auto"/>
                <w:sz w:val="24"/>
                <w:szCs w:val="24"/>
                <w:highlight w:val="none"/>
              </w:rPr>
              <w:t>排放浓度为</w:t>
            </w:r>
            <w:r>
              <w:rPr>
                <w:rFonts w:hint="default" w:ascii="Times New Roman" w:hAnsi="Times New Roman" w:cs="Times New Roman"/>
                <w:color w:val="auto"/>
                <w:sz w:val="24"/>
                <w:szCs w:val="24"/>
                <w:highlight w:val="none"/>
                <w:lang w:val="en-US" w:eastAsia="zh-CN"/>
              </w:rPr>
              <w:t>0.0459</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；无组织排放量为0.</w:t>
            </w:r>
            <w:r>
              <w:rPr>
                <w:rFonts w:hint="default" w:ascii="Times New Roman" w:hAnsi="Times New Roman" w:cs="Times New Roman"/>
                <w:color w:val="auto"/>
                <w:sz w:val="24"/>
                <w:szCs w:val="24"/>
                <w:highlight w:val="none"/>
                <w:lang w:val="en-US" w:eastAsia="zh-CN"/>
              </w:rPr>
              <w:t>0100</w:t>
            </w:r>
            <w:r>
              <w:rPr>
                <w:rFonts w:hint="default" w:ascii="Times New Roman" w:hAnsi="Times New Roman" w:cs="Times New Roman"/>
                <w:color w:val="auto"/>
                <w:sz w:val="24"/>
                <w:szCs w:val="24"/>
                <w:highlight w:val="none"/>
              </w:rPr>
              <w:t>t/a，排放速率为0.0</w:t>
            </w:r>
            <w:r>
              <w:rPr>
                <w:rFonts w:hint="default" w:ascii="Times New Roman" w:hAnsi="Times New Roman" w:cs="Times New Roman"/>
                <w:color w:val="auto"/>
                <w:sz w:val="24"/>
                <w:szCs w:val="24"/>
                <w:highlight w:val="none"/>
                <w:lang w:val="en-US" w:eastAsia="zh-CN"/>
              </w:rPr>
              <w:t>111</w:t>
            </w:r>
            <w:r>
              <w:rPr>
                <w:rFonts w:hint="default" w:ascii="Times New Roman" w:hAnsi="Times New Roman" w:cs="Times New Roman"/>
                <w:color w:val="auto"/>
                <w:sz w:val="24"/>
                <w:szCs w:val="24"/>
                <w:highlight w:val="none"/>
              </w:rPr>
              <w:t>kg/h。</w:t>
            </w:r>
          </w:p>
          <w:p w14:paraId="794C55AF">
            <w:pPr>
              <w:widowControl/>
              <w:spacing w:line="360" w:lineRule="auto"/>
              <w:ind w:firstLine="480" w:firstLineChars="200"/>
              <w:jc w:val="left"/>
              <w:rPr>
                <w:rFonts w:hint="default" w:ascii="Times New Roman" w:hAnsi="Times New Roman" w:cs="Times New Roman"/>
                <w:color w:val="auto"/>
                <w:kern w:val="0"/>
                <w:sz w:val="24"/>
                <w:szCs w:val="24"/>
                <w:highlight w:val="none"/>
                <w:lang w:bidi="ar"/>
              </w:rPr>
            </w:pPr>
            <w:r>
              <w:rPr>
                <w:rFonts w:hint="default" w:ascii="Times New Roman" w:hAnsi="Times New Roman" w:cs="Times New Roman"/>
                <w:color w:val="auto"/>
                <w:kern w:val="0"/>
                <w:sz w:val="24"/>
                <w:szCs w:val="24"/>
                <w:highlight w:val="none"/>
                <w:lang w:bidi="ar"/>
              </w:rPr>
              <w:t>苯并[a]芘有组织排放量约为</w:t>
            </w:r>
            <w:r>
              <w:rPr>
                <w:rFonts w:hint="default" w:ascii="Times New Roman" w:hAnsi="Times New Roman" w:cs="Times New Roman"/>
                <w:color w:val="auto"/>
                <w:kern w:val="0"/>
                <w:sz w:val="24"/>
                <w:szCs w:val="24"/>
                <w:highlight w:val="none"/>
                <w:lang w:val="en-US" w:eastAsia="zh-CN" w:bidi="ar"/>
              </w:rPr>
              <w:t>7.60</w:t>
            </w:r>
            <w:r>
              <w:rPr>
                <w:rFonts w:hint="default" w:ascii="Times New Roman" w:hAnsi="Times New Roman" w:cs="Times New Roman"/>
                <w:color w:val="auto"/>
                <w:kern w:val="0"/>
                <w:sz w:val="24"/>
                <w:szCs w:val="24"/>
                <w:highlight w:val="none"/>
                <w:lang w:bidi="ar"/>
              </w:rPr>
              <w:t>×10</w:t>
            </w:r>
            <w:r>
              <w:rPr>
                <w:rFonts w:hint="default" w:ascii="Times New Roman" w:hAnsi="Times New Roman" w:cs="Times New Roman"/>
                <w:color w:val="auto"/>
                <w:kern w:val="0"/>
                <w:sz w:val="24"/>
                <w:szCs w:val="24"/>
                <w:highlight w:val="none"/>
                <w:vertAlign w:val="superscript"/>
                <w:lang w:bidi="ar"/>
              </w:rPr>
              <w:t>-</w:t>
            </w:r>
            <w:r>
              <w:rPr>
                <w:rFonts w:hint="default" w:ascii="Times New Roman" w:hAnsi="Times New Roman" w:cs="Times New Roman"/>
                <w:color w:val="auto"/>
                <w:kern w:val="0"/>
                <w:sz w:val="24"/>
                <w:szCs w:val="24"/>
                <w:highlight w:val="none"/>
                <w:vertAlign w:val="superscript"/>
                <w:lang w:val="en-US" w:eastAsia="zh-CN" w:bidi="ar"/>
              </w:rPr>
              <w:t>8</w:t>
            </w:r>
            <w:r>
              <w:rPr>
                <w:rFonts w:hint="default" w:ascii="Times New Roman" w:hAnsi="Times New Roman" w:cs="Times New Roman"/>
                <w:color w:val="auto"/>
                <w:kern w:val="0"/>
                <w:sz w:val="24"/>
                <w:szCs w:val="24"/>
                <w:highlight w:val="none"/>
                <w:lang w:bidi="ar"/>
              </w:rPr>
              <w:t>t/a</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kern w:val="0"/>
                <w:sz w:val="24"/>
                <w:szCs w:val="24"/>
                <w:highlight w:val="none"/>
                <w:lang w:bidi="ar"/>
              </w:rPr>
              <w:t>排放速率为</w:t>
            </w:r>
            <w:r>
              <w:rPr>
                <w:rFonts w:hint="default" w:ascii="Times New Roman" w:hAnsi="Times New Roman" w:cs="Times New Roman"/>
                <w:color w:val="auto"/>
                <w:kern w:val="0"/>
                <w:sz w:val="24"/>
                <w:szCs w:val="24"/>
                <w:highlight w:val="none"/>
                <w:lang w:val="en-US" w:eastAsia="zh-CN" w:bidi="ar"/>
              </w:rPr>
              <w:t>8.44</w:t>
            </w:r>
            <w:r>
              <w:rPr>
                <w:rFonts w:hint="default" w:ascii="Times New Roman" w:hAnsi="Times New Roman" w:cs="Times New Roman"/>
                <w:color w:val="auto"/>
                <w:kern w:val="0"/>
                <w:sz w:val="24"/>
                <w:szCs w:val="24"/>
                <w:highlight w:val="none"/>
                <w:lang w:bidi="ar"/>
              </w:rPr>
              <w:t>×10</w:t>
            </w:r>
            <w:r>
              <w:rPr>
                <w:rFonts w:hint="default" w:ascii="Times New Roman" w:hAnsi="Times New Roman" w:cs="Times New Roman"/>
                <w:color w:val="auto"/>
                <w:kern w:val="0"/>
                <w:sz w:val="24"/>
                <w:szCs w:val="24"/>
                <w:highlight w:val="none"/>
                <w:vertAlign w:val="superscript"/>
                <w:lang w:bidi="ar"/>
              </w:rPr>
              <w:t>-</w:t>
            </w:r>
            <w:r>
              <w:rPr>
                <w:rFonts w:hint="default" w:ascii="Times New Roman" w:hAnsi="Times New Roman" w:cs="Times New Roman"/>
                <w:color w:val="auto"/>
                <w:kern w:val="0"/>
                <w:sz w:val="24"/>
                <w:szCs w:val="24"/>
                <w:highlight w:val="none"/>
                <w:vertAlign w:val="superscript"/>
                <w:lang w:val="en-US" w:eastAsia="zh-CN" w:bidi="ar"/>
              </w:rPr>
              <w:t>8</w:t>
            </w:r>
            <w:r>
              <w:rPr>
                <w:rFonts w:hint="default" w:ascii="Times New Roman" w:hAnsi="Times New Roman" w:cs="Times New Roman"/>
                <w:color w:val="auto"/>
                <w:kern w:val="0"/>
                <w:sz w:val="24"/>
                <w:szCs w:val="24"/>
                <w:highlight w:val="none"/>
                <w:lang w:bidi="ar"/>
              </w:rPr>
              <w:t xml:space="preserve"> kg/h，</w:t>
            </w:r>
            <w:r>
              <w:rPr>
                <w:rFonts w:hint="default" w:ascii="Times New Roman" w:hAnsi="Times New Roman" w:cs="Times New Roman"/>
                <w:color w:val="auto"/>
                <w:sz w:val="24"/>
                <w:szCs w:val="24"/>
                <w:highlight w:val="none"/>
              </w:rPr>
              <w:t>排放浓度为</w:t>
            </w:r>
            <w:r>
              <w:rPr>
                <w:rFonts w:hint="default" w:ascii="Times New Roman" w:hAnsi="Times New Roman" w:cs="Times New Roman"/>
                <w:color w:val="auto"/>
                <w:sz w:val="24"/>
                <w:szCs w:val="24"/>
                <w:highlight w:val="none"/>
                <w:lang w:val="en-US" w:eastAsia="zh-CN"/>
              </w:rPr>
              <w:t>9.18</w:t>
            </w:r>
            <w:r>
              <w:rPr>
                <w:rFonts w:hint="default" w:ascii="Times New Roman" w:hAnsi="Times New Roman" w:cs="Times New Roman"/>
                <w:color w:val="auto"/>
                <w:kern w:val="0"/>
                <w:sz w:val="24"/>
                <w:szCs w:val="24"/>
                <w:highlight w:val="none"/>
                <w:lang w:bidi="ar"/>
              </w:rPr>
              <w:t>×10</w:t>
            </w:r>
            <w:r>
              <w:rPr>
                <w:rFonts w:hint="default" w:ascii="Times New Roman" w:hAnsi="Times New Roman" w:cs="Times New Roman"/>
                <w:color w:val="auto"/>
                <w:kern w:val="0"/>
                <w:sz w:val="24"/>
                <w:szCs w:val="24"/>
                <w:highlight w:val="none"/>
                <w:vertAlign w:val="superscript"/>
                <w:lang w:bidi="ar"/>
              </w:rPr>
              <w:t>-</w:t>
            </w:r>
            <w:r>
              <w:rPr>
                <w:rFonts w:hint="default" w:ascii="Times New Roman" w:hAnsi="Times New Roman" w:cs="Times New Roman"/>
                <w:color w:val="auto"/>
                <w:kern w:val="0"/>
                <w:sz w:val="24"/>
                <w:szCs w:val="24"/>
                <w:highlight w:val="none"/>
                <w:vertAlign w:val="superscript"/>
                <w:lang w:val="en-US" w:eastAsia="zh-CN" w:bidi="ar"/>
              </w:rPr>
              <w:t>7</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；无组织排放量为</w:t>
            </w:r>
            <w:r>
              <w:rPr>
                <w:rFonts w:hint="default" w:ascii="Times New Roman" w:hAnsi="Times New Roman" w:cs="Times New Roman"/>
                <w:color w:val="auto"/>
                <w:sz w:val="24"/>
                <w:szCs w:val="24"/>
                <w:highlight w:val="none"/>
                <w:lang w:val="en-US" w:eastAsia="zh-CN"/>
              </w:rPr>
              <w:t>2.0</w:t>
            </w:r>
            <w:r>
              <w:rPr>
                <w:rFonts w:hint="default" w:ascii="Times New Roman" w:hAnsi="Times New Roman" w:cs="Times New Roman"/>
                <w:color w:val="auto"/>
                <w:kern w:val="0"/>
                <w:sz w:val="24"/>
                <w:szCs w:val="24"/>
                <w:highlight w:val="none"/>
                <w:lang w:bidi="ar"/>
              </w:rPr>
              <w:t>×10</w:t>
            </w:r>
            <w:r>
              <w:rPr>
                <w:rFonts w:hint="default" w:ascii="Times New Roman" w:hAnsi="Times New Roman" w:cs="Times New Roman"/>
                <w:color w:val="auto"/>
                <w:kern w:val="0"/>
                <w:sz w:val="24"/>
                <w:szCs w:val="24"/>
                <w:highlight w:val="none"/>
                <w:vertAlign w:val="superscript"/>
                <w:lang w:bidi="ar"/>
              </w:rPr>
              <w:t>-</w:t>
            </w:r>
            <w:r>
              <w:rPr>
                <w:rFonts w:hint="default" w:ascii="Times New Roman" w:hAnsi="Times New Roman" w:cs="Times New Roman"/>
                <w:color w:val="auto"/>
                <w:kern w:val="0"/>
                <w:sz w:val="24"/>
                <w:szCs w:val="24"/>
                <w:highlight w:val="none"/>
                <w:vertAlign w:val="superscript"/>
                <w:lang w:val="en-US" w:eastAsia="zh-CN" w:bidi="ar"/>
              </w:rPr>
              <w:t>7</w:t>
            </w:r>
            <w:r>
              <w:rPr>
                <w:rFonts w:hint="default" w:ascii="Times New Roman" w:hAnsi="Times New Roman" w:cs="Times New Roman"/>
                <w:color w:val="auto"/>
                <w:sz w:val="24"/>
                <w:szCs w:val="24"/>
                <w:highlight w:val="none"/>
              </w:rPr>
              <w:t>t/a，排放速率为</w:t>
            </w:r>
            <w:r>
              <w:rPr>
                <w:rFonts w:hint="default" w:ascii="Times New Roman" w:hAnsi="Times New Roman" w:cs="Times New Roman"/>
                <w:color w:val="auto"/>
                <w:sz w:val="24"/>
                <w:szCs w:val="24"/>
                <w:highlight w:val="none"/>
                <w:lang w:val="en-US" w:eastAsia="zh-CN"/>
              </w:rPr>
              <w:t>2.22</w:t>
            </w:r>
            <w:r>
              <w:rPr>
                <w:rFonts w:hint="default" w:ascii="Times New Roman" w:hAnsi="Times New Roman" w:cs="Times New Roman"/>
                <w:color w:val="auto"/>
                <w:kern w:val="0"/>
                <w:sz w:val="24"/>
                <w:szCs w:val="24"/>
                <w:highlight w:val="none"/>
                <w:lang w:bidi="ar"/>
              </w:rPr>
              <w:t>×10</w:t>
            </w:r>
            <w:r>
              <w:rPr>
                <w:rFonts w:hint="default" w:ascii="Times New Roman" w:hAnsi="Times New Roman" w:cs="Times New Roman"/>
                <w:color w:val="auto"/>
                <w:kern w:val="0"/>
                <w:sz w:val="24"/>
                <w:szCs w:val="24"/>
                <w:highlight w:val="none"/>
                <w:vertAlign w:val="superscript"/>
                <w:lang w:bidi="ar"/>
              </w:rPr>
              <w:t>-</w:t>
            </w:r>
            <w:r>
              <w:rPr>
                <w:rFonts w:hint="default" w:ascii="Times New Roman" w:hAnsi="Times New Roman" w:cs="Times New Roman"/>
                <w:color w:val="auto"/>
                <w:kern w:val="0"/>
                <w:sz w:val="24"/>
                <w:szCs w:val="24"/>
                <w:highlight w:val="none"/>
                <w:vertAlign w:val="superscript"/>
                <w:lang w:val="en-US" w:eastAsia="zh-CN" w:bidi="ar"/>
              </w:rPr>
              <w:t>7</w:t>
            </w:r>
            <w:r>
              <w:rPr>
                <w:rFonts w:hint="default" w:ascii="Times New Roman" w:hAnsi="Times New Roman" w:cs="Times New Roman"/>
                <w:color w:val="auto"/>
                <w:sz w:val="24"/>
                <w:szCs w:val="24"/>
                <w:highlight w:val="none"/>
              </w:rPr>
              <w:t>kg/h。</w:t>
            </w:r>
          </w:p>
          <w:p w14:paraId="00801995">
            <w:pPr>
              <w:widowControl/>
              <w:spacing w:line="360" w:lineRule="auto"/>
              <w:ind w:firstLine="480" w:firstLineChars="200"/>
              <w:jc w:val="left"/>
              <w:rPr>
                <w:rFonts w:hint="default" w:ascii="Times New Roman" w:hAnsi="Times New Roman" w:cs="Times New Roman"/>
                <w:color w:val="auto"/>
                <w:kern w:val="0"/>
                <w:sz w:val="24"/>
                <w:szCs w:val="24"/>
                <w:highlight w:val="none"/>
                <w:lang w:bidi="ar"/>
              </w:rPr>
            </w:pPr>
            <w:r>
              <w:rPr>
                <w:rFonts w:hint="default" w:ascii="Times New Roman" w:hAnsi="Times New Roman" w:cs="Times New Roman"/>
                <w:color w:val="auto"/>
                <w:kern w:val="0"/>
                <w:sz w:val="24"/>
                <w:szCs w:val="24"/>
                <w:highlight w:val="none"/>
                <w:lang w:bidi="ar"/>
              </w:rPr>
              <w:t>VOCs</w:t>
            </w:r>
            <w:r>
              <w:rPr>
                <w:rFonts w:hint="default" w:ascii="Times New Roman" w:hAnsi="Times New Roman" w:cs="Times New Roman"/>
                <w:color w:val="auto"/>
                <w:kern w:val="0"/>
                <w:sz w:val="24"/>
                <w:szCs w:val="24"/>
                <w:highlight w:val="none"/>
                <w:lang w:eastAsia="zh-CN" w:bidi="ar"/>
              </w:rPr>
              <w:t>（</w:t>
            </w:r>
            <w:r>
              <w:rPr>
                <w:rFonts w:hint="default" w:ascii="Times New Roman" w:hAnsi="Times New Roman" w:cs="Times New Roman"/>
                <w:color w:val="auto"/>
                <w:kern w:val="0"/>
                <w:sz w:val="24"/>
                <w:szCs w:val="24"/>
                <w:highlight w:val="none"/>
                <w:lang w:val="en-US" w:eastAsia="zh-CN" w:bidi="ar"/>
              </w:rPr>
              <w:t>以非甲烷总烃计</w:t>
            </w:r>
            <w:r>
              <w:rPr>
                <w:rFonts w:hint="default" w:ascii="Times New Roman" w:hAnsi="Times New Roman" w:cs="Times New Roman"/>
                <w:color w:val="auto"/>
                <w:kern w:val="0"/>
                <w:sz w:val="24"/>
                <w:szCs w:val="24"/>
                <w:highlight w:val="none"/>
                <w:lang w:eastAsia="zh-CN" w:bidi="ar"/>
              </w:rPr>
              <w:t>）</w:t>
            </w:r>
            <w:r>
              <w:rPr>
                <w:rFonts w:hint="default" w:ascii="Times New Roman" w:hAnsi="Times New Roman" w:cs="Times New Roman"/>
                <w:color w:val="auto"/>
                <w:kern w:val="0"/>
                <w:sz w:val="24"/>
                <w:szCs w:val="24"/>
                <w:highlight w:val="none"/>
                <w:lang w:bidi="ar"/>
              </w:rPr>
              <w:t>有组织排放量约为</w:t>
            </w:r>
            <w:r>
              <w:rPr>
                <w:rFonts w:hint="default" w:ascii="Times New Roman" w:hAnsi="Times New Roman" w:cs="Times New Roman"/>
                <w:color w:val="auto"/>
                <w:kern w:val="0"/>
                <w:sz w:val="24"/>
                <w:szCs w:val="24"/>
                <w:highlight w:val="none"/>
                <w:lang w:val="en-US" w:eastAsia="zh-CN" w:bidi="ar"/>
              </w:rPr>
              <w:t>0.0027</w:t>
            </w:r>
            <w:r>
              <w:rPr>
                <w:rFonts w:hint="default" w:ascii="Times New Roman" w:hAnsi="Times New Roman" w:cs="Times New Roman"/>
                <w:color w:val="auto"/>
                <w:kern w:val="0"/>
                <w:sz w:val="24"/>
                <w:szCs w:val="24"/>
                <w:highlight w:val="none"/>
                <w:lang w:bidi="ar"/>
              </w:rPr>
              <w:t>t/a，排放速率为</w:t>
            </w:r>
            <w:r>
              <w:rPr>
                <w:rFonts w:hint="default" w:ascii="Times New Roman" w:hAnsi="Times New Roman" w:cs="Times New Roman"/>
                <w:color w:val="auto"/>
                <w:kern w:val="0"/>
                <w:sz w:val="24"/>
                <w:szCs w:val="24"/>
                <w:highlight w:val="none"/>
                <w:lang w:val="en-US" w:eastAsia="zh-CN" w:bidi="ar"/>
              </w:rPr>
              <w:t>0.0030</w:t>
            </w:r>
            <w:r>
              <w:rPr>
                <w:rFonts w:hint="default" w:ascii="Times New Roman" w:hAnsi="Times New Roman" w:cs="Times New Roman"/>
                <w:color w:val="auto"/>
                <w:kern w:val="0"/>
                <w:sz w:val="24"/>
                <w:szCs w:val="24"/>
                <w:highlight w:val="none"/>
                <w:lang w:bidi="ar"/>
              </w:rPr>
              <w:t xml:space="preserve"> kg/h，</w:t>
            </w:r>
            <w:r>
              <w:rPr>
                <w:rFonts w:hint="default" w:ascii="Times New Roman" w:hAnsi="Times New Roman" w:cs="Times New Roman"/>
                <w:color w:val="auto"/>
                <w:sz w:val="24"/>
                <w:szCs w:val="24"/>
                <w:highlight w:val="none"/>
              </w:rPr>
              <w:t>排放浓度为0.</w:t>
            </w:r>
            <w:r>
              <w:rPr>
                <w:rFonts w:hint="default" w:ascii="Times New Roman" w:hAnsi="Times New Roman" w:cs="Times New Roman"/>
                <w:color w:val="auto"/>
                <w:sz w:val="24"/>
                <w:szCs w:val="24"/>
                <w:highlight w:val="none"/>
                <w:lang w:val="en-US" w:eastAsia="zh-CN"/>
              </w:rPr>
              <w:t>0321</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；无组织排放量为0.0</w:t>
            </w:r>
            <w:r>
              <w:rPr>
                <w:rFonts w:hint="default" w:ascii="Times New Roman" w:hAnsi="Times New Roman" w:cs="Times New Roman"/>
                <w:color w:val="auto"/>
                <w:sz w:val="24"/>
                <w:szCs w:val="24"/>
                <w:highlight w:val="none"/>
                <w:lang w:val="en-US" w:eastAsia="zh-CN"/>
              </w:rPr>
              <w:t>070</w:t>
            </w:r>
            <w:r>
              <w:rPr>
                <w:rFonts w:hint="default" w:ascii="Times New Roman" w:hAnsi="Times New Roman" w:cs="Times New Roman"/>
                <w:color w:val="auto"/>
                <w:sz w:val="24"/>
                <w:szCs w:val="24"/>
                <w:highlight w:val="none"/>
              </w:rPr>
              <w:t>t/a，排放速率为0.</w:t>
            </w:r>
            <w:r>
              <w:rPr>
                <w:rFonts w:hint="default" w:ascii="Times New Roman" w:hAnsi="Times New Roman" w:cs="Times New Roman"/>
                <w:color w:val="auto"/>
                <w:sz w:val="24"/>
                <w:szCs w:val="24"/>
                <w:highlight w:val="none"/>
                <w:lang w:val="en-US" w:eastAsia="zh-CN"/>
              </w:rPr>
              <w:t>0078</w:t>
            </w:r>
            <w:r>
              <w:rPr>
                <w:rFonts w:hint="default" w:ascii="Times New Roman" w:hAnsi="Times New Roman" w:cs="Times New Roman"/>
                <w:color w:val="auto"/>
                <w:sz w:val="24"/>
                <w:szCs w:val="24"/>
                <w:highlight w:val="none"/>
              </w:rPr>
              <w:t>kg/h。</w:t>
            </w:r>
          </w:p>
          <w:p w14:paraId="4D62181C">
            <w:pPr>
              <w:spacing w:line="360" w:lineRule="auto"/>
              <w:ind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沥青储罐通过加热增加沥青流动性方便管道输送，温度一般控制在</w:t>
            </w:r>
            <w:r>
              <w:rPr>
                <w:rFonts w:hint="default" w:ascii="Times New Roman" w:hAnsi="Times New Roman" w:cs="Times New Roman"/>
                <w:bCs/>
                <w:color w:val="auto"/>
                <w:sz w:val="24"/>
                <w:szCs w:val="24"/>
                <w:highlight w:val="none"/>
                <w:lang w:val="en-US" w:eastAsia="zh-CN"/>
              </w:rPr>
              <w:t>15</w:t>
            </w:r>
            <w:r>
              <w:rPr>
                <w:rFonts w:hint="default" w:ascii="Times New Roman" w:hAnsi="Times New Roman" w:cs="Times New Roman"/>
                <w:bCs/>
                <w:color w:val="auto"/>
                <w:sz w:val="24"/>
                <w:szCs w:val="24"/>
                <w:highlight w:val="none"/>
              </w:rPr>
              <w:t>0℃左右，沥青储罐呼吸口连接集气管道，收集效率100%，收集的废气进入燃烧器燃烧处理，总去除效率98%以上，处理后废气通过</w:t>
            </w:r>
            <w:r>
              <w:rPr>
                <w:rFonts w:hint="default" w:ascii="Times New Roman" w:hAnsi="Times New Roman" w:cs="Times New Roman"/>
                <w:bCs/>
                <w:color w:val="auto"/>
                <w:sz w:val="24"/>
                <w:szCs w:val="24"/>
                <w:highlight w:val="none"/>
                <w:lang w:val="en-US" w:eastAsia="zh-CN"/>
              </w:rPr>
              <w:t>20</w:t>
            </w:r>
            <w:r>
              <w:rPr>
                <w:rFonts w:hint="default" w:ascii="Times New Roman" w:hAnsi="Times New Roman" w:cs="Times New Roman"/>
                <w:bCs/>
                <w:color w:val="auto"/>
                <w:sz w:val="24"/>
                <w:szCs w:val="24"/>
                <w:highlight w:val="none"/>
              </w:rPr>
              <w:t>m高排气筒（</w:t>
            </w:r>
            <w:r>
              <w:rPr>
                <w:rFonts w:hint="default" w:ascii="Times New Roman" w:hAnsi="Times New Roman" w:cs="Times New Roman"/>
                <w:bCs/>
                <w:color w:val="auto"/>
                <w:sz w:val="24"/>
                <w:szCs w:val="24"/>
                <w:highlight w:val="none"/>
                <w:lang w:eastAsia="zh-CN"/>
              </w:rPr>
              <w:t>DA001</w:t>
            </w:r>
            <w:r>
              <w:rPr>
                <w:rFonts w:hint="default" w:ascii="Times New Roman" w:hAnsi="Times New Roman" w:cs="Times New Roman"/>
                <w:bCs/>
                <w:color w:val="auto"/>
                <w:sz w:val="24"/>
                <w:szCs w:val="24"/>
                <w:highlight w:val="none"/>
              </w:rPr>
              <w:t>）有组织排放（风机风量</w:t>
            </w:r>
            <w:r>
              <w:rPr>
                <w:rFonts w:hint="default" w:ascii="Times New Roman" w:hAnsi="Times New Roman" w:cs="Times New Roman"/>
                <w:bCs/>
                <w:color w:val="auto"/>
                <w:sz w:val="24"/>
                <w:szCs w:val="24"/>
                <w:highlight w:val="none"/>
                <w:lang w:val="en-US" w:eastAsia="zh-CN"/>
              </w:rPr>
              <w:t>92000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/h</w:t>
            </w:r>
            <w:r>
              <w:rPr>
                <w:rFonts w:hint="default" w:ascii="Times New Roman" w:hAnsi="Times New Roman" w:cs="Times New Roman"/>
                <w:bCs/>
                <w:color w:val="auto"/>
                <w:sz w:val="24"/>
                <w:szCs w:val="24"/>
                <w:highlight w:val="none"/>
              </w:rPr>
              <w:t>）。</w:t>
            </w:r>
          </w:p>
          <w:p w14:paraId="4743BFBE">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bCs/>
                <w:color w:val="auto"/>
                <w:sz w:val="24"/>
                <w:szCs w:val="24"/>
                <w:highlight w:val="none"/>
              </w:rPr>
              <w:t>经过上述工艺处理后沥青烟有组织排放量为</w:t>
            </w:r>
            <w:r>
              <w:rPr>
                <w:rFonts w:hint="default" w:ascii="Times New Roman" w:hAnsi="Times New Roman" w:cs="Times New Roman"/>
                <w:color w:val="auto"/>
                <w:sz w:val="24"/>
                <w:szCs w:val="24"/>
                <w:highlight w:val="none"/>
              </w:rPr>
              <w:t>0.0</w:t>
            </w:r>
            <w:r>
              <w:rPr>
                <w:rFonts w:hint="default" w:ascii="Times New Roman" w:hAnsi="Times New Roman" w:cs="Times New Roman"/>
                <w:color w:val="auto"/>
                <w:sz w:val="24"/>
                <w:szCs w:val="24"/>
                <w:highlight w:val="none"/>
                <w:lang w:val="en-US" w:eastAsia="zh-CN"/>
              </w:rPr>
              <w:t>015</w:t>
            </w:r>
            <w:r>
              <w:rPr>
                <w:rFonts w:hint="default" w:ascii="Times New Roman" w:hAnsi="Times New Roman" w:cs="Times New Roman"/>
                <w:color w:val="auto"/>
                <w:sz w:val="24"/>
                <w:szCs w:val="24"/>
                <w:highlight w:val="none"/>
              </w:rPr>
              <w:t>t/a，排放速率为</w:t>
            </w:r>
            <w:r>
              <w:rPr>
                <w:rFonts w:hint="default" w:ascii="Times New Roman" w:hAnsi="Times New Roman" w:cs="Times New Roman"/>
                <w:color w:val="auto"/>
                <w:sz w:val="24"/>
                <w:szCs w:val="24"/>
                <w:highlight w:val="none"/>
                <w:lang w:val="en-US" w:eastAsia="zh-CN"/>
              </w:rPr>
              <w:t>0.0004</w:t>
            </w:r>
            <w:r>
              <w:rPr>
                <w:rFonts w:hint="default" w:ascii="Times New Roman" w:hAnsi="Times New Roman" w:cs="Times New Roman"/>
                <w:color w:val="auto"/>
                <w:sz w:val="24"/>
                <w:szCs w:val="24"/>
                <w:highlight w:val="none"/>
              </w:rPr>
              <w:t>kg/h，排放浓度为</w:t>
            </w:r>
            <w:r>
              <w:rPr>
                <w:rFonts w:hint="default" w:ascii="Times New Roman" w:hAnsi="Times New Roman" w:cs="Times New Roman"/>
                <w:color w:val="auto"/>
                <w:sz w:val="24"/>
                <w:szCs w:val="24"/>
                <w:highlight w:val="none"/>
                <w:lang w:val="en-US" w:eastAsia="zh-CN"/>
              </w:rPr>
              <w:t>0.0046</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p w14:paraId="0D1FAB9A">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bCs/>
                <w:color w:val="auto"/>
                <w:sz w:val="24"/>
                <w:szCs w:val="24"/>
                <w:highlight w:val="none"/>
              </w:rPr>
              <w:t>苯并[a]芘有组织排放量为</w:t>
            </w:r>
            <w:r>
              <w:rPr>
                <w:rFonts w:hint="default" w:ascii="Times New Roman" w:hAnsi="Times New Roman" w:cs="Times New Roman"/>
                <w:color w:val="auto"/>
                <w:sz w:val="24"/>
                <w:szCs w:val="24"/>
                <w:highlight w:val="none"/>
                <w:lang w:val="en-US" w:eastAsia="zh-CN"/>
              </w:rPr>
              <w:t>3.07</w:t>
            </w:r>
            <w:r>
              <w:rPr>
                <w:rFonts w:hint="default" w:ascii="Times New Roman" w:hAnsi="Times New Roman" w:cs="Times New Roman"/>
                <w:color w:val="auto"/>
                <w:sz w:val="24"/>
                <w:szCs w:val="24"/>
                <w:highlight w:val="none"/>
              </w:rPr>
              <w:t>×10</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vertAlign w:val="superscript"/>
                <w:lang w:val="en-US" w:eastAsia="zh-CN"/>
              </w:rPr>
              <w:t>8</w:t>
            </w:r>
            <w:r>
              <w:rPr>
                <w:rFonts w:hint="default" w:ascii="Times New Roman" w:hAnsi="Times New Roman" w:cs="Times New Roman"/>
                <w:color w:val="auto"/>
                <w:sz w:val="24"/>
                <w:szCs w:val="24"/>
                <w:highlight w:val="none"/>
              </w:rPr>
              <w:t>t/a，排放速率为</w:t>
            </w:r>
            <w:r>
              <w:rPr>
                <w:rFonts w:hint="default" w:ascii="Times New Roman" w:hAnsi="Times New Roman" w:cs="Times New Roman"/>
                <w:color w:val="auto"/>
                <w:sz w:val="24"/>
                <w:szCs w:val="24"/>
                <w:highlight w:val="none"/>
                <w:lang w:val="en-US" w:eastAsia="zh-CN"/>
              </w:rPr>
              <w:t>0.85</w:t>
            </w:r>
            <w:r>
              <w:rPr>
                <w:rFonts w:hint="default" w:ascii="Times New Roman" w:hAnsi="Times New Roman" w:cs="Times New Roman"/>
                <w:color w:val="auto"/>
                <w:sz w:val="24"/>
                <w:szCs w:val="24"/>
                <w:highlight w:val="none"/>
              </w:rPr>
              <w:t>×10</w:t>
            </w:r>
            <w:r>
              <w:rPr>
                <w:rFonts w:hint="default" w:ascii="Times New Roman" w:hAnsi="Times New Roman" w:cs="Times New Roman"/>
                <w:color w:val="auto"/>
                <w:sz w:val="24"/>
                <w:szCs w:val="24"/>
                <w:highlight w:val="none"/>
                <w:vertAlign w:val="superscript"/>
              </w:rPr>
              <w:t>-8</w:t>
            </w:r>
            <w:r>
              <w:rPr>
                <w:rFonts w:hint="default" w:ascii="Times New Roman" w:hAnsi="Times New Roman" w:cs="Times New Roman"/>
                <w:color w:val="auto"/>
                <w:sz w:val="24"/>
                <w:szCs w:val="24"/>
                <w:highlight w:val="none"/>
              </w:rPr>
              <w:t>kg/h，排放浓度为</w:t>
            </w:r>
            <w:r>
              <w:rPr>
                <w:rFonts w:hint="default" w:ascii="Times New Roman" w:hAnsi="Times New Roman" w:cs="Times New Roman"/>
                <w:color w:val="auto"/>
                <w:sz w:val="24"/>
                <w:szCs w:val="24"/>
                <w:highlight w:val="none"/>
                <w:lang w:val="en-US" w:eastAsia="zh-CN"/>
              </w:rPr>
              <w:t>9.28</w:t>
            </w:r>
            <w:r>
              <w:rPr>
                <w:rFonts w:hint="default" w:ascii="Times New Roman" w:hAnsi="Times New Roman" w:cs="Times New Roman"/>
                <w:color w:val="auto"/>
                <w:sz w:val="24"/>
                <w:szCs w:val="24"/>
                <w:highlight w:val="none"/>
              </w:rPr>
              <w:t>×10</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vertAlign w:val="superscript"/>
                <w:lang w:val="en-US" w:eastAsia="zh-CN"/>
              </w:rPr>
              <w:t>8</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p w14:paraId="1306E2AD">
            <w:pPr>
              <w:widowControl/>
              <w:spacing w:line="360" w:lineRule="auto"/>
              <w:ind w:firstLine="480" w:firstLineChars="200"/>
              <w:jc w:val="left"/>
              <w:rPr>
                <w:rFonts w:hint="default" w:ascii="Times New Roman" w:hAnsi="Times New Roman" w:cs="Times New Roman"/>
                <w:color w:val="auto"/>
                <w:kern w:val="0"/>
                <w:sz w:val="24"/>
                <w:szCs w:val="24"/>
                <w:highlight w:val="none"/>
                <w:lang w:bidi="ar"/>
              </w:rPr>
            </w:pPr>
            <w:r>
              <w:rPr>
                <w:rFonts w:hint="default" w:ascii="Times New Roman" w:hAnsi="Times New Roman" w:cs="Times New Roman"/>
                <w:bCs/>
                <w:color w:val="auto"/>
                <w:sz w:val="24"/>
                <w:szCs w:val="24"/>
                <w:highlight w:val="none"/>
              </w:rPr>
              <w:t>VOC</w:t>
            </w:r>
            <w:r>
              <w:rPr>
                <w:rFonts w:hint="default" w:ascii="Times New Roman" w:hAnsi="Times New Roman" w:cs="Times New Roman"/>
                <w:bCs/>
                <w:color w:val="auto"/>
                <w:sz w:val="24"/>
                <w:szCs w:val="24"/>
                <w:highlight w:val="none"/>
                <w:vertAlign w:val="subscript"/>
              </w:rPr>
              <w:t>S</w:t>
            </w:r>
            <w:r>
              <w:rPr>
                <w:rFonts w:hint="default" w:ascii="Times New Roman" w:hAnsi="Times New Roman" w:cs="Times New Roman"/>
                <w:color w:val="auto"/>
                <w:kern w:val="0"/>
                <w:sz w:val="24"/>
                <w:szCs w:val="24"/>
                <w:highlight w:val="none"/>
                <w:lang w:eastAsia="zh-CN" w:bidi="ar"/>
              </w:rPr>
              <w:t>（</w:t>
            </w:r>
            <w:r>
              <w:rPr>
                <w:rFonts w:hint="default" w:ascii="Times New Roman" w:hAnsi="Times New Roman" w:cs="Times New Roman"/>
                <w:color w:val="auto"/>
                <w:kern w:val="0"/>
                <w:sz w:val="24"/>
                <w:szCs w:val="24"/>
                <w:highlight w:val="none"/>
                <w:lang w:val="en-US" w:eastAsia="zh-CN" w:bidi="ar"/>
              </w:rPr>
              <w:t>以非甲烷总烃计</w:t>
            </w:r>
            <w:r>
              <w:rPr>
                <w:rFonts w:hint="default" w:ascii="Times New Roman" w:hAnsi="Times New Roman" w:cs="Times New Roman"/>
                <w:color w:val="auto"/>
                <w:kern w:val="0"/>
                <w:sz w:val="24"/>
                <w:szCs w:val="24"/>
                <w:highlight w:val="none"/>
                <w:lang w:eastAsia="zh-CN" w:bidi="ar"/>
              </w:rPr>
              <w:t>）</w:t>
            </w:r>
            <w:r>
              <w:rPr>
                <w:rFonts w:hint="default" w:ascii="Times New Roman" w:hAnsi="Times New Roman" w:cs="Times New Roman"/>
                <w:bCs/>
                <w:color w:val="auto"/>
                <w:sz w:val="24"/>
                <w:szCs w:val="24"/>
                <w:highlight w:val="none"/>
              </w:rPr>
              <w:t>有组织排放量为</w:t>
            </w:r>
            <w:r>
              <w:rPr>
                <w:rFonts w:hint="default" w:ascii="Times New Roman" w:hAnsi="Times New Roman" w:cs="Times New Roman"/>
                <w:color w:val="auto"/>
                <w:sz w:val="24"/>
                <w:szCs w:val="24"/>
                <w:highlight w:val="none"/>
              </w:rPr>
              <w:t>0.00</w:t>
            </w:r>
            <w:r>
              <w:rPr>
                <w:rFonts w:hint="default" w:ascii="Times New Roman" w:hAnsi="Times New Roman" w:cs="Times New Roman"/>
                <w:color w:val="auto"/>
                <w:sz w:val="24"/>
                <w:szCs w:val="24"/>
                <w:highlight w:val="none"/>
                <w:lang w:val="en-US" w:eastAsia="zh-CN"/>
              </w:rPr>
              <w:t>11</w:t>
            </w:r>
            <w:r>
              <w:rPr>
                <w:rFonts w:hint="default" w:ascii="Times New Roman" w:hAnsi="Times New Roman" w:cs="Times New Roman"/>
                <w:color w:val="auto"/>
                <w:sz w:val="24"/>
                <w:szCs w:val="24"/>
                <w:highlight w:val="none"/>
              </w:rPr>
              <w:t>t/a，排放速率为0.</w:t>
            </w:r>
            <w:r>
              <w:rPr>
                <w:rFonts w:hint="default" w:ascii="Times New Roman" w:hAnsi="Times New Roman" w:cs="Times New Roman"/>
                <w:color w:val="auto"/>
                <w:sz w:val="24"/>
                <w:szCs w:val="24"/>
                <w:highlight w:val="none"/>
                <w:lang w:val="en-US" w:eastAsia="zh-CN"/>
              </w:rPr>
              <w:t>0003</w:t>
            </w:r>
            <w:r>
              <w:rPr>
                <w:rFonts w:hint="default" w:ascii="Times New Roman" w:hAnsi="Times New Roman" w:cs="Times New Roman"/>
                <w:color w:val="auto"/>
                <w:sz w:val="24"/>
                <w:szCs w:val="24"/>
                <w:highlight w:val="none"/>
              </w:rPr>
              <w:t>kg/h，排放浓度为</w:t>
            </w:r>
            <w:r>
              <w:rPr>
                <w:rFonts w:hint="default" w:ascii="Times New Roman" w:hAnsi="Times New Roman" w:cs="Times New Roman"/>
                <w:color w:val="auto"/>
                <w:sz w:val="24"/>
                <w:szCs w:val="24"/>
                <w:highlight w:val="none"/>
                <w:lang w:val="en-US" w:eastAsia="zh-CN"/>
              </w:rPr>
              <w:t>0.0032</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p w14:paraId="6CD55B6A">
            <w:p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④</w:t>
            </w:r>
            <w:r>
              <w:rPr>
                <w:rFonts w:hint="default" w:ascii="Times New Roman" w:hAnsi="Times New Roman" w:eastAsia="宋体" w:cs="Times New Roman"/>
                <w:b/>
                <w:bCs/>
                <w:color w:val="auto"/>
                <w:sz w:val="24"/>
                <w:szCs w:val="24"/>
                <w:highlight w:val="none"/>
                <w:lang w:val="en-US" w:eastAsia="zh-CN"/>
              </w:rPr>
              <w:t>骨料烘干、筛分</w:t>
            </w:r>
            <w:r>
              <w:rPr>
                <w:rFonts w:hint="default" w:ascii="Times New Roman" w:hAnsi="Times New Roman" w:cs="Times New Roman"/>
                <w:b/>
                <w:bCs/>
                <w:color w:val="auto"/>
                <w:sz w:val="24"/>
                <w:szCs w:val="24"/>
                <w:highlight w:val="none"/>
                <w:lang w:val="en-US" w:eastAsia="zh-CN"/>
              </w:rPr>
              <w:t>废气</w:t>
            </w:r>
          </w:p>
          <w:p w14:paraId="1F3191E0">
            <w:pPr>
              <w:spacing w:line="360" w:lineRule="auto"/>
              <w:ind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snapToGrid w:val="0"/>
                <w:color w:val="auto"/>
                <w:kern w:val="0"/>
                <w:sz w:val="24"/>
                <w:highlight w:val="none"/>
                <w:lang w:val="en-US" w:eastAsia="zh-CN"/>
              </w:rPr>
              <w:t>骨料烘干、筛分均在密闭的生产系统中进行，骨料经斗提提升机封闭提升至烘干筒，骨料在烘干筒采用轻质燃油点火直接加热烘干，烘干热料经斗提提升机密闭提升至筛分机，经密闭筛分后进入密闭料仓。骨料烘干、筛分废气经管道引入除尘系统（一级重力除尘+二级布袋除尘），处理效率99%</w:t>
            </w:r>
            <w:r>
              <w:rPr>
                <w:rFonts w:hint="default" w:ascii="Times New Roman" w:hAnsi="Times New Roman" w:cs="Times New Roman"/>
                <w:bCs/>
                <w:color w:val="auto"/>
                <w:sz w:val="24"/>
                <w:szCs w:val="24"/>
                <w:highlight w:val="none"/>
              </w:rPr>
              <w:t>，处理后废气通过</w:t>
            </w:r>
            <w:r>
              <w:rPr>
                <w:rFonts w:hint="default" w:ascii="Times New Roman" w:hAnsi="Times New Roman" w:cs="Times New Roman"/>
                <w:bCs/>
                <w:color w:val="auto"/>
                <w:sz w:val="24"/>
                <w:szCs w:val="24"/>
                <w:highlight w:val="none"/>
                <w:lang w:val="en-US" w:eastAsia="zh-CN"/>
              </w:rPr>
              <w:t>20</w:t>
            </w:r>
            <w:r>
              <w:rPr>
                <w:rFonts w:hint="default" w:ascii="Times New Roman" w:hAnsi="Times New Roman" w:cs="Times New Roman"/>
                <w:bCs/>
                <w:color w:val="auto"/>
                <w:sz w:val="24"/>
                <w:szCs w:val="24"/>
                <w:highlight w:val="none"/>
              </w:rPr>
              <w:t>m高排气筒（</w:t>
            </w:r>
            <w:r>
              <w:rPr>
                <w:rFonts w:hint="default" w:ascii="Times New Roman" w:hAnsi="Times New Roman" w:cs="Times New Roman"/>
                <w:bCs/>
                <w:color w:val="auto"/>
                <w:sz w:val="24"/>
                <w:szCs w:val="24"/>
                <w:highlight w:val="none"/>
                <w:lang w:eastAsia="zh-CN"/>
              </w:rPr>
              <w:t>DA001</w:t>
            </w:r>
            <w:r>
              <w:rPr>
                <w:rFonts w:hint="default" w:ascii="Times New Roman" w:hAnsi="Times New Roman" w:cs="Times New Roman"/>
                <w:bCs/>
                <w:color w:val="auto"/>
                <w:sz w:val="24"/>
                <w:szCs w:val="24"/>
                <w:highlight w:val="none"/>
              </w:rPr>
              <w:t>）有组织排放（风机风量</w:t>
            </w:r>
            <w:r>
              <w:rPr>
                <w:rFonts w:hint="default" w:ascii="Times New Roman" w:hAnsi="Times New Roman" w:cs="Times New Roman"/>
                <w:bCs/>
                <w:color w:val="auto"/>
                <w:sz w:val="24"/>
                <w:szCs w:val="24"/>
                <w:highlight w:val="none"/>
                <w:lang w:val="en-US" w:eastAsia="zh-CN"/>
              </w:rPr>
              <w:t>92000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/h</w:t>
            </w:r>
            <w:r>
              <w:rPr>
                <w:rFonts w:hint="default" w:ascii="Times New Roman" w:hAnsi="Times New Roman" w:cs="Times New Roman"/>
                <w:bCs/>
                <w:color w:val="auto"/>
                <w:sz w:val="24"/>
                <w:szCs w:val="24"/>
                <w:highlight w:val="none"/>
              </w:rPr>
              <w:t>）。</w:t>
            </w:r>
          </w:p>
          <w:p w14:paraId="2EB69DB9">
            <w:pPr>
              <w:spacing w:line="480" w:lineRule="exact"/>
              <w:ind w:firstLine="480" w:firstLineChars="200"/>
              <w:rPr>
                <w:rFonts w:hint="default" w:ascii="Times New Roman" w:hAnsi="Times New Roman" w:cs="Times New Roman"/>
                <w:bCs/>
                <w:snapToGrid w:val="0"/>
                <w:color w:val="auto"/>
                <w:kern w:val="0"/>
                <w:sz w:val="24"/>
                <w:highlight w:val="none"/>
              </w:rPr>
            </w:pPr>
            <w:r>
              <w:rPr>
                <w:rFonts w:hint="default" w:ascii="Times New Roman" w:hAnsi="Times New Roman" w:cs="Times New Roman"/>
                <w:color w:val="auto"/>
                <w:sz w:val="24"/>
                <w:highlight w:val="none"/>
              </w:rPr>
              <w:t>经计算</w:t>
            </w:r>
            <w:r>
              <w:rPr>
                <w:rFonts w:hint="default" w:ascii="Times New Roman" w:hAnsi="Times New Roman" w:cs="Times New Roman"/>
                <w:bCs/>
                <w:snapToGrid w:val="0"/>
                <w:color w:val="auto"/>
                <w:kern w:val="0"/>
                <w:sz w:val="24"/>
                <w:highlight w:val="none"/>
              </w:rPr>
              <w:t>烘干工序粉尘有组织排放量为</w:t>
            </w:r>
            <w:r>
              <w:rPr>
                <w:rFonts w:hint="default" w:ascii="Times New Roman" w:hAnsi="Times New Roman" w:cs="Times New Roman"/>
                <w:bCs/>
                <w:snapToGrid w:val="0"/>
                <w:color w:val="auto"/>
                <w:kern w:val="0"/>
                <w:sz w:val="24"/>
                <w:highlight w:val="none"/>
                <w:lang w:val="en-US" w:eastAsia="zh-CN"/>
              </w:rPr>
              <w:t>0.2300</w:t>
            </w:r>
            <w:r>
              <w:rPr>
                <w:rFonts w:hint="default" w:ascii="Times New Roman" w:hAnsi="Times New Roman" w:cs="Times New Roman"/>
                <w:bCs/>
                <w:snapToGrid w:val="0"/>
                <w:color w:val="auto"/>
                <w:kern w:val="0"/>
                <w:sz w:val="24"/>
                <w:highlight w:val="none"/>
              </w:rPr>
              <w:t>t/a，</w:t>
            </w:r>
            <w:r>
              <w:rPr>
                <w:rFonts w:hint="default" w:ascii="Times New Roman" w:hAnsi="Times New Roman" w:cs="Times New Roman"/>
                <w:bCs/>
                <w:snapToGrid w:val="0"/>
                <w:color w:val="auto"/>
                <w:kern w:val="0"/>
                <w:sz w:val="24"/>
                <w:highlight w:val="none"/>
                <w:lang w:val="en-US" w:eastAsia="zh-CN"/>
              </w:rPr>
              <w:t>0.2556</w:t>
            </w:r>
            <w:r>
              <w:rPr>
                <w:rFonts w:hint="default" w:ascii="Times New Roman" w:hAnsi="Times New Roman" w:cs="Times New Roman"/>
                <w:bCs/>
                <w:snapToGrid w:val="0"/>
                <w:color w:val="auto"/>
                <w:kern w:val="0"/>
                <w:sz w:val="24"/>
                <w:highlight w:val="none"/>
              </w:rPr>
              <w:t>kg/h，排放浓度为</w:t>
            </w:r>
            <w:r>
              <w:rPr>
                <w:rFonts w:hint="default" w:ascii="Times New Roman" w:hAnsi="Times New Roman" w:cs="Times New Roman"/>
                <w:bCs/>
                <w:snapToGrid w:val="0"/>
                <w:color w:val="auto"/>
                <w:kern w:val="0"/>
                <w:sz w:val="24"/>
                <w:highlight w:val="none"/>
                <w:lang w:val="en-US" w:eastAsia="zh-CN"/>
              </w:rPr>
              <w:t>2.7778</w:t>
            </w:r>
            <w:r>
              <w:rPr>
                <w:rFonts w:hint="default" w:ascii="Times New Roman" w:hAnsi="Times New Roman" w:cs="Times New Roman"/>
                <w:bCs/>
                <w:snapToGrid w:val="0"/>
                <w:color w:val="auto"/>
                <w:kern w:val="0"/>
                <w:sz w:val="24"/>
                <w:highlight w:val="none"/>
              </w:rPr>
              <w:t>mg/m</w:t>
            </w:r>
            <w:r>
              <w:rPr>
                <w:rFonts w:hint="default" w:ascii="Times New Roman" w:hAnsi="Times New Roman" w:cs="Times New Roman"/>
                <w:bCs/>
                <w:snapToGrid w:val="0"/>
                <w:color w:val="auto"/>
                <w:kern w:val="0"/>
                <w:sz w:val="24"/>
                <w:highlight w:val="none"/>
                <w:vertAlign w:val="superscript"/>
              </w:rPr>
              <w:t>3</w:t>
            </w:r>
            <w:r>
              <w:rPr>
                <w:rFonts w:hint="default" w:ascii="Times New Roman" w:hAnsi="Times New Roman" w:cs="Times New Roman"/>
                <w:bCs/>
                <w:snapToGrid w:val="0"/>
                <w:color w:val="auto"/>
                <w:kern w:val="0"/>
                <w:sz w:val="24"/>
                <w:highlight w:val="none"/>
              </w:rPr>
              <w:t>（风机风量为</w:t>
            </w:r>
            <w:r>
              <w:rPr>
                <w:rFonts w:hint="default" w:ascii="Times New Roman" w:hAnsi="Times New Roman" w:cs="Times New Roman"/>
                <w:bCs/>
                <w:snapToGrid w:val="0"/>
                <w:color w:val="auto"/>
                <w:kern w:val="0"/>
                <w:sz w:val="24"/>
                <w:highlight w:val="none"/>
                <w:lang w:val="en-US" w:eastAsia="zh-CN"/>
              </w:rPr>
              <w:t>92000</w:t>
            </w:r>
            <w:r>
              <w:rPr>
                <w:rFonts w:hint="default" w:ascii="Times New Roman" w:hAnsi="Times New Roman" w:cs="Times New Roman"/>
                <w:bCs/>
                <w:snapToGrid w:val="0"/>
                <w:color w:val="auto"/>
                <w:kern w:val="0"/>
                <w:sz w:val="24"/>
                <w:highlight w:val="none"/>
              </w:rPr>
              <w:t>m</w:t>
            </w:r>
            <w:r>
              <w:rPr>
                <w:rFonts w:hint="default" w:ascii="Times New Roman" w:hAnsi="Times New Roman" w:cs="Times New Roman"/>
                <w:bCs/>
                <w:snapToGrid w:val="0"/>
                <w:color w:val="auto"/>
                <w:kern w:val="0"/>
                <w:sz w:val="24"/>
                <w:highlight w:val="none"/>
                <w:vertAlign w:val="superscript"/>
              </w:rPr>
              <w:t>3</w:t>
            </w:r>
            <w:r>
              <w:rPr>
                <w:rFonts w:hint="default" w:ascii="Times New Roman" w:hAnsi="Times New Roman" w:cs="Times New Roman"/>
                <w:bCs/>
                <w:snapToGrid w:val="0"/>
                <w:color w:val="auto"/>
                <w:kern w:val="0"/>
                <w:sz w:val="24"/>
                <w:highlight w:val="none"/>
              </w:rPr>
              <w:t>/h）。筛分工序粉尘有组织排放量为</w:t>
            </w:r>
            <w:r>
              <w:rPr>
                <w:rFonts w:hint="default" w:ascii="Times New Roman" w:hAnsi="Times New Roman" w:cs="Times New Roman"/>
                <w:bCs/>
                <w:snapToGrid w:val="0"/>
                <w:color w:val="auto"/>
                <w:kern w:val="0"/>
                <w:sz w:val="24"/>
                <w:highlight w:val="none"/>
                <w:lang w:val="en-US" w:eastAsia="zh-CN"/>
              </w:rPr>
              <w:t>0.0575</w:t>
            </w:r>
            <w:r>
              <w:rPr>
                <w:rFonts w:hint="default" w:ascii="Times New Roman" w:hAnsi="Times New Roman" w:cs="Times New Roman"/>
                <w:bCs/>
                <w:snapToGrid w:val="0"/>
                <w:color w:val="auto"/>
                <w:kern w:val="0"/>
                <w:sz w:val="24"/>
                <w:highlight w:val="none"/>
              </w:rPr>
              <w:t>t/a，</w:t>
            </w:r>
            <w:r>
              <w:rPr>
                <w:rFonts w:hint="default" w:ascii="Times New Roman" w:hAnsi="Times New Roman" w:cs="Times New Roman"/>
                <w:bCs/>
                <w:snapToGrid w:val="0"/>
                <w:color w:val="auto"/>
                <w:kern w:val="0"/>
                <w:sz w:val="24"/>
                <w:highlight w:val="none"/>
                <w:lang w:val="en-US" w:eastAsia="zh-CN"/>
              </w:rPr>
              <w:t>0.0639</w:t>
            </w:r>
            <w:r>
              <w:rPr>
                <w:rFonts w:hint="default" w:ascii="Times New Roman" w:hAnsi="Times New Roman" w:cs="Times New Roman"/>
                <w:bCs/>
                <w:snapToGrid w:val="0"/>
                <w:color w:val="auto"/>
                <w:kern w:val="0"/>
                <w:sz w:val="24"/>
                <w:highlight w:val="none"/>
              </w:rPr>
              <w:t>kg/h，排放浓度为</w:t>
            </w:r>
            <w:r>
              <w:rPr>
                <w:rFonts w:hint="default" w:ascii="Times New Roman" w:hAnsi="Times New Roman" w:cs="Times New Roman"/>
                <w:bCs/>
                <w:snapToGrid w:val="0"/>
                <w:color w:val="auto"/>
                <w:kern w:val="0"/>
                <w:sz w:val="24"/>
                <w:highlight w:val="none"/>
                <w:lang w:val="en-US" w:eastAsia="zh-CN"/>
              </w:rPr>
              <w:t>0.6944</w:t>
            </w:r>
            <w:r>
              <w:rPr>
                <w:rFonts w:hint="default" w:ascii="Times New Roman" w:hAnsi="Times New Roman" w:cs="Times New Roman"/>
                <w:bCs/>
                <w:snapToGrid w:val="0"/>
                <w:color w:val="auto"/>
                <w:kern w:val="0"/>
                <w:sz w:val="24"/>
                <w:highlight w:val="none"/>
              </w:rPr>
              <w:t>mg/m</w:t>
            </w:r>
            <w:r>
              <w:rPr>
                <w:rFonts w:hint="default" w:ascii="Times New Roman" w:hAnsi="Times New Roman" w:cs="Times New Roman"/>
                <w:bCs/>
                <w:snapToGrid w:val="0"/>
                <w:color w:val="auto"/>
                <w:kern w:val="0"/>
                <w:sz w:val="24"/>
                <w:highlight w:val="none"/>
                <w:vertAlign w:val="superscript"/>
              </w:rPr>
              <w:t>3</w:t>
            </w:r>
            <w:r>
              <w:rPr>
                <w:rFonts w:hint="default" w:ascii="Times New Roman" w:hAnsi="Times New Roman" w:cs="Times New Roman"/>
                <w:bCs/>
                <w:snapToGrid w:val="0"/>
                <w:color w:val="auto"/>
                <w:kern w:val="0"/>
                <w:sz w:val="24"/>
                <w:highlight w:val="none"/>
              </w:rPr>
              <w:t>。</w:t>
            </w:r>
          </w:p>
          <w:p w14:paraId="428A270E">
            <w:p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⑤轻质油</w:t>
            </w:r>
            <w:r>
              <w:rPr>
                <w:rFonts w:hint="default" w:ascii="Times New Roman" w:hAnsi="Times New Roman" w:eastAsia="宋体" w:cs="Times New Roman"/>
                <w:b/>
                <w:bCs/>
                <w:color w:val="auto"/>
                <w:sz w:val="24"/>
                <w:szCs w:val="24"/>
                <w:highlight w:val="none"/>
                <w:lang w:val="en-US" w:eastAsia="zh-CN"/>
              </w:rPr>
              <w:t>燃烧废气</w:t>
            </w:r>
          </w:p>
          <w:p w14:paraId="5930081D">
            <w:pPr>
              <w:spacing w:line="360" w:lineRule="auto"/>
              <w:ind w:firstLine="480" w:firstLineChars="200"/>
              <w:rPr>
                <w:rFonts w:hint="default" w:ascii="Times New Roman" w:hAnsi="Times New Roman" w:cs="Times New Roman"/>
                <w:color w:val="auto"/>
                <w:kern w:val="0"/>
                <w:sz w:val="24"/>
                <w:szCs w:val="24"/>
                <w:highlight w:val="green"/>
                <w:lang w:bidi="ar"/>
              </w:rPr>
            </w:pPr>
            <w:r>
              <w:rPr>
                <w:rFonts w:hint="default" w:ascii="Times New Roman" w:hAnsi="Times New Roman" w:cs="Times New Roman"/>
                <w:color w:val="auto"/>
                <w:kern w:val="0"/>
                <w:sz w:val="24"/>
                <w:szCs w:val="24"/>
                <w:highlight w:val="none"/>
                <w:lang w:bidi="ar"/>
              </w:rPr>
              <w:t>斗提提升机封闭提升</w:t>
            </w:r>
            <w:r>
              <w:rPr>
                <w:rFonts w:hint="default" w:ascii="Times New Roman" w:hAnsi="Times New Roman" w:cs="Times New Roman"/>
                <w:color w:val="auto"/>
                <w:kern w:val="0"/>
                <w:sz w:val="24"/>
                <w:szCs w:val="24"/>
                <w:highlight w:val="none"/>
                <w:lang w:val="en-US" w:eastAsia="zh-CN" w:bidi="ar"/>
              </w:rPr>
              <w:t>骨料至</w:t>
            </w:r>
            <w:r>
              <w:rPr>
                <w:rFonts w:hint="default" w:ascii="Times New Roman" w:hAnsi="Times New Roman" w:cs="Times New Roman"/>
                <w:color w:val="auto"/>
                <w:kern w:val="0"/>
                <w:sz w:val="24"/>
                <w:szCs w:val="24"/>
                <w:highlight w:val="none"/>
                <w:lang w:bidi="ar"/>
              </w:rPr>
              <w:t>烘干筒，</w:t>
            </w:r>
            <w:r>
              <w:rPr>
                <w:rFonts w:hint="default" w:ascii="Times New Roman" w:hAnsi="Times New Roman" w:cs="Times New Roman"/>
                <w:color w:val="auto"/>
                <w:kern w:val="0"/>
                <w:sz w:val="24"/>
                <w:szCs w:val="24"/>
                <w:highlight w:val="none"/>
                <w:lang w:val="en-US" w:eastAsia="zh-CN" w:bidi="ar"/>
              </w:rPr>
              <w:t>骨料</w:t>
            </w:r>
            <w:r>
              <w:rPr>
                <w:rFonts w:hint="default" w:ascii="Times New Roman" w:hAnsi="Times New Roman" w:cs="Times New Roman"/>
                <w:color w:val="auto"/>
                <w:kern w:val="0"/>
                <w:sz w:val="24"/>
                <w:szCs w:val="24"/>
                <w:highlight w:val="none"/>
                <w:lang w:bidi="ar"/>
              </w:rPr>
              <w:t>在烘干筒采用轻质燃油点火直接加热烘干，烘干筒燃烧废气经管道引至除尘系统（一级重力除尘+二级布袋除尘）与骨料烘干、筛分粉尘一并处理后通过</w:t>
            </w:r>
            <w:r>
              <w:rPr>
                <w:rFonts w:hint="default" w:ascii="Times New Roman" w:hAnsi="Times New Roman" w:cs="Times New Roman"/>
                <w:color w:val="auto"/>
                <w:kern w:val="0"/>
                <w:sz w:val="24"/>
                <w:szCs w:val="24"/>
                <w:highlight w:val="none"/>
                <w:lang w:eastAsia="zh-CN" w:bidi="ar"/>
              </w:rPr>
              <w:t>20</w:t>
            </w:r>
            <w:r>
              <w:rPr>
                <w:rFonts w:hint="default" w:ascii="Times New Roman" w:hAnsi="Times New Roman" w:cs="Times New Roman"/>
                <w:color w:val="auto"/>
                <w:kern w:val="0"/>
                <w:sz w:val="24"/>
                <w:szCs w:val="24"/>
                <w:highlight w:val="none"/>
                <w:lang w:bidi="ar"/>
              </w:rPr>
              <w:t>m排气筒（</w:t>
            </w:r>
            <w:r>
              <w:rPr>
                <w:rFonts w:hint="default" w:ascii="Times New Roman" w:hAnsi="Times New Roman" w:cs="Times New Roman"/>
                <w:color w:val="auto"/>
                <w:kern w:val="0"/>
                <w:sz w:val="24"/>
                <w:szCs w:val="24"/>
                <w:highlight w:val="none"/>
                <w:lang w:eastAsia="zh-CN" w:bidi="ar"/>
              </w:rPr>
              <w:t>DA001</w:t>
            </w:r>
            <w:r>
              <w:rPr>
                <w:rFonts w:hint="default" w:ascii="Times New Roman" w:hAnsi="Times New Roman" w:cs="Times New Roman"/>
                <w:color w:val="auto"/>
                <w:kern w:val="0"/>
                <w:sz w:val="24"/>
                <w:szCs w:val="24"/>
                <w:highlight w:val="none"/>
                <w:lang w:bidi="ar"/>
              </w:rPr>
              <w:t>）排放。</w:t>
            </w:r>
            <w:r>
              <w:rPr>
                <w:rFonts w:hint="default" w:ascii="Times New Roman" w:hAnsi="Times New Roman" w:cs="Times New Roman"/>
                <w:bCs/>
                <w:color w:val="auto"/>
                <w:sz w:val="24"/>
                <w:szCs w:val="24"/>
                <w:highlight w:val="none"/>
              </w:rPr>
              <w:t>（风机风量</w:t>
            </w:r>
            <w:r>
              <w:rPr>
                <w:rFonts w:hint="default" w:ascii="Times New Roman" w:hAnsi="Times New Roman" w:cs="Times New Roman"/>
                <w:bCs/>
                <w:color w:val="auto"/>
                <w:sz w:val="24"/>
                <w:szCs w:val="24"/>
                <w:highlight w:val="none"/>
                <w:lang w:val="en-US" w:eastAsia="zh-CN"/>
              </w:rPr>
              <w:t>92000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/h</w:t>
            </w:r>
            <w:r>
              <w:rPr>
                <w:rFonts w:hint="default" w:ascii="Times New Roman" w:hAnsi="Times New Roman" w:cs="Times New Roman"/>
                <w:bCs/>
                <w:color w:val="auto"/>
                <w:sz w:val="24"/>
                <w:szCs w:val="24"/>
                <w:highlight w:val="none"/>
              </w:rPr>
              <w:t>）</w:t>
            </w:r>
          </w:p>
          <w:p w14:paraId="22B41CC6">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bCs/>
                <w:color w:val="auto"/>
                <w:sz w:val="24"/>
                <w:szCs w:val="24"/>
                <w:highlight w:val="none"/>
              </w:rPr>
              <w:t>经过上述工艺处理后颗粒物有组织排放量为</w:t>
            </w:r>
            <w:r>
              <w:rPr>
                <w:rFonts w:hint="default" w:ascii="Times New Roman" w:hAnsi="Times New Roman" w:cs="Times New Roman"/>
                <w:color w:val="auto"/>
                <w:sz w:val="24"/>
                <w:szCs w:val="24"/>
                <w:highlight w:val="none"/>
                <w:lang w:eastAsia="zh-CN"/>
              </w:rPr>
              <w:t>0.000</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t/a，排放速率为</w:t>
            </w:r>
            <w:r>
              <w:rPr>
                <w:rFonts w:hint="default" w:ascii="Times New Roman" w:hAnsi="Times New Roman" w:cs="Times New Roman"/>
                <w:color w:val="auto"/>
                <w:sz w:val="24"/>
                <w:szCs w:val="24"/>
                <w:highlight w:val="none"/>
                <w:lang w:eastAsia="zh-CN"/>
              </w:rPr>
              <w:t>0.00</w:t>
            </w:r>
            <w:r>
              <w:rPr>
                <w:rFonts w:hint="default" w:ascii="Times New Roman" w:hAnsi="Times New Roman" w:cs="Times New Roman"/>
                <w:color w:val="auto"/>
                <w:sz w:val="24"/>
                <w:szCs w:val="24"/>
                <w:highlight w:val="none"/>
                <w:lang w:val="en-US" w:eastAsia="zh-CN"/>
              </w:rPr>
              <w:t>06</w:t>
            </w:r>
            <w:r>
              <w:rPr>
                <w:rFonts w:hint="default" w:ascii="Times New Roman" w:hAnsi="Times New Roman" w:cs="Times New Roman"/>
                <w:color w:val="auto"/>
                <w:sz w:val="24"/>
                <w:szCs w:val="24"/>
                <w:highlight w:val="none"/>
              </w:rPr>
              <w:t>kg/h，排放浓度为</w:t>
            </w:r>
            <w:r>
              <w:rPr>
                <w:rFonts w:hint="default" w:ascii="Times New Roman" w:hAnsi="Times New Roman" w:cs="Times New Roman"/>
                <w:color w:val="auto"/>
                <w:sz w:val="24"/>
                <w:szCs w:val="24"/>
                <w:highlight w:val="none"/>
                <w:lang w:eastAsia="zh-CN"/>
              </w:rPr>
              <w:t>0.0</w:t>
            </w:r>
            <w:r>
              <w:rPr>
                <w:rFonts w:hint="default" w:ascii="Times New Roman" w:hAnsi="Times New Roman" w:cs="Times New Roman"/>
                <w:color w:val="auto"/>
                <w:sz w:val="24"/>
                <w:szCs w:val="24"/>
                <w:highlight w:val="none"/>
                <w:lang w:val="en-US" w:eastAsia="zh-CN"/>
              </w:rPr>
              <w:t>063</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p w14:paraId="72C0A26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bCs/>
                <w:color w:val="auto"/>
                <w:sz w:val="24"/>
                <w:szCs w:val="24"/>
                <w:highlight w:val="none"/>
              </w:rPr>
              <w:t>SO</w:t>
            </w:r>
            <w:r>
              <w:rPr>
                <w:rFonts w:hint="default" w:ascii="Times New Roman" w:hAnsi="Times New Roman" w:cs="Times New Roman"/>
                <w:bCs/>
                <w:color w:val="auto"/>
                <w:sz w:val="24"/>
                <w:szCs w:val="24"/>
                <w:highlight w:val="none"/>
                <w:vertAlign w:val="subscript"/>
              </w:rPr>
              <w:t>2</w:t>
            </w:r>
            <w:r>
              <w:rPr>
                <w:rFonts w:hint="default" w:ascii="Times New Roman" w:hAnsi="Times New Roman" w:cs="Times New Roman"/>
                <w:bCs/>
                <w:color w:val="auto"/>
                <w:sz w:val="24"/>
                <w:szCs w:val="24"/>
                <w:highlight w:val="none"/>
              </w:rPr>
              <w:t>有组织排放量为</w:t>
            </w:r>
            <w:r>
              <w:rPr>
                <w:rFonts w:hint="default" w:ascii="Times New Roman" w:hAnsi="Times New Roman" w:cs="Times New Roman"/>
                <w:bCs/>
                <w:color w:val="auto"/>
                <w:sz w:val="24"/>
                <w:szCs w:val="24"/>
                <w:highlight w:val="none"/>
                <w:lang w:val="en-US" w:eastAsia="zh-CN"/>
              </w:rPr>
              <w:t>0.1520</w:t>
            </w:r>
            <w:r>
              <w:rPr>
                <w:rFonts w:hint="default" w:ascii="Times New Roman" w:hAnsi="Times New Roman" w:cs="Times New Roman"/>
                <w:color w:val="auto"/>
                <w:sz w:val="24"/>
                <w:szCs w:val="24"/>
                <w:highlight w:val="none"/>
              </w:rPr>
              <w:t>t/a，排放速率为</w:t>
            </w:r>
            <w:r>
              <w:rPr>
                <w:rFonts w:hint="default" w:ascii="Times New Roman" w:hAnsi="Times New Roman" w:cs="Times New Roman"/>
                <w:color w:val="auto"/>
                <w:sz w:val="24"/>
                <w:szCs w:val="24"/>
                <w:highlight w:val="none"/>
                <w:lang w:eastAsia="zh-CN"/>
              </w:rPr>
              <w:t>0.</w:t>
            </w:r>
            <w:r>
              <w:rPr>
                <w:rFonts w:hint="default" w:ascii="Times New Roman" w:hAnsi="Times New Roman" w:cs="Times New Roman"/>
                <w:color w:val="auto"/>
                <w:sz w:val="24"/>
                <w:szCs w:val="24"/>
                <w:highlight w:val="none"/>
                <w:lang w:val="en-US" w:eastAsia="zh-CN"/>
              </w:rPr>
              <w:t>1689</w:t>
            </w:r>
            <w:r>
              <w:rPr>
                <w:rFonts w:hint="default" w:ascii="Times New Roman" w:hAnsi="Times New Roman" w:cs="Times New Roman"/>
                <w:color w:val="auto"/>
                <w:sz w:val="24"/>
                <w:szCs w:val="24"/>
                <w:highlight w:val="none"/>
              </w:rPr>
              <w:t>kg/h，排放浓度为</w:t>
            </w:r>
            <w:r>
              <w:rPr>
                <w:rFonts w:hint="default" w:ascii="Times New Roman" w:hAnsi="Times New Roman" w:cs="Times New Roman"/>
                <w:color w:val="auto"/>
                <w:sz w:val="24"/>
                <w:szCs w:val="24"/>
                <w:highlight w:val="none"/>
                <w:lang w:val="en-US" w:eastAsia="zh-CN"/>
              </w:rPr>
              <w:t>1.8357</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p w14:paraId="63235EC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bCs/>
                <w:color w:val="auto"/>
                <w:sz w:val="24"/>
                <w:szCs w:val="24"/>
                <w:highlight w:val="none"/>
              </w:rPr>
              <w:t>NOx有组织排放量为</w:t>
            </w:r>
            <w:r>
              <w:rPr>
                <w:rFonts w:hint="default" w:ascii="Times New Roman" w:hAnsi="Times New Roman" w:cs="Times New Roman"/>
                <w:bCs/>
                <w:color w:val="auto"/>
                <w:sz w:val="24"/>
                <w:szCs w:val="24"/>
                <w:highlight w:val="none"/>
                <w:lang w:val="en-US" w:eastAsia="zh-CN"/>
              </w:rPr>
              <w:t>0.3680</w:t>
            </w:r>
            <w:r>
              <w:rPr>
                <w:rFonts w:hint="default" w:ascii="Times New Roman" w:hAnsi="Times New Roman" w:cs="Times New Roman"/>
                <w:color w:val="auto"/>
                <w:sz w:val="24"/>
                <w:szCs w:val="24"/>
                <w:highlight w:val="none"/>
              </w:rPr>
              <w:t>t/a，排放速率为</w:t>
            </w:r>
            <w:r>
              <w:rPr>
                <w:rFonts w:hint="default" w:ascii="Times New Roman" w:hAnsi="Times New Roman" w:cs="Times New Roman"/>
                <w:color w:val="auto"/>
                <w:sz w:val="24"/>
                <w:szCs w:val="24"/>
                <w:highlight w:val="none"/>
                <w:lang w:val="en-US" w:eastAsia="zh-CN"/>
              </w:rPr>
              <w:t>0.4089</w:t>
            </w:r>
            <w:r>
              <w:rPr>
                <w:rFonts w:hint="default" w:ascii="Times New Roman" w:hAnsi="Times New Roman" w:cs="Times New Roman"/>
                <w:color w:val="auto"/>
                <w:sz w:val="24"/>
                <w:szCs w:val="24"/>
                <w:highlight w:val="none"/>
              </w:rPr>
              <w:t>kg/h，排放浓度为</w:t>
            </w:r>
            <w:r>
              <w:rPr>
                <w:rFonts w:hint="default" w:ascii="Times New Roman" w:hAnsi="Times New Roman" w:cs="Times New Roman"/>
                <w:color w:val="auto"/>
                <w:sz w:val="24"/>
                <w:szCs w:val="24"/>
                <w:highlight w:val="none"/>
                <w:lang w:val="en-US" w:eastAsia="zh-CN"/>
              </w:rPr>
              <w:t>4.4444</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p w14:paraId="73377392">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bCs/>
                <w:color w:val="auto"/>
                <w:sz w:val="24"/>
                <w:highlight w:val="none"/>
                <w:lang w:val="en-US" w:eastAsia="zh-CN"/>
              </w:rPr>
              <w:t>⑥骨料堆场</w:t>
            </w:r>
            <w:r>
              <w:rPr>
                <w:rFonts w:hint="default" w:ascii="Times New Roman" w:hAnsi="Times New Roman" w:cs="Times New Roman"/>
                <w:b/>
                <w:color w:val="auto"/>
                <w:sz w:val="24"/>
                <w:szCs w:val="24"/>
                <w:highlight w:val="none"/>
              </w:rPr>
              <w:t>及装卸扬尘</w:t>
            </w:r>
          </w:p>
          <w:p w14:paraId="230573A3">
            <w:pPr>
              <w:keepNext w:val="0"/>
              <w:keepLines w:val="0"/>
              <w:pageBreakBefore w:val="0"/>
              <w:widowControl/>
              <w:kinsoku/>
              <w:wordWrap/>
              <w:overflowPunct/>
              <w:topLinePunct w:val="0"/>
              <w:autoSpaceDE/>
              <w:autoSpaceDN/>
              <w:bidi w:val="0"/>
              <w:adjustRightInd/>
              <w:snapToGrid/>
              <w:spacing w:line="360" w:lineRule="auto"/>
              <w:ind w:firstLine="516" w:firstLineChars="200"/>
              <w:jc w:val="left"/>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color w:val="auto"/>
                <w:spacing w:val="9"/>
                <w:sz w:val="24"/>
                <w:szCs w:val="24"/>
                <w:highlight w:val="none"/>
              </w:rPr>
              <w:t>骨料堆场均采取钢结构厂房</w:t>
            </w:r>
            <w:r>
              <w:rPr>
                <w:rFonts w:hint="default" w:ascii="Times New Roman" w:hAnsi="Times New Roman" w:cs="Times New Roman"/>
                <w:color w:val="auto"/>
                <w:sz w:val="24"/>
                <w:szCs w:val="24"/>
                <w:highlight w:val="none"/>
              </w:rPr>
              <w:t>（三面封闭+顶棚）</w:t>
            </w:r>
            <w:r>
              <w:rPr>
                <w:rFonts w:hint="default" w:ascii="Times New Roman" w:hAnsi="Times New Roman" w:cs="Times New Roman"/>
                <w:color w:val="auto"/>
                <w:spacing w:val="9"/>
                <w:sz w:val="24"/>
                <w:szCs w:val="24"/>
                <w:highlight w:val="none"/>
              </w:rPr>
              <w:t>，料仓顶部安装多排喷雾降尘装置，</w:t>
            </w:r>
            <w:r>
              <w:rPr>
                <w:rFonts w:hint="default" w:ascii="Times New Roman" w:hAnsi="Times New Roman" w:cs="Times New Roman"/>
                <w:bCs/>
                <w:color w:val="auto"/>
                <w:sz w:val="24"/>
                <w:szCs w:val="24"/>
                <w:highlight w:val="none"/>
              </w:rPr>
              <w:t>治理效率90%。</w:t>
            </w:r>
          </w:p>
          <w:p w14:paraId="2332047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骨料堆场及装卸扬尘采取上述治理措施后，骨料堆场粉尘无组织排放量为</w:t>
            </w:r>
            <w:r>
              <w:rPr>
                <w:rFonts w:hint="default" w:ascii="Times New Roman" w:hAnsi="Times New Roman" w:cs="Times New Roman"/>
                <w:bCs/>
                <w:color w:val="auto"/>
                <w:sz w:val="24"/>
                <w:szCs w:val="24"/>
                <w:highlight w:val="none"/>
                <w:lang w:val="en-US" w:eastAsia="zh-CN"/>
              </w:rPr>
              <w:t>0.2823</w:t>
            </w:r>
            <w:r>
              <w:rPr>
                <w:rFonts w:hint="default" w:ascii="Times New Roman" w:hAnsi="Times New Roman" w:cs="Times New Roman"/>
                <w:bCs/>
                <w:color w:val="auto"/>
                <w:sz w:val="24"/>
                <w:szCs w:val="24"/>
                <w:highlight w:val="none"/>
              </w:rPr>
              <w:t>t/a，排放速率为</w:t>
            </w:r>
            <w:r>
              <w:rPr>
                <w:rFonts w:hint="default" w:ascii="Times New Roman" w:hAnsi="Times New Roman" w:cs="Times New Roman"/>
                <w:bCs/>
                <w:color w:val="auto"/>
                <w:sz w:val="24"/>
                <w:szCs w:val="24"/>
                <w:highlight w:val="none"/>
                <w:lang w:val="en-US" w:eastAsia="zh-CN"/>
              </w:rPr>
              <w:t>0.0784</w:t>
            </w:r>
            <w:r>
              <w:rPr>
                <w:rFonts w:hint="default" w:ascii="Times New Roman" w:hAnsi="Times New Roman" w:cs="Times New Roman"/>
                <w:bCs/>
                <w:color w:val="auto"/>
                <w:sz w:val="24"/>
                <w:szCs w:val="24"/>
                <w:highlight w:val="none"/>
              </w:rPr>
              <w:t>kg/h，装卸扬尘无组织排放量为</w:t>
            </w:r>
            <w:r>
              <w:rPr>
                <w:rFonts w:hint="default" w:ascii="Times New Roman" w:hAnsi="Times New Roman" w:cs="Times New Roman"/>
                <w:bCs/>
                <w:color w:val="auto"/>
                <w:sz w:val="24"/>
                <w:szCs w:val="24"/>
                <w:highlight w:val="none"/>
                <w:lang w:val="en-US" w:eastAsia="zh-CN"/>
              </w:rPr>
              <w:t>0.0008</w:t>
            </w:r>
            <w:r>
              <w:rPr>
                <w:rFonts w:hint="default" w:ascii="Times New Roman" w:hAnsi="Times New Roman" w:cs="Times New Roman"/>
                <w:bCs/>
                <w:color w:val="auto"/>
                <w:sz w:val="24"/>
                <w:szCs w:val="24"/>
                <w:highlight w:val="none"/>
              </w:rPr>
              <w:t>t/a，排放速率为0.0</w:t>
            </w:r>
            <w:r>
              <w:rPr>
                <w:rFonts w:hint="default" w:ascii="Times New Roman" w:hAnsi="Times New Roman" w:cs="Times New Roman"/>
                <w:bCs/>
                <w:color w:val="auto"/>
                <w:sz w:val="24"/>
                <w:szCs w:val="24"/>
                <w:highlight w:val="none"/>
                <w:lang w:val="en-US" w:eastAsia="zh-CN"/>
              </w:rPr>
              <w:t>009</w:t>
            </w:r>
            <w:r>
              <w:rPr>
                <w:rFonts w:hint="default" w:ascii="Times New Roman" w:hAnsi="Times New Roman" w:cs="Times New Roman"/>
                <w:bCs/>
                <w:color w:val="auto"/>
                <w:sz w:val="24"/>
                <w:szCs w:val="24"/>
                <w:highlight w:val="none"/>
              </w:rPr>
              <w:t>kg/h。</w:t>
            </w:r>
          </w:p>
          <w:p w14:paraId="4150C52A">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⑦运输道路扬尘</w:t>
            </w:r>
          </w:p>
          <w:p w14:paraId="388457E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bCs/>
                <w:color w:val="auto"/>
                <w:sz w:val="24"/>
                <w:szCs w:val="24"/>
                <w:highlight w:val="none"/>
              </w:rPr>
              <w:t>厂区路面硬化，设置雾炮机对路面洒水降尘，进出场口</w:t>
            </w:r>
            <w:r>
              <w:rPr>
                <w:rFonts w:hint="default" w:ascii="Times New Roman" w:hAnsi="Times New Roman" w:cs="Times New Roman"/>
                <w:bCs/>
                <w:color w:val="auto"/>
                <w:sz w:val="24"/>
                <w:szCs w:val="24"/>
                <w:highlight w:val="none"/>
                <w:lang w:val="en-US" w:eastAsia="zh-CN"/>
              </w:rPr>
              <w:t>设置</w:t>
            </w:r>
            <w:r>
              <w:rPr>
                <w:rFonts w:hint="default" w:ascii="Times New Roman" w:hAnsi="Times New Roman" w:cs="Times New Roman"/>
                <w:bCs/>
                <w:color w:val="auto"/>
                <w:sz w:val="24"/>
                <w:szCs w:val="24"/>
                <w:highlight w:val="none"/>
              </w:rPr>
              <w:t>车辆冲洗设施。</w:t>
            </w:r>
          </w:p>
          <w:p w14:paraId="1D67CBF2">
            <w:pPr>
              <w:spacing w:line="360" w:lineRule="auto"/>
              <w:ind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运输扬尘采取上述治理措施后，治理效率可达到80%，运输扬尘无组织排放量为</w:t>
            </w:r>
            <w:r>
              <w:rPr>
                <w:rFonts w:hint="default" w:ascii="Times New Roman" w:hAnsi="Times New Roman" w:cs="Times New Roman"/>
                <w:bCs/>
                <w:color w:val="auto"/>
                <w:sz w:val="24"/>
                <w:szCs w:val="24"/>
                <w:highlight w:val="none"/>
                <w:lang w:val="en-US" w:eastAsia="zh-CN"/>
              </w:rPr>
              <w:t>0.0131</w:t>
            </w:r>
            <w:r>
              <w:rPr>
                <w:rFonts w:hint="default" w:ascii="Times New Roman" w:hAnsi="Times New Roman" w:cs="Times New Roman"/>
                <w:bCs/>
                <w:color w:val="auto"/>
                <w:sz w:val="24"/>
                <w:szCs w:val="24"/>
                <w:highlight w:val="none"/>
              </w:rPr>
              <w:t>t/a，排放速率为0.</w:t>
            </w:r>
            <w:r>
              <w:rPr>
                <w:rFonts w:hint="default" w:ascii="Times New Roman" w:hAnsi="Times New Roman" w:cs="Times New Roman"/>
                <w:bCs/>
                <w:color w:val="auto"/>
                <w:sz w:val="24"/>
                <w:szCs w:val="24"/>
                <w:highlight w:val="none"/>
                <w:lang w:val="en-US" w:eastAsia="zh-CN"/>
              </w:rPr>
              <w:t>0087</w:t>
            </w:r>
            <w:r>
              <w:rPr>
                <w:rFonts w:hint="default" w:ascii="Times New Roman" w:hAnsi="Times New Roman" w:cs="Times New Roman"/>
                <w:bCs/>
                <w:color w:val="auto"/>
                <w:sz w:val="24"/>
                <w:szCs w:val="24"/>
                <w:highlight w:val="none"/>
              </w:rPr>
              <w:t>kg/h。</w:t>
            </w:r>
          </w:p>
          <w:p w14:paraId="0DFC4E1E">
            <w:pPr>
              <w:numPr>
                <w:ilvl w:val="0"/>
                <w:numId w:val="0"/>
              </w:numPr>
              <w:spacing w:line="360" w:lineRule="auto"/>
              <w:ind w:firstLine="482" w:firstLineChars="20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⑧汽车尾气</w:t>
            </w:r>
          </w:p>
          <w:p w14:paraId="6C8B3065">
            <w:pPr>
              <w:spacing w:line="360" w:lineRule="auto"/>
              <w:ind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本工程在生产期间所使用的运输车辆，主要以柴油、汽油为燃料，会排放一定量的 CO、NOx以及未完全燃烧的THC等废气。燃油尾气的特点是排放量小，且属间断性无组织排放，加之工程场地较开阔，扩散条件良好，对其不加处理就可达到相应的排放标准，对环境空气质量的影响相对较小。项目所有运输车辆均按照《四川省机动车排气污染防治办法》的规定要求，对机动车排气污染情况进行定期检验，如果汽车尾气无法达标排放，则需对其进行维修或淘汰。通过加强车辆管理，可使车辆燃油废气得到控制，对环境影响较小。</w:t>
            </w:r>
          </w:p>
          <w:p w14:paraId="33F32D41">
            <w:pPr>
              <w:numPr>
                <w:ilvl w:val="0"/>
                <w:numId w:val="0"/>
              </w:numPr>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⑨食堂油烟</w:t>
            </w:r>
          </w:p>
          <w:p w14:paraId="1044C1A2">
            <w:pPr>
              <w:spacing w:line="360" w:lineRule="auto"/>
              <w:ind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食堂安装1台抽油烟机（净化效率</w:t>
            </w:r>
            <w:r>
              <w:rPr>
                <w:rFonts w:hint="default" w:ascii="Times New Roman" w:hAnsi="Times New Roman" w:cs="Times New Roman"/>
                <w:b w:val="0"/>
                <w:bCs/>
                <w:color w:val="auto"/>
                <w:sz w:val="24"/>
                <w:szCs w:val="24"/>
                <w:highlight w:val="none"/>
                <w:lang w:val="en-US" w:eastAsia="zh-CN"/>
              </w:rPr>
              <w:t>70</w:t>
            </w:r>
            <w:r>
              <w:rPr>
                <w:rFonts w:hint="default" w:ascii="Times New Roman" w:hAnsi="Times New Roman" w:eastAsia="宋体" w:cs="Times New Roman"/>
                <w:b w:val="0"/>
                <w:bCs/>
                <w:color w:val="auto"/>
                <w:sz w:val="24"/>
                <w:szCs w:val="24"/>
                <w:highlight w:val="none"/>
                <w:lang w:val="en-US" w:eastAsia="zh-CN"/>
              </w:rPr>
              <w:t>%，风量为</w:t>
            </w:r>
            <w:r>
              <w:rPr>
                <w:rFonts w:hint="default" w:ascii="Times New Roman" w:hAnsi="Times New Roman" w:cs="Times New Roman"/>
                <w:b w:val="0"/>
                <w:bCs/>
                <w:color w:val="auto"/>
                <w:sz w:val="24"/>
                <w:szCs w:val="24"/>
                <w:highlight w:val="none"/>
                <w:lang w:val="en-US" w:eastAsia="zh-CN"/>
              </w:rPr>
              <w:t>15</w:t>
            </w:r>
            <w:r>
              <w:rPr>
                <w:rFonts w:hint="default" w:ascii="Times New Roman" w:hAnsi="Times New Roman" w:eastAsia="宋体" w:cs="Times New Roman"/>
                <w:b w:val="0"/>
                <w:bCs/>
                <w:color w:val="auto"/>
                <w:sz w:val="24"/>
                <w:szCs w:val="24"/>
                <w:highlight w:val="none"/>
                <w:lang w:val="en-US" w:eastAsia="zh-CN"/>
              </w:rPr>
              <w:t>00m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/h），食堂油烟经自带过滤装置的抽油烟机处理后，</w:t>
            </w:r>
            <w:r>
              <w:rPr>
                <w:rFonts w:hint="default" w:ascii="Times New Roman" w:hAnsi="Times New Roman" w:cs="Times New Roman"/>
                <w:b w:val="0"/>
                <w:bCs/>
                <w:color w:val="auto"/>
                <w:sz w:val="24"/>
                <w:szCs w:val="24"/>
                <w:highlight w:val="none"/>
                <w:lang w:val="en-US" w:eastAsia="zh-CN"/>
              </w:rPr>
              <w:t>引出室外排放</w:t>
            </w:r>
            <w:r>
              <w:rPr>
                <w:rFonts w:hint="default" w:ascii="Times New Roman" w:hAnsi="Times New Roman" w:eastAsia="宋体" w:cs="Times New Roman"/>
                <w:b w:val="0"/>
                <w:bCs/>
                <w:color w:val="auto"/>
                <w:sz w:val="24"/>
                <w:szCs w:val="24"/>
                <w:highlight w:val="none"/>
                <w:lang w:val="en-US" w:eastAsia="zh-CN"/>
              </w:rPr>
              <w:t>。</w:t>
            </w:r>
          </w:p>
          <w:p w14:paraId="5998261A">
            <w:pPr>
              <w:spacing w:line="360" w:lineRule="auto"/>
              <w:ind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食堂油烟经上述治理措施后，食堂油烟排放量为</w:t>
            </w:r>
            <w:r>
              <w:rPr>
                <w:rFonts w:hint="default" w:ascii="Times New Roman" w:hAnsi="Times New Roman" w:cs="Times New Roman"/>
                <w:b w:val="0"/>
                <w:bCs/>
                <w:color w:val="auto"/>
                <w:sz w:val="24"/>
                <w:szCs w:val="24"/>
                <w:highlight w:val="none"/>
                <w:lang w:val="en-US" w:eastAsia="zh-CN"/>
              </w:rPr>
              <w:t>0.0004</w:t>
            </w:r>
            <w:r>
              <w:rPr>
                <w:rFonts w:hint="default" w:ascii="Times New Roman" w:hAnsi="Times New Roman" w:eastAsia="宋体" w:cs="Times New Roman"/>
                <w:b w:val="0"/>
                <w:bCs/>
                <w:color w:val="auto"/>
                <w:sz w:val="24"/>
                <w:szCs w:val="24"/>
                <w:highlight w:val="none"/>
                <w:lang w:val="en-US" w:eastAsia="zh-CN"/>
              </w:rPr>
              <w:t>t/a，排放速率为</w:t>
            </w:r>
            <w:r>
              <w:rPr>
                <w:rFonts w:hint="default" w:ascii="Times New Roman" w:hAnsi="Times New Roman" w:cs="Times New Roman"/>
                <w:b w:val="0"/>
                <w:bCs/>
                <w:color w:val="auto"/>
                <w:sz w:val="24"/>
                <w:szCs w:val="24"/>
                <w:highlight w:val="none"/>
                <w:lang w:val="en-US" w:eastAsia="zh-CN"/>
              </w:rPr>
              <w:t>0.0007</w:t>
            </w:r>
            <w:r>
              <w:rPr>
                <w:rFonts w:hint="default" w:ascii="Times New Roman" w:hAnsi="Times New Roman" w:eastAsia="宋体" w:cs="Times New Roman"/>
                <w:b w:val="0"/>
                <w:bCs/>
                <w:color w:val="auto"/>
                <w:sz w:val="24"/>
                <w:szCs w:val="24"/>
                <w:highlight w:val="none"/>
                <w:lang w:val="en-US" w:eastAsia="zh-CN"/>
              </w:rPr>
              <w:t>kg/h（</w:t>
            </w:r>
            <w:r>
              <w:rPr>
                <w:rFonts w:hint="default" w:ascii="Times New Roman" w:hAnsi="Times New Roman" w:cs="Times New Roman"/>
                <w:b w:val="0"/>
                <w:bCs/>
                <w:color w:val="auto"/>
                <w:sz w:val="24"/>
                <w:szCs w:val="24"/>
                <w:highlight w:val="none"/>
                <w:lang w:val="en-US" w:eastAsia="zh-CN"/>
              </w:rPr>
              <w:t>150</w:t>
            </w:r>
            <w:r>
              <w:rPr>
                <w:rFonts w:hint="default" w:ascii="Times New Roman" w:hAnsi="Times New Roman" w:eastAsia="宋体" w:cs="Times New Roman"/>
                <w:b w:val="0"/>
                <w:bCs/>
                <w:color w:val="auto"/>
                <w:sz w:val="24"/>
                <w:szCs w:val="24"/>
                <w:highlight w:val="none"/>
                <w:lang w:val="en-US" w:eastAsia="zh-CN"/>
              </w:rPr>
              <w:t>d，</w:t>
            </w:r>
            <w:r>
              <w:rPr>
                <w:rFonts w:hint="default" w:ascii="Times New Roman" w:hAnsi="Times New Roman" w:cs="Times New Roman"/>
                <w:b w:val="0"/>
                <w:bCs/>
                <w:color w:val="auto"/>
                <w:sz w:val="24"/>
                <w:szCs w:val="24"/>
                <w:highlight w:val="none"/>
                <w:lang w:val="en-US" w:eastAsia="zh-CN"/>
              </w:rPr>
              <w:t>6</w:t>
            </w:r>
            <w:r>
              <w:rPr>
                <w:rFonts w:hint="default" w:ascii="Times New Roman" w:hAnsi="Times New Roman" w:eastAsia="宋体" w:cs="Times New Roman"/>
                <w:b w:val="0"/>
                <w:bCs/>
                <w:color w:val="auto"/>
                <w:sz w:val="24"/>
                <w:szCs w:val="24"/>
                <w:highlight w:val="none"/>
                <w:lang w:val="en-US" w:eastAsia="zh-CN"/>
              </w:rPr>
              <w:t>h），排放浓度为</w:t>
            </w:r>
            <w:r>
              <w:rPr>
                <w:rFonts w:hint="default" w:ascii="Times New Roman" w:hAnsi="Times New Roman" w:cs="Times New Roman"/>
                <w:b w:val="0"/>
                <w:bCs/>
                <w:color w:val="auto"/>
                <w:sz w:val="24"/>
                <w:szCs w:val="24"/>
                <w:highlight w:val="none"/>
                <w:lang w:val="en-US" w:eastAsia="zh-CN"/>
              </w:rPr>
              <w:t>0.47</w:t>
            </w:r>
            <w:r>
              <w:rPr>
                <w:rFonts w:hint="default" w:ascii="Times New Roman" w:hAnsi="Times New Roman" w:eastAsia="宋体" w:cs="Times New Roman"/>
                <w:b w:val="0"/>
                <w:bCs/>
                <w:color w:val="auto"/>
                <w:sz w:val="24"/>
                <w:szCs w:val="24"/>
                <w:highlight w:val="none"/>
                <w:lang w:val="en-US" w:eastAsia="zh-CN"/>
              </w:rPr>
              <w:t>mg/m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。因此，本</w:t>
            </w:r>
            <w:r>
              <w:rPr>
                <w:rFonts w:hint="default" w:ascii="Times New Roman" w:hAnsi="Times New Roman" w:cs="Times New Roman"/>
                <w:b w:val="0"/>
                <w:bCs/>
                <w:color w:val="auto"/>
                <w:sz w:val="24"/>
                <w:szCs w:val="24"/>
                <w:highlight w:val="none"/>
                <w:lang w:val="en-US" w:eastAsia="zh-CN"/>
              </w:rPr>
              <w:t>工程</w:t>
            </w:r>
            <w:r>
              <w:rPr>
                <w:rFonts w:hint="default" w:ascii="Times New Roman" w:hAnsi="Times New Roman" w:eastAsia="宋体" w:cs="Times New Roman"/>
                <w:b w:val="0"/>
                <w:bCs/>
                <w:color w:val="auto"/>
                <w:sz w:val="24"/>
                <w:szCs w:val="24"/>
                <w:highlight w:val="none"/>
                <w:lang w:val="en-US" w:eastAsia="zh-CN"/>
              </w:rPr>
              <w:t>食堂油烟经处理后排放浓度能满足《饮食业油烟排放标准（试行）》（GB18483-2001）中相关标准（2.0mg/m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），可以实现达标排放。</w:t>
            </w:r>
          </w:p>
          <w:p w14:paraId="08E0CF25">
            <w:pPr>
              <w:numPr>
                <w:ilvl w:val="0"/>
                <w:numId w:val="0"/>
              </w:numPr>
              <w:spacing w:line="360" w:lineRule="auto"/>
              <w:ind w:firstLine="480" w:firstLineChars="200"/>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cs="Times New Roman"/>
                <w:color w:val="auto"/>
                <w:sz w:val="24"/>
                <w:szCs w:val="24"/>
              </w:rPr>
              <w:t>综上所述，项目治理设施、排放形式表4-</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w:t>
            </w:r>
          </w:p>
          <w:p w14:paraId="7FFFD459">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lang w:val="en-US" w:eastAsia="zh-CN" w:bidi="ar-SA"/>
              </w:rPr>
            </w:pPr>
            <w:r>
              <w:rPr>
                <w:rFonts w:hint="default" w:ascii="Times New Roman" w:hAnsi="Times New Roman" w:eastAsia="黑体" w:cs="Times New Roman"/>
                <w:b/>
                <w:bCs/>
                <w:color w:val="auto"/>
                <w:kern w:val="0"/>
                <w:sz w:val="21"/>
                <w:szCs w:val="21"/>
                <w:lang w:val="en-US" w:eastAsia="zh-CN" w:bidi="ar-SA"/>
              </w:rPr>
              <w:t>表4-7 项目废气治理设施、排放形式一览表</w:t>
            </w:r>
          </w:p>
          <w:tbl>
            <w:tblPr>
              <w:tblStyle w:val="30"/>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09"/>
              <w:gridCol w:w="850"/>
              <w:gridCol w:w="1120"/>
              <w:gridCol w:w="875"/>
              <w:gridCol w:w="2335"/>
              <w:gridCol w:w="948"/>
              <w:gridCol w:w="818"/>
              <w:gridCol w:w="1234"/>
            </w:tblGrid>
            <w:tr w14:paraId="442E47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restart"/>
                  <w:tcBorders>
                    <w:tl2br w:val="nil"/>
                    <w:tr2bl w:val="nil"/>
                  </w:tcBorders>
                  <w:vAlign w:val="center"/>
                </w:tcPr>
                <w:p w14:paraId="75922BE2">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生产单元</w:t>
                  </w:r>
                </w:p>
              </w:tc>
              <w:tc>
                <w:tcPr>
                  <w:tcW w:w="478" w:type="pct"/>
                  <w:vMerge w:val="restart"/>
                  <w:tcBorders>
                    <w:tl2br w:val="nil"/>
                    <w:tr2bl w:val="nil"/>
                  </w:tcBorders>
                  <w:vAlign w:val="center"/>
                </w:tcPr>
                <w:p w14:paraId="72097C85">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废气类型</w:t>
                  </w:r>
                </w:p>
              </w:tc>
              <w:tc>
                <w:tcPr>
                  <w:tcW w:w="630" w:type="pct"/>
                  <w:vMerge w:val="restart"/>
                  <w:tcBorders>
                    <w:tl2br w:val="nil"/>
                    <w:tr2bl w:val="nil"/>
                  </w:tcBorders>
                  <w:vAlign w:val="center"/>
                </w:tcPr>
                <w:p w14:paraId="1CD23C63">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污染物种类</w:t>
                  </w:r>
                </w:p>
              </w:tc>
              <w:tc>
                <w:tcPr>
                  <w:tcW w:w="492" w:type="pct"/>
                  <w:vMerge w:val="restart"/>
                  <w:tcBorders>
                    <w:tl2br w:val="nil"/>
                    <w:tr2bl w:val="nil"/>
                  </w:tcBorders>
                  <w:vAlign w:val="center"/>
                </w:tcPr>
                <w:p w14:paraId="6939AA1B">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排放形式</w:t>
                  </w:r>
                </w:p>
              </w:tc>
              <w:tc>
                <w:tcPr>
                  <w:tcW w:w="3000" w:type="pct"/>
                  <w:gridSpan w:val="4"/>
                  <w:tcBorders>
                    <w:tl2br w:val="nil"/>
                    <w:tr2bl w:val="nil"/>
                  </w:tcBorders>
                  <w:vAlign w:val="center"/>
                </w:tcPr>
                <w:p w14:paraId="6B66F578">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污染物治理设施</w:t>
                  </w:r>
                </w:p>
              </w:tc>
            </w:tr>
            <w:tr w14:paraId="6BCA4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tcBorders>
                    <w:tl2br w:val="nil"/>
                    <w:tr2bl w:val="nil"/>
                  </w:tcBorders>
                  <w:vAlign w:val="center"/>
                </w:tcPr>
                <w:p w14:paraId="6CA5506F">
                  <w:pPr>
                    <w:jc w:val="center"/>
                    <w:rPr>
                      <w:rFonts w:hint="default" w:ascii="Times New Roman" w:hAnsi="Times New Roman" w:cs="Times New Roman"/>
                      <w:b/>
                      <w:bCs/>
                      <w:color w:val="auto"/>
                      <w:sz w:val="21"/>
                      <w:szCs w:val="21"/>
                    </w:rPr>
                  </w:pPr>
                </w:p>
              </w:tc>
              <w:tc>
                <w:tcPr>
                  <w:tcW w:w="478" w:type="pct"/>
                  <w:vMerge w:val="continue"/>
                  <w:tcBorders>
                    <w:tl2br w:val="nil"/>
                    <w:tr2bl w:val="nil"/>
                  </w:tcBorders>
                  <w:vAlign w:val="center"/>
                </w:tcPr>
                <w:p w14:paraId="4832EB2C">
                  <w:pPr>
                    <w:jc w:val="center"/>
                    <w:rPr>
                      <w:rFonts w:hint="default" w:ascii="Times New Roman" w:hAnsi="Times New Roman" w:cs="Times New Roman"/>
                      <w:b/>
                      <w:bCs/>
                      <w:color w:val="auto"/>
                      <w:sz w:val="21"/>
                      <w:szCs w:val="21"/>
                    </w:rPr>
                  </w:pPr>
                </w:p>
              </w:tc>
              <w:tc>
                <w:tcPr>
                  <w:tcW w:w="630" w:type="pct"/>
                  <w:vMerge w:val="continue"/>
                  <w:tcBorders>
                    <w:tl2br w:val="nil"/>
                    <w:tr2bl w:val="nil"/>
                  </w:tcBorders>
                  <w:vAlign w:val="center"/>
                </w:tcPr>
                <w:p w14:paraId="6F4009F9">
                  <w:pPr>
                    <w:jc w:val="center"/>
                    <w:rPr>
                      <w:rFonts w:hint="default" w:ascii="Times New Roman" w:hAnsi="Times New Roman" w:cs="Times New Roman"/>
                      <w:b/>
                      <w:bCs/>
                      <w:color w:val="auto"/>
                      <w:sz w:val="21"/>
                      <w:szCs w:val="21"/>
                    </w:rPr>
                  </w:pPr>
                </w:p>
              </w:tc>
              <w:tc>
                <w:tcPr>
                  <w:tcW w:w="492" w:type="pct"/>
                  <w:vMerge w:val="continue"/>
                  <w:tcBorders>
                    <w:tl2br w:val="nil"/>
                    <w:tr2bl w:val="nil"/>
                  </w:tcBorders>
                  <w:vAlign w:val="center"/>
                </w:tcPr>
                <w:p w14:paraId="020C7773">
                  <w:pPr>
                    <w:jc w:val="center"/>
                    <w:rPr>
                      <w:rFonts w:hint="default" w:ascii="Times New Roman" w:hAnsi="Times New Roman" w:cs="Times New Roman"/>
                      <w:b/>
                      <w:bCs/>
                      <w:color w:val="auto"/>
                      <w:sz w:val="21"/>
                      <w:szCs w:val="21"/>
                    </w:rPr>
                  </w:pPr>
                </w:p>
              </w:tc>
              <w:tc>
                <w:tcPr>
                  <w:tcW w:w="1313" w:type="pct"/>
                  <w:tcBorders>
                    <w:tl2br w:val="nil"/>
                    <w:tr2bl w:val="nil"/>
                  </w:tcBorders>
                  <w:vAlign w:val="center"/>
                </w:tcPr>
                <w:p w14:paraId="57E76FD2">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治理设施名称及工艺</w:t>
                  </w:r>
                </w:p>
              </w:tc>
              <w:tc>
                <w:tcPr>
                  <w:tcW w:w="533" w:type="pct"/>
                  <w:tcBorders>
                    <w:tl2br w:val="nil"/>
                    <w:tr2bl w:val="nil"/>
                  </w:tcBorders>
                  <w:vAlign w:val="center"/>
                </w:tcPr>
                <w:p w14:paraId="09D197CE">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收集效率（%）</w:t>
                  </w:r>
                </w:p>
              </w:tc>
              <w:tc>
                <w:tcPr>
                  <w:tcW w:w="460" w:type="pct"/>
                  <w:tcBorders>
                    <w:tl2br w:val="nil"/>
                    <w:tr2bl w:val="nil"/>
                  </w:tcBorders>
                  <w:vAlign w:val="center"/>
                </w:tcPr>
                <w:p w14:paraId="770C6A68">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去除率（%）</w:t>
                  </w:r>
                </w:p>
              </w:tc>
              <w:tc>
                <w:tcPr>
                  <w:tcW w:w="693" w:type="pct"/>
                  <w:tcBorders>
                    <w:tl2br w:val="nil"/>
                    <w:tr2bl w:val="nil"/>
                  </w:tcBorders>
                  <w:vAlign w:val="center"/>
                </w:tcPr>
                <w:p w14:paraId="25F1741E">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是否为可行性技术</w:t>
                  </w:r>
                </w:p>
              </w:tc>
            </w:tr>
            <w:tr w14:paraId="6A531E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restart"/>
                  <w:tcBorders>
                    <w:tl2br w:val="nil"/>
                    <w:tr2bl w:val="nil"/>
                  </w:tcBorders>
                  <w:vAlign w:val="center"/>
                </w:tcPr>
                <w:p w14:paraId="14AA206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bCs/>
                      <w:color w:val="auto"/>
                      <w:kern w:val="0"/>
                      <w:sz w:val="21"/>
                      <w:szCs w:val="21"/>
                      <w:lang w:eastAsia="zh-CN"/>
                    </w:rPr>
                    <w:t>沥青混凝土</w:t>
                  </w:r>
                  <w:r>
                    <w:rPr>
                      <w:rFonts w:hint="default" w:ascii="Times New Roman" w:hAnsi="Times New Roman" w:cs="Times New Roman"/>
                      <w:bCs/>
                      <w:color w:val="auto"/>
                      <w:kern w:val="0"/>
                      <w:sz w:val="21"/>
                      <w:szCs w:val="21"/>
                      <w:lang w:val="en-US" w:eastAsia="zh-CN"/>
                    </w:rPr>
                    <w:t>生产线</w:t>
                  </w:r>
                </w:p>
              </w:tc>
              <w:tc>
                <w:tcPr>
                  <w:tcW w:w="478" w:type="pct"/>
                  <w:tcBorders>
                    <w:tl2br w:val="nil"/>
                    <w:tr2bl w:val="nil"/>
                  </w:tcBorders>
                  <w:shd w:val="clear" w:color="auto" w:fill="auto"/>
                  <w:vAlign w:val="center"/>
                </w:tcPr>
                <w:p w14:paraId="4BDFD77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骨料上料粉尘</w:t>
                  </w:r>
                </w:p>
              </w:tc>
              <w:tc>
                <w:tcPr>
                  <w:tcW w:w="630" w:type="pct"/>
                  <w:tcBorders>
                    <w:tl2br w:val="nil"/>
                    <w:tr2bl w:val="nil"/>
                  </w:tcBorders>
                  <w:shd w:val="clear" w:color="auto" w:fill="auto"/>
                  <w:vAlign w:val="center"/>
                </w:tcPr>
                <w:p w14:paraId="4C8D2BE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颗粒物</w:t>
                  </w:r>
                </w:p>
              </w:tc>
              <w:tc>
                <w:tcPr>
                  <w:tcW w:w="492" w:type="pct"/>
                  <w:tcBorders>
                    <w:tl2br w:val="nil"/>
                    <w:tr2bl w:val="nil"/>
                  </w:tcBorders>
                  <w:shd w:val="clear" w:color="auto" w:fill="auto"/>
                  <w:vAlign w:val="center"/>
                </w:tcPr>
                <w:p w14:paraId="5624102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无组织</w:t>
                  </w:r>
                </w:p>
              </w:tc>
              <w:tc>
                <w:tcPr>
                  <w:tcW w:w="1313" w:type="pct"/>
                  <w:tcBorders>
                    <w:tl2br w:val="nil"/>
                    <w:tr2bl w:val="nil"/>
                  </w:tcBorders>
                  <w:shd w:val="clear" w:color="auto" w:fill="auto"/>
                  <w:vAlign w:val="center"/>
                </w:tcPr>
                <w:p w14:paraId="1396928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三面围挡，顶部加盖</w:t>
                  </w:r>
                  <w:r>
                    <w:rPr>
                      <w:rFonts w:hint="default" w:ascii="Times New Roman" w:hAnsi="Times New Roman" w:cs="Times New Roman"/>
                      <w:color w:val="auto"/>
                      <w:sz w:val="21"/>
                      <w:szCs w:val="21"/>
                    </w:rPr>
                    <w:t>，上料区上方采取喷雾降尘装置</w:t>
                  </w:r>
                </w:p>
              </w:tc>
              <w:tc>
                <w:tcPr>
                  <w:tcW w:w="533" w:type="pct"/>
                  <w:tcBorders>
                    <w:tl2br w:val="nil"/>
                    <w:tr2bl w:val="nil"/>
                  </w:tcBorders>
                  <w:shd w:val="clear" w:color="auto" w:fill="auto"/>
                  <w:vAlign w:val="center"/>
                </w:tcPr>
                <w:p w14:paraId="0EAF4B0C">
                  <w:pPr>
                    <w:jc w:val="center"/>
                    <w:rPr>
                      <w:rFonts w:hint="default" w:ascii="Times New Roman" w:hAnsi="Times New Roman" w:eastAsia="宋体" w:cs="Times New Roman"/>
                      <w:i/>
                      <w:iCs/>
                      <w:color w:val="auto"/>
                      <w:kern w:val="2"/>
                      <w:sz w:val="21"/>
                      <w:szCs w:val="21"/>
                      <w:lang w:val="en-US" w:eastAsia="zh-CN" w:bidi="ar-SA"/>
                    </w:rPr>
                  </w:pPr>
                  <w:r>
                    <w:rPr>
                      <w:rFonts w:hint="default" w:ascii="Times New Roman" w:hAnsi="Times New Roman" w:cs="Times New Roman"/>
                      <w:i/>
                      <w:iCs/>
                      <w:color w:val="auto"/>
                      <w:sz w:val="21"/>
                      <w:szCs w:val="21"/>
                    </w:rPr>
                    <w:t>--</w:t>
                  </w:r>
                </w:p>
              </w:tc>
              <w:tc>
                <w:tcPr>
                  <w:tcW w:w="460" w:type="pct"/>
                  <w:tcBorders>
                    <w:tl2br w:val="nil"/>
                    <w:tr2bl w:val="nil"/>
                  </w:tcBorders>
                  <w:shd w:val="clear" w:color="auto" w:fill="auto"/>
                  <w:vAlign w:val="center"/>
                </w:tcPr>
                <w:p w14:paraId="1CA8681A">
                  <w:pPr>
                    <w:jc w:val="center"/>
                    <w:rPr>
                      <w:rFonts w:hint="default" w:ascii="Times New Roman" w:hAnsi="Times New Roman" w:eastAsia="宋体" w:cs="Times New Roman"/>
                      <w:i/>
                      <w:iCs/>
                      <w:color w:val="auto"/>
                      <w:kern w:val="2"/>
                      <w:sz w:val="21"/>
                      <w:szCs w:val="21"/>
                      <w:lang w:val="en-US" w:eastAsia="zh-CN" w:bidi="ar-SA"/>
                    </w:rPr>
                  </w:pPr>
                  <w:r>
                    <w:rPr>
                      <w:rFonts w:hint="default" w:ascii="Times New Roman" w:hAnsi="Times New Roman" w:cs="Times New Roman"/>
                      <w:color w:val="auto"/>
                      <w:sz w:val="21"/>
                      <w:szCs w:val="21"/>
                    </w:rPr>
                    <w:t>90</w:t>
                  </w:r>
                </w:p>
              </w:tc>
              <w:tc>
                <w:tcPr>
                  <w:tcW w:w="693" w:type="pct"/>
                  <w:tcBorders>
                    <w:tl2br w:val="nil"/>
                    <w:tr2bl w:val="nil"/>
                  </w:tcBorders>
                  <w:shd w:val="clear" w:color="auto" w:fill="auto"/>
                  <w:vAlign w:val="center"/>
                </w:tcPr>
                <w:p w14:paraId="362779B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是</w:t>
                  </w:r>
                </w:p>
              </w:tc>
            </w:tr>
            <w:tr w14:paraId="4B6E5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tcBorders>
                    <w:tl2br w:val="nil"/>
                    <w:tr2bl w:val="nil"/>
                  </w:tcBorders>
                  <w:vAlign w:val="center"/>
                </w:tcPr>
                <w:p w14:paraId="041F0961">
                  <w:pPr>
                    <w:jc w:val="center"/>
                    <w:rPr>
                      <w:rFonts w:hint="default" w:ascii="Times New Roman" w:hAnsi="Times New Roman" w:cs="Times New Roman"/>
                      <w:b/>
                      <w:bCs/>
                      <w:color w:val="auto"/>
                      <w:sz w:val="21"/>
                      <w:szCs w:val="21"/>
                    </w:rPr>
                  </w:pPr>
                </w:p>
              </w:tc>
              <w:tc>
                <w:tcPr>
                  <w:tcW w:w="478" w:type="pct"/>
                  <w:tcBorders>
                    <w:tl2br w:val="nil"/>
                    <w:tr2bl w:val="nil"/>
                  </w:tcBorders>
                  <w:shd w:val="clear" w:color="auto" w:fill="auto"/>
                  <w:vAlign w:val="center"/>
                </w:tcPr>
                <w:p w14:paraId="36EBF41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矿粉筒仓粉尘</w:t>
                  </w:r>
                </w:p>
              </w:tc>
              <w:tc>
                <w:tcPr>
                  <w:tcW w:w="630" w:type="pct"/>
                  <w:tcBorders>
                    <w:tl2br w:val="nil"/>
                    <w:tr2bl w:val="nil"/>
                  </w:tcBorders>
                  <w:shd w:val="clear" w:color="auto" w:fill="auto"/>
                  <w:vAlign w:val="center"/>
                </w:tcPr>
                <w:p w14:paraId="506BC33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颗粒物</w:t>
                  </w:r>
                </w:p>
              </w:tc>
              <w:tc>
                <w:tcPr>
                  <w:tcW w:w="492" w:type="pct"/>
                  <w:tcBorders>
                    <w:tl2br w:val="nil"/>
                    <w:tr2bl w:val="nil"/>
                  </w:tcBorders>
                  <w:shd w:val="clear" w:color="auto" w:fill="auto"/>
                  <w:vAlign w:val="center"/>
                </w:tcPr>
                <w:p w14:paraId="3A9809D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无组织</w:t>
                  </w:r>
                </w:p>
              </w:tc>
              <w:tc>
                <w:tcPr>
                  <w:tcW w:w="1313" w:type="pct"/>
                  <w:tcBorders>
                    <w:tl2br w:val="nil"/>
                    <w:tr2bl w:val="nil"/>
                  </w:tcBorders>
                  <w:shd w:val="clear" w:color="auto" w:fill="auto"/>
                  <w:vAlign w:val="center"/>
                </w:tcPr>
                <w:p w14:paraId="1211484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每个筒仓顶设置1套布袋除尘器</w:t>
                  </w:r>
                </w:p>
              </w:tc>
              <w:tc>
                <w:tcPr>
                  <w:tcW w:w="533" w:type="pct"/>
                  <w:tcBorders>
                    <w:tl2br w:val="nil"/>
                    <w:tr2bl w:val="nil"/>
                  </w:tcBorders>
                  <w:shd w:val="clear" w:color="auto" w:fill="auto"/>
                  <w:vAlign w:val="center"/>
                </w:tcPr>
                <w:p w14:paraId="78C96FE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100</w:t>
                  </w:r>
                </w:p>
              </w:tc>
              <w:tc>
                <w:tcPr>
                  <w:tcW w:w="460" w:type="pct"/>
                  <w:tcBorders>
                    <w:tl2br w:val="nil"/>
                    <w:tr2bl w:val="nil"/>
                  </w:tcBorders>
                  <w:shd w:val="clear" w:color="auto" w:fill="auto"/>
                  <w:vAlign w:val="center"/>
                </w:tcPr>
                <w:p w14:paraId="6004D5F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99</w:t>
                  </w:r>
                </w:p>
              </w:tc>
              <w:tc>
                <w:tcPr>
                  <w:tcW w:w="693" w:type="pct"/>
                  <w:tcBorders>
                    <w:tl2br w:val="nil"/>
                    <w:tr2bl w:val="nil"/>
                  </w:tcBorders>
                  <w:shd w:val="clear" w:color="auto" w:fill="auto"/>
                  <w:vAlign w:val="center"/>
                </w:tcPr>
                <w:p w14:paraId="3E1D9C3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是</w:t>
                  </w:r>
                </w:p>
              </w:tc>
            </w:tr>
            <w:tr w14:paraId="215D5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tcBorders>
                    <w:tl2br w:val="nil"/>
                    <w:tr2bl w:val="nil"/>
                  </w:tcBorders>
                  <w:vAlign w:val="center"/>
                </w:tcPr>
                <w:p w14:paraId="7F3DD270">
                  <w:pPr>
                    <w:jc w:val="center"/>
                    <w:rPr>
                      <w:rFonts w:hint="default" w:ascii="Times New Roman" w:hAnsi="Times New Roman" w:cs="Times New Roman"/>
                      <w:color w:val="auto"/>
                      <w:sz w:val="21"/>
                      <w:szCs w:val="21"/>
                    </w:rPr>
                  </w:pPr>
                </w:p>
              </w:tc>
              <w:tc>
                <w:tcPr>
                  <w:tcW w:w="478" w:type="pct"/>
                  <w:vMerge w:val="restart"/>
                  <w:tcBorders>
                    <w:tl2br w:val="nil"/>
                    <w:tr2bl w:val="nil"/>
                  </w:tcBorders>
                  <w:vAlign w:val="center"/>
                </w:tcPr>
                <w:p w14:paraId="11E17F5A">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沥青废气</w:t>
                  </w:r>
                  <w:r>
                    <w:rPr>
                      <w:rStyle w:val="36"/>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成品卸料</w:t>
                  </w:r>
                  <w:r>
                    <w:rPr>
                      <w:rStyle w:val="36"/>
                      <w:rFonts w:hint="default" w:ascii="Times New Roman" w:hAnsi="Times New Roman" w:cs="Times New Roman"/>
                      <w:color w:val="auto"/>
                      <w:sz w:val="21"/>
                      <w:szCs w:val="21"/>
                      <w:lang w:eastAsia="zh-CN"/>
                    </w:rPr>
                    <w:t>）</w:t>
                  </w:r>
                </w:p>
              </w:tc>
              <w:tc>
                <w:tcPr>
                  <w:tcW w:w="630" w:type="pct"/>
                  <w:tcBorders>
                    <w:tl2br w:val="nil"/>
                    <w:tr2bl w:val="nil"/>
                  </w:tcBorders>
                  <w:shd w:val="clear" w:color="auto" w:fill="auto"/>
                  <w:vAlign w:val="center"/>
                </w:tcPr>
                <w:p w14:paraId="4792EB5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沥青烟</w:t>
                  </w:r>
                </w:p>
              </w:tc>
              <w:tc>
                <w:tcPr>
                  <w:tcW w:w="492" w:type="pct"/>
                  <w:vMerge w:val="restart"/>
                  <w:tcBorders>
                    <w:tl2br w:val="nil"/>
                    <w:tr2bl w:val="nil"/>
                  </w:tcBorders>
                  <w:vAlign w:val="center"/>
                </w:tcPr>
                <w:p w14:paraId="35D7744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有组织/无组织</w:t>
                  </w:r>
                </w:p>
              </w:tc>
              <w:tc>
                <w:tcPr>
                  <w:tcW w:w="1313" w:type="pct"/>
                  <w:vMerge w:val="restart"/>
                  <w:tcBorders>
                    <w:tl2br w:val="nil"/>
                    <w:tr2bl w:val="nil"/>
                  </w:tcBorders>
                  <w:vAlign w:val="center"/>
                </w:tcPr>
                <w:p w14:paraId="766CC6F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设备密闭</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静电捕集</w:t>
                  </w:r>
                  <w:r>
                    <w:rPr>
                      <w:rFonts w:hint="default" w:ascii="Times New Roman" w:hAnsi="Times New Roman" w:cs="Times New Roman"/>
                      <w:color w:val="auto"/>
                      <w:sz w:val="21"/>
                      <w:szCs w:val="21"/>
                    </w:rPr>
                    <w:t>+除尘系统（</w:t>
                  </w:r>
                  <w:r>
                    <w:rPr>
                      <w:rFonts w:hint="default" w:ascii="Times New Roman" w:hAnsi="Times New Roman" w:cs="Times New Roman"/>
                      <w:color w:val="auto"/>
                      <w:sz w:val="21"/>
                      <w:szCs w:val="21"/>
                      <w:lang w:val="en-US" w:eastAsia="zh-CN"/>
                    </w:rPr>
                    <w:t>一级重力除尘+二级布袋除尘</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rPr>
                    <w:t>m排气筒（</w:t>
                  </w:r>
                  <w:r>
                    <w:rPr>
                      <w:rFonts w:hint="default" w:ascii="Times New Roman" w:hAnsi="Times New Roman" w:cs="Times New Roman"/>
                      <w:color w:val="auto"/>
                      <w:sz w:val="21"/>
                      <w:szCs w:val="21"/>
                      <w:lang w:eastAsia="zh-CN"/>
                    </w:rPr>
                    <w:t>DA001</w:t>
                  </w:r>
                  <w:r>
                    <w:rPr>
                      <w:rFonts w:hint="default" w:ascii="Times New Roman" w:hAnsi="Times New Roman" w:cs="Times New Roman"/>
                      <w:color w:val="auto"/>
                      <w:sz w:val="21"/>
                      <w:szCs w:val="21"/>
                    </w:rPr>
                    <w:t>）</w:t>
                  </w:r>
                </w:p>
              </w:tc>
              <w:tc>
                <w:tcPr>
                  <w:tcW w:w="533" w:type="pct"/>
                  <w:vMerge w:val="restart"/>
                  <w:tcBorders>
                    <w:tl2br w:val="nil"/>
                    <w:tr2bl w:val="nil"/>
                  </w:tcBorders>
                  <w:vAlign w:val="center"/>
                </w:tcPr>
                <w:p w14:paraId="6831D1A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95</w:t>
                  </w:r>
                </w:p>
              </w:tc>
              <w:tc>
                <w:tcPr>
                  <w:tcW w:w="460" w:type="pct"/>
                  <w:vMerge w:val="restart"/>
                  <w:tcBorders>
                    <w:tl2br w:val="nil"/>
                    <w:tr2bl w:val="nil"/>
                  </w:tcBorders>
                  <w:vAlign w:val="center"/>
                </w:tcPr>
                <w:p w14:paraId="1A7A429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98</w:t>
                  </w:r>
                </w:p>
              </w:tc>
              <w:tc>
                <w:tcPr>
                  <w:tcW w:w="693" w:type="pct"/>
                  <w:vMerge w:val="restart"/>
                  <w:tcBorders>
                    <w:tl2br w:val="nil"/>
                    <w:tr2bl w:val="nil"/>
                  </w:tcBorders>
                  <w:vAlign w:val="center"/>
                </w:tcPr>
                <w:p w14:paraId="070F3E3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r>
            <w:tr w14:paraId="6BF3C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tcBorders>
                    <w:tl2br w:val="nil"/>
                    <w:tr2bl w:val="nil"/>
                  </w:tcBorders>
                  <w:vAlign w:val="center"/>
                </w:tcPr>
                <w:p w14:paraId="179F6EF7">
                  <w:pPr>
                    <w:jc w:val="center"/>
                    <w:rPr>
                      <w:rFonts w:hint="default" w:ascii="Times New Roman" w:hAnsi="Times New Roman" w:cs="Times New Roman"/>
                      <w:color w:val="auto"/>
                      <w:sz w:val="21"/>
                      <w:szCs w:val="21"/>
                    </w:rPr>
                  </w:pPr>
                </w:p>
              </w:tc>
              <w:tc>
                <w:tcPr>
                  <w:tcW w:w="478" w:type="pct"/>
                  <w:vMerge w:val="continue"/>
                  <w:tcBorders>
                    <w:tl2br w:val="nil"/>
                    <w:tr2bl w:val="nil"/>
                  </w:tcBorders>
                  <w:vAlign w:val="center"/>
                </w:tcPr>
                <w:p w14:paraId="79712169">
                  <w:pPr>
                    <w:jc w:val="center"/>
                    <w:rPr>
                      <w:rFonts w:hint="default" w:ascii="Times New Roman" w:hAnsi="Times New Roman" w:cs="Times New Roman"/>
                      <w:color w:val="auto"/>
                      <w:sz w:val="21"/>
                      <w:szCs w:val="21"/>
                    </w:rPr>
                  </w:pPr>
                </w:p>
              </w:tc>
              <w:tc>
                <w:tcPr>
                  <w:tcW w:w="630" w:type="pct"/>
                  <w:tcBorders>
                    <w:tl2br w:val="nil"/>
                    <w:tr2bl w:val="nil"/>
                  </w:tcBorders>
                  <w:shd w:val="clear" w:color="auto" w:fill="auto"/>
                  <w:vAlign w:val="center"/>
                </w:tcPr>
                <w:p w14:paraId="3D7F1D2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苯并[a]芘</w:t>
                  </w:r>
                </w:p>
              </w:tc>
              <w:tc>
                <w:tcPr>
                  <w:tcW w:w="492" w:type="pct"/>
                  <w:vMerge w:val="continue"/>
                  <w:tcBorders>
                    <w:tl2br w:val="nil"/>
                    <w:tr2bl w:val="nil"/>
                  </w:tcBorders>
                  <w:vAlign w:val="center"/>
                </w:tcPr>
                <w:p w14:paraId="370C7BDC">
                  <w:pPr>
                    <w:jc w:val="center"/>
                    <w:rPr>
                      <w:rFonts w:hint="default" w:ascii="Times New Roman" w:hAnsi="Times New Roman" w:cs="Times New Roman"/>
                      <w:color w:val="auto"/>
                      <w:sz w:val="21"/>
                      <w:szCs w:val="21"/>
                    </w:rPr>
                  </w:pPr>
                </w:p>
              </w:tc>
              <w:tc>
                <w:tcPr>
                  <w:tcW w:w="1313" w:type="pct"/>
                  <w:vMerge w:val="continue"/>
                  <w:tcBorders>
                    <w:tl2br w:val="nil"/>
                    <w:tr2bl w:val="nil"/>
                  </w:tcBorders>
                  <w:vAlign w:val="center"/>
                </w:tcPr>
                <w:p w14:paraId="6D10319C">
                  <w:pPr>
                    <w:jc w:val="center"/>
                    <w:rPr>
                      <w:rFonts w:hint="default" w:ascii="Times New Roman" w:hAnsi="Times New Roman" w:cs="Times New Roman"/>
                      <w:color w:val="auto"/>
                      <w:sz w:val="21"/>
                      <w:szCs w:val="21"/>
                    </w:rPr>
                  </w:pPr>
                </w:p>
              </w:tc>
              <w:tc>
                <w:tcPr>
                  <w:tcW w:w="533" w:type="pct"/>
                  <w:vMerge w:val="continue"/>
                  <w:tcBorders>
                    <w:tl2br w:val="nil"/>
                    <w:tr2bl w:val="nil"/>
                  </w:tcBorders>
                  <w:vAlign w:val="center"/>
                </w:tcPr>
                <w:p w14:paraId="0228109A">
                  <w:pPr>
                    <w:jc w:val="center"/>
                    <w:rPr>
                      <w:rFonts w:hint="default" w:ascii="Times New Roman" w:hAnsi="Times New Roman" w:cs="Times New Roman"/>
                      <w:color w:val="auto"/>
                      <w:sz w:val="21"/>
                      <w:szCs w:val="21"/>
                    </w:rPr>
                  </w:pPr>
                </w:p>
              </w:tc>
              <w:tc>
                <w:tcPr>
                  <w:tcW w:w="460" w:type="pct"/>
                  <w:vMerge w:val="continue"/>
                  <w:tcBorders>
                    <w:tl2br w:val="nil"/>
                    <w:tr2bl w:val="nil"/>
                  </w:tcBorders>
                  <w:vAlign w:val="center"/>
                </w:tcPr>
                <w:p w14:paraId="0B1D17A5">
                  <w:pPr>
                    <w:jc w:val="center"/>
                    <w:rPr>
                      <w:rFonts w:hint="default" w:ascii="Times New Roman" w:hAnsi="Times New Roman" w:cs="Times New Roman"/>
                      <w:color w:val="auto"/>
                      <w:sz w:val="21"/>
                      <w:szCs w:val="21"/>
                    </w:rPr>
                  </w:pPr>
                </w:p>
              </w:tc>
              <w:tc>
                <w:tcPr>
                  <w:tcW w:w="693" w:type="pct"/>
                  <w:vMerge w:val="continue"/>
                  <w:tcBorders>
                    <w:tl2br w:val="nil"/>
                    <w:tr2bl w:val="nil"/>
                  </w:tcBorders>
                  <w:vAlign w:val="center"/>
                </w:tcPr>
                <w:p w14:paraId="1A3877FA">
                  <w:pPr>
                    <w:jc w:val="center"/>
                    <w:rPr>
                      <w:rFonts w:hint="default" w:ascii="Times New Roman" w:hAnsi="Times New Roman" w:cs="Times New Roman"/>
                      <w:color w:val="auto"/>
                      <w:sz w:val="21"/>
                      <w:szCs w:val="21"/>
                    </w:rPr>
                  </w:pPr>
                </w:p>
              </w:tc>
            </w:tr>
            <w:tr w14:paraId="36581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tcBorders>
                    <w:tl2br w:val="nil"/>
                    <w:tr2bl w:val="nil"/>
                  </w:tcBorders>
                  <w:vAlign w:val="center"/>
                </w:tcPr>
                <w:p w14:paraId="554ED628">
                  <w:pPr>
                    <w:jc w:val="center"/>
                    <w:rPr>
                      <w:rFonts w:hint="default" w:ascii="Times New Roman" w:hAnsi="Times New Roman" w:cs="Times New Roman"/>
                      <w:color w:val="auto"/>
                      <w:sz w:val="21"/>
                      <w:szCs w:val="21"/>
                    </w:rPr>
                  </w:pPr>
                </w:p>
              </w:tc>
              <w:tc>
                <w:tcPr>
                  <w:tcW w:w="478" w:type="pct"/>
                  <w:vMerge w:val="continue"/>
                  <w:tcBorders>
                    <w:tl2br w:val="nil"/>
                    <w:tr2bl w:val="nil"/>
                  </w:tcBorders>
                  <w:vAlign w:val="center"/>
                </w:tcPr>
                <w:p w14:paraId="425E2981">
                  <w:pPr>
                    <w:jc w:val="center"/>
                    <w:rPr>
                      <w:rFonts w:hint="default" w:ascii="Times New Roman" w:hAnsi="Times New Roman" w:cs="Times New Roman"/>
                      <w:color w:val="auto"/>
                      <w:sz w:val="21"/>
                      <w:szCs w:val="21"/>
                    </w:rPr>
                  </w:pPr>
                </w:p>
              </w:tc>
              <w:tc>
                <w:tcPr>
                  <w:tcW w:w="630" w:type="pct"/>
                  <w:tcBorders>
                    <w:tl2br w:val="nil"/>
                    <w:tr2bl w:val="nil"/>
                  </w:tcBorders>
                  <w:shd w:val="clear" w:color="auto" w:fill="auto"/>
                  <w:vAlign w:val="center"/>
                </w:tcPr>
                <w:p w14:paraId="6E9BE26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VOCs</w:t>
                  </w:r>
                  <w:r>
                    <w:rPr>
                      <w:rFonts w:hint="default" w:ascii="Times New Roman" w:hAnsi="Times New Roman" w:cs="Times New Roman"/>
                      <w:color w:val="auto"/>
                      <w:sz w:val="21"/>
                      <w:szCs w:val="21"/>
                      <w:lang w:eastAsia="zh-CN"/>
                    </w:rPr>
                    <w:t>（以非甲烷总烃计）</w:t>
                  </w:r>
                </w:p>
              </w:tc>
              <w:tc>
                <w:tcPr>
                  <w:tcW w:w="492" w:type="pct"/>
                  <w:vMerge w:val="continue"/>
                  <w:tcBorders>
                    <w:tl2br w:val="nil"/>
                    <w:tr2bl w:val="nil"/>
                  </w:tcBorders>
                  <w:vAlign w:val="center"/>
                </w:tcPr>
                <w:p w14:paraId="68D69755">
                  <w:pPr>
                    <w:jc w:val="center"/>
                    <w:rPr>
                      <w:rFonts w:hint="default" w:ascii="Times New Roman" w:hAnsi="Times New Roman" w:cs="Times New Roman"/>
                      <w:color w:val="auto"/>
                      <w:sz w:val="21"/>
                      <w:szCs w:val="21"/>
                    </w:rPr>
                  </w:pPr>
                </w:p>
              </w:tc>
              <w:tc>
                <w:tcPr>
                  <w:tcW w:w="1313" w:type="pct"/>
                  <w:vMerge w:val="continue"/>
                  <w:tcBorders>
                    <w:tl2br w:val="nil"/>
                    <w:tr2bl w:val="nil"/>
                  </w:tcBorders>
                  <w:vAlign w:val="center"/>
                </w:tcPr>
                <w:p w14:paraId="41C05063">
                  <w:pPr>
                    <w:jc w:val="center"/>
                    <w:rPr>
                      <w:rFonts w:hint="default" w:ascii="Times New Roman" w:hAnsi="Times New Roman" w:cs="Times New Roman"/>
                      <w:color w:val="auto"/>
                      <w:sz w:val="21"/>
                      <w:szCs w:val="21"/>
                    </w:rPr>
                  </w:pPr>
                </w:p>
              </w:tc>
              <w:tc>
                <w:tcPr>
                  <w:tcW w:w="533" w:type="pct"/>
                  <w:vMerge w:val="continue"/>
                  <w:tcBorders>
                    <w:tl2br w:val="nil"/>
                    <w:tr2bl w:val="nil"/>
                  </w:tcBorders>
                  <w:vAlign w:val="center"/>
                </w:tcPr>
                <w:p w14:paraId="7567E9CA">
                  <w:pPr>
                    <w:jc w:val="center"/>
                    <w:rPr>
                      <w:rFonts w:hint="default" w:ascii="Times New Roman" w:hAnsi="Times New Roman" w:cs="Times New Roman"/>
                      <w:color w:val="auto"/>
                      <w:sz w:val="21"/>
                      <w:szCs w:val="21"/>
                    </w:rPr>
                  </w:pPr>
                </w:p>
              </w:tc>
              <w:tc>
                <w:tcPr>
                  <w:tcW w:w="460" w:type="pct"/>
                  <w:vMerge w:val="continue"/>
                  <w:tcBorders>
                    <w:tl2br w:val="nil"/>
                    <w:tr2bl w:val="nil"/>
                  </w:tcBorders>
                  <w:vAlign w:val="center"/>
                </w:tcPr>
                <w:p w14:paraId="08D27192">
                  <w:pPr>
                    <w:jc w:val="center"/>
                    <w:rPr>
                      <w:rFonts w:hint="default" w:ascii="Times New Roman" w:hAnsi="Times New Roman" w:cs="Times New Roman"/>
                      <w:color w:val="auto"/>
                      <w:sz w:val="21"/>
                      <w:szCs w:val="21"/>
                    </w:rPr>
                  </w:pPr>
                </w:p>
              </w:tc>
              <w:tc>
                <w:tcPr>
                  <w:tcW w:w="693" w:type="pct"/>
                  <w:vMerge w:val="continue"/>
                  <w:tcBorders>
                    <w:tl2br w:val="nil"/>
                    <w:tr2bl w:val="nil"/>
                  </w:tcBorders>
                  <w:vAlign w:val="center"/>
                </w:tcPr>
                <w:p w14:paraId="57190E6E">
                  <w:pPr>
                    <w:jc w:val="center"/>
                    <w:rPr>
                      <w:rFonts w:hint="default" w:ascii="Times New Roman" w:hAnsi="Times New Roman" w:cs="Times New Roman"/>
                      <w:color w:val="auto"/>
                      <w:sz w:val="21"/>
                      <w:szCs w:val="21"/>
                    </w:rPr>
                  </w:pPr>
                </w:p>
              </w:tc>
            </w:tr>
            <w:tr w14:paraId="09FFDB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tcBorders>
                    <w:tl2br w:val="nil"/>
                    <w:tr2bl w:val="nil"/>
                  </w:tcBorders>
                  <w:vAlign w:val="center"/>
                </w:tcPr>
                <w:p w14:paraId="03EE1D67">
                  <w:pPr>
                    <w:jc w:val="center"/>
                    <w:rPr>
                      <w:rFonts w:hint="default" w:ascii="Times New Roman" w:hAnsi="Times New Roman" w:cs="Times New Roman"/>
                      <w:color w:val="auto"/>
                      <w:sz w:val="21"/>
                      <w:szCs w:val="21"/>
                    </w:rPr>
                  </w:pPr>
                </w:p>
              </w:tc>
              <w:tc>
                <w:tcPr>
                  <w:tcW w:w="478" w:type="pct"/>
                  <w:vMerge w:val="restart"/>
                  <w:tcBorders>
                    <w:tl2br w:val="nil"/>
                    <w:tr2bl w:val="nil"/>
                  </w:tcBorders>
                  <w:vAlign w:val="center"/>
                </w:tcPr>
                <w:p w14:paraId="73EE49A6">
                  <w:pPr>
                    <w:pStyle w:val="1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沥青废气</w:t>
                  </w:r>
                  <w:r>
                    <w:rPr>
                      <w:rStyle w:val="36"/>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沥青储罐</w:t>
                  </w:r>
                  <w:r>
                    <w:rPr>
                      <w:rStyle w:val="36"/>
                      <w:rFonts w:hint="default" w:ascii="Times New Roman" w:hAnsi="Times New Roman" w:cs="Times New Roman"/>
                      <w:color w:val="auto"/>
                      <w:sz w:val="21"/>
                      <w:szCs w:val="21"/>
                      <w:lang w:eastAsia="zh-CN"/>
                    </w:rPr>
                    <w:t>）</w:t>
                  </w:r>
                </w:p>
              </w:tc>
              <w:tc>
                <w:tcPr>
                  <w:tcW w:w="630" w:type="pct"/>
                  <w:tcBorders>
                    <w:tl2br w:val="nil"/>
                    <w:tr2bl w:val="nil"/>
                  </w:tcBorders>
                  <w:shd w:val="clear" w:color="auto" w:fill="auto"/>
                  <w:vAlign w:val="center"/>
                </w:tcPr>
                <w:p w14:paraId="506E6D5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沥青烟</w:t>
                  </w:r>
                </w:p>
              </w:tc>
              <w:tc>
                <w:tcPr>
                  <w:tcW w:w="492" w:type="pct"/>
                  <w:vMerge w:val="restart"/>
                  <w:tcBorders>
                    <w:tl2br w:val="nil"/>
                    <w:tr2bl w:val="nil"/>
                  </w:tcBorders>
                  <w:vAlign w:val="center"/>
                </w:tcPr>
                <w:p w14:paraId="0708ED1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有组织</w:t>
                  </w:r>
                </w:p>
              </w:tc>
              <w:tc>
                <w:tcPr>
                  <w:tcW w:w="1313" w:type="pct"/>
                  <w:vMerge w:val="restart"/>
                  <w:tcBorders>
                    <w:tl2br w:val="nil"/>
                    <w:tr2bl w:val="nil"/>
                  </w:tcBorders>
                  <w:vAlign w:val="center"/>
                </w:tcPr>
                <w:p w14:paraId="53FD475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管道</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燃烧器燃烧</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rPr>
                    <w:t>m排气筒（</w:t>
                  </w:r>
                  <w:r>
                    <w:rPr>
                      <w:rFonts w:hint="default" w:ascii="Times New Roman" w:hAnsi="Times New Roman" w:cs="Times New Roman"/>
                      <w:color w:val="auto"/>
                      <w:sz w:val="21"/>
                      <w:szCs w:val="21"/>
                      <w:lang w:eastAsia="zh-CN"/>
                    </w:rPr>
                    <w:t>DA001</w:t>
                  </w:r>
                  <w:r>
                    <w:rPr>
                      <w:rFonts w:hint="default" w:ascii="Times New Roman" w:hAnsi="Times New Roman" w:cs="Times New Roman"/>
                      <w:color w:val="auto"/>
                      <w:sz w:val="21"/>
                      <w:szCs w:val="21"/>
                    </w:rPr>
                    <w:t>）</w:t>
                  </w:r>
                </w:p>
              </w:tc>
              <w:tc>
                <w:tcPr>
                  <w:tcW w:w="533" w:type="pct"/>
                  <w:vMerge w:val="restart"/>
                  <w:tcBorders>
                    <w:tl2br w:val="nil"/>
                    <w:tr2bl w:val="nil"/>
                  </w:tcBorders>
                  <w:vAlign w:val="center"/>
                </w:tcPr>
                <w:p w14:paraId="663446C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460" w:type="pct"/>
                  <w:vMerge w:val="restart"/>
                  <w:tcBorders>
                    <w:tl2br w:val="nil"/>
                    <w:tr2bl w:val="nil"/>
                  </w:tcBorders>
                  <w:vAlign w:val="center"/>
                </w:tcPr>
                <w:p w14:paraId="75F9574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98</w:t>
                  </w:r>
                </w:p>
              </w:tc>
              <w:tc>
                <w:tcPr>
                  <w:tcW w:w="693" w:type="pct"/>
                  <w:vMerge w:val="restart"/>
                  <w:tcBorders>
                    <w:tl2br w:val="nil"/>
                    <w:tr2bl w:val="nil"/>
                  </w:tcBorders>
                  <w:vAlign w:val="center"/>
                </w:tcPr>
                <w:p w14:paraId="4A5F5A3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r>
            <w:tr w14:paraId="19A86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tcBorders>
                    <w:tl2br w:val="nil"/>
                    <w:tr2bl w:val="nil"/>
                  </w:tcBorders>
                  <w:vAlign w:val="center"/>
                </w:tcPr>
                <w:p w14:paraId="3D06AE0E">
                  <w:pPr>
                    <w:jc w:val="center"/>
                    <w:rPr>
                      <w:rFonts w:hint="default" w:ascii="Times New Roman" w:hAnsi="Times New Roman" w:cs="Times New Roman"/>
                      <w:color w:val="auto"/>
                      <w:sz w:val="21"/>
                      <w:szCs w:val="21"/>
                    </w:rPr>
                  </w:pPr>
                </w:p>
              </w:tc>
              <w:tc>
                <w:tcPr>
                  <w:tcW w:w="478" w:type="pct"/>
                  <w:vMerge w:val="continue"/>
                  <w:tcBorders>
                    <w:tl2br w:val="nil"/>
                    <w:tr2bl w:val="nil"/>
                  </w:tcBorders>
                  <w:vAlign w:val="center"/>
                </w:tcPr>
                <w:p w14:paraId="0297D057">
                  <w:pPr>
                    <w:jc w:val="center"/>
                    <w:rPr>
                      <w:rFonts w:hint="default" w:ascii="Times New Roman" w:hAnsi="Times New Roman" w:cs="Times New Roman"/>
                      <w:color w:val="auto"/>
                      <w:sz w:val="21"/>
                      <w:szCs w:val="21"/>
                    </w:rPr>
                  </w:pPr>
                </w:p>
              </w:tc>
              <w:tc>
                <w:tcPr>
                  <w:tcW w:w="630" w:type="pct"/>
                  <w:tcBorders>
                    <w:tl2br w:val="nil"/>
                    <w:tr2bl w:val="nil"/>
                  </w:tcBorders>
                  <w:shd w:val="clear" w:color="auto" w:fill="auto"/>
                  <w:vAlign w:val="center"/>
                </w:tcPr>
                <w:p w14:paraId="672A3CF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苯并[a]芘</w:t>
                  </w:r>
                </w:p>
              </w:tc>
              <w:tc>
                <w:tcPr>
                  <w:tcW w:w="492" w:type="pct"/>
                  <w:vMerge w:val="continue"/>
                  <w:tcBorders>
                    <w:tl2br w:val="nil"/>
                    <w:tr2bl w:val="nil"/>
                  </w:tcBorders>
                  <w:vAlign w:val="center"/>
                </w:tcPr>
                <w:p w14:paraId="7E4ACB2D">
                  <w:pPr>
                    <w:jc w:val="center"/>
                    <w:rPr>
                      <w:rFonts w:hint="default" w:ascii="Times New Roman" w:hAnsi="Times New Roman" w:cs="Times New Roman"/>
                      <w:color w:val="auto"/>
                      <w:sz w:val="21"/>
                      <w:szCs w:val="21"/>
                    </w:rPr>
                  </w:pPr>
                </w:p>
              </w:tc>
              <w:tc>
                <w:tcPr>
                  <w:tcW w:w="1313" w:type="pct"/>
                  <w:vMerge w:val="continue"/>
                  <w:tcBorders>
                    <w:tl2br w:val="nil"/>
                    <w:tr2bl w:val="nil"/>
                  </w:tcBorders>
                  <w:vAlign w:val="center"/>
                </w:tcPr>
                <w:p w14:paraId="7BF8C949">
                  <w:pPr>
                    <w:jc w:val="center"/>
                    <w:rPr>
                      <w:rFonts w:hint="default" w:ascii="Times New Roman" w:hAnsi="Times New Roman" w:cs="Times New Roman"/>
                      <w:color w:val="auto"/>
                      <w:sz w:val="21"/>
                      <w:szCs w:val="21"/>
                    </w:rPr>
                  </w:pPr>
                </w:p>
              </w:tc>
              <w:tc>
                <w:tcPr>
                  <w:tcW w:w="533" w:type="pct"/>
                  <w:vMerge w:val="continue"/>
                  <w:tcBorders>
                    <w:tl2br w:val="nil"/>
                    <w:tr2bl w:val="nil"/>
                  </w:tcBorders>
                  <w:vAlign w:val="center"/>
                </w:tcPr>
                <w:p w14:paraId="7AD803AF">
                  <w:pPr>
                    <w:jc w:val="center"/>
                    <w:rPr>
                      <w:rFonts w:hint="default" w:ascii="Times New Roman" w:hAnsi="Times New Roman" w:cs="Times New Roman"/>
                      <w:color w:val="auto"/>
                      <w:sz w:val="21"/>
                      <w:szCs w:val="21"/>
                    </w:rPr>
                  </w:pPr>
                </w:p>
              </w:tc>
              <w:tc>
                <w:tcPr>
                  <w:tcW w:w="460" w:type="pct"/>
                  <w:vMerge w:val="continue"/>
                  <w:tcBorders>
                    <w:tl2br w:val="nil"/>
                    <w:tr2bl w:val="nil"/>
                  </w:tcBorders>
                  <w:vAlign w:val="center"/>
                </w:tcPr>
                <w:p w14:paraId="57D3D267">
                  <w:pPr>
                    <w:jc w:val="center"/>
                    <w:rPr>
                      <w:rFonts w:hint="default" w:ascii="Times New Roman" w:hAnsi="Times New Roman" w:cs="Times New Roman"/>
                      <w:color w:val="auto"/>
                      <w:sz w:val="21"/>
                      <w:szCs w:val="21"/>
                    </w:rPr>
                  </w:pPr>
                </w:p>
              </w:tc>
              <w:tc>
                <w:tcPr>
                  <w:tcW w:w="693" w:type="pct"/>
                  <w:vMerge w:val="continue"/>
                  <w:tcBorders>
                    <w:tl2br w:val="nil"/>
                    <w:tr2bl w:val="nil"/>
                  </w:tcBorders>
                  <w:vAlign w:val="center"/>
                </w:tcPr>
                <w:p w14:paraId="3F4BC395">
                  <w:pPr>
                    <w:jc w:val="center"/>
                    <w:rPr>
                      <w:rFonts w:hint="default" w:ascii="Times New Roman" w:hAnsi="Times New Roman" w:cs="Times New Roman"/>
                      <w:color w:val="auto"/>
                      <w:sz w:val="21"/>
                      <w:szCs w:val="21"/>
                    </w:rPr>
                  </w:pPr>
                </w:p>
              </w:tc>
            </w:tr>
            <w:tr w14:paraId="03CCC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tcBorders>
                    <w:tl2br w:val="nil"/>
                    <w:tr2bl w:val="nil"/>
                  </w:tcBorders>
                  <w:vAlign w:val="center"/>
                </w:tcPr>
                <w:p w14:paraId="2CDBB24D">
                  <w:pPr>
                    <w:jc w:val="center"/>
                    <w:rPr>
                      <w:rFonts w:hint="default" w:ascii="Times New Roman" w:hAnsi="Times New Roman" w:cs="Times New Roman"/>
                      <w:color w:val="auto"/>
                      <w:sz w:val="21"/>
                      <w:szCs w:val="21"/>
                    </w:rPr>
                  </w:pPr>
                </w:p>
              </w:tc>
              <w:tc>
                <w:tcPr>
                  <w:tcW w:w="478" w:type="pct"/>
                  <w:vMerge w:val="continue"/>
                  <w:tcBorders>
                    <w:tl2br w:val="nil"/>
                    <w:tr2bl w:val="nil"/>
                  </w:tcBorders>
                  <w:vAlign w:val="center"/>
                </w:tcPr>
                <w:p w14:paraId="6DA07585">
                  <w:pPr>
                    <w:jc w:val="center"/>
                    <w:rPr>
                      <w:rFonts w:hint="default" w:ascii="Times New Roman" w:hAnsi="Times New Roman" w:cs="Times New Roman"/>
                      <w:color w:val="auto"/>
                      <w:sz w:val="21"/>
                      <w:szCs w:val="21"/>
                    </w:rPr>
                  </w:pPr>
                </w:p>
              </w:tc>
              <w:tc>
                <w:tcPr>
                  <w:tcW w:w="630" w:type="pct"/>
                  <w:tcBorders>
                    <w:tl2br w:val="nil"/>
                    <w:tr2bl w:val="nil"/>
                  </w:tcBorders>
                  <w:shd w:val="clear" w:color="auto" w:fill="auto"/>
                  <w:vAlign w:val="center"/>
                </w:tcPr>
                <w:p w14:paraId="1D24AC0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VOCs</w:t>
                  </w:r>
                  <w:r>
                    <w:rPr>
                      <w:rFonts w:hint="default" w:ascii="Times New Roman" w:hAnsi="Times New Roman" w:cs="Times New Roman"/>
                      <w:color w:val="auto"/>
                      <w:sz w:val="21"/>
                      <w:szCs w:val="21"/>
                      <w:lang w:eastAsia="zh-CN"/>
                    </w:rPr>
                    <w:t>（以非甲烷总烃计）</w:t>
                  </w:r>
                </w:p>
              </w:tc>
              <w:tc>
                <w:tcPr>
                  <w:tcW w:w="492" w:type="pct"/>
                  <w:vMerge w:val="continue"/>
                  <w:tcBorders>
                    <w:tl2br w:val="nil"/>
                    <w:tr2bl w:val="nil"/>
                  </w:tcBorders>
                  <w:vAlign w:val="center"/>
                </w:tcPr>
                <w:p w14:paraId="5E146E39">
                  <w:pPr>
                    <w:jc w:val="center"/>
                    <w:rPr>
                      <w:rFonts w:hint="default" w:ascii="Times New Roman" w:hAnsi="Times New Roman" w:cs="Times New Roman"/>
                      <w:color w:val="auto"/>
                      <w:sz w:val="21"/>
                      <w:szCs w:val="21"/>
                    </w:rPr>
                  </w:pPr>
                </w:p>
              </w:tc>
              <w:tc>
                <w:tcPr>
                  <w:tcW w:w="1313" w:type="pct"/>
                  <w:vMerge w:val="continue"/>
                  <w:tcBorders>
                    <w:tl2br w:val="nil"/>
                    <w:tr2bl w:val="nil"/>
                  </w:tcBorders>
                  <w:vAlign w:val="center"/>
                </w:tcPr>
                <w:p w14:paraId="4E1197D3">
                  <w:pPr>
                    <w:jc w:val="center"/>
                    <w:rPr>
                      <w:rFonts w:hint="default" w:ascii="Times New Roman" w:hAnsi="Times New Roman" w:cs="Times New Roman"/>
                      <w:color w:val="auto"/>
                      <w:sz w:val="21"/>
                      <w:szCs w:val="21"/>
                    </w:rPr>
                  </w:pPr>
                </w:p>
              </w:tc>
              <w:tc>
                <w:tcPr>
                  <w:tcW w:w="533" w:type="pct"/>
                  <w:vMerge w:val="continue"/>
                  <w:tcBorders>
                    <w:tl2br w:val="nil"/>
                    <w:tr2bl w:val="nil"/>
                  </w:tcBorders>
                  <w:vAlign w:val="center"/>
                </w:tcPr>
                <w:p w14:paraId="70DBD681">
                  <w:pPr>
                    <w:jc w:val="center"/>
                    <w:rPr>
                      <w:rFonts w:hint="default" w:ascii="Times New Roman" w:hAnsi="Times New Roman" w:cs="Times New Roman"/>
                      <w:color w:val="auto"/>
                      <w:sz w:val="21"/>
                      <w:szCs w:val="21"/>
                    </w:rPr>
                  </w:pPr>
                </w:p>
              </w:tc>
              <w:tc>
                <w:tcPr>
                  <w:tcW w:w="460" w:type="pct"/>
                  <w:vMerge w:val="continue"/>
                  <w:tcBorders>
                    <w:tl2br w:val="nil"/>
                    <w:tr2bl w:val="nil"/>
                  </w:tcBorders>
                  <w:vAlign w:val="center"/>
                </w:tcPr>
                <w:p w14:paraId="068BF6F4">
                  <w:pPr>
                    <w:jc w:val="center"/>
                    <w:rPr>
                      <w:rFonts w:hint="default" w:ascii="Times New Roman" w:hAnsi="Times New Roman" w:cs="Times New Roman"/>
                      <w:color w:val="auto"/>
                      <w:sz w:val="21"/>
                      <w:szCs w:val="21"/>
                    </w:rPr>
                  </w:pPr>
                </w:p>
              </w:tc>
              <w:tc>
                <w:tcPr>
                  <w:tcW w:w="693" w:type="pct"/>
                  <w:vMerge w:val="continue"/>
                  <w:tcBorders>
                    <w:tl2br w:val="nil"/>
                    <w:tr2bl w:val="nil"/>
                  </w:tcBorders>
                  <w:vAlign w:val="center"/>
                </w:tcPr>
                <w:p w14:paraId="7432C5B1">
                  <w:pPr>
                    <w:jc w:val="center"/>
                    <w:rPr>
                      <w:rFonts w:hint="default" w:ascii="Times New Roman" w:hAnsi="Times New Roman" w:cs="Times New Roman"/>
                      <w:color w:val="auto"/>
                      <w:sz w:val="21"/>
                      <w:szCs w:val="21"/>
                    </w:rPr>
                  </w:pPr>
                </w:p>
              </w:tc>
            </w:tr>
            <w:tr w14:paraId="493BC1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tcBorders>
                    <w:tl2br w:val="nil"/>
                    <w:tr2bl w:val="nil"/>
                  </w:tcBorders>
                  <w:shd w:val="clear" w:color="auto" w:fill="auto"/>
                  <w:vAlign w:val="center"/>
                </w:tcPr>
                <w:p w14:paraId="623D0217">
                  <w:pPr>
                    <w:jc w:val="center"/>
                    <w:rPr>
                      <w:rFonts w:hint="default" w:ascii="Times New Roman" w:hAnsi="Times New Roman" w:cs="Times New Roman"/>
                      <w:color w:val="auto"/>
                      <w:sz w:val="21"/>
                      <w:szCs w:val="21"/>
                    </w:rPr>
                  </w:pPr>
                </w:p>
              </w:tc>
              <w:tc>
                <w:tcPr>
                  <w:tcW w:w="478" w:type="pct"/>
                  <w:tcBorders>
                    <w:tl2br w:val="nil"/>
                    <w:tr2bl w:val="nil"/>
                  </w:tcBorders>
                  <w:shd w:val="clear" w:color="auto" w:fill="auto"/>
                  <w:vAlign w:val="center"/>
                </w:tcPr>
                <w:p w14:paraId="17A0E6A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骨料烘干、筛分废气</w:t>
                  </w:r>
                </w:p>
              </w:tc>
              <w:tc>
                <w:tcPr>
                  <w:tcW w:w="630" w:type="pct"/>
                  <w:tcBorders>
                    <w:tl2br w:val="nil"/>
                    <w:tr2bl w:val="nil"/>
                  </w:tcBorders>
                  <w:shd w:val="clear" w:color="auto" w:fill="auto"/>
                  <w:vAlign w:val="center"/>
                </w:tcPr>
                <w:p w14:paraId="74CFB86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颗粒物</w:t>
                  </w:r>
                </w:p>
              </w:tc>
              <w:tc>
                <w:tcPr>
                  <w:tcW w:w="492" w:type="pct"/>
                  <w:tcBorders>
                    <w:tl2br w:val="nil"/>
                    <w:tr2bl w:val="nil"/>
                  </w:tcBorders>
                  <w:shd w:val="clear" w:color="auto" w:fill="auto"/>
                  <w:vAlign w:val="center"/>
                </w:tcPr>
                <w:p w14:paraId="4A206F1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有</w:t>
                  </w:r>
                  <w:r>
                    <w:rPr>
                      <w:rFonts w:hint="default" w:ascii="Times New Roman" w:hAnsi="Times New Roman" w:cs="Times New Roman"/>
                      <w:color w:val="auto"/>
                      <w:sz w:val="21"/>
                      <w:szCs w:val="21"/>
                    </w:rPr>
                    <w:t>组织</w:t>
                  </w:r>
                </w:p>
              </w:tc>
              <w:tc>
                <w:tcPr>
                  <w:tcW w:w="1313" w:type="pct"/>
                  <w:tcBorders>
                    <w:tl2br w:val="nil"/>
                    <w:tr2bl w:val="nil"/>
                  </w:tcBorders>
                  <w:vAlign w:val="center"/>
                </w:tcPr>
                <w:p w14:paraId="75C6A09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设备密闭</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管道</w:t>
                  </w:r>
                  <w:r>
                    <w:rPr>
                      <w:rFonts w:hint="default" w:ascii="Times New Roman" w:hAnsi="Times New Roman" w:cs="Times New Roman"/>
                      <w:color w:val="auto"/>
                      <w:sz w:val="21"/>
                      <w:szCs w:val="21"/>
                    </w:rPr>
                    <w:t>+除尘系统（</w:t>
                  </w:r>
                  <w:r>
                    <w:rPr>
                      <w:rFonts w:hint="default" w:ascii="Times New Roman" w:hAnsi="Times New Roman" w:cs="Times New Roman"/>
                      <w:bCs/>
                      <w:snapToGrid w:val="0"/>
                      <w:color w:val="auto"/>
                      <w:kern w:val="0"/>
                      <w:sz w:val="21"/>
                      <w:szCs w:val="21"/>
                      <w:highlight w:val="none"/>
                      <w:lang w:val="en-US" w:eastAsia="zh-CN"/>
                    </w:rPr>
                    <w:t>一级重力除尘+二级布袋除尘</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rPr>
                    <w:t>m排气筒（</w:t>
                  </w:r>
                  <w:r>
                    <w:rPr>
                      <w:rFonts w:hint="default" w:ascii="Times New Roman" w:hAnsi="Times New Roman" w:cs="Times New Roman"/>
                      <w:color w:val="auto"/>
                      <w:sz w:val="21"/>
                      <w:szCs w:val="21"/>
                      <w:lang w:eastAsia="zh-CN"/>
                    </w:rPr>
                    <w:t>DA001</w:t>
                  </w:r>
                  <w:r>
                    <w:rPr>
                      <w:rFonts w:hint="default" w:ascii="Times New Roman" w:hAnsi="Times New Roman" w:cs="Times New Roman"/>
                      <w:color w:val="auto"/>
                      <w:sz w:val="21"/>
                      <w:szCs w:val="21"/>
                    </w:rPr>
                    <w:t>）</w:t>
                  </w:r>
                </w:p>
              </w:tc>
              <w:tc>
                <w:tcPr>
                  <w:tcW w:w="533" w:type="pct"/>
                  <w:tcBorders>
                    <w:tl2br w:val="nil"/>
                    <w:tr2bl w:val="nil"/>
                  </w:tcBorders>
                  <w:vAlign w:val="center"/>
                </w:tcPr>
                <w:p w14:paraId="3AF857C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460" w:type="pct"/>
                  <w:tcBorders>
                    <w:tl2br w:val="nil"/>
                    <w:tr2bl w:val="nil"/>
                  </w:tcBorders>
                  <w:vAlign w:val="center"/>
                </w:tcPr>
                <w:p w14:paraId="4596E46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w:t>
                  </w:r>
                </w:p>
              </w:tc>
              <w:tc>
                <w:tcPr>
                  <w:tcW w:w="693" w:type="pct"/>
                  <w:tcBorders>
                    <w:tl2br w:val="nil"/>
                    <w:tr2bl w:val="nil"/>
                  </w:tcBorders>
                  <w:vAlign w:val="center"/>
                </w:tcPr>
                <w:p w14:paraId="3FB869F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r>
            <w:tr w14:paraId="589857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tcBorders>
                    <w:tl2br w:val="nil"/>
                    <w:tr2bl w:val="nil"/>
                  </w:tcBorders>
                  <w:shd w:val="clear" w:color="auto" w:fill="auto"/>
                  <w:vAlign w:val="center"/>
                </w:tcPr>
                <w:p w14:paraId="5FBDEE44">
                  <w:pPr>
                    <w:jc w:val="center"/>
                    <w:rPr>
                      <w:rFonts w:hint="default" w:ascii="Times New Roman" w:hAnsi="Times New Roman" w:cs="Times New Roman"/>
                      <w:color w:val="auto"/>
                      <w:sz w:val="21"/>
                      <w:szCs w:val="21"/>
                    </w:rPr>
                  </w:pPr>
                </w:p>
              </w:tc>
              <w:tc>
                <w:tcPr>
                  <w:tcW w:w="478" w:type="pct"/>
                  <w:vMerge w:val="restart"/>
                  <w:tcBorders>
                    <w:tl2br w:val="nil"/>
                    <w:tr2bl w:val="nil"/>
                  </w:tcBorders>
                  <w:shd w:val="clear" w:color="auto" w:fill="auto"/>
                  <w:vAlign w:val="center"/>
                </w:tcPr>
                <w:p w14:paraId="027A3F3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轻质油燃烧废气</w:t>
                  </w:r>
                </w:p>
              </w:tc>
              <w:tc>
                <w:tcPr>
                  <w:tcW w:w="630" w:type="pct"/>
                  <w:tcBorders>
                    <w:tl2br w:val="nil"/>
                    <w:tr2bl w:val="nil"/>
                  </w:tcBorders>
                  <w:vAlign w:val="center"/>
                </w:tcPr>
                <w:p w14:paraId="3CE716C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492" w:type="pct"/>
                  <w:vMerge w:val="restart"/>
                  <w:tcBorders>
                    <w:tl2br w:val="nil"/>
                    <w:tr2bl w:val="nil"/>
                  </w:tcBorders>
                  <w:vAlign w:val="center"/>
                </w:tcPr>
                <w:p w14:paraId="1F29BE3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有组织</w:t>
                  </w:r>
                </w:p>
              </w:tc>
              <w:tc>
                <w:tcPr>
                  <w:tcW w:w="1313" w:type="pct"/>
                  <w:vMerge w:val="restart"/>
                  <w:tcBorders>
                    <w:tl2br w:val="nil"/>
                    <w:tr2bl w:val="nil"/>
                  </w:tcBorders>
                  <w:vAlign w:val="center"/>
                </w:tcPr>
                <w:p w14:paraId="704BAD8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设备密闭</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管道</w:t>
                  </w:r>
                  <w:r>
                    <w:rPr>
                      <w:rFonts w:hint="default" w:ascii="Times New Roman" w:hAnsi="Times New Roman" w:cs="Times New Roman"/>
                      <w:color w:val="auto"/>
                      <w:sz w:val="21"/>
                      <w:szCs w:val="21"/>
                    </w:rPr>
                    <w:t>+除尘系统（布袋除尘）+</w:t>
                  </w:r>
                  <w:r>
                    <w:rPr>
                      <w:rFonts w:hint="default"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rPr>
                    <w:t>m排气筒（</w:t>
                  </w:r>
                  <w:r>
                    <w:rPr>
                      <w:rFonts w:hint="default" w:ascii="Times New Roman" w:hAnsi="Times New Roman" w:cs="Times New Roman"/>
                      <w:color w:val="auto"/>
                      <w:sz w:val="21"/>
                      <w:szCs w:val="21"/>
                      <w:lang w:eastAsia="zh-CN"/>
                    </w:rPr>
                    <w:t>DA001</w:t>
                  </w:r>
                  <w:r>
                    <w:rPr>
                      <w:rFonts w:hint="default" w:ascii="Times New Roman" w:hAnsi="Times New Roman" w:cs="Times New Roman"/>
                      <w:color w:val="auto"/>
                      <w:sz w:val="21"/>
                      <w:szCs w:val="21"/>
                    </w:rPr>
                    <w:t>）</w:t>
                  </w:r>
                </w:p>
              </w:tc>
              <w:tc>
                <w:tcPr>
                  <w:tcW w:w="533" w:type="pct"/>
                  <w:tcBorders>
                    <w:tl2br w:val="nil"/>
                    <w:tr2bl w:val="nil"/>
                  </w:tcBorders>
                  <w:shd w:val="clear" w:color="auto" w:fill="auto"/>
                  <w:vAlign w:val="center"/>
                </w:tcPr>
                <w:p w14:paraId="6D8CF31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460" w:type="pct"/>
                  <w:tcBorders>
                    <w:tl2br w:val="nil"/>
                    <w:tr2bl w:val="nil"/>
                  </w:tcBorders>
                  <w:shd w:val="clear" w:color="auto" w:fill="auto"/>
                  <w:vAlign w:val="center"/>
                </w:tcPr>
                <w:p w14:paraId="36F8591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99</w:t>
                  </w:r>
                </w:p>
              </w:tc>
              <w:tc>
                <w:tcPr>
                  <w:tcW w:w="693" w:type="pct"/>
                  <w:tcBorders>
                    <w:tl2br w:val="nil"/>
                    <w:tr2bl w:val="nil"/>
                  </w:tcBorders>
                  <w:vAlign w:val="center"/>
                </w:tcPr>
                <w:p w14:paraId="26E3577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r>
            <w:tr w14:paraId="6DBB12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tcBorders>
                    <w:tl2br w:val="nil"/>
                    <w:tr2bl w:val="nil"/>
                  </w:tcBorders>
                  <w:vAlign w:val="center"/>
                </w:tcPr>
                <w:p w14:paraId="73EBBDB3">
                  <w:pPr>
                    <w:jc w:val="center"/>
                    <w:rPr>
                      <w:rFonts w:hint="default" w:ascii="Times New Roman" w:hAnsi="Times New Roman" w:cs="Times New Roman"/>
                      <w:color w:val="auto"/>
                      <w:sz w:val="21"/>
                      <w:szCs w:val="21"/>
                    </w:rPr>
                  </w:pPr>
                </w:p>
              </w:tc>
              <w:tc>
                <w:tcPr>
                  <w:tcW w:w="478" w:type="pct"/>
                  <w:vMerge w:val="continue"/>
                  <w:tcBorders>
                    <w:tl2br w:val="nil"/>
                    <w:tr2bl w:val="nil"/>
                  </w:tcBorders>
                  <w:vAlign w:val="center"/>
                </w:tcPr>
                <w:p w14:paraId="6513CE8A">
                  <w:pPr>
                    <w:jc w:val="center"/>
                    <w:rPr>
                      <w:rFonts w:hint="default" w:ascii="Times New Roman" w:hAnsi="Times New Roman" w:cs="Times New Roman"/>
                      <w:color w:val="auto"/>
                      <w:sz w:val="21"/>
                      <w:szCs w:val="21"/>
                    </w:rPr>
                  </w:pPr>
                </w:p>
              </w:tc>
              <w:tc>
                <w:tcPr>
                  <w:tcW w:w="630" w:type="pct"/>
                  <w:tcBorders>
                    <w:tl2br w:val="nil"/>
                    <w:tr2bl w:val="nil"/>
                  </w:tcBorders>
                  <w:vAlign w:val="center"/>
                </w:tcPr>
                <w:p w14:paraId="353E0F3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二氧化硫</w:t>
                  </w:r>
                </w:p>
              </w:tc>
              <w:tc>
                <w:tcPr>
                  <w:tcW w:w="492" w:type="pct"/>
                  <w:vMerge w:val="continue"/>
                  <w:tcBorders>
                    <w:tl2br w:val="nil"/>
                    <w:tr2bl w:val="nil"/>
                  </w:tcBorders>
                  <w:vAlign w:val="center"/>
                </w:tcPr>
                <w:p w14:paraId="1396C846">
                  <w:pPr>
                    <w:jc w:val="center"/>
                    <w:rPr>
                      <w:rFonts w:hint="default" w:ascii="Times New Roman" w:hAnsi="Times New Roman" w:cs="Times New Roman"/>
                      <w:color w:val="auto"/>
                      <w:sz w:val="21"/>
                      <w:szCs w:val="21"/>
                    </w:rPr>
                  </w:pPr>
                </w:p>
              </w:tc>
              <w:tc>
                <w:tcPr>
                  <w:tcW w:w="1313" w:type="pct"/>
                  <w:vMerge w:val="continue"/>
                  <w:tcBorders>
                    <w:tl2br w:val="nil"/>
                    <w:tr2bl w:val="nil"/>
                  </w:tcBorders>
                  <w:vAlign w:val="center"/>
                </w:tcPr>
                <w:p w14:paraId="35ED3CE5">
                  <w:pPr>
                    <w:jc w:val="center"/>
                    <w:rPr>
                      <w:rFonts w:hint="default" w:ascii="Times New Roman" w:hAnsi="Times New Roman" w:cs="Times New Roman"/>
                      <w:color w:val="auto"/>
                      <w:sz w:val="21"/>
                      <w:szCs w:val="21"/>
                    </w:rPr>
                  </w:pPr>
                </w:p>
              </w:tc>
              <w:tc>
                <w:tcPr>
                  <w:tcW w:w="533" w:type="pct"/>
                  <w:tcBorders>
                    <w:tl2br w:val="nil"/>
                    <w:tr2bl w:val="nil"/>
                  </w:tcBorders>
                  <w:vAlign w:val="center"/>
                </w:tcPr>
                <w:p w14:paraId="28226EB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460" w:type="pct"/>
                  <w:tcBorders>
                    <w:tl2br w:val="nil"/>
                    <w:tr2bl w:val="nil"/>
                  </w:tcBorders>
                  <w:vAlign w:val="center"/>
                </w:tcPr>
                <w:p w14:paraId="0081566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93" w:type="pct"/>
                  <w:tcBorders>
                    <w:tl2br w:val="nil"/>
                    <w:tr2bl w:val="nil"/>
                  </w:tcBorders>
                  <w:vAlign w:val="center"/>
                </w:tcPr>
                <w:p w14:paraId="5A343EA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r>
            <w:tr w14:paraId="07283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tcBorders>
                    <w:tl2br w:val="nil"/>
                    <w:tr2bl w:val="nil"/>
                  </w:tcBorders>
                  <w:vAlign w:val="center"/>
                </w:tcPr>
                <w:p w14:paraId="1517835D">
                  <w:pPr>
                    <w:jc w:val="center"/>
                    <w:rPr>
                      <w:rFonts w:hint="default" w:ascii="Times New Roman" w:hAnsi="Times New Roman" w:cs="Times New Roman"/>
                      <w:color w:val="auto"/>
                      <w:sz w:val="21"/>
                      <w:szCs w:val="21"/>
                    </w:rPr>
                  </w:pPr>
                </w:p>
              </w:tc>
              <w:tc>
                <w:tcPr>
                  <w:tcW w:w="478" w:type="pct"/>
                  <w:vMerge w:val="continue"/>
                  <w:tcBorders>
                    <w:tl2br w:val="nil"/>
                    <w:tr2bl w:val="nil"/>
                  </w:tcBorders>
                  <w:vAlign w:val="center"/>
                </w:tcPr>
                <w:p w14:paraId="6579D5B6">
                  <w:pPr>
                    <w:jc w:val="center"/>
                    <w:rPr>
                      <w:rFonts w:hint="default" w:ascii="Times New Roman" w:hAnsi="Times New Roman" w:cs="Times New Roman"/>
                      <w:color w:val="auto"/>
                      <w:sz w:val="21"/>
                      <w:szCs w:val="21"/>
                    </w:rPr>
                  </w:pPr>
                </w:p>
              </w:tc>
              <w:tc>
                <w:tcPr>
                  <w:tcW w:w="630" w:type="pct"/>
                  <w:tcBorders>
                    <w:tl2br w:val="nil"/>
                    <w:tr2bl w:val="nil"/>
                  </w:tcBorders>
                  <w:vAlign w:val="center"/>
                </w:tcPr>
                <w:p w14:paraId="4AF6598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氮氧化物</w:t>
                  </w:r>
                </w:p>
              </w:tc>
              <w:tc>
                <w:tcPr>
                  <w:tcW w:w="492" w:type="pct"/>
                  <w:vMerge w:val="continue"/>
                  <w:tcBorders>
                    <w:tl2br w:val="nil"/>
                    <w:tr2bl w:val="nil"/>
                  </w:tcBorders>
                  <w:vAlign w:val="center"/>
                </w:tcPr>
                <w:p w14:paraId="42529157">
                  <w:pPr>
                    <w:jc w:val="center"/>
                    <w:rPr>
                      <w:rFonts w:hint="default" w:ascii="Times New Roman" w:hAnsi="Times New Roman" w:cs="Times New Roman"/>
                      <w:color w:val="auto"/>
                      <w:sz w:val="21"/>
                      <w:szCs w:val="21"/>
                    </w:rPr>
                  </w:pPr>
                </w:p>
              </w:tc>
              <w:tc>
                <w:tcPr>
                  <w:tcW w:w="1313" w:type="pct"/>
                  <w:vMerge w:val="continue"/>
                  <w:tcBorders>
                    <w:tl2br w:val="nil"/>
                    <w:tr2bl w:val="nil"/>
                  </w:tcBorders>
                  <w:vAlign w:val="center"/>
                </w:tcPr>
                <w:p w14:paraId="48C9BBD8">
                  <w:pPr>
                    <w:jc w:val="center"/>
                    <w:rPr>
                      <w:rFonts w:hint="default" w:ascii="Times New Roman" w:hAnsi="Times New Roman" w:cs="Times New Roman"/>
                      <w:color w:val="auto"/>
                      <w:sz w:val="21"/>
                      <w:szCs w:val="21"/>
                    </w:rPr>
                  </w:pPr>
                </w:p>
              </w:tc>
              <w:tc>
                <w:tcPr>
                  <w:tcW w:w="533" w:type="pct"/>
                  <w:tcBorders>
                    <w:tl2br w:val="nil"/>
                    <w:tr2bl w:val="nil"/>
                  </w:tcBorders>
                  <w:shd w:val="clear" w:color="auto" w:fill="auto"/>
                  <w:vAlign w:val="center"/>
                </w:tcPr>
                <w:p w14:paraId="0C7D85C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460" w:type="pct"/>
                  <w:tcBorders>
                    <w:tl2br w:val="nil"/>
                    <w:tr2bl w:val="nil"/>
                  </w:tcBorders>
                  <w:shd w:val="clear" w:color="auto" w:fill="auto"/>
                  <w:vAlign w:val="center"/>
                </w:tcPr>
                <w:p w14:paraId="33F7CEC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93" w:type="pct"/>
                  <w:tcBorders>
                    <w:tl2br w:val="nil"/>
                    <w:tr2bl w:val="nil"/>
                  </w:tcBorders>
                  <w:vAlign w:val="center"/>
                </w:tcPr>
                <w:p w14:paraId="0C84FBC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r>
            <w:tr w14:paraId="4B453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restart"/>
                  <w:tcBorders>
                    <w:tl2br w:val="nil"/>
                    <w:tr2bl w:val="nil"/>
                  </w:tcBorders>
                  <w:shd w:val="clear" w:color="auto" w:fill="auto"/>
                  <w:vAlign w:val="center"/>
                </w:tcPr>
                <w:p w14:paraId="465FBCA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78" w:type="pct"/>
                  <w:tcBorders>
                    <w:tl2br w:val="nil"/>
                    <w:tr2bl w:val="nil"/>
                  </w:tcBorders>
                  <w:shd w:val="clear" w:color="auto" w:fill="auto"/>
                  <w:vAlign w:val="center"/>
                </w:tcPr>
                <w:p w14:paraId="5C3A89D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堆场扬尘</w:t>
                  </w:r>
                </w:p>
              </w:tc>
              <w:tc>
                <w:tcPr>
                  <w:tcW w:w="630" w:type="pct"/>
                  <w:tcBorders>
                    <w:tl2br w:val="nil"/>
                    <w:tr2bl w:val="nil"/>
                  </w:tcBorders>
                  <w:shd w:val="clear" w:color="auto" w:fill="auto"/>
                  <w:vAlign w:val="center"/>
                </w:tcPr>
                <w:p w14:paraId="65B52D9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492" w:type="pct"/>
                  <w:tcBorders>
                    <w:tl2br w:val="nil"/>
                    <w:tr2bl w:val="nil"/>
                  </w:tcBorders>
                  <w:vAlign w:val="center"/>
                </w:tcPr>
                <w:p w14:paraId="61584F7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w:t>
                  </w:r>
                </w:p>
              </w:tc>
              <w:tc>
                <w:tcPr>
                  <w:tcW w:w="1313" w:type="pct"/>
                  <w:vMerge w:val="restart"/>
                  <w:tcBorders>
                    <w:tl2br w:val="nil"/>
                    <w:tr2bl w:val="nil"/>
                  </w:tcBorders>
                  <w:vAlign w:val="center"/>
                </w:tcPr>
                <w:p w14:paraId="7A2B599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三面围挡，顶部加盖</w:t>
                  </w:r>
                  <w:r>
                    <w:rPr>
                      <w:rFonts w:hint="default" w:ascii="Times New Roman" w:hAnsi="Times New Roman" w:cs="Times New Roman"/>
                      <w:color w:val="auto"/>
                      <w:sz w:val="21"/>
                      <w:szCs w:val="21"/>
                    </w:rPr>
                    <w:t>，设1套喷雾降尘装置</w:t>
                  </w:r>
                </w:p>
              </w:tc>
              <w:tc>
                <w:tcPr>
                  <w:tcW w:w="533" w:type="pct"/>
                  <w:vMerge w:val="restart"/>
                  <w:tcBorders>
                    <w:tl2br w:val="nil"/>
                    <w:tr2bl w:val="nil"/>
                  </w:tcBorders>
                  <w:shd w:val="clear" w:color="auto" w:fill="auto"/>
                  <w:vAlign w:val="center"/>
                </w:tcPr>
                <w:p w14:paraId="7BF4498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0" w:type="pct"/>
                  <w:vMerge w:val="restart"/>
                  <w:tcBorders>
                    <w:tl2br w:val="nil"/>
                    <w:tr2bl w:val="nil"/>
                  </w:tcBorders>
                  <w:shd w:val="clear" w:color="auto" w:fill="auto"/>
                  <w:vAlign w:val="center"/>
                </w:tcPr>
                <w:p w14:paraId="5E12EDF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w:t>
                  </w:r>
                </w:p>
              </w:tc>
              <w:tc>
                <w:tcPr>
                  <w:tcW w:w="693" w:type="pct"/>
                  <w:vMerge w:val="restart"/>
                  <w:tcBorders>
                    <w:tl2br w:val="nil"/>
                    <w:tr2bl w:val="nil"/>
                  </w:tcBorders>
                  <w:shd w:val="clear" w:color="auto" w:fill="auto"/>
                  <w:vAlign w:val="center"/>
                </w:tcPr>
                <w:p w14:paraId="0899EDF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r>
            <w:tr w14:paraId="31C7F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tcBorders>
                    <w:tl2br w:val="nil"/>
                    <w:tr2bl w:val="nil"/>
                  </w:tcBorders>
                  <w:shd w:val="clear" w:color="auto" w:fill="auto"/>
                  <w:vAlign w:val="center"/>
                </w:tcPr>
                <w:p w14:paraId="7A994FBB">
                  <w:pPr>
                    <w:jc w:val="center"/>
                    <w:rPr>
                      <w:rFonts w:hint="default" w:ascii="Times New Roman" w:hAnsi="Times New Roman" w:cs="Times New Roman"/>
                      <w:color w:val="auto"/>
                      <w:sz w:val="21"/>
                      <w:szCs w:val="21"/>
                    </w:rPr>
                  </w:pPr>
                </w:p>
              </w:tc>
              <w:tc>
                <w:tcPr>
                  <w:tcW w:w="478" w:type="pct"/>
                  <w:tcBorders>
                    <w:tl2br w:val="nil"/>
                    <w:tr2bl w:val="nil"/>
                  </w:tcBorders>
                  <w:shd w:val="clear" w:color="auto" w:fill="auto"/>
                  <w:vAlign w:val="center"/>
                </w:tcPr>
                <w:p w14:paraId="2FC4B8D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卸料粉尘</w:t>
                  </w:r>
                </w:p>
              </w:tc>
              <w:tc>
                <w:tcPr>
                  <w:tcW w:w="630" w:type="pct"/>
                  <w:tcBorders>
                    <w:tl2br w:val="nil"/>
                    <w:tr2bl w:val="nil"/>
                  </w:tcBorders>
                  <w:shd w:val="clear" w:color="auto" w:fill="auto"/>
                  <w:vAlign w:val="center"/>
                </w:tcPr>
                <w:p w14:paraId="73A8451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492" w:type="pct"/>
                  <w:tcBorders>
                    <w:tl2br w:val="nil"/>
                    <w:tr2bl w:val="nil"/>
                  </w:tcBorders>
                  <w:vAlign w:val="center"/>
                </w:tcPr>
                <w:p w14:paraId="458F191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w:t>
                  </w:r>
                </w:p>
              </w:tc>
              <w:tc>
                <w:tcPr>
                  <w:tcW w:w="1313" w:type="pct"/>
                  <w:vMerge w:val="continue"/>
                  <w:tcBorders>
                    <w:tl2br w:val="nil"/>
                    <w:tr2bl w:val="nil"/>
                  </w:tcBorders>
                  <w:vAlign w:val="center"/>
                </w:tcPr>
                <w:p w14:paraId="0BC0FB06">
                  <w:pPr>
                    <w:jc w:val="center"/>
                    <w:rPr>
                      <w:rFonts w:hint="default" w:ascii="Times New Roman" w:hAnsi="Times New Roman" w:cs="Times New Roman"/>
                      <w:color w:val="auto"/>
                      <w:sz w:val="21"/>
                      <w:szCs w:val="21"/>
                    </w:rPr>
                  </w:pPr>
                </w:p>
              </w:tc>
              <w:tc>
                <w:tcPr>
                  <w:tcW w:w="533" w:type="pct"/>
                  <w:vMerge w:val="continue"/>
                  <w:tcBorders>
                    <w:tl2br w:val="nil"/>
                    <w:tr2bl w:val="nil"/>
                  </w:tcBorders>
                  <w:vAlign w:val="center"/>
                </w:tcPr>
                <w:p w14:paraId="5EB49262">
                  <w:pPr>
                    <w:jc w:val="center"/>
                    <w:rPr>
                      <w:rFonts w:hint="default" w:ascii="Times New Roman" w:hAnsi="Times New Roman" w:cs="Times New Roman"/>
                      <w:color w:val="auto"/>
                      <w:sz w:val="21"/>
                      <w:szCs w:val="21"/>
                    </w:rPr>
                  </w:pPr>
                </w:p>
              </w:tc>
              <w:tc>
                <w:tcPr>
                  <w:tcW w:w="460" w:type="pct"/>
                  <w:vMerge w:val="continue"/>
                  <w:tcBorders>
                    <w:tl2br w:val="nil"/>
                    <w:tr2bl w:val="nil"/>
                  </w:tcBorders>
                  <w:vAlign w:val="center"/>
                </w:tcPr>
                <w:p w14:paraId="2C5036F9">
                  <w:pPr>
                    <w:jc w:val="center"/>
                    <w:rPr>
                      <w:rFonts w:hint="default" w:ascii="Times New Roman" w:hAnsi="Times New Roman" w:cs="Times New Roman"/>
                      <w:color w:val="auto"/>
                      <w:sz w:val="21"/>
                      <w:szCs w:val="21"/>
                    </w:rPr>
                  </w:pPr>
                </w:p>
              </w:tc>
              <w:tc>
                <w:tcPr>
                  <w:tcW w:w="693" w:type="pct"/>
                  <w:vMerge w:val="continue"/>
                  <w:tcBorders>
                    <w:tl2br w:val="nil"/>
                    <w:tr2bl w:val="nil"/>
                  </w:tcBorders>
                  <w:vAlign w:val="center"/>
                </w:tcPr>
                <w:p w14:paraId="4F985D92">
                  <w:pPr>
                    <w:jc w:val="center"/>
                    <w:rPr>
                      <w:rFonts w:hint="default" w:ascii="Times New Roman" w:hAnsi="Times New Roman" w:cs="Times New Roman"/>
                      <w:color w:val="auto"/>
                      <w:sz w:val="21"/>
                      <w:szCs w:val="21"/>
                    </w:rPr>
                  </w:pPr>
                </w:p>
              </w:tc>
            </w:tr>
            <w:tr w14:paraId="592DDF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tcBorders>
                    <w:tl2br w:val="nil"/>
                    <w:tr2bl w:val="nil"/>
                  </w:tcBorders>
                  <w:shd w:val="clear" w:color="auto" w:fill="auto"/>
                  <w:vAlign w:val="center"/>
                </w:tcPr>
                <w:p w14:paraId="0DDDC95B">
                  <w:pPr>
                    <w:jc w:val="center"/>
                    <w:rPr>
                      <w:rFonts w:hint="default" w:ascii="Times New Roman" w:hAnsi="Times New Roman" w:cs="Times New Roman"/>
                      <w:color w:val="auto"/>
                      <w:sz w:val="21"/>
                      <w:szCs w:val="21"/>
                    </w:rPr>
                  </w:pPr>
                </w:p>
              </w:tc>
              <w:tc>
                <w:tcPr>
                  <w:tcW w:w="478" w:type="pct"/>
                  <w:tcBorders>
                    <w:tl2br w:val="nil"/>
                    <w:tr2bl w:val="nil"/>
                  </w:tcBorders>
                  <w:shd w:val="clear" w:color="auto" w:fill="auto"/>
                  <w:vAlign w:val="center"/>
                </w:tcPr>
                <w:p w14:paraId="76CAE1A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运输扬尘</w:t>
                  </w:r>
                </w:p>
              </w:tc>
              <w:tc>
                <w:tcPr>
                  <w:tcW w:w="630" w:type="pct"/>
                  <w:tcBorders>
                    <w:tl2br w:val="nil"/>
                    <w:tr2bl w:val="nil"/>
                  </w:tcBorders>
                  <w:shd w:val="clear" w:color="auto" w:fill="auto"/>
                  <w:vAlign w:val="center"/>
                </w:tcPr>
                <w:p w14:paraId="17569D2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492" w:type="pct"/>
                  <w:tcBorders>
                    <w:tl2br w:val="nil"/>
                    <w:tr2bl w:val="nil"/>
                  </w:tcBorders>
                  <w:vAlign w:val="center"/>
                </w:tcPr>
                <w:p w14:paraId="77D9C6D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w:t>
                  </w:r>
                </w:p>
              </w:tc>
              <w:tc>
                <w:tcPr>
                  <w:tcW w:w="1313" w:type="pct"/>
                  <w:tcBorders>
                    <w:tl2br w:val="nil"/>
                    <w:tr2bl w:val="nil"/>
                  </w:tcBorders>
                  <w:shd w:val="clear" w:color="auto" w:fill="auto"/>
                  <w:vAlign w:val="center"/>
                </w:tcPr>
                <w:p w14:paraId="658914B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密闭运输、禁止超速、超载，车辆冲洗，洒水降尘等</w:t>
                  </w:r>
                </w:p>
              </w:tc>
              <w:tc>
                <w:tcPr>
                  <w:tcW w:w="533" w:type="pct"/>
                  <w:tcBorders>
                    <w:tl2br w:val="nil"/>
                    <w:tr2bl w:val="nil"/>
                  </w:tcBorders>
                  <w:shd w:val="clear" w:color="auto" w:fill="auto"/>
                  <w:vAlign w:val="center"/>
                </w:tcPr>
                <w:p w14:paraId="370BEB6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0" w:type="pct"/>
                  <w:tcBorders>
                    <w:tl2br w:val="nil"/>
                    <w:tr2bl w:val="nil"/>
                  </w:tcBorders>
                  <w:shd w:val="clear" w:color="auto" w:fill="auto"/>
                  <w:vAlign w:val="center"/>
                </w:tcPr>
                <w:p w14:paraId="435FD18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693" w:type="pct"/>
                  <w:tcBorders>
                    <w:tl2br w:val="nil"/>
                    <w:tr2bl w:val="nil"/>
                  </w:tcBorders>
                  <w:shd w:val="clear" w:color="auto" w:fill="auto"/>
                  <w:vAlign w:val="center"/>
                </w:tcPr>
                <w:p w14:paraId="3F9AF48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r>
            <w:tr w14:paraId="300D1F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vMerge w:val="continue"/>
                  <w:tcBorders>
                    <w:tl2br w:val="nil"/>
                    <w:tr2bl w:val="nil"/>
                  </w:tcBorders>
                  <w:shd w:val="clear" w:color="auto" w:fill="auto"/>
                  <w:vAlign w:val="center"/>
                </w:tcPr>
                <w:p w14:paraId="0254945C">
                  <w:pPr>
                    <w:jc w:val="center"/>
                    <w:rPr>
                      <w:rFonts w:hint="default" w:ascii="Times New Roman" w:hAnsi="Times New Roman" w:cs="Times New Roman"/>
                      <w:color w:val="auto"/>
                      <w:sz w:val="21"/>
                      <w:szCs w:val="21"/>
                    </w:rPr>
                  </w:pPr>
                </w:p>
              </w:tc>
              <w:tc>
                <w:tcPr>
                  <w:tcW w:w="478" w:type="pct"/>
                  <w:tcBorders>
                    <w:tl2br w:val="nil"/>
                    <w:tr2bl w:val="nil"/>
                  </w:tcBorders>
                  <w:shd w:val="clear" w:color="auto" w:fill="auto"/>
                  <w:vAlign w:val="center"/>
                </w:tcPr>
                <w:p w14:paraId="3E93421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汽车尾气</w:t>
                  </w:r>
                </w:p>
              </w:tc>
              <w:tc>
                <w:tcPr>
                  <w:tcW w:w="630" w:type="pct"/>
                  <w:tcBorders>
                    <w:tl2br w:val="nil"/>
                    <w:tr2bl w:val="nil"/>
                  </w:tcBorders>
                  <w:shd w:val="clear" w:color="auto" w:fill="auto"/>
                  <w:vAlign w:val="center"/>
                </w:tcPr>
                <w:p w14:paraId="74DC743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CO、NOx、THC</w:t>
                  </w:r>
                </w:p>
              </w:tc>
              <w:tc>
                <w:tcPr>
                  <w:tcW w:w="492" w:type="pct"/>
                  <w:tcBorders>
                    <w:tl2br w:val="nil"/>
                    <w:tr2bl w:val="nil"/>
                  </w:tcBorders>
                  <w:vAlign w:val="center"/>
                </w:tcPr>
                <w:p w14:paraId="1951BFB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w:t>
                  </w:r>
                </w:p>
              </w:tc>
              <w:tc>
                <w:tcPr>
                  <w:tcW w:w="1313" w:type="pct"/>
                  <w:tcBorders>
                    <w:tl2br w:val="nil"/>
                    <w:tr2bl w:val="nil"/>
                  </w:tcBorders>
                  <w:shd w:val="clear" w:color="auto" w:fill="auto"/>
                  <w:vAlign w:val="center"/>
                </w:tcPr>
                <w:p w14:paraId="0BE3CF0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加强车辆管理</w:t>
                  </w:r>
                </w:p>
              </w:tc>
              <w:tc>
                <w:tcPr>
                  <w:tcW w:w="533" w:type="pct"/>
                  <w:tcBorders>
                    <w:tl2br w:val="nil"/>
                    <w:tr2bl w:val="nil"/>
                  </w:tcBorders>
                  <w:shd w:val="clear" w:color="auto" w:fill="auto"/>
                  <w:vAlign w:val="center"/>
                </w:tcPr>
                <w:p w14:paraId="4399FBE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60" w:type="pct"/>
                  <w:tcBorders>
                    <w:tl2br w:val="nil"/>
                    <w:tr2bl w:val="nil"/>
                  </w:tcBorders>
                  <w:shd w:val="clear" w:color="auto" w:fill="auto"/>
                  <w:vAlign w:val="center"/>
                </w:tcPr>
                <w:p w14:paraId="5078DDF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93" w:type="pct"/>
                  <w:tcBorders>
                    <w:tl2br w:val="nil"/>
                    <w:tr2bl w:val="nil"/>
                  </w:tcBorders>
                  <w:shd w:val="clear" w:color="auto" w:fill="auto"/>
                  <w:vAlign w:val="center"/>
                </w:tcPr>
                <w:p w14:paraId="2AC546C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r>
            <w:tr w14:paraId="5FC7A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pct"/>
                  <w:tcBorders>
                    <w:tl2br w:val="nil"/>
                    <w:tr2bl w:val="nil"/>
                  </w:tcBorders>
                  <w:shd w:val="clear" w:color="auto" w:fill="auto"/>
                  <w:vAlign w:val="center"/>
                </w:tcPr>
                <w:p w14:paraId="00DD20F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78" w:type="pct"/>
                  <w:tcBorders>
                    <w:tl2br w:val="nil"/>
                    <w:tr2bl w:val="nil"/>
                  </w:tcBorders>
                  <w:shd w:val="clear" w:color="auto" w:fill="auto"/>
                  <w:vAlign w:val="center"/>
                </w:tcPr>
                <w:p w14:paraId="168DDCA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食堂油烟</w:t>
                  </w:r>
                </w:p>
              </w:tc>
              <w:tc>
                <w:tcPr>
                  <w:tcW w:w="630" w:type="pct"/>
                  <w:tcBorders>
                    <w:tl2br w:val="nil"/>
                    <w:tr2bl w:val="nil"/>
                  </w:tcBorders>
                  <w:shd w:val="clear" w:color="auto" w:fill="auto"/>
                  <w:vAlign w:val="center"/>
                </w:tcPr>
                <w:p w14:paraId="63DE01F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食堂</w:t>
                  </w:r>
                </w:p>
              </w:tc>
              <w:tc>
                <w:tcPr>
                  <w:tcW w:w="492" w:type="pct"/>
                  <w:tcBorders>
                    <w:tl2br w:val="nil"/>
                    <w:tr2bl w:val="nil"/>
                  </w:tcBorders>
                  <w:vAlign w:val="center"/>
                </w:tcPr>
                <w:p w14:paraId="51B4335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无组织</w:t>
                  </w:r>
                </w:p>
              </w:tc>
              <w:tc>
                <w:tcPr>
                  <w:tcW w:w="1313" w:type="pct"/>
                  <w:tcBorders>
                    <w:tl2br w:val="nil"/>
                    <w:tr2bl w:val="nil"/>
                  </w:tcBorders>
                  <w:shd w:val="clear" w:color="auto" w:fill="auto"/>
                  <w:vAlign w:val="center"/>
                </w:tcPr>
                <w:p w14:paraId="4D1CB16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抽油烟机</w:t>
                  </w:r>
                </w:p>
              </w:tc>
              <w:tc>
                <w:tcPr>
                  <w:tcW w:w="533" w:type="pct"/>
                  <w:tcBorders>
                    <w:tl2br w:val="nil"/>
                    <w:tr2bl w:val="nil"/>
                  </w:tcBorders>
                  <w:shd w:val="clear" w:color="auto" w:fill="auto"/>
                  <w:vAlign w:val="center"/>
                </w:tcPr>
                <w:p w14:paraId="289A6C6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c>
                <w:tcPr>
                  <w:tcW w:w="460" w:type="pct"/>
                  <w:tcBorders>
                    <w:tl2br w:val="nil"/>
                    <w:tr2bl w:val="nil"/>
                  </w:tcBorders>
                  <w:shd w:val="clear" w:color="auto" w:fill="auto"/>
                  <w:vAlign w:val="center"/>
                </w:tcPr>
                <w:p w14:paraId="5B57233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70</w:t>
                  </w:r>
                </w:p>
              </w:tc>
              <w:tc>
                <w:tcPr>
                  <w:tcW w:w="693" w:type="pct"/>
                  <w:tcBorders>
                    <w:tl2br w:val="nil"/>
                    <w:tr2bl w:val="nil"/>
                  </w:tcBorders>
                  <w:shd w:val="clear" w:color="auto" w:fill="auto"/>
                  <w:vAlign w:val="center"/>
                </w:tcPr>
                <w:p w14:paraId="4921B43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r>
          </w:tbl>
          <w:p w14:paraId="327B2177">
            <w:pPr>
              <w:spacing w:line="360" w:lineRule="auto"/>
              <w:ind w:firstLine="360" w:firstLineChars="150"/>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cs="Times New Roman"/>
                <w:bCs/>
                <w:color w:val="auto"/>
                <w:sz w:val="24"/>
                <w:szCs w:val="24"/>
              </w:rPr>
              <w:t>排放口基本信息见下表。</w:t>
            </w:r>
          </w:p>
          <w:p w14:paraId="1FBFD4B6">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表4-8 废气排放口基本信息表</w:t>
            </w:r>
          </w:p>
          <w:tbl>
            <w:tblPr>
              <w:tblStyle w:val="30"/>
              <w:tblW w:w="889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97"/>
              <w:gridCol w:w="1077"/>
              <w:gridCol w:w="1369"/>
              <w:gridCol w:w="1231"/>
              <w:gridCol w:w="1123"/>
              <w:gridCol w:w="938"/>
              <w:gridCol w:w="892"/>
              <w:gridCol w:w="778"/>
              <w:gridCol w:w="694"/>
            </w:tblGrid>
            <w:tr w14:paraId="0802B3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0" w:hRule="atLeast"/>
              </w:trPr>
              <w:tc>
                <w:tcPr>
                  <w:tcW w:w="797" w:type="dxa"/>
                  <w:vMerge w:val="restart"/>
                  <w:tcBorders>
                    <w:tl2br w:val="nil"/>
                    <w:tr2bl w:val="nil"/>
                  </w:tcBorders>
                  <w:vAlign w:val="center"/>
                </w:tcPr>
                <w:p w14:paraId="154AF7BE">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排放口编号</w:t>
                  </w:r>
                </w:p>
              </w:tc>
              <w:tc>
                <w:tcPr>
                  <w:tcW w:w="1077" w:type="dxa"/>
                  <w:vMerge w:val="restart"/>
                  <w:tcBorders>
                    <w:tl2br w:val="nil"/>
                    <w:tr2bl w:val="nil"/>
                  </w:tcBorders>
                  <w:vAlign w:val="center"/>
                </w:tcPr>
                <w:p w14:paraId="6FC514C7">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排放口名称</w:t>
                  </w:r>
                </w:p>
              </w:tc>
              <w:tc>
                <w:tcPr>
                  <w:tcW w:w="1369" w:type="dxa"/>
                  <w:vMerge w:val="restart"/>
                  <w:tcBorders>
                    <w:tl2br w:val="nil"/>
                    <w:tr2bl w:val="nil"/>
                  </w:tcBorders>
                  <w:vAlign w:val="center"/>
                </w:tcPr>
                <w:p w14:paraId="33954D16">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污染物种类</w:t>
                  </w:r>
                </w:p>
              </w:tc>
              <w:tc>
                <w:tcPr>
                  <w:tcW w:w="2354" w:type="dxa"/>
                  <w:gridSpan w:val="2"/>
                  <w:tcBorders>
                    <w:tl2br w:val="nil"/>
                    <w:tr2bl w:val="nil"/>
                  </w:tcBorders>
                  <w:vAlign w:val="center"/>
                </w:tcPr>
                <w:p w14:paraId="6C08A834">
                  <w:pPr>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排放口地理坐标</w:t>
                  </w:r>
                  <w:r>
                    <w:rPr>
                      <w:rFonts w:hint="default" w:ascii="Times New Roman" w:hAnsi="Times New Roman" w:cs="Times New Roman"/>
                      <w:b/>
                      <w:bCs/>
                      <w:color w:val="auto"/>
                      <w:szCs w:val="21"/>
                      <w:lang w:eastAsia="zh-CN"/>
                    </w:rPr>
                    <w:t>（</w:t>
                  </w:r>
                  <w:r>
                    <w:rPr>
                      <w:rFonts w:hint="default" w:ascii="Times New Roman" w:hAnsi="Times New Roman" w:cs="Times New Roman"/>
                      <w:b/>
                      <w:bCs/>
                      <w:color w:val="auto"/>
                      <w:szCs w:val="21"/>
                      <w:lang w:val="en-US" w:eastAsia="zh-CN"/>
                    </w:rPr>
                    <w:t>°</w:t>
                  </w:r>
                  <w:r>
                    <w:rPr>
                      <w:rFonts w:hint="default" w:ascii="Times New Roman" w:hAnsi="Times New Roman" w:cs="Times New Roman"/>
                      <w:b/>
                      <w:bCs/>
                      <w:color w:val="auto"/>
                      <w:szCs w:val="21"/>
                      <w:lang w:eastAsia="zh-CN"/>
                    </w:rPr>
                    <w:t>）</w:t>
                  </w:r>
                </w:p>
              </w:tc>
              <w:tc>
                <w:tcPr>
                  <w:tcW w:w="938" w:type="dxa"/>
                  <w:vMerge w:val="restart"/>
                  <w:tcBorders>
                    <w:tl2br w:val="nil"/>
                    <w:tr2bl w:val="nil"/>
                  </w:tcBorders>
                  <w:vAlign w:val="center"/>
                </w:tcPr>
                <w:p w14:paraId="12ABFD83">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排气筒高度(m)</w:t>
                  </w:r>
                </w:p>
              </w:tc>
              <w:tc>
                <w:tcPr>
                  <w:tcW w:w="892" w:type="dxa"/>
                  <w:vMerge w:val="restart"/>
                  <w:tcBorders>
                    <w:tl2br w:val="nil"/>
                    <w:tr2bl w:val="nil"/>
                  </w:tcBorders>
                  <w:vAlign w:val="center"/>
                </w:tcPr>
                <w:p w14:paraId="3A2DFD74">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排气筒内径(m)</w:t>
                  </w:r>
                </w:p>
              </w:tc>
              <w:tc>
                <w:tcPr>
                  <w:tcW w:w="778" w:type="dxa"/>
                  <w:vMerge w:val="restart"/>
                  <w:tcBorders>
                    <w:tl2br w:val="nil"/>
                    <w:tr2bl w:val="nil"/>
                  </w:tcBorders>
                  <w:vAlign w:val="center"/>
                </w:tcPr>
                <w:p w14:paraId="70F5CC2C">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排放温度(℃)</w:t>
                  </w:r>
                </w:p>
              </w:tc>
              <w:tc>
                <w:tcPr>
                  <w:tcW w:w="694" w:type="dxa"/>
                  <w:vMerge w:val="restart"/>
                  <w:tcBorders>
                    <w:tl2br w:val="nil"/>
                    <w:tr2bl w:val="nil"/>
                  </w:tcBorders>
                  <w:vAlign w:val="center"/>
                </w:tcPr>
                <w:p w14:paraId="700A05A5">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排放口类型</w:t>
                  </w:r>
                </w:p>
              </w:tc>
            </w:tr>
            <w:tr w14:paraId="276559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0" w:hRule="atLeast"/>
              </w:trPr>
              <w:tc>
                <w:tcPr>
                  <w:tcW w:w="797" w:type="dxa"/>
                  <w:vMerge w:val="continue"/>
                  <w:tcBorders>
                    <w:tl2br w:val="nil"/>
                    <w:tr2bl w:val="nil"/>
                  </w:tcBorders>
                  <w:vAlign w:val="center"/>
                </w:tcPr>
                <w:p w14:paraId="3EF65C19">
                  <w:pPr>
                    <w:jc w:val="center"/>
                    <w:rPr>
                      <w:rFonts w:hint="default" w:ascii="Times New Roman" w:hAnsi="Times New Roman" w:cs="Times New Roman"/>
                      <w:color w:val="auto"/>
                      <w:szCs w:val="21"/>
                    </w:rPr>
                  </w:pPr>
                </w:p>
              </w:tc>
              <w:tc>
                <w:tcPr>
                  <w:tcW w:w="1077" w:type="dxa"/>
                  <w:vMerge w:val="continue"/>
                  <w:tcBorders>
                    <w:tl2br w:val="nil"/>
                    <w:tr2bl w:val="nil"/>
                  </w:tcBorders>
                  <w:vAlign w:val="center"/>
                </w:tcPr>
                <w:p w14:paraId="558DCE4C">
                  <w:pPr>
                    <w:jc w:val="center"/>
                    <w:rPr>
                      <w:rFonts w:hint="default" w:ascii="Times New Roman" w:hAnsi="Times New Roman" w:cs="Times New Roman"/>
                      <w:color w:val="auto"/>
                      <w:szCs w:val="21"/>
                    </w:rPr>
                  </w:pPr>
                </w:p>
              </w:tc>
              <w:tc>
                <w:tcPr>
                  <w:tcW w:w="1369" w:type="dxa"/>
                  <w:vMerge w:val="continue"/>
                  <w:tcBorders>
                    <w:tl2br w:val="nil"/>
                    <w:tr2bl w:val="nil"/>
                  </w:tcBorders>
                  <w:vAlign w:val="center"/>
                </w:tcPr>
                <w:p w14:paraId="45D41A7A">
                  <w:pPr>
                    <w:jc w:val="center"/>
                    <w:rPr>
                      <w:rFonts w:hint="default" w:ascii="Times New Roman" w:hAnsi="Times New Roman" w:cs="Times New Roman"/>
                      <w:color w:val="auto"/>
                      <w:szCs w:val="21"/>
                    </w:rPr>
                  </w:pPr>
                </w:p>
              </w:tc>
              <w:tc>
                <w:tcPr>
                  <w:tcW w:w="1231" w:type="dxa"/>
                  <w:tcBorders>
                    <w:tl2br w:val="nil"/>
                    <w:tr2bl w:val="nil"/>
                  </w:tcBorders>
                  <w:vAlign w:val="center"/>
                </w:tcPr>
                <w:p w14:paraId="35667EA9">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经度</w:t>
                  </w:r>
                </w:p>
              </w:tc>
              <w:tc>
                <w:tcPr>
                  <w:tcW w:w="1123" w:type="dxa"/>
                  <w:tcBorders>
                    <w:tl2br w:val="nil"/>
                    <w:tr2bl w:val="nil"/>
                  </w:tcBorders>
                  <w:vAlign w:val="center"/>
                </w:tcPr>
                <w:p w14:paraId="3F540285">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纬度</w:t>
                  </w:r>
                </w:p>
              </w:tc>
              <w:tc>
                <w:tcPr>
                  <w:tcW w:w="938" w:type="dxa"/>
                  <w:vMerge w:val="continue"/>
                  <w:tcBorders>
                    <w:tl2br w:val="nil"/>
                    <w:tr2bl w:val="nil"/>
                  </w:tcBorders>
                  <w:vAlign w:val="center"/>
                </w:tcPr>
                <w:p w14:paraId="38FB1450">
                  <w:pPr>
                    <w:jc w:val="center"/>
                    <w:rPr>
                      <w:rFonts w:hint="default" w:ascii="Times New Roman" w:hAnsi="Times New Roman" w:cs="Times New Roman"/>
                      <w:color w:val="auto"/>
                      <w:szCs w:val="21"/>
                    </w:rPr>
                  </w:pPr>
                </w:p>
              </w:tc>
              <w:tc>
                <w:tcPr>
                  <w:tcW w:w="892" w:type="dxa"/>
                  <w:vMerge w:val="continue"/>
                  <w:tcBorders>
                    <w:tl2br w:val="nil"/>
                    <w:tr2bl w:val="nil"/>
                  </w:tcBorders>
                  <w:vAlign w:val="center"/>
                </w:tcPr>
                <w:p w14:paraId="36DD4BE7">
                  <w:pPr>
                    <w:jc w:val="center"/>
                    <w:rPr>
                      <w:rFonts w:hint="default" w:ascii="Times New Roman" w:hAnsi="Times New Roman" w:cs="Times New Roman"/>
                      <w:color w:val="auto"/>
                      <w:szCs w:val="21"/>
                    </w:rPr>
                  </w:pPr>
                </w:p>
              </w:tc>
              <w:tc>
                <w:tcPr>
                  <w:tcW w:w="778" w:type="dxa"/>
                  <w:vMerge w:val="continue"/>
                  <w:tcBorders>
                    <w:tl2br w:val="nil"/>
                    <w:tr2bl w:val="nil"/>
                  </w:tcBorders>
                  <w:vAlign w:val="center"/>
                </w:tcPr>
                <w:p w14:paraId="15F3C759">
                  <w:pPr>
                    <w:jc w:val="center"/>
                    <w:rPr>
                      <w:rFonts w:hint="default" w:ascii="Times New Roman" w:hAnsi="Times New Roman" w:cs="Times New Roman"/>
                      <w:color w:val="auto"/>
                      <w:szCs w:val="21"/>
                    </w:rPr>
                  </w:pPr>
                </w:p>
              </w:tc>
              <w:tc>
                <w:tcPr>
                  <w:tcW w:w="694" w:type="dxa"/>
                  <w:vMerge w:val="continue"/>
                  <w:tcBorders>
                    <w:tl2br w:val="nil"/>
                    <w:tr2bl w:val="nil"/>
                  </w:tcBorders>
                  <w:vAlign w:val="center"/>
                </w:tcPr>
                <w:p w14:paraId="6CE0A8F8">
                  <w:pPr>
                    <w:jc w:val="center"/>
                    <w:rPr>
                      <w:rFonts w:hint="default" w:ascii="Times New Roman" w:hAnsi="Times New Roman" w:cs="Times New Roman"/>
                      <w:color w:val="auto"/>
                      <w:szCs w:val="21"/>
                    </w:rPr>
                  </w:pPr>
                </w:p>
              </w:tc>
            </w:tr>
            <w:tr w14:paraId="2F4B0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797" w:type="dxa"/>
                  <w:tcBorders>
                    <w:tl2br w:val="nil"/>
                    <w:tr2bl w:val="nil"/>
                  </w:tcBorders>
                  <w:vAlign w:val="center"/>
                </w:tcPr>
                <w:p w14:paraId="41E43DCF">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DA00</w:t>
                  </w:r>
                  <w:r>
                    <w:rPr>
                      <w:rFonts w:hint="default" w:ascii="Times New Roman" w:hAnsi="Times New Roman" w:cs="Times New Roman"/>
                      <w:color w:val="auto"/>
                      <w:szCs w:val="21"/>
                      <w:lang w:val="en-US" w:eastAsia="zh-CN"/>
                    </w:rPr>
                    <w:t>1</w:t>
                  </w:r>
                </w:p>
              </w:tc>
              <w:tc>
                <w:tcPr>
                  <w:tcW w:w="1077" w:type="dxa"/>
                  <w:tcBorders>
                    <w:tl2br w:val="nil"/>
                    <w:tr2bl w:val="nil"/>
                  </w:tcBorders>
                  <w:shd w:val="clear" w:color="auto" w:fill="auto"/>
                  <w:vAlign w:val="center"/>
                </w:tcPr>
                <w:p w14:paraId="7B64999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沥青混凝土烘干筒排气筒</w:t>
                  </w:r>
                </w:p>
              </w:tc>
              <w:tc>
                <w:tcPr>
                  <w:tcW w:w="1369" w:type="dxa"/>
                  <w:tcBorders>
                    <w:tl2br w:val="nil"/>
                    <w:tr2bl w:val="nil"/>
                  </w:tcBorders>
                  <w:shd w:val="clear" w:color="auto" w:fill="auto"/>
                  <w:vAlign w:val="center"/>
                </w:tcPr>
                <w:p w14:paraId="6407D2A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、NOx、颗粒物</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沥青烟、</w:t>
                  </w:r>
                  <w:r>
                    <w:rPr>
                      <w:rFonts w:hint="default" w:ascii="Times New Roman" w:hAnsi="Times New Roman" w:cs="Times New Roman"/>
                      <w:bCs/>
                      <w:color w:val="auto"/>
                      <w:sz w:val="21"/>
                      <w:szCs w:val="21"/>
                    </w:rPr>
                    <w:t>苯并[a]芘</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lang w:val="en-US" w:eastAsia="zh-CN"/>
                    </w:rPr>
                    <w:t>VOC</w:t>
                  </w:r>
                  <w:r>
                    <w:rPr>
                      <w:rFonts w:hint="default" w:ascii="Times New Roman" w:hAnsi="Times New Roman" w:cs="Times New Roman"/>
                      <w:bCs/>
                      <w:color w:val="auto"/>
                      <w:sz w:val="21"/>
                      <w:szCs w:val="21"/>
                      <w:vertAlign w:val="subscript"/>
                      <w:lang w:val="en-US" w:eastAsia="zh-CN"/>
                    </w:rPr>
                    <w:t>S</w:t>
                  </w:r>
                  <w:r>
                    <w:rPr>
                      <w:rFonts w:hint="default" w:ascii="Times New Roman" w:hAnsi="Times New Roman" w:cs="Times New Roman"/>
                      <w:color w:val="auto"/>
                      <w:szCs w:val="21"/>
                      <w:lang w:eastAsia="zh-CN"/>
                    </w:rPr>
                    <w:t>（以非甲烷总烃计）</w:t>
                  </w:r>
                </w:p>
              </w:tc>
              <w:tc>
                <w:tcPr>
                  <w:tcW w:w="1231" w:type="dxa"/>
                  <w:tcBorders>
                    <w:tl2br w:val="nil"/>
                    <w:tr2bl w:val="nil"/>
                  </w:tcBorders>
                  <w:shd w:val="clear" w:color="auto" w:fill="auto"/>
                  <w:vAlign w:val="center"/>
                </w:tcPr>
                <w:p w14:paraId="3C60872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107.772673</w:t>
                  </w:r>
                </w:p>
              </w:tc>
              <w:tc>
                <w:tcPr>
                  <w:tcW w:w="1123" w:type="dxa"/>
                  <w:tcBorders>
                    <w:tl2br w:val="nil"/>
                    <w:tr2bl w:val="nil"/>
                  </w:tcBorders>
                  <w:shd w:val="clear" w:color="auto" w:fill="auto"/>
                  <w:vAlign w:val="center"/>
                </w:tcPr>
                <w:p w14:paraId="229F1C6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31.259789</w:t>
                  </w:r>
                </w:p>
              </w:tc>
              <w:tc>
                <w:tcPr>
                  <w:tcW w:w="938" w:type="dxa"/>
                  <w:tcBorders>
                    <w:tl2br w:val="nil"/>
                    <w:tr2bl w:val="nil"/>
                  </w:tcBorders>
                  <w:shd w:val="clear" w:color="auto" w:fill="auto"/>
                  <w:vAlign w:val="center"/>
                </w:tcPr>
                <w:p w14:paraId="418AD00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20</w:t>
                  </w:r>
                </w:p>
              </w:tc>
              <w:tc>
                <w:tcPr>
                  <w:tcW w:w="892" w:type="dxa"/>
                  <w:tcBorders>
                    <w:tl2br w:val="nil"/>
                    <w:tr2bl w:val="nil"/>
                  </w:tcBorders>
                  <w:shd w:val="clear" w:color="auto" w:fill="auto"/>
                  <w:vAlign w:val="center"/>
                </w:tcPr>
                <w:p w14:paraId="7AC1DBF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9</w:t>
                  </w:r>
                </w:p>
              </w:tc>
              <w:tc>
                <w:tcPr>
                  <w:tcW w:w="778" w:type="dxa"/>
                  <w:tcBorders>
                    <w:tl2br w:val="nil"/>
                    <w:tr2bl w:val="nil"/>
                  </w:tcBorders>
                  <w:shd w:val="clear" w:color="auto" w:fill="auto"/>
                  <w:vAlign w:val="center"/>
                </w:tcPr>
                <w:p w14:paraId="507011D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150</w:t>
                  </w:r>
                </w:p>
              </w:tc>
              <w:tc>
                <w:tcPr>
                  <w:tcW w:w="694" w:type="dxa"/>
                  <w:tcBorders>
                    <w:tl2br w:val="nil"/>
                    <w:tr2bl w:val="nil"/>
                  </w:tcBorders>
                  <w:shd w:val="clear" w:color="auto" w:fill="auto"/>
                  <w:vAlign w:val="center"/>
                </w:tcPr>
                <w:p w14:paraId="46BDFF9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主要</w:t>
                  </w:r>
                  <w:r>
                    <w:rPr>
                      <w:rFonts w:hint="default" w:ascii="Times New Roman" w:hAnsi="Times New Roman" w:cs="Times New Roman"/>
                      <w:color w:val="auto"/>
                      <w:szCs w:val="21"/>
                    </w:rPr>
                    <w:t>排放口</w:t>
                  </w:r>
                </w:p>
              </w:tc>
            </w:tr>
          </w:tbl>
          <w:p w14:paraId="60B74714">
            <w:pPr>
              <w:numPr>
                <w:ilvl w:val="0"/>
                <w:numId w:val="0"/>
              </w:numPr>
              <w:spacing w:line="360" w:lineRule="auto"/>
              <w:ind w:firstLine="482" w:firstLineChars="200"/>
              <w:rPr>
                <w:rFonts w:hint="default" w:ascii="Times New Roman" w:hAnsi="Times New Roman" w:cs="Times New Roman"/>
                <w:b/>
                <w:bCs w:val="0"/>
                <w:color w:val="auto"/>
                <w:sz w:val="24"/>
                <w:szCs w:val="24"/>
                <w:lang w:val="en-US" w:eastAsia="zh-CN"/>
              </w:rPr>
            </w:pPr>
          </w:p>
        </w:tc>
      </w:tr>
    </w:tbl>
    <w:p w14:paraId="79020939">
      <w:pPr>
        <w:spacing w:line="360" w:lineRule="auto"/>
        <w:rPr>
          <w:rFonts w:hint="default" w:ascii="Times New Roman" w:hAnsi="Times New Roman" w:cs="Times New Roman"/>
          <w:b/>
          <w:color w:val="auto"/>
          <w:sz w:val="28"/>
          <w:szCs w:val="28"/>
        </w:rPr>
        <w:sectPr>
          <w:pgSz w:w="11906" w:h="16838"/>
          <w:pgMar w:top="1134" w:right="1134"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6"/>
      </w:tblGrid>
      <w:tr w14:paraId="03385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6" w:type="dxa"/>
          </w:tcPr>
          <w:p w14:paraId="4EFC19F0">
            <w:pPr>
              <w:numPr>
                <w:ilvl w:val="0"/>
                <w:numId w:val="0"/>
              </w:numPr>
              <w:spacing w:line="360" w:lineRule="auto"/>
              <w:ind w:firstLine="361" w:firstLineChars="150"/>
              <w:rPr>
                <w:rFonts w:hint="default" w:ascii="Times New Roman" w:hAnsi="Times New Roman" w:cs="Times New Roman"/>
                <w:b/>
                <w:color w:val="auto"/>
                <w:sz w:val="24"/>
                <w:szCs w:val="24"/>
              </w:rPr>
            </w:pPr>
            <w:r>
              <w:rPr>
                <w:rFonts w:hint="default" w:ascii="Times New Roman" w:hAnsi="Times New Roman" w:cs="Times New Roman"/>
                <w:b/>
                <w:color w:val="auto"/>
                <w:kern w:val="2"/>
                <w:sz w:val="24"/>
                <w:szCs w:val="24"/>
                <w:lang w:val="en-US" w:eastAsia="zh-CN" w:bidi="ar-SA"/>
              </w:rPr>
              <w:t>（3）</w:t>
            </w:r>
            <w:r>
              <w:rPr>
                <w:rFonts w:hint="default" w:ascii="Times New Roman" w:hAnsi="Times New Roman" w:cs="Times New Roman"/>
                <w:b/>
                <w:color w:val="auto"/>
                <w:sz w:val="24"/>
                <w:szCs w:val="24"/>
              </w:rPr>
              <w:t>污染物排放信息</w:t>
            </w:r>
          </w:p>
          <w:p w14:paraId="55B414CB">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rPr>
              <w:t>本项目废气污染物排放信息见下表：</w:t>
            </w:r>
          </w:p>
          <w:p w14:paraId="0BB6D14A">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highlight w:val="none"/>
                <w:lang w:val="en-US" w:eastAsia="zh-CN" w:bidi="ar-SA"/>
              </w:rPr>
            </w:pPr>
            <w:r>
              <w:rPr>
                <w:rFonts w:hint="default" w:ascii="Times New Roman" w:hAnsi="Times New Roman" w:eastAsia="黑体" w:cs="Times New Roman"/>
                <w:b/>
                <w:bCs/>
                <w:color w:val="auto"/>
                <w:kern w:val="0"/>
                <w:sz w:val="21"/>
                <w:szCs w:val="21"/>
                <w:highlight w:val="none"/>
                <w:lang w:val="en-US" w:eastAsia="zh-CN" w:bidi="ar-SA"/>
              </w:rPr>
              <w:t>表4-9 废气污染物排放信息表</w:t>
            </w:r>
          </w:p>
          <w:tbl>
            <w:tblPr>
              <w:tblStyle w:val="29"/>
              <w:tblW w:w="145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22"/>
              <w:gridCol w:w="527"/>
              <w:gridCol w:w="723"/>
              <w:gridCol w:w="911"/>
              <w:gridCol w:w="736"/>
              <w:gridCol w:w="1137"/>
              <w:gridCol w:w="736"/>
              <w:gridCol w:w="941"/>
              <w:gridCol w:w="1101"/>
              <w:gridCol w:w="1024"/>
              <w:gridCol w:w="1024"/>
              <w:gridCol w:w="906"/>
              <w:gridCol w:w="906"/>
              <w:gridCol w:w="527"/>
              <w:gridCol w:w="723"/>
              <w:gridCol w:w="323"/>
              <w:gridCol w:w="898"/>
              <w:gridCol w:w="1105"/>
            </w:tblGrid>
            <w:tr w14:paraId="132A2C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322" w:type="dxa"/>
                  <w:vMerge w:val="restart"/>
                  <w:tcBorders>
                    <w:tl2br w:val="nil"/>
                    <w:tr2bl w:val="nil"/>
                  </w:tcBorders>
                  <w:vAlign w:val="center"/>
                </w:tcPr>
                <w:p w14:paraId="287E2034">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生产单元</w:t>
                  </w:r>
                </w:p>
              </w:tc>
              <w:tc>
                <w:tcPr>
                  <w:tcW w:w="527" w:type="dxa"/>
                  <w:vMerge w:val="restart"/>
                  <w:tcBorders>
                    <w:tl2br w:val="nil"/>
                    <w:tr2bl w:val="nil"/>
                  </w:tcBorders>
                  <w:vAlign w:val="center"/>
                </w:tcPr>
                <w:p w14:paraId="4060BB62">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污染源</w:t>
                  </w:r>
                </w:p>
              </w:tc>
              <w:tc>
                <w:tcPr>
                  <w:tcW w:w="723" w:type="dxa"/>
                  <w:vMerge w:val="restart"/>
                  <w:tcBorders>
                    <w:tl2br w:val="nil"/>
                    <w:tr2bl w:val="nil"/>
                  </w:tcBorders>
                  <w:vAlign w:val="center"/>
                </w:tcPr>
                <w:p w14:paraId="50864E8D">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w:t>
                  </w:r>
                </w:p>
              </w:tc>
              <w:tc>
                <w:tcPr>
                  <w:tcW w:w="911" w:type="dxa"/>
                  <w:vMerge w:val="restart"/>
                  <w:tcBorders>
                    <w:tl2br w:val="nil"/>
                    <w:tr2bl w:val="nil"/>
                  </w:tcBorders>
                  <w:vAlign w:val="center"/>
                </w:tcPr>
                <w:p w14:paraId="3DA84AA5">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污染物产生量（t/a）</w:t>
                  </w:r>
                </w:p>
              </w:tc>
              <w:tc>
                <w:tcPr>
                  <w:tcW w:w="2609" w:type="dxa"/>
                  <w:gridSpan w:val="3"/>
                  <w:tcBorders>
                    <w:tl2br w:val="nil"/>
                    <w:tr2bl w:val="nil"/>
                  </w:tcBorders>
                  <w:vAlign w:val="center"/>
                </w:tcPr>
                <w:p w14:paraId="1563448B">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治理措施</w:t>
                  </w:r>
                </w:p>
              </w:tc>
              <w:tc>
                <w:tcPr>
                  <w:tcW w:w="9478" w:type="dxa"/>
                  <w:gridSpan w:val="11"/>
                  <w:tcBorders>
                    <w:tl2br w:val="nil"/>
                    <w:tr2bl w:val="nil"/>
                  </w:tcBorders>
                  <w:vAlign w:val="center"/>
                </w:tcPr>
                <w:p w14:paraId="1F5C9513">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污染物排放</w:t>
                  </w:r>
                </w:p>
              </w:tc>
            </w:tr>
            <w:tr w14:paraId="770184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322" w:type="dxa"/>
                  <w:vMerge w:val="continue"/>
                  <w:tcBorders>
                    <w:tl2br w:val="nil"/>
                    <w:tr2bl w:val="nil"/>
                  </w:tcBorders>
                  <w:vAlign w:val="center"/>
                </w:tcPr>
                <w:p w14:paraId="2CB84BFE">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527" w:type="dxa"/>
                  <w:vMerge w:val="continue"/>
                  <w:tcBorders>
                    <w:tl2br w:val="nil"/>
                    <w:tr2bl w:val="nil"/>
                  </w:tcBorders>
                  <w:vAlign w:val="center"/>
                </w:tcPr>
                <w:p w14:paraId="06CBE453">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723" w:type="dxa"/>
                  <w:vMerge w:val="continue"/>
                  <w:tcBorders>
                    <w:tl2br w:val="nil"/>
                    <w:tr2bl w:val="nil"/>
                  </w:tcBorders>
                  <w:vAlign w:val="center"/>
                </w:tcPr>
                <w:p w14:paraId="290A1360">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911" w:type="dxa"/>
                  <w:vMerge w:val="continue"/>
                  <w:tcBorders>
                    <w:tl2br w:val="nil"/>
                    <w:tr2bl w:val="nil"/>
                  </w:tcBorders>
                  <w:vAlign w:val="center"/>
                </w:tcPr>
                <w:p w14:paraId="441D2A23">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736" w:type="dxa"/>
                  <w:vMerge w:val="restart"/>
                  <w:tcBorders>
                    <w:tl2br w:val="nil"/>
                    <w:tr2bl w:val="nil"/>
                  </w:tcBorders>
                  <w:vAlign w:val="center"/>
                </w:tcPr>
                <w:p w14:paraId="287D5809">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收集效率（%）</w:t>
                  </w:r>
                </w:p>
              </w:tc>
              <w:tc>
                <w:tcPr>
                  <w:tcW w:w="1137" w:type="dxa"/>
                  <w:vMerge w:val="restart"/>
                  <w:tcBorders>
                    <w:tl2br w:val="nil"/>
                    <w:tr2bl w:val="nil"/>
                  </w:tcBorders>
                  <w:vAlign w:val="center"/>
                </w:tcPr>
                <w:p w14:paraId="77B34BA2">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治理工艺</w:t>
                  </w:r>
                </w:p>
              </w:tc>
              <w:tc>
                <w:tcPr>
                  <w:tcW w:w="736" w:type="dxa"/>
                  <w:vMerge w:val="restart"/>
                  <w:tcBorders>
                    <w:tl2br w:val="nil"/>
                    <w:tr2bl w:val="nil"/>
                  </w:tcBorders>
                  <w:vAlign w:val="center"/>
                </w:tcPr>
                <w:p w14:paraId="095C253A">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去除效率（%）</w:t>
                  </w:r>
                </w:p>
              </w:tc>
              <w:tc>
                <w:tcPr>
                  <w:tcW w:w="4090" w:type="dxa"/>
                  <w:gridSpan w:val="4"/>
                  <w:tcBorders>
                    <w:tl2br w:val="nil"/>
                    <w:tr2bl w:val="nil"/>
                  </w:tcBorders>
                  <w:vAlign w:val="center"/>
                </w:tcPr>
                <w:p w14:paraId="1AE7CD94">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有组织</w:t>
                  </w:r>
                </w:p>
              </w:tc>
              <w:tc>
                <w:tcPr>
                  <w:tcW w:w="1812" w:type="dxa"/>
                  <w:gridSpan w:val="2"/>
                  <w:tcBorders>
                    <w:tl2br w:val="nil"/>
                    <w:tr2bl w:val="nil"/>
                  </w:tcBorders>
                  <w:vAlign w:val="center"/>
                </w:tcPr>
                <w:p w14:paraId="241C0C3F">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无组织</w:t>
                  </w:r>
                </w:p>
              </w:tc>
              <w:tc>
                <w:tcPr>
                  <w:tcW w:w="527" w:type="dxa"/>
                  <w:vMerge w:val="restart"/>
                  <w:tcBorders>
                    <w:tl2br w:val="nil"/>
                    <w:tr2bl w:val="nil"/>
                  </w:tcBorders>
                  <w:vAlign w:val="center"/>
                </w:tcPr>
                <w:p w14:paraId="49F796F3">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排放时间</w:t>
                  </w:r>
                </w:p>
              </w:tc>
              <w:tc>
                <w:tcPr>
                  <w:tcW w:w="723" w:type="dxa"/>
                  <w:vMerge w:val="restart"/>
                  <w:tcBorders>
                    <w:tl2br w:val="nil"/>
                    <w:tr2bl w:val="nil"/>
                  </w:tcBorders>
                  <w:vAlign w:val="center"/>
                </w:tcPr>
                <w:p w14:paraId="2CEFD8E7">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排气筒编号</w:t>
                  </w:r>
                </w:p>
              </w:tc>
              <w:tc>
                <w:tcPr>
                  <w:tcW w:w="323" w:type="dxa"/>
                  <w:vMerge w:val="restart"/>
                  <w:tcBorders>
                    <w:tl2br w:val="nil"/>
                    <w:tr2bl w:val="nil"/>
                  </w:tcBorders>
                  <w:vAlign w:val="center"/>
                </w:tcPr>
                <w:p w14:paraId="058EA40E">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排放口类型</w:t>
                  </w:r>
                </w:p>
              </w:tc>
              <w:tc>
                <w:tcPr>
                  <w:tcW w:w="2003" w:type="dxa"/>
                  <w:gridSpan w:val="2"/>
                  <w:tcBorders>
                    <w:tl2br w:val="nil"/>
                    <w:tr2bl w:val="nil"/>
                  </w:tcBorders>
                  <w:vAlign w:val="center"/>
                </w:tcPr>
                <w:p w14:paraId="04D7170C">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排放标准</w:t>
                  </w:r>
                </w:p>
              </w:tc>
            </w:tr>
            <w:tr w14:paraId="39467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322" w:type="dxa"/>
                  <w:vMerge w:val="continue"/>
                  <w:tcBorders>
                    <w:tl2br w:val="nil"/>
                    <w:tr2bl w:val="nil"/>
                  </w:tcBorders>
                  <w:vAlign w:val="center"/>
                </w:tcPr>
                <w:p w14:paraId="07C553B6">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527" w:type="dxa"/>
                  <w:vMerge w:val="continue"/>
                  <w:tcBorders>
                    <w:tl2br w:val="nil"/>
                    <w:tr2bl w:val="nil"/>
                  </w:tcBorders>
                  <w:vAlign w:val="center"/>
                </w:tcPr>
                <w:p w14:paraId="01EDA8AF">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723" w:type="dxa"/>
                  <w:vMerge w:val="continue"/>
                  <w:tcBorders>
                    <w:tl2br w:val="nil"/>
                    <w:tr2bl w:val="nil"/>
                  </w:tcBorders>
                  <w:vAlign w:val="center"/>
                </w:tcPr>
                <w:p w14:paraId="078E2BC8">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911" w:type="dxa"/>
                  <w:vMerge w:val="continue"/>
                  <w:tcBorders>
                    <w:tl2br w:val="nil"/>
                    <w:tr2bl w:val="nil"/>
                  </w:tcBorders>
                  <w:vAlign w:val="center"/>
                </w:tcPr>
                <w:p w14:paraId="3E947D19">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736" w:type="dxa"/>
                  <w:vMerge w:val="continue"/>
                  <w:tcBorders>
                    <w:tl2br w:val="nil"/>
                    <w:tr2bl w:val="nil"/>
                  </w:tcBorders>
                  <w:vAlign w:val="center"/>
                </w:tcPr>
                <w:p w14:paraId="566ADFAA">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1137" w:type="dxa"/>
                  <w:vMerge w:val="continue"/>
                  <w:tcBorders>
                    <w:tl2br w:val="nil"/>
                    <w:tr2bl w:val="nil"/>
                  </w:tcBorders>
                  <w:vAlign w:val="center"/>
                </w:tcPr>
                <w:p w14:paraId="4030D833">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736" w:type="dxa"/>
                  <w:vMerge w:val="continue"/>
                  <w:tcBorders>
                    <w:tl2br w:val="nil"/>
                    <w:tr2bl w:val="nil"/>
                  </w:tcBorders>
                  <w:vAlign w:val="center"/>
                </w:tcPr>
                <w:p w14:paraId="2D41BE48">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941" w:type="dxa"/>
                  <w:vMerge w:val="restart"/>
                  <w:tcBorders>
                    <w:tl2br w:val="nil"/>
                    <w:tr2bl w:val="nil"/>
                  </w:tcBorders>
                  <w:vAlign w:val="center"/>
                </w:tcPr>
                <w:p w14:paraId="36B73D24">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风机</w:t>
                  </w:r>
                  <w:r>
                    <w:rPr>
                      <w:rFonts w:hint="default" w:ascii="Times New Roman" w:hAnsi="Times New Roman" w:cs="Times New Roman"/>
                      <w:b/>
                      <w:bCs/>
                      <w:color w:val="auto"/>
                      <w:sz w:val="18"/>
                      <w:szCs w:val="18"/>
                    </w:rPr>
                    <w:t>量（m</w:t>
                  </w:r>
                  <w:r>
                    <w:rPr>
                      <w:rFonts w:hint="default" w:ascii="Times New Roman" w:hAnsi="Times New Roman" w:cs="Times New Roman"/>
                      <w:b/>
                      <w:bCs/>
                      <w:color w:val="auto"/>
                      <w:sz w:val="18"/>
                      <w:szCs w:val="18"/>
                      <w:vertAlign w:val="superscript"/>
                    </w:rPr>
                    <w:t>3</w:t>
                  </w:r>
                  <w:r>
                    <w:rPr>
                      <w:rFonts w:hint="default" w:ascii="Times New Roman" w:hAnsi="Times New Roman" w:cs="Times New Roman"/>
                      <w:b/>
                      <w:bCs/>
                      <w:color w:val="auto"/>
                      <w:sz w:val="18"/>
                      <w:szCs w:val="18"/>
                    </w:rPr>
                    <w:t>/h）</w:t>
                  </w:r>
                </w:p>
              </w:tc>
              <w:tc>
                <w:tcPr>
                  <w:tcW w:w="1101" w:type="dxa"/>
                  <w:vMerge w:val="restart"/>
                  <w:tcBorders>
                    <w:tl2br w:val="nil"/>
                    <w:tr2bl w:val="nil"/>
                  </w:tcBorders>
                  <w:vAlign w:val="center"/>
                </w:tcPr>
                <w:p w14:paraId="3BFFD8F1">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浓度（mg/m</w:t>
                  </w:r>
                  <w:r>
                    <w:rPr>
                      <w:rFonts w:hint="default" w:ascii="Times New Roman" w:hAnsi="Times New Roman" w:cs="Times New Roman"/>
                      <w:b/>
                      <w:bCs/>
                      <w:color w:val="auto"/>
                      <w:sz w:val="18"/>
                      <w:szCs w:val="18"/>
                      <w:vertAlign w:val="superscript"/>
                    </w:rPr>
                    <w:t>3</w:t>
                  </w:r>
                  <w:r>
                    <w:rPr>
                      <w:rFonts w:hint="default" w:ascii="Times New Roman" w:hAnsi="Times New Roman" w:cs="Times New Roman"/>
                      <w:b/>
                      <w:bCs/>
                      <w:color w:val="auto"/>
                      <w:sz w:val="18"/>
                      <w:szCs w:val="18"/>
                    </w:rPr>
                    <w:t>）</w:t>
                  </w:r>
                </w:p>
              </w:tc>
              <w:tc>
                <w:tcPr>
                  <w:tcW w:w="2048" w:type="dxa"/>
                  <w:gridSpan w:val="2"/>
                  <w:tcBorders>
                    <w:tl2br w:val="nil"/>
                    <w:tr2bl w:val="nil"/>
                  </w:tcBorders>
                  <w:vAlign w:val="center"/>
                </w:tcPr>
                <w:p w14:paraId="50ECDDE3">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排放量</w:t>
                  </w:r>
                </w:p>
              </w:tc>
              <w:tc>
                <w:tcPr>
                  <w:tcW w:w="1812" w:type="dxa"/>
                  <w:gridSpan w:val="2"/>
                  <w:tcBorders>
                    <w:tl2br w:val="nil"/>
                    <w:tr2bl w:val="nil"/>
                  </w:tcBorders>
                  <w:vAlign w:val="center"/>
                </w:tcPr>
                <w:p w14:paraId="208D9E6D">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排放量</w:t>
                  </w:r>
                </w:p>
              </w:tc>
              <w:tc>
                <w:tcPr>
                  <w:tcW w:w="527" w:type="dxa"/>
                  <w:vMerge w:val="continue"/>
                  <w:tcBorders>
                    <w:tl2br w:val="nil"/>
                    <w:tr2bl w:val="nil"/>
                  </w:tcBorders>
                  <w:vAlign w:val="center"/>
                </w:tcPr>
                <w:p w14:paraId="0CCF4F88">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723" w:type="dxa"/>
                  <w:vMerge w:val="continue"/>
                  <w:tcBorders>
                    <w:tl2br w:val="nil"/>
                    <w:tr2bl w:val="nil"/>
                  </w:tcBorders>
                  <w:vAlign w:val="center"/>
                </w:tcPr>
                <w:p w14:paraId="4FD16762">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323" w:type="dxa"/>
                  <w:vMerge w:val="continue"/>
                  <w:tcBorders>
                    <w:tl2br w:val="nil"/>
                    <w:tr2bl w:val="nil"/>
                  </w:tcBorders>
                  <w:vAlign w:val="center"/>
                </w:tcPr>
                <w:p w14:paraId="672FA9DC">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898" w:type="dxa"/>
                  <w:tcBorders>
                    <w:tl2br w:val="nil"/>
                    <w:tr2bl w:val="nil"/>
                  </w:tcBorders>
                  <w:vAlign w:val="center"/>
                </w:tcPr>
                <w:p w14:paraId="000CA39E">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有组织</w:t>
                  </w:r>
                </w:p>
              </w:tc>
              <w:tc>
                <w:tcPr>
                  <w:tcW w:w="1105" w:type="dxa"/>
                  <w:tcBorders>
                    <w:tl2br w:val="nil"/>
                    <w:tr2bl w:val="nil"/>
                  </w:tcBorders>
                  <w:vAlign w:val="center"/>
                </w:tcPr>
                <w:p w14:paraId="4E9A1963">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无组织</w:t>
                  </w:r>
                </w:p>
              </w:tc>
            </w:tr>
            <w:tr w14:paraId="2F0D9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322" w:type="dxa"/>
                  <w:vMerge w:val="continue"/>
                  <w:tcBorders>
                    <w:tl2br w:val="nil"/>
                    <w:tr2bl w:val="nil"/>
                  </w:tcBorders>
                  <w:vAlign w:val="center"/>
                </w:tcPr>
                <w:p w14:paraId="1C35CAAA">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527" w:type="dxa"/>
                  <w:vMerge w:val="continue"/>
                  <w:tcBorders>
                    <w:tl2br w:val="nil"/>
                    <w:tr2bl w:val="nil"/>
                  </w:tcBorders>
                  <w:vAlign w:val="center"/>
                </w:tcPr>
                <w:p w14:paraId="184A16CD">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723" w:type="dxa"/>
                  <w:vMerge w:val="continue"/>
                  <w:tcBorders>
                    <w:tl2br w:val="nil"/>
                    <w:tr2bl w:val="nil"/>
                  </w:tcBorders>
                  <w:vAlign w:val="center"/>
                </w:tcPr>
                <w:p w14:paraId="7CC82D0D">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911" w:type="dxa"/>
                  <w:vMerge w:val="continue"/>
                  <w:tcBorders>
                    <w:tl2br w:val="nil"/>
                    <w:tr2bl w:val="nil"/>
                  </w:tcBorders>
                  <w:vAlign w:val="center"/>
                </w:tcPr>
                <w:p w14:paraId="07100DE4">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736" w:type="dxa"/>
                  <w:vMerge w:val="continue"/>
                  <w:tcBorders>
                    <w:tl2br w:val="nil"/>
                    <w:tr2bl w:val="nil"/>
                  </w:tcBorders>
                  <w:vAlign w:val="center"/>
                </w:tcPr>
                <w:p w14:paraId="3E4C6D82">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1137" w:type="dxa"/>
                  <w:vMerge w:val="continue"/>
                  <w:tcBorders>
                    <w:tl2br w:val="nil"/>
                    <w:tr2bl w:val="nil"/>
                  </w:tcBorders>
                  <w:vAlign w:val="center"/>
                </w:tcPr>
                <w:p w14:paraId="76BD6DD4">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736" w:type="dxa"/>
                  <w:vMerge w:val="continue"/>
                  <w:tcBorders>
                    <w:tl2br w:val="nil"/>
                    <w:tr2bl w:val="nil"/>
                  </w:tcBorders>
                  <w:vAlign w:val="center"/>
                </w:tcPr>
                <w:p w14:paraId="45C9A184">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941" w:type="dxa"/>
                  <w:vMerge w:val="continue"/>
                  <w:tcBorders>
                    <w:tl2br w:val="nil"/>
                    <w:tr2bl w:val="nil"/>
                  </w:tcBorders>
                  <w:vAlign w:val="center"/>
                </w:tcPr>
                <w:p w14:paraId="2F24AA23">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1101" w:type="dxa"/>
                  <w:vMerge w:val="continue"/>
                  <w:tcBorders>
                    <w:tl2br w:val="nil"/>
                    <w:tr2bl w:val="nil"/>
                  </w:tcBorders>
                  <w:vAlign w:val="center"/>
                </w:tcPr>
                <w:p w14:paraId="5A6108C7">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1024" w:type="dxa"/>
                  <w:tcBorders>
                    <w:tl2br w:val="nil"/>
                    <w:tr2bl w:val="nil"/>
                  </w:tcBorders>
                  <w:vAlign w:val="center"/>
                </w:tcPr>
                <w:p w14:paraId="3CF67CD2">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kg/h</w:t>
                  </w:r>
                </w:p>
              </w:tc>
              <w:tc>
                <w:tcPr>
                  <w:tcW w:w="1024" w:type="dxa"/>
                  <w:tcBorders>
                    <w:tl2br w:val="nil"/>
                    <w:tr2bl w:val="nil"/>
                  </w:tcBorders>
                  <w:vAlign w:val="center"/>
                </w:tcPr>
                <w:p w14:paraId="439BC6D4">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t/a</w:t>
                  </w:r>
                </w:p>
              </w:tc>
              <w:tc>
                <w:tcPr>
                  <w:tcW w:w="906" w:type="dxa"/>
                  <w:tcBorders>
                    <w:tl2br w:val="nil"/>
                    <w:tr2bl w:val="nil"/>
                  </w:tcBorders>
                  <w:vAlign w:val="center"/>
                </w:tcPr>
                <w:p w14:paraId="4C9C8892">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kg/h</w:t>
                  </w:r>
                </w:p>
              </w:tc>
              <w:tc>
                <w:tcPr>
                  <w:tcW w:w="906" w:type="dxa"/>
                  <w:tcBorders>
                    <w:tl2br w:val="nil"/>
                    <w:tr2bl w:val="nil"/>
                  </w:tcBorders>
                  <w:vAlign w:val="center"/>
                </w:tcPr>
                <w:p w14:paraId="39563B98">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t/a</w:t>
                  </w:r>
                </w:p>
              </w:tc>
              <w:tc>
                <w:tcPr>
                  <w:tcW w:w="527" w:type="dxa"/>
                  <w:tcBorders>
                    <w:tl2br w:val="nil"/>
                    <w:tr2bl w:val="nil"/>
                  </w:tcBorders>
                  <w:vAlign w:val="center"/>
                </w:tcPr>
                <w:p w14:paraId="27C34725">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h</w:t>
                  </w:r>
                </w:p>
              </w:tc>
              <w:tc>
                <w:tcPr>
                  <w:tcW w:w="723" w:type="dxa"/>
                  <w:vMerge w:val="continue"/>
                  <w:tcBorders>
                    <w:tl2br w:val="nil"/>
                    <w:tr2bl w:val="nil"/>
                  </w:tcBorders>
                  <w:vAlign w:val="center"/>
                </w:tcPr>
                <w:p w14:paraId="6D57E8E6">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323" w:type="dxa"/>
                  <w:vMerge w:val="continue"/>
                  <w:tcBorders>
                    <w:tl2br w:val="nil"/>
                    <w:tr2bl w:val="nil"/>
                  </w:tcBorders>
                  <w:vAlign w:val="center"/>
                </w:tcPr>
                <w:p w14:paraId="7987B340">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p>
              </w:tc>
              <w:tc>
                <w:tcPr>
                  <w:tcW w:w="898" w:type="dxa"/>
                  <w:tcBorders>
                    <w:tl2br w:val="nil"/>
                    <w:tr2bl w:val="nil"/>
                  </w:tcBorders>
                  <w:vAlign w:val="center"/>
                </w:tcPr>
                <w:p w14:paraId="07A849C9">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mg/m</w:t>
                  </w:r>
                  <w:r>
                    <w:rPr>
                      <w:rFonts w:hint="default" w:ascii="Times New Roman" w:hAnsi="Times New Roman" w:cs="Times New Roman"/>
                      <w:b/>
                      <w:bCs/>
                      <w:color w:val="auto"/>
                      <w:sz w:val="18"/>
                      <w:szCs w:val="18"/>
                      <w:vertAlign w:val="superscript"/>
                    </w:rPr>
                    <w:t>3</w:t>
                  </w:r>
                </w:p>
              </w:tc>
              <w:tc>
                <w:tcPr>
                  <w:tcW w:w="1105" w:type="dxa"/>
                  <w:tcBorders>
                    <w:tl2br w:val="nil"/>
                    <w:tr2bl w:val="nil"/>
                  </w:tcBorders>
                  <w:vAlign w:val="center"/>
                </w:tcPr>
                <w:p w14:paraId="29F34CEF">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mg/m</w:t>
                  </w:r>
                  <w:r>
                    <w:rPr>
                      <w:rFonts w:hint="default" w:ascii="Times New Roman" w:hAnsi="Times New Roman" w:cs="Times New Roman"/>
                      <w:b/>
                      <w:bCs/>
                      <w:color w:val="auto"/>
                      <w:sz w:val="18"/>
                      <w:szCs w:val="18"/>
                      <w:vertAlign w:val="superscript"/>
                    </w:rPr>
                    <w:t>3</w:t>
                  </w:r>
                </w:p>
              </w:tc>
            </w:tr>
            <w:tr w14:paraId="00FB7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10" w:hRule="atLeast"/>
                <w:jc w:val="center"/>
              </w:trPr>
              <w:tc>
                <w:tcPr>
                  <w:tcW w:w="322" w:type="dxa"/>
                  <w:vMerge w:val="restart"/>
                  <w:tcBorders>
                    <w:tl2br w:val="nil"/>
                    <w:tr2bl w:val="nil"/>
                  </w:tcBorders>
                  <w:vAlign w:val="center"/>
                </w:tcPr>
                <w:p w14:paraId="57459F34">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沥青混凝土生产</w:t>
                  </w:r>
                </w:p>
              </w:tc>
              <w:tc>
                <w:tcPr>
                  <w:tcW w:w="527" w:type="dxa"/>
                  <w:tcBorders>
                    <w:tl2br w:val="nil"/>
                    <w:tr2bl w:val="nil"/>
                  </w:tcBorders>
                  <w:shd w:val="clear" w:color="auto" w:fill="auto"/>
                  <w:vAlign w:val="center"/>
                </w:tcPr>
                <w:p w14:paraId="376111B2">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骨料上料粉尘</w:t>
                  </w:r>
                </w:p>
              </w:tc>
              <w:tc>
                <w:tcPr>
                  <w:tcW w:w="723" w:type="dxa"/>
                  <w:tcBorders>
                    <w:tl2br w:val="nil"/>
                    <w:tr2bl w:val="nil"/>
                  </w:tcBorders>
                  <w:shd w:val="clear" w:color="auto" w:fill="auto"/>
                  <w:vAlign w:val="center"/>
                </w:tcPr>
                <w:p w14:paraId="4C232E94">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颗粒物</w:t>
                  </w:r>
                </w:p>
              </w:tc>
              <w:tc>
                <w:tcPr>
                  <w:tcW w:w="911" w:type="dxa"/>
                  <w:tcBorders>
                    <w:tl2br w:val="nil"/>
                    <w:tr2bl w:val="nil"/>
                  </w:tcBorders>
                  <w:shd w:val="clear" w:color="auto" w:fill="auto"/>
                  <w:vAlign w:val="center"/>
                </w:tcPr>
                <w:p w14:paraId="13201FFD">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0.9200</w:t>
                  </w:r>
                </w:p>
              </w:tc>
              <w:tc>
                <w:tcPr>
                  <w:tcW w:w="736" w:type="dxa"/>
                  <w:tcBorders>
                    <w:tl2br w:val="nil"/>
                    <w:tr2bl w:val="nil"/>
                  </w:tcBorders>
                  <w:shd w:val="clear" w:color="auto" w:fill="auto"/>
                  <w:vAlign w:val="center"/>
                </w:tcPr>
                <w:p w14:paraId="7BBA8A76">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i/>
                      <w:iCs/>
                      <w:color w:val="auto"/>
                      <w:kern w:val="2"/>
                      <w:sz w:val="18"/>
                      <w:szCs w:val="18"/>
                      <w:lang w:val="en-US" w:eastAsia="zh-CN" w:bidi="ar-SA"/>
                    </w:rPr>
                  </w:pPr>
                  <w:r>
                    <w:rPr>
                      <w:rFonts w:hint="default" w:ascii="Times New Roman" w:hAnsi="Times New Roman" w:cs="Times New Roman"/>
                      <w:i/>
                      <w:iCs/>
                      <w:color w:val="auto"/>
                      <w:sz w:val="18"/>
                      <w:szCs w:val="18"/>
                    </w:rPr>
                    <w:t>--</w:t>
                  </w:r>
                </w:p>
              </w:tc>
              <w:tc>
                <w:tcPr>
                  <w:tcW w:w="1137" w:type="dxa"/>
                  <w:tcBorders>
                    <w:tl2br w:val="nil"/>
                    <w:tr2bl w:val="nil"/>
                  </w:tcBorders>
                  <w:shd w:val="clear" w:color="auto" w:fill="auto"/>
                  <w:vAlign w:val="center"/>
                </w:tcPr>
                <w:p w14:paraId="646D5ADB">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eastAsia="zh-CN"/>
                    </w:rPr>
                    <w:t>三面围挡，顶部加盖</w:t>
                  </w:r>
                  <w:r>
                    <w:rPr>
                      <w:rFonts w:hint="default" w:ascii="Times New Roman" w:hAnsi="Times New Roman" w:cs="Times New Roman"/>
                      <w:color w:val="auto"/>
                      <w:sz w:val="18"/>
                      <w:szCs w:val="18"/>
                    </w:rPr>
                    <w:t>，上料区上方采取喷雾降尘装置</w:t>
                  </w:r>
                </w:p>
              </w:tc>
              <w:tc>
                <w:tcPr>
                  <w:tcW w:w="736" w:type="dxa"/>
                  <w:tcBorders>
                    <w:tl2br w:val="nil"/>
                    <w:tr2bl w:val="nil"/>
                  </w:tcBorders>
                  <w:shd w:val="clear" w:color="auto" w:fill="auto"/>
                  <w:vAlign w:val="center"/>
                </w:tcPr>
                <w:p w14:paraId="2E187399">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i/>
                      <w:iCs/>
                      <w:color w:val="auto"/>
                      <w:kern w:val="2"/>
                      <w:sz w:val="18"/>
                      <w:szCs w:val="18"/>
                      <w:lang w:val="en-US" w:eastAsia="zh-CN" w:bidi="ar-SA"/>
                    </w:rPr>
                  </w:pPr>
                  <w:r>
                    <w:rPr>
                      <w:rFonts w:hint="default" w:ascii="Times New Roman" w:hAnsi="Times New Roman" w:cs="Times New Roman"/>
                      <w:color w:val="auto"/>
                      <w:sz w:val="18"/>
                      <w:szCs w:val="18"/>
                    </w:rPr>
                    <w:t>90</w:t>
                  </w:r>
                </w:p>
              </w:tc>
              <w:tc>
                <w:tcPr>
                  <w:tcW w:w="941" w:type="dxa"/>
                  <w:tcBorders>
                    <w:tl2br w:val="nil"/>
                    <w:tr2bl w:val="nil"/>
                  </w:tcBorders>
                  <w:shd w:val="clear" w:color="auto" w:fill="auto"/>
                  <w:vAlign w:val="center"/>
                </w:tcPr>
                <w:p w14:paraId="2C7C5B83">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1101" w:type="dxa"/>
                  <w:tcBorders>
                    <w:tl2br w:val="nil"/>
                    <w:tr2bl w:val="nil"/>
                  </w:tcBorders>
                  <w:shd w:val="clear" w:color="auto" w:fill="auto"/>
                  <w:vAlign w:val="center"/>
                </w:tcPr>
                <w:p w14:paraId="6CAA06B3">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1024" w:type="dxa"/>
                  <w:tcBorders>
                    <w:tl2br w:val="nil"/>
                    <w:tr2bl w:val="nil"/>
                  </w:tcBorders>
                  <w:shd w:val="clear" w:color="auto" w:fill="auto"/>
                  <w:vAlign w:val="center"/>
                </w:tcPr>
                <w:p w14:paraId="65CEB088">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1024" w:type="dxa"/>
                  <w:tcBorders>
                    <w:tl2br w:val="nil"/>
                    <w:tr2bl w:val="nil"/>
                  </w:tcBorders>
                  <w:shd w:val="clear" w:color="auto" w:fill="auto"/>
                  <w:vAlign w:val="center"/>
                </w:tcPr>
                <w:p w14:paraId="7B3C9D63">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906" w:type="dxa"/>
                  <w:tcBorders>
                    <w:tl2br w:val="nil"/>
                    <w:tr2bl w:val="nil"/>
                  </w:tcBorders>
                  <w:vAlign w:val="center"/>
                </w:tcPr>
                <w:p w14:paraId="51961D62">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Cs/>
                      <w:color w:val="auto"/>
                      <w:sz w:val="18"/>
                      <w:szCs w:val="18"/>
                      <w:highlight w:val="none"/>
                      <w:lang w:val="en-US" w:eastAsia="zh-CN"/>
                    </w:rPr>
                    <w:t>0.1022</w:t>
                  </w:r>
                </w:p>
              </w:tc>
              <w:tc>
                <w:tcPr>
                  <w:tcW w:w="906" w:type="dxa"/>
                  <w:tcBorders>
                    <w:tl2br w:val="nil"/>
                    <w:tr2bl w:val="nil"/>
                  </w:tcBorders>
                  <w:vAlign w:val="center"/>
                </w:tcPr>
                <w:p w14:paraId="027DEB20">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Cs/>
                      <w:color w:val="auto"/>
                      <w:sz w:val="18"/>
                      <w:szCs w:val="18"/>
                      <w:highlight w:val="none"/>
                      <w:lang w:val="en-US" w:eastAsia="zh-CN"/>
                    </w:rPr>
                    <w:t>0.0920</w:t>
                  </w:r>
                </w:p>
              </w:tc>
              <w:tc>
                <w:tcPr>
                  <w:tcW w:w="527" w:type="dxa"/>
                  <w:tcBorders>
                    <w:tl2br w:val="nil"/>
                    <w:tr2bl w:val="nil"/>
                  </w:tcBorders>
                  <w:vAlign w:val="center"/>
                </w:tcPr>
                <w:p w14:paraId="2958F7F7">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900</w:t>
                  </w:r>
                </w:p>
              </w:tc>
              <w:tc>
                <w:tcPr>
                  <w:tcW w:w="723" w:type="dxa"/>
                  <w:tcBorders>
                    <w:tl2br w:val="nil"/>
                    <w:tr2bl w:val="nil"/>
                  </w:tcBorders>
                  <w:vAlign w:val="center"/>
                </w:tcPr>
                <w:p w14:paraId="039AAB5F">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323" w:type="dxa"/>
                  <w:tcBorders>
                    <w:tl2br w:val="nil"/>
                    <w:tr2bl w:val="nil"/>
                  </w:tcBorders>
                  <w:vAlign w:val="center"/>
                </w:tcPr>
                <w:p w14:paraId="2F1776D5">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898" w:type="dxa"/>
                  <w:tcBorders>
                    <w:tl2br w:val="nil"/>
                    <w:tr2bl w:val="nil"/>
                  </w:tcBorders>
                  <w:vAlign w:val="center"/>
                </w:tcPr>
                <w:p w14:paraId="3EB5A12E">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105" w:type="dxa"/>
                  <w:tcBorders>
                    <w:tl2br w:val="nil"/>
                    <w:tr2bl w:val="nil"/>
                  </w:tcBorders>
                  <w:vAlign w:val="center"/>
                </w:tcPr>
                <w:p w14:paraId="10FFECE1">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1.0</w:t>
                  </w:r>
                </w:p>
              </w:tc>
            </w:tr>
            <w:tr w14:paraId="3ADF4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55" w:hRule="atLeast"/>
                <w:jc w:val="center"/>
              </w:trPr>
              <w:tc>
                <w:tcPr>
                  <w:tcW w:w="322" w:type="dxa"/>
                  <w:vMerge w:val="continue"/>
                  <w:tcBorders>
                    <w:tl2br w:val="nil"/>
                    <w:tr2bl w:val="nil"/>
                  </w:tcBorders>
                  <w:vAlign w:val="center"/>
                </w:tcPr>
                <w:p w14:paraId="782A459F">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p>
              </w:tc>
              <w:tc>
                <w:tcPr>
                  <w:tcW w:w="527" w:type="dxa"/>
                  <w:tcBorders>
                    <w:tl2br w:val="nil"/>
                    <w:tr2bl w:val="nil"/>
                  </w:tcBorders>
                  <w:shd w:val="clear" w:color="auto" w:fill="auto"/>
                  <w:vAlign w:val="center"/>
                </w:tcPr>
                <w:p w14:paraId="75D61A73">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矿粉筒仓粉尘</w:t>
                  </w:r>
                </w:p>
              </w:tc>
              <w:tc>
                <w:tcPr>
                  <w:tcW w:w="723" w:type="dxa"/>
                  <w:tcBorders>
                    <w:tl2br w:val="nil"/>
                    <w:tr2bl w:val="nil"/>
                  </w:tcBorders>
                  <w:shd w:val="clear" w:color="auto" w:fill="auto"/>
                  <w:vAlign w:val="center"/>
                </w:tcPr>
                <w:p w14:paraId="2348740A">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颗粒物</w:t>
                  </w:r>
                </w:p>
              </w:tc>
              <w:tc>
                <w:tcPr>
                  <w:tcW w:w="911" w:type="dxa"/>
                  <w:tcBorders>
                    <w:tl2br w:val="nil"/>
                    <w:tr2bl w:val="nil"/>
                  </w:tcBorders>
                  <w:shd w:val="clear" w:color="auto" w:fill="auto"/>
                  <w:vAlign w:val="center"/>
                </w:tcPr>
                <w:p w14:paraId="79A0BF96">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0.3600</w:t>
                  </w:r>
                </w:p>
              </w:tc>
              <w:tc>
                <w:tcPr>
                  <w:tcW w:w="736" w:type="dxa"/>
                  <w:tcBorders>
                    <w:tl2br w:val="nil"/>
                    <w:tr2bl w:val="nil"/>
                  </w:tcBorders>
                  <w:shd w:val="clear" w:color="auto" w:fill="auto"/>
                  <w:vAlign w:val="center"/>
                </w:tcPr>
                <w:p w14:paraId="36AAF869">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100</w:t>
                  </w:r>
                </w:p>
              </w:tc>
              <w:tc>
                <w:tcPr>
                  <w:tcW w:w="1137" w:type="dxa"/>
                  <w:tcBorders>
                    <w:tl2br w:val="nil"/>
                    <w:tr2bl w:val="nil"/>
                  </w:tcBorders>
                  <w:shd w:val="clear" w:color="auto" w:fill="auto"/>
                  <w:vAlign w:val="center"/>
                </w:tcPr>
                <w:p w14:paraId="3CEDEA18">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每个筒仓顶设置1套布袋除尘器</w:t>
                  </w:r>
                </w:p>
              </w:tc>
              <w:tc>
                <w:tcPr>
                  <w:tcW w:w="736" w:type="dxa"/>
                  <w:tcBorders>
                    <w:tl2br w:val="nil"/>
                    <w:tr2bl w:val="nil"/>
                  </w:tcBorders>
                  <w:shd w:val="clear" w:color="auto" w:fill="auto"/>
                  <w:vAlign w:val="center"/>
                </w:tcPr>
                <w:p w14:paraId="6C8A0E60">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99</w:t>
                  </w:r>
                </w:p>
              </w:tc>
              <w:tc>
                <w:tcPr>
                  <w:tcW w:w="941" w:type="dxa"/>
                  <w:tcBorders>
                    <w:tl2br w:val="nil"/>
                    <w:tr2bl w:val="nil"/>
                  </w:tcBorders>
                  <w:vAlign w:val="center"/>
                </w:tcPr>
                <w:p w14:paraId="58817077">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101" w:type="dxa"/>
                  <w:tcBorders>
                    <w:tl2br w:val="nil"/>
                    <w:tr2bl w:val="nil"/>
                  </w:tcBorders>
                  <w:vAlign w:val="center"/>
                </w:tcPr>
                <w:p w14:paraId="4E83093B">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024" w:type="dxa"/>
                  <w:tcBorders>
                    <w:tl2br w:val="nil"/>
                    <w:tr2bl w:val="nil"/>
                  </w:tcBorders>
                  <w:vAlign w:val="center"/>
                </w:tcPr>
                <w:p w14:paraId="312FAE67">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w:t>
                  </w:r>
                </w:p>
              </w:tc>
              <w:tc>
                <w:tcPr>
                  <w:tcW w:w="1024" w:type="dxa"/>
                  <w:tcBorders>
                    <w:tl2br w:val="nil"/>
                    <w:tr2bl w:val="nil"/>
                  </w:tcBorders>
                  <w:vAlign w:val="center"/>
                </w:tcPr>
                <w:p w14:paraId="3BE60272">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906" w:type="dxa"/>
                  <w:tcBorders>
                    <w:tl2br w:val="nil"/>
                    <w:tr2bl w:val="nil"/>
                  </w:tcBorders>
                  <w:vAlign w:val="center"/>
                </w:tcPr>
                <w:p w14:paraId="5E6ACA20">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0.0040</w:t>
                  </w:r>
                </w:p>
              </w:tc>
              <w:tc>
                <w:tcPr>
                  <w:tcW w:w="906" w:type="dxa"/>
                  <w:tcBorders>
                    <w:tl2br w:val="nil"/>
                    <w:tr2bl w:val="nil"/>
                  </w:tcBorders>
                  <w:vAlign w:val="center"/>
                </w:tcPr>
                <w:p w14:paraId="78A91912">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0.0036</w:t>
                  </w:r>
                </w:p>
              </w:tc>
              <w:tc>
                <w:tcPr>
                  <w:tcW w:w="527" w:type="dxa"/>
                  <w:tcBorders>
                    <w:tl2br w:val="nil"/>
                    <w:tr2bl w:val="nil"/>
                  </w:tcBorders>
                  <w:shd w:val="clear" w:color="auto" w:fill="auto"/>
                  <w:vAlign w:val="center"/>
                </w:tcPr>
                <w:p w14:paraId="4E98C792">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900</w:t>
                  </w:r>
                </w:p>
              </w:tc>
              <w:tc>
                <w:tcPr>
                  <w:tcW w:w="723" w:type="dxa"/>
                  <w:tcBorders>
                    <w:tl2br w:val="nil"/>
                    <w:tr2bl w:val="nil"/>
                  </w:tcBorders>
                  <w:shd w:val="clear" w:color="auto" w:fill="auto"/>
                  <w:vAlign w:val="center"/>
                </w:tcPr>
                <w:p w14:paraId="21536E04">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w:t>
                  </w:r>
                </w:p>
              </w:tc>
              <w:tc>
                <w:tcPr>
                  <w:tcW w:w="323" w:type="dxa"/>
                  <w:tcBorders>
                    <w:tl2br w:val="nil"/>
                    <w:tr2bl w:val="nil"/>
                  </w:tcBorders>
                  <w:vAlign w:val="center"/>
                </w:tcPr>
                <w:p w14:paraId="0C3B77D8">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898" w:type="dxa"/>
                  <w:tcBorders>
                    <w:tl2br w:val="nil"/>
                    <w:tr2bl w:val="nil"/>
                  </w:tcBorders>
                  <w:vAlign w:val="center"/>
                </w:tcPr>
                <w:p w14:paraId="40B53C73">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105" w:type="dxa"/>
                  <w:tcBorders>
                    <w:tl2br w:val="nil"/>
                    <w:tr2bl w:val="nil"/>
                  </w:tcBorders>
                  <w:vAlign w:val="center"/>
                </w:tcPr>
                <w:p w14:paraId="6F199684">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w:t>
                  </w:r>
                </w:p>
              </w:tc>
            </w:tr>
            <w:tr w14:paraId="2B6A0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22" w:type="dxa"/>
                  <w:vMerge w:val="continue"/>
                  <w:tcBorders>
                    <w:tl2br w:val="nil"/>
                    <w:tr2bl w:val="nil"/>
                  </w:tcBorders>
                  <w:vAlign w:val="center"/>
                </w:tcPr>
                <w:p w14:paraId="2A302014">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527" w:type="dxa"/>
                  <w:vMerge w:val="restart"/>
                  <w:tcBorders>
                    <w:tl2br w:val="nil"/>
                    <w:tr2bl w:val="nil"/>
                  </w:tcBorders>
                  <w:shd w:val="clear" w:color="auto" w:fill="auto"/>
                  <w:vAlign w:val="center"/>
                </w:tcPr>
                <w:p w14:paraId="20C0714A">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沥青废气</w:t>
                  </w:r>
                  <w:r>
                    <w:rPr>
                      <w:rStyle w:val="36"/>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成品卸料</w:t>
                  </w:r>
                  <w:r>
                    <w:rPr>
                      <w:rStyle w:val="36"/>
                      <w:rFonts w:hint="default" w:ascii="Times New Roman" w:hAnsi="Times New Roman" w:cs="Times New Roman"/>
                      <w:color w:val="auto"/>
                      <w:sz w:val="18"/>
                      <w:szCs w:val="18"/>
                      <w:lang w:eastAsia="zh-CN"/>
                    </w:rPr>
                    <w:t>）</w:t>
                  </w:r>
                </w:p>
              </w:tc>
              <w:tc>
                <w:tcPr>
                  <w:tcW w:w="723" w:type="dxa"/>
                  <w:tcBorders>
                    <w:tl2br w:val="nil"/>
                    <w:tr2bl w:val="nil"/>
                  </w:tcBorders>
                  <w:shd w:val="clear" w:color="auto" w:fill="auto"/>
                  <w:vAlign w:val="center"/>
                </w:tcPr>
                <w:p w14:paraId="6A231380">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沥青烟</w:t>
                  </w:r>
                </w:p>
              </w:tc>
              <w:tc>
                <w:tcPr>
                  <w:tcW w:w="911" w:type="dxa"/>
                  <w:tcBorders>
                    <w:tl2br w:val="nil"/>
                    <w:tr2bl w:val="nil"/>
                  </w:tcBorders>
                  <w:shd w:val="clear" w:color="auto" w:fill="auto"/>
                  <w:vAlign w:val="center"/>
                </w:tcPr>
                <w:p w14:paraId="4980EC87">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0.2000</w:t>
                  </w:r>
                </w:p>
              </w:tc>
              <w:tc>
                <w:tcPr>
                  <w:tcW w:w="736" w:type="dxa"/>
                  <w:vMerge w:val="restart"/>
                  <w:tcBorders>
                    <w:tl2br w:val="nil"/>
                    <w:tr2bl w:val="nil"/>
                  </w:tcBorders>
                  <w:shd w:val="clear" w:color="auto" w:fill="auto"/>
                  <w:vAlign w:val="center"/>
                </w:tcPr>
                <w:p w14:paraId="29E8DC85">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9</w:t>
                  </w:r>
                  <w:r>
                    <w:rPr>
                      <w:rFonts w:hint="default" w:ascii="Times New Roman" w:hAnsi="Times New Roman" w:cs="Times New Roman"/>
                      <w:color w:val="auto"/>
                      <w:sz w:val="18"/>
                      <w:szCs w:val="18"/>
                      <w:lang w:val="en-US" w:eastAsia="zh-CN"/>
                    </w:rPr>
                    <w:t>5</w:t>
                  </w:r>
                </w:p>
              </w:tc>
              <w:tc>
                <w:tcPr>
                  <w:tcW w:w="1137" w:type="dxa"/>
                  <w:vMerge w:val="restart"/>
                  <w:tcBorders>
                    <w:tl2br w:val="nil"/>
                    <w:tr2bl w:val="nil"/>
                  </w:tcBorders>
                  <w:shd w:val="clear" w:color="auto" w:fill="auto"/>
                  <w:vAlign w:val="center"/>
                </w:tcPr>
                <w:p w14:paraId="04948782">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设备密闭</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静电捕集</w:t>
                  </w:r>
                  <w:r>
                    <w:rPr>
                      <w:rFonts w:hint="default" w:ascii="Times New Roman" w:hAnsi="Times New Roman" w:cs="Times New Roman"/>
                      <w:color w:val="auto"/>
                      <w:sz w:val="18"/>
                      <w:szCs w:val="18"/>
                    </w:rPr>
                    <w:t>+除尘系统（</w:t>
                  </w:r>
                  <w:r>
                    <w:rPr>
                      <w:rFonts w:hint="default" w:ascii="Times New Roman" w:hAnsi="Times New Roman" w:cs="Times New Roman"/>
                      <w:bCs/>
                      <w:snapToGrid w:val="0"/>
                      <w:color w:val="auto"/>
                      <w:kern w:val="0"/>
                      <w:sz w:val="18"/>
                      <w:szCs w:val="18"/>
                      <w:highlight w:val="none"/>
                      <w:lang w:val="en-US" w:eastAsia="zh-CN"/>
                    </w:rPr>
                    <w:t>一级重力除尘+二级布袋除尘</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20</w:t>
                  </w:r>
                  <w:r>
                    <w:rPr>
                      <w:rFonts w:hint="default" w:ascii="Times New Roman" w:hAnsi="Times New Roman" w:cs="Times New Roman"/>
                      <w:color w:val="auto"/>
                      <w:sz w:val="18"/>
                      <w:szCs w:val="18"/>
                    </w:rPr>
                    <w:t>m排气筒（</w:t>
                  </w:r>
                  <w:r>
                    <w:rPr>
                      <w:rFonts w:hint="default" w:ascii="Times New Roman" w:hAnsi="Times New Roman" w:cs="Times New Roman"/>
                      <w:color w:val="auto"/>
                      <w:sz w:val="18"/>
                      <w:szCs w:val="18"/>
                      <w:lang w:eastAsia="zh-CN"/>
                    </w:rPr>
                    <w:t>DA001</w:t>
                  </w:r>
                  <w:r>
                    <w:rPr>
                      <w:rFonts w:hint="default" w:ascii="Times New Roman" w:hAnsi="Times New Roman" w:cs="Times New Roman"/>
                      <w:color w:val="auto"/>
                      <w:sz w:val="18"/>
                      <w:szCs w:val="18"/>
                    </w:rPr>
                    <w:t>）</w:t>
                  </w:r>
                </w:p>
              </w:tc>
              <w:tc>
                <w:tcPr>
                  <w:tcW w:w="736" w:type="dxa"/>
                  <w:vMerge w:val="restart"/>
                  <w:tcBorders>
                    <w:tl2br w:val="nil"/>
                    <w:tr2bl w:val="nil"/>
                  </w:tcBorders>
                  <w:shd w:val="clear" w:color="auto" w:fill="auto"/>
                  <w:vAlign w:val="center"/>
                </w:tcPr>
                <w:p w14:paraId="1E981FAE">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98</w:t>
                  </w:r>
                </w:p>
              </w:tc>
              <w:tc>
                <w:tcPr>
                  <w:tcW w:w="941" w:type="dxa"/>
                  <w:vMerge w:val="restart"/>
                  <w:tcBorders>
                    <w:tl2br w:val="nil"/>
                    <w:tr2bl w:val="nil"/>
                  </w:tcBorders>
                  <w:vAlign w:val="center"/>
                </w:tcPr>
                <w:p w14:paraId="353C7B9C">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92000</w:t>
                  </w:r>
                </w:p>
              </w:tc>
              <w:tc>
                <w:tcPr>
                  <w:tcW w:w="1101" w:type="dxa"/>
                  <w:tcBorders>
                    <w:tl2br w:val="nil"/>
                    <w:tr2bl w:val="nil"/>
                  </w:tcBorders>
                  <w:vAlign w:val="center"/>
                </w:tcPr>
                <w:p w14:paraId="7A8AF03F">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highlight w:val="none"/>
                      <w:lang w:val="en-US" w:eastAsia="zh-CN"/>
                    </w:rPr>
                    <w:t>0.0459</w:t>
                  </w:r>
                </w:p>
              </w:tc>
              <w:tc>
                <w:tcPr>
                  <w:tcW w:w="1024" w:type="dxa"/>
                  <w:tcBorders>
                    <w:tl2br w:val="nil"/>
                    <w:tr2bl w:val="nil"/>
                  </w:tcBorders>
                  <w:vAlign w:val="center"/>
                </w:tcPr>
                <w:p w14:paraId="3C6A74ED">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highlight w:val="none"/>
                      <w:lang w:bidi="ar"/>
                    </w:rPr>
                    <w:t>0.0</w:t>
                  </w:r>
                  <w:r>
                    <w:rPr>
                      <w:rFonts w:hint="default" w:ascii="Times New Roman" w:hAnsi="Times New Roman" w:cs="Times New Roman"/>
                      <w:color w:val="auto"/>
                      <w:kern w:val="0"/>
                      <w:sz w:val="18"/>
                      <w:szCs w:val="18"/>
                      <w:highlight w:val="none"/>
                      <w:lang w:val="en-US" w:eastAsia="zh-CN" w:bidi="ar"/>
                    </w:rPr>
                    <w:t>040</w:t>
                  </w:r>
                </w:p>
              </w:tc>
              <w:tc>
                <w:tcPr>
                  <w:tcW w:w="1024" w:type="dxa"/>
                  <w:tcBorders>
                    <w:tl2br w:val="nil"/>
                    <w:tr2bl w:val="nil"/>
                  </w:tcBorders>
                  <w:vAlign w:val="center"/>
                </w:tcPr>
                <w:p w14:paraId="50D7AD9A">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kern w:val="0"/>
                      <w:sz w:val="18"/>
                      <w:szCs w:val="18"/>
                      <w:highlight w:val="none"/>
                      <w:lang w:val="en-US" w:eastAsia="zh-CN" w:bidi="ar"/>
                    </w:rPr>
                    <w:t>0.0038</w:t>
                  </w:r>
                </w:p>
              </w:tc>
              <w:tc>
                <w:tcPr>
                  <w:tcW w:w="906" w:type="dxa"/>
                  <w:tcBorders>
                    <w:tl2br w:val="nil"/>
                    <w:tr2bl w:val="nil"/>
                  </w:tcBorders>
                  <w:vAlign w:val="center"/>
                </w:tcPr>
                <w:p w14:paraId="39E65D66">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111</w:t>
                  </w:r>
                </w:p>
              </w:tc>
              <w:tc>
                <w:tcPr>
                  <w:tcW w:w="906" w:type="dxa"/>
                  <w:tcBorders>
                    <w:tl2br w:val="nil"/>
                    <w:tr2bl w:val="nil"/>
                  </w:tcBorders>
                  <w:vAlign w:val="center"/>
                </w:tcPr>
                <w:p w14:paraId="4355786D">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highlight w:val="none"/>
                    </w:rPr>
                    <w:t>0.</w:t>
                  </w:r>
                  <w:r>
                    <w:rPr>
                      <w:rFonts w:hint="default" w:ascii="Times New Roman" w:hAnsi="Times New Roman" w:cs="Times New Roman"/>
                      <w:color w:val="auto"/>
                      <w:sz w:val="18"/>
                      <w:szCs w:val="18"/>
                      <w:highlight w:val="none"/>
                      <w:lang w:val="en-US" w:eastAsia="zh-CN"/>
                    </w:rPr>
                    <w:t>0100</w:t>
                  </w:r>
                </w:p>
              </w:tc>
              <w:tc>
                <w:tcPr>
                  <w:tcW w:w="527" w:type="dxa"/>
                  <w:tcBorders>
                    <w:tl2br w:val="nil"/>
                    <w:tr2bl w:val="nil"/>
                  </w:tcBorders>
                  <w:vAlign w:val="center"/>
                </w:tcPr>
                <w:p w14:paraId="00E69078">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color w:val="auto"/>
                      <w:sz w:val="18"/>
                      <w:szCs w:val="18"/>
                    </w:rPr>
                  </w:pPr>
                  <w:r>
                    <w:rPr>
                      <w:rFonts w:hint="default" w:ascii="Times New Roman" w:hAnsi="Times New Roman" w:cs="Times New Roman"/>
                      <w:i w:val="0"/>
                      <w:iCs w:val="0"/>
                      <w:color w:val="auto"/>
                      <w:kern w:val="0"/>
                      <w:sz w:val="18"/>
                      <w:szCs w:val="18"/>
                      <w:u w:val="none"/>
                      <w:lang w:val="en-US" w:eastAsia="zh-CN" w:bidi="ar"/>
                    </w:rPr>
                    <w:t>900</w:t>
                  </w:r>
                </w:p>
              </w:tc>
              <w:tc>
                <w:tcPr>
                  <w:tcW w:w="723" w:type="dxa"/>
                  <w:vMerge w:val="restart"/>
                  <w:tcBorders>
                    <w:tl2br w:val="nil"/>
                    <w:tr2bl w:val="nil"/>
                  </w:tcBorders>
                  <w:vAlign w:val="center"/>
                </w:tcPr>
                <w:p w14:paraId="1226E7D4">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DA001</w:t>
                  </w:r>
                </w:p>
              </w:tc>
              <w:tc>
                <w:tcPr>
                  <w:tcW w:w="323" w:type="dxa"/>
                  <w:vMerge w:val="restart"/>
                  <w:tcBorders>
                    <w:tl2br w:val="nil"/>
                    <w:tr2bl w:val="nil"/>
                  </w:tcBorders>
                  <w:vAlign w:val="center"/>
                </w:tcPr>
                <w:p w14:paraId="1985A551">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主要排放口</w:t>
                  </w:r>
                </w:p>
              </w:tc>
              <w:tc>
                <w:tcPr>
                  <w:tcW w:w="898" w:type="dxa"/>
                  <w:tcBorders>
                    <w:tl2br w:val="nil"/>
                    <w:tr2bl w:val="nil"/>
                  </w:tcBorders>
                  <w:vAlign w:val="center"/>
                </w:tcPr>
                <w:p w14:paraId="25AA19BC">
                  <w:pPr>
                    <w:keepNext w:val="0"/>
                    <w:keepLines w:val="0"/>
                    <w:pageBreakBefore w:val="0"/>
                    <w:tabs>
                      <w:tab w:val="left" w:pos="1170"/>
                      <w:tab w:val="left" w:pos="1470"/>
                    </w:tabs>
                    <w:kinsoku/>
                    <w:wordWrap/>
                    <w:overflowPunct/>
                    <w:topLinePunct w:val="0"/>
                    <w:autoSpaceDE/>
                    <w:autoSpaceDN/>
                    <w:bidi w:val="0"/>
                    <w:spacing w:line="240" w:lineRule="exact"/>
                    <w:ind w:firstLine="0" w:firstLineChars="0"/>
                    <w:jc w:val="center"/>
                    <w:rPr>
                      <w:rFonts w:hint="default" w:ascii="Times New Roman" w:hAnsi="Times New Roman" w:cs="Times New Roman"/>
                      <w:color w:val="auto"/>
                      <w:sz w:val="18"/>
                      <w:szCs w:val="18"/>
                    </w:rPr>
                  </w:pPr>
                  <w:r>
                    <w:rPr>
                      <w:rFonts w:hint="default" w:ascii="Times New Roman" w:hAnsi="Times New Roman" w:eastAsia="宋体" w:cs="Times New Roman"/>
                      <w:b w:val="0"/>
                      <w:bCs w:val="0"/>
                      <w:color w:val="auto"/>
                      <w:sz w:val="18"/>
                      <w:szCs w:val="18"/>
                      <w:lang w:val="en-US" w:eastAsia="zh-CN"/>
                    </w:rPr>
                    <w:t>75</w:t>
                  </w:r>
                </w:p>
              </w:tc>
              <w:tc>
                <w:tcPr>
                  <w:tcW w:w="1105" w:type="dxa"/>
                  <w:tcBorders>
                    <w:tl2br w:val="nil"/>
                    <w:tr2bl w:val="nil"/>
                  </w:tcBorders>
                  <w:vAlign w:val="center"/>
                </w:tcPr>
                <w:p w14:paraId="15A98194">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生产设备不得有明显无组织排放存在</w:t>
                  </w:r>
                </w:p>
              </w:tc>
            </w:tr>
            <w:tr w14:paraId="160A51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22" w:type="dxa"/>
                  <w:vMerge w:val="continue"/>
                  <w:tcBorders>
                    <w:tl2br w:val="nil"/>
                    <w:tr2bl w:val="nil"/>
                  </w:tcBorders>
                  <w:vAlign w:val="center"/>
                </w:tcPr>
                <w:p w14:paraId="0E6B5F7E">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p>
              </w:tc>
              <w:tc>
                <w:tcPr>
                  <w:tcW w:w="527" w:type="dxa"/>
                  <w:vMerge w:val="continue"/>
                  <w:tcBorders>
                    <w:tl2br w:val="nil"/>
                    <w:tr2bl w:val="nil"/>
                  </w:tcBorders>
                  <w:vAlign w:val="center"/>
                </w:tcPr>
                <w:p w14:paraId="20090053">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i w:val="0"/>
                      <w:iCs w:val="0"/>
                      <w:color w:val="auto"/>
                      <w:kern w:val="0"/>
                      <w:sz w:val="18"/>
                      <w:szCs w:val="18"/>
                      <w:u w:val="none"/>
                      <w:lang w:val="en-US" w:eastAsia="zh-CN" w:bidi="ar"/>
                    </w:rPr>
                  </w:pPr>
                </w:p>
              </w:tc>
              <w:tc>
                <w:tcPr>
                  <w:tcW w:w="723" w:type="dxa"/>
                  <w:tcBorders>
                    <w:tl2br w:val="nil"/>
                    <w:tr2bl w:val="nil"/>
                  </w:tcBorders>
                  <w:shd w:val="clear" w:color="auto" w:fill="auto"/>
                  <w:vAlign w:val="center"/>
                </w:tcPr>
                <w:p w14:paraId="6F24F1EA">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苯并[a]芘</w:t>
                  </w:r>
                </w:p>
              </w:tc>
              <w:tc>
                <w:tcPr>
                  <w:tcW w:w="911" w:type="dxa"/>
                  <w:tcBorders>
                    <w:tl2br w:val="nil"/>
                    <w:tr2bl w:val="nil"/>
                  </w:tcBorders>
                  <w:shd w:val="clear" w:color="auto" w:fill="auto"/>
                  <w:vAlign w:val="center"/>
                </w:tcPr>
                <w:p w14:paraId="08AC87B8">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sz w:val="18"/>
                      <w:szCs w:val="18"/>
                      <w:lang w:val="en-US" w:eastAsia="zh-CN"/>
                    </w:rPr>
                    <w:t>4.00</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w:t>
                  </w:r>
                  <w:r>
                    <w:rPr>
                      <w:rFonts w:hint="default" w:ascii="Times New Roman" w:hAnsi="Times New Roman" w:cs="Times New Roman"/>
                      <w:color w:val="auto"/>
                      <w:sz w:val="18"/>
                      <w:szCs w:val="18"/>
                      <w:vertAlign w:val="superscript"/>
                      <w:lang w:val="en-US" w:eastAsia="zh-CN"/>
                    </w:rPr>
                    <w:t>6</w:t>
                  </w:r>
                </w:p>
              </w:tc>
              <w:tc>
                <w:tcPr>
                  <w:tcW w:w="736" w:type="dxa"/>
                  <w:vMerge w:val="continue"/>
                  <w:tcBorders>
                    <w:tl2br w:val="nil"/>
                    <w:tr2bl w:val="nil"/>
                  </w:tcBorders>
                  <w:vAlign w:val="center"/>
                </w:tcPr>
                <w:p w14:paraId="7201EBAC">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p>
              </w:tc>
              <w:tc>
                <w:tcPr>
                  <w:tcW w:w="1137" w:type="dxa"/>
                  <w:vMerge w:val="continue"/>
                  <w:tcBorders>
                    <w:tl2br w:val="nil"/>
                    <w:tr2bl w:val="nil"/>
                  </w:tcBorders>
                  <w:vAlign w:val="center"/>
                </w:tcPr>
                <w:p w14:paraId="36D88817">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p>
              </w:tc>
              <w:tc>
                <w:tcPr>
                  <w:tcW w:w="736" w:type="dxa"/>
                  <w:vMerge w:val="continue"/>
                  <w:tcBorders>
                    <w:tl2br w:val="nil"/>
                    <w:tr2bl w:val="nil"/>
                  </w:tcBorders>
                  <w:vAlign w:val="center"/>
                </w:tcPr>
                <w:p w14:paraId="56B48964">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p>
              </w:tc>
              <w:tc>
                <w:tcPr>
                  <w:tcW w:w="941" w:type="dxa"/>
                  <w:vMerge w:val="continue"/>
                  <w:tcBorders>
                    <w:tl2br w:val="nil"/>
                    <w:tr2bl w:val="nil"/>
                  </w:tcBorders>
                  <w:vAlign w:val="center"/>
                </w:tcPr>
                <w:p w14:paraId="5D05FFB2">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p>
              </w:tc>
              <w:tc>
                <w:tcPr>
                  <w:tcW w:w="1101" w:type="dxa"/>
                  <w:tcBorders>
                    <w:tl2br w:val="nil"/>
                    <w:tr2bl w:val="nil"/>
                  </w:tcBorders>
                  <w:vAlign w:val="center"/>
                </w:tcPr>
                <w:p w14:paraId="3CEBF88E">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color w:val="auto"/>
                      <w:sz w:val="18"/>
                      <w:szCs w:val="18"/>
                      <w:highlight w:val="none"/>
                      <w:lang w:val="en-US" w:eastAsia="zh-CN"/>
                    </w:rPr>
                    <w:t>9.18</w:t>
                  </w:r>
                  <w:r>
                    <w:rPr>
                      <w:rFonts w:hint="default" w:ascii="Times New Roman" w:hAnsi="Times New Roman" w:cs="Times New Roman"/>
                      <w:color w:val="auto"/>
                      <w:kern w:val="0"/>
                      <w:sz w:val="18"/>
                      <w:szCs w:val="18"/>
                      <w:highlight w:val="none"/>
                      <w:lang w:bidi="ar"/>
                    </w:rPr>
                    <w:t>×10</w:t>
                  </w:r>
                  <w:r>
                    <w:rPr>
                      <w:rFonts w:hint="default" w:ascii="Times New Roman" w:hAnsi="Times New Roman" w:cs="Times New Roman"/>
                      <w:color w:val="auto"/>
                      <w:kern w:val="0"/>
                      <w:sz w:val="18"/>
                      <w:szCs w:val="18"/>
                      <w:highlight w:val="none"/>
                      <w:vertAlign w:val="superscript"/>
                      <w:lang w:bidi="ar"/>
                    </w:rPr>
                    <w:t>-</w:t>
                  </w:r>
                  <w:r>
                    <w:rPr>
                      <w:rFonts w:hint="default" w:ascii="Times New Roman" w:hAnsi="Times New Roman" w:cs="Times New Roman"/>
                      <w:color w:val="auto"/>
                      <w:kern w:val="0"/>
                      <w:sz w:val="18"/>
                      <w:szCs w:val="18"/>
                      <w:highlight w:val="none"/>
                      <w:vertAlign w:val="superscript"/>
                      <w:lang w:val="en-US" w:eastAsia="zh-CN" w:bidi="ar"/>
                    </w:rPr>
                    <w:t>7</w:t>
                  </w:r>
                </w:p>
              </w:tc>
              <w:tc>
                <w:tcPr>
                  <w:tcW w:w="1024" w:type="dxa"/>
                  <w:tcBorders>
                    <w:tl2br w:val="nil"/>
                    <w:tr2bl w:val="nil"/>
                  </w:tcBorders>
                  <w:vAlign w:val="center"/>
                </w:tcPr>
                <w:p w14:paraId="78FBDD24">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color w:val="auto"/>
                      <w:kern w:val="0"/>
                      <w:sz w:val="18"/>
                      <w:szCs w:val="18"/>
                      <w:highlight w:val="none"/>
                      <w:lang w:val="en-US" w:eastAsia="zh-CN" w:bidi="ar"/>
                    </w:rPr>
                    <w:t>8.44</w:t>
                  </w:r>
                  <w:r>
                    <w:rPr>
                      <w:rFonts w:hint="default" w:ascii="Times New Roman" w:hAnsi="Times New Roman" w:cs="Times New Roman"/>
                      <w:color w:val="auto"/>
                      <w:kern w:val="0"/>
                      <w:sz w:val="18"/>
                      <w:szCs w:val="18"/>
                      <w:highlight w:val="none"/>
                      <w:lang w:bidi="ar"/>
                    </w:rPr>
                    <w:t>×10</w:t>
                  </w:r>
                  <w:r>
                    <w:rPr>
                      <w:rFonts w:hint="default" w:ascii="Times New Roman" w:hAnsi="Times New Roman" w:cs="Times New Roman"/>
                      <w:color w:val="auto"/>
                      <w:kern w:val="0"/>
                      <w:sz w:val="18"/>
                      <w:szCs w:val="18"/>
                      <w:highlight w:val="none"/>
                      <w:vertAlign w:val="superscript"/>
                      <w:lang w:bidi="ar"/>
                    </w:rPr>
                    <w:t>-</w:t>
                  </w:r>
                  <w:r>
                    <w:rPr>
                      <w:rFonts w:hint="default" w:ascii="Times New Roman" w:hAnsi="Times New Roman" w:cs="Times New Roman"/>
                      <w:color w:val="auto"/>
                      <w:kern w:val="0"/>
                      <w:sz w:val="18"/>
                      <w:szCs w:val="18"/>
                      <w:highlight w:val="none"/>
                      <w:vertAlign w:val="superscript"/>
                      <w:lang w:val="en-US" w:eastAsia="zh-CN" w:bidi="ar"/>
                    </w:rPr>
                    <w:t>8</w:t>
                  </w:r>
                  <w:r>
                    <w:rPr>
                      <w:rFonts w:hint="default" w:ascii="Times New Roman" w:hAnsi="Times New Roman" w:cs="Times New Roman"/>
                      <w:color w:val="auto"/>
                      <w:kern w:val="0"/>
                      <w:sz w:val="18"/>
                      <w:szCs w:val="18"/>
                      <w:highlight w:val="none"/>
                      <w:lang w:bidi="ar"/>
                    </w:rPr>
                    <w:t xml:space="preserve"> </w:t>
                  </w:r>
                </w:p>
              </w:tc>
              <w:tc>
                <w:tcPr>
                  <w:tcW w:w="1024" w:type="dxa"/>
                  <w:tcBorders>
                    <w:tl2br w:val="nil"/>
                    <w:tr2bl w:val="nil"/>
                  </w:tcBorders>
                  <w:vAlign w:val="center"/>
                </w:tcPr>
                <w:p w14:paraId="4BA55F74">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color w:val="auto"/>
                      <w:kern w:val="0"/>
                      <w:sz w:val="18"/>
                      <w:szCs w:val="18"/>
                      <w:highlight w:val="none"/>
                      <w:lang w:val="en-US" w:eastAsia="zh-CN" w:bidi="ar"/>
                    </w:rPr>
                    <w:t>7.60</w:t>
                  </w:r>
                  <w:r>
                    <w:rPr>
                      <w:rFonts w:hint="default" w:ascii="Times New Roman" w:hAnsi="Times New Roman" w:cs="Times New Roman"/>
                      <w:color w:val="auto"/>
                      <w:kern w:val="0"/>
                      <w:sz w:val="18"/>
                      <w:szCs w:val="18"/>
                      <w:highlight w:val="none"/>
                      <w:lang w:bidi="ar"/>
                    </w:rPr>
                    <w:t>×10</w:t>
                  </w:r>
                  <w:r>
                    <w:rPr>
                      <w:rFonts w:hint="default" w:ascii="Times New Roman" w:hAnsi="Times New Roman" w:cs="Times New Roman"/>
                      <w:color w:val="auto"/>
                      <w:kern w:val="0"/>
                      <w:sz w:val="18"/>
                      <w:szCs w:val="18"/>
                      <w:highlight w:val="none"/>
                      <w:vertAlign w:val="superscript"/>
                      <w:lang w:bidi="ar"/>
                    </w:rPr>
                    <w:t>-</w:t>
                  </w:r>
                  <w:r>
                    <w:rPr>
                      <w:rFonts w:hint="default" w:ascii="Times New Roman" w:hAnsi="Times New Roman" w:cs="Times New Roman"/>
                      <w:color w:val="auto"/>
                      <w:kern w:val="0"/>
                      <w:sz w:val="18"/>
                      <w:szCs w:val="18"/>
                      <w:highlight w:val="none"/>
                      <w:vertAlign w:val="superscript"/>
                      <w:lang w:val="en-US" w:eastAsia="zh-CN" w:bidi="ar"/>
                    </w:rPr>
                    <w:t>8</w:t>
                  </w:r>
                </w:p>
              </w:tc>
              <w:tc>
                <w:tcPr>
                  <w:tcW w:w="906" w:type="dxa"/>
                  <w:tcBorders>
                    <w:tl2br w:val="nil"/>
                    <w:tr2bl w:val="nil"/>
                  </w:tcBorders>
                  <w:vAlign w:val="center"/>
                </w:tcPr>
                <w:p w14:paraId="10B4D174">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color w:val="auto"/>
                      <w:sz w:val="18"/>
                      <w:szCs w:val="18"/>
                      <w:highlight w:val="none"/>
                      <w:lang w:val="en-US" w:eastAsia="zh-CN"/>
                    </w:rPr>
                    <w:t>2.22</w:t>
                  </w:r>
                  <w:r>
                    <w:rPr>
                      <w:rFonts w:hint="default" w:ascii="Times New Roman" w:hAnsi="Times New Roman" w:cs="Times New Roman"/>
                      <w:color w:val="auto"/>
                      <w:kern w:val="0"/>
                      <w:sz w:val="18"/>
                      <w:szCs w:val="18"/>
                      <w:highlight w:val="none"/>
                      <w:lang w:bidi="ar"/>
                    </w:rPr>
                    <w:t>×10</w:t>
                  </w:r>
                  <w:r>
                    <w:rPr>
                      <w:rFonts w:hint="default" w:ascii="Times New Roman" w:hAnsi="Times New Roman" w:cs="Times New Roman"/>
                      <w:color w:val="auto"/>
                      <w:kern w:val="0"/>
                      <w:sz w:val="18"/>
                      <w:szCs w:val="18"/>
                      <w:highlight w:val="none"/>
                      <w:vertAlign w:val="superscript"/>
                      <w:lang w:bidi="ar"/>
                    </w:rPr>
                    <w:t>-</w:t>
                  </w:r>
                  <w:r>
                    <w:rPr>
                      <w:rFonts w:hint="default" w:ascii="Times New Roman" w:hAnsi="Times New Roman" w:cs="Times New Roman"/>
                      <w:color w:val="auto"/>
                      <w:kern w:val="0"/>
                      <w:sz w:val="18"/>
                      <w:szCs w:val="18"/>
                      <w:highlight w:val="none"/>
                      <w:vertAlign w:val="superscript"/>
                      <w:lang w:val="en-US" w:eastAsia="zh-CN" w:bidi="ar"/>
                    </w:rPr>
                    <w:t>7</w:t>
                  </w:r>
                </w:p>
              </w:tc>
              <w:tc>
                <w:tcPr>
                  <w:tcW w:w="906" w:type="dxa"/>
                  <w:tcBorders>
                    <w:tl2br w:val="nil"/>
                    <w:tr2bl w:val="nil"/>
                  </w:tcBorders>
                  <w:vAlign w:val="center"/>
                </w:tcPr>
                <w:p w14:paraId="050195F3">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color w:val="auto"/>
                      <w:sz w:val="18"/>
                      <w:szCs w:val="18"/>
                      <w:highlight w:val="none"/>
                      <w:lang w:val="en-US" w:eastAsia="zh-CN"/>
                    </w:rPr>
                    <w:t>2.0</w:t>
                  </w:r>
                  <w:r>
                    <w:rPr>
                      <w:rFonts w:hint="default" w:ascii="Times New Roman" w:hAnsi="Times New Roman" w:cs="Times New Roman"/>
                      <w:color w:val="auto"/>
                      <w:kern w:val="0"/>
                      <w:sz w:val="18"/>
                      <w:szCs w:val="18"/>
                      <w:highlight w:val="none"/>
                      <w:lang w:bidi="ar"/>
                    </w:rPr>
                    <w:t>×10</w:t>
                  </w:r>
                  <w:r>
                    <w:rPr>
                      <w:rFonts w:hint="default" w:ascii="Times New Roman" w:hAnsi="Times New Roman" w:cs="Times New Roman"/>
                      <w:color w:val="auto"/>
                      <w:kern w:val="0"/>
                      <w:sz w:val="18"/>
                      <w:szCs w:val="18"/>
                      <w:highlight w:val="none"/>
                      <w:vertAlign w:val="superscript"/>
                      <w:lang w:bidi="ar"/>
                    </w:rPr>
                    <w:t>-</w:t>
                  </w:r>
                  <w:r>
                    <w:rPr>
                      <w:rFonts w:hint="default" w:ascii="Times New Roman" w:hAnsi="Times New Roman" w:cs="Times New Roman"/>
                      <w:color w:val="auto"/>
                      <w:kern w:val="0"/>
                      <w:sz w:val="18"/>
                      <w:szCs w:val="18"/>
                      <w:highlight w:val="none"/>
                      <w:vertAlign w:val="superscript"/>
                      <w:lang w:val="en-US" w:eastAsia="zh-CN" w:bidi="ar"/>
                    </w:rPr>
                    <w:t>7</w:t>
                  </w:r>
                </w:p>
              </w:tc>
              <w:tc>
                <w:tcPr>
                  <w:tcW w:w="527" w:type="dxa"/>
                  <w:tcBorders>
                    <w:tl2br w:val="nil"/>
                    <w:tr2bl w:val="nil"/>
                  </w:tcBorders>
                  <w:vAlign w:val="center"/>
                </w:tcPr>
                <w:p w14:paraId="7F82297A">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900</w:t>
                  </w:r>
                </w:p>
              </w:tc>
              <w:tc>
                <w:tcPr>
                  <w:tcW w:w="723" w:type="dxa"/>
                  <w:vMerge w:val="continue"/>
                  <w:tcBorders>
                    <w:tl2br w:val="nil"/>
                    <w:tr2bl w:val="nil"/>
                  </w:tcBorders>
                  <w:vAlign w:val="center"/>
                </w:tcPr>
                <w:p w14:paraId="34AAE659">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p>
              </w:tc>
              <w:tc>
                <w:tcPr>
                  <w:tcW w:w="323" w:type="dxa"/>
                  <w:vMerge w:val="continue"/>
                  <w:tcBorders>
                    <w:tl2br w:val="nil"/>
                    <w:tr2bl w:val="nil"/>
                  </w:tcBorders>
                  <w:vAlign w:val="center"/>
                </w:tcPr>
                <w:p w14:paraId="13ED531D">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p>
              </w:tc>
              <w:tc>
                <w:tcPr>
                  <w:tcW w:w="898" w:type="dxa"/>
                  <w:tcBorders>
                    <w:tl2br w:val="nil"/>
                    <w:tr2bl w:val="nil"/>
                  </w:tcBorders>
                  <w:shd w:val="clear" w:color="auto" w:fill="auto"/>
                  <w:vAlign w:val="center"/>
                </w:tcPr>
                <w:p w14:paraId="1C3F6D40">
                  <w:pPr>
                    <w:keepNext w:val="0"/>
                    <w:keepLines w:val="0"/>
                    <w:pageBreakBefore w:val="0"/>
                    <w:tabs>
                      <w:tab w:val="left" w:pos="1170"/>
                      <w:tab w:val="left" w:pos="1470"/>
                    </w:tabs>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0.3×10</w:t>
                  </w:r>
                  <w:r>
                    <w:rPr>
                      <w:rFonts w:hint="default" w:ascii="Times New Roman" w:hAnsi="Times New Roman" w:eastAsia="宋体" w:cs="Times New Roman"/>
                      <w:b w:val="0"/>
                      <w:bCs w:val="0"/>
                      <w:color w:val="auto"/>
                      <w:sz w:val="18"/>
                      <w:szCs w:val="18"/>
                      <w:vertAlign w:val="superscript"/>
                      <w:lang w:val="en-US" w:eastAsia="zh-CN"/>
                    </w:rPr>
                    <w:t>-3</w:t>
                  </w:r>
                </w:p>
              </w:tc>
              <w:tc>
                <w:tcPr>
                  <w:tcW w:w="1105" w:type="dxa"/>
                  <w:tcBorders>
                    <w:tl2br w:val="nil"/>
                    <w:tr2bl w:val="nil"/>
                  </w:tcBorders>
                  <w:shd w:val="clear" w:color="auto" w:fill="auto"/>
                  <w:vAlign w:val="center"/>
                </w:tcPr>
                <w:p w14:paraId="0319717F">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0.008×10</w:t>
                  </w:r>
                  <w:r>
                    <w:rPr>
                      <w:rFonts w:hint="default" w:ascii="Times New Roman" w:hAnsi="Times New Roman" w:eastAsia="宋体" w:cs="Times New Roman"/>
                      <w:b w:val="0"/>
                      <w:bCs w:val="0"/>
                      <w:color w:val="auto"/>
                      <w:sz w:val="18"/>
                      <w:szCs w:val="18"/>
                      <w:vertAlign w:val="superscript"/>
                      <w:lang w:val="en-US" w:eastAsia="zh-CN"/>
                    </w:rPr>
                    <w:t>-3</w:t>
                  </w:r>
                </w:p>
              </w:tc>
            </w:tr>
            <w:tr w14:paraId="73EA90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22" w:type="dxa"/>
                  <w:vMerge w:val="continue"/>
                  <w:tcBorders>
                    <w:tl2br w:val="nil"/>
                    <w:tr2bl w:val="nil"/>
                  </w:tcBorders>
                  <w:vAlign w:val="center"/>
                </w:tcPr>
                <w:p w14:paraId="1AEE5CC5">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527" w:type="dxa"/>
                  <w:vMerge w:val="continue"/>
                  <w:tcBorders>
                    <w:tl2br w:val="nil"/>
                    <w:tr2bl w:val="nil"/>
                  </w:tcBorders>
                  <w:vAlign w:val="center"/>
                </w:tcPr>
                <w:p w14:paraId="1A45FE2E">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i w:val="0"/>
                      <w:iCs w:val="0"/>
                      <w:color w:val="auto"/>
                      <w:kern w:val="0"/>
                      <w:sz w:val="18"/>
                      <w:szCs w:val="18"/>
                      <w:u w:val="none"/>
                      <w:lang w:val="en-US" w:eastAsia="zh-CN" w:bidi="ar"/>
                    </w:rPr>
                  </w:pPr>
                </w:p>
              </w:tc>
              <w:tc>
                <w:tcPr>
                  <w:tcW w:w="723" w:type="dxa"/>
                  <w:tcBorders>
                    <w:tl2br w:val="nil"/>
                    <w:tr2bl w:val="nil"/>
                  </w:tcBorders>
                  <w:shd w:val="clear" w:color="auto" w:fill="auto"/>
                  <w:vAlign w:val="center"/>
                </w:tcPr>
                <w:p w14:paraId="1CB54FE1">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VOCs</w:t>
                  </w:r>
                  <w:r>
                    <w:rPr>
                      <w:rFonts w:hint="default" w:ascii="Times New Roman" w:hAnsi="Times New Roman" w:cs="Times New Roman"/>
                      <w:color w:val="auto"/>
                      <w:sz w:val="18"/>
                      <w:szCs w:val="18"/>
                      <w:lang w:val="en-US" w:eastAsia="zh-CN"/>
                    </w:rPr>
                    <w:t>（以非甲烷总烃计）</w:t>
                  </w:r>
                </w:p>
              </w:tc>
              <w:tc>
                <w:tcPr>
                  <w:tcW w:w="911" w:type="dxa"/>
                  <w:tcBorders>
                    <w:tl2br w:val="nil"/>
                    <w:tr2bl w:val="nil"/>
                  </w:tcBorders>
                  <w:shd w:val="clear" w:color="auto" w:fill="auto"/>
                  <w:vAlign w:val="center"/>
                </w:tcPr>
                <w:p w14:paraId="78669B1E">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color w:val="auto"/>
                      <w:sz w:val="18"/>
                      <w:szCs w:val="18"/>
                      <w:lang w:val="en-US" w:eastAsia="zh-CN"/>
                    </w:rPr>
                    <w:t>0.1400</w:t>
                  </w:r>
                </w:p>
              </w:tc>
              <w:tc>
                <w:tcPr>
                  <w:tcW w:w="736" w:type="dxa"/>
                  <w:vMerge w:val="continue"/>
                  <w:tcBorders>
                    <w:tl2br w:val="nil"/>
                    <w:tr2bl w:val="nil"/>
                  </w:tcBorders>
                  <w:vAlign w:val="center"/>
                </w:tcPr>
                <w:p w14:paraId="448E7C85">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p>
              </w:tc>
              <w:tc>
                <w:tcPr>
                  <w:tcW w:w="1137" w:type="dxa"/>
                  <w:vMerge w:val="continue"/>
                  <w:tcBorders>
                    <w:tl2br w:val="nil"/>
                    <w:tr2bl w:val="nil"/>
                  </w:tcBorders>
                  <w:vAlign w:val="center"/>
                </w:tcPr>
                <w:p w14:paraId="5DA8EF5E">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p>
              </w:tc>
              <w:tc>
                <w:tcPr>
                  <w:tcW w:w="736" w:type="dxa"/>
                  <w:vMerge w:val="continue"/>
                  <w:tcBorders>
                    <w:tl2br w:val="nil"/>
                    <w:tr2bl w:val="nil"/>
                  </w:tcBorders>
                  <w:vAlign w:val="center"/>
                </w:tcPr>
                <w:p w14:paraId="4AF9240E">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p>
              </w:tc>
              <w:tc>
                <w:tcPr>
                  <w:tcW w:w="941" w:type="dxa"/>
                  <w:vMerge w:val="continue"/>
                  <w:tcBorders>
                    <w:tl2br w:val="nil"/>
                    <w:tr2bl w:val="nil"/>
                  </w:tcBorders>
                  <w:vAlign w:val="center"/>
                </w:tcPr>
                <w:p w14:paraId="2635596D">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p>
              </w:tc>
              <w:tc>
                <w:tcPr>
                  <w:tcW w:w="1101" w:type="dxa"/>
                  <w:tcBorders>
                    <w:tl2br w:val="nil"/>
                    <w:tr2bl w:val="nil"/>
                  </w:tcBorders>
                  <w:vAlign w:val="center"/>
                </w:tcPr>
                <w:p w14:paraId="076779C0">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highlight w:val="none"/>
                    </w:rPr>
                    <w:t>0.</w:t>
                  </w:r>
                  <w:r>
                    <w:rPr>
                      <w:rFonts w:hint="default" w:ascii="Times New Roman" w:hAnsi="Times New Roman" w:cs="Times New Roman"/>
                      <w:color w:val="auto"/>
                      <w:sz w:val="18"/>
                      <w:szCs w:val="18"/>
                      <w:highlight w:val="none"/>
                      <w:lang w:val="en-US" w:eastAsia="zh-CN"/>
                    </w:rPr>
                    <w:t>0321</w:t>
                  </w:r>
                  <w:r>
                    <w:rPr>
                      <w:rFonts w:hint="default" w:ascii="Times New Roman" w:hAnsi="Times New Roman" w:cs="Times New Roman"/>
                      <w:color w:val="auto"/>
                      <w:kern w:val="0"/>
                      <w:sz w:val="18"/>
                      <w:szCs w:val="18"/>
                      <w:highlight w:val="none"/>
                      <w:lang w:bidi="ar"/>
                    </w:rPr>
                    <w:t xml:space="preserve"> </w:t>
                  </w:r>
                </w:p>
              </w:tc>
              <w:tc>
                <w:tcPr>
                  <w:tcW w:w="1024" w:type="dxa"/>
                  <w:tcBorders>
                    <w:tl2br w:val="nil"/>
                    <w:tr2bl w:val="nil"/>
                  </w:tcBorders>
                  <w:vAlign w:val="center"/>
                </w:tcPr>
                <w:p w14:paraId="53832586">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highlight w:val="none"/>
                      <w:lang w:val="en-US" w:eastAsia="zh-CN" w:bidi="ar"/>
                    </w:rPr>
                    <w:t>0.0030</w:t>
                  </w:r>
                </w:p>
              </w:tc>
              <w:tc>
                <w:tcPr>
                  <w:tcW w:w="1024" w:type="dxa"/>
                  <w:tcBorders>
                    <w:tl2br w:val="nil"/>
                    <w:tr2bl w:val="nil"/>
                  </w:tcBorders>
                  <w:vAlign w:val="center"/>
                </w:tcPr>
                <w:p w14:paraId="41EE2192">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kern w:val="0"/>
                      <w:sz w:val="18"/>
                      <w:szCs w:val="18"/>
                      <w:highlight w:val="none"/>
                      <w:lang w:val="en-US" w:eastAsia="zh-CN" w:bidi="ar"/>
                    </w:rPr>
                    <w:t>0.0027</w:t>
                  </w:r>
                </w:p>
              </w:tc>
              <w:tc>
                <w:tcPr>
                  <w:tcW w:w="906" w:type="dxa"/>
                  <w:tcBorders>
                    <w:tl2br w:val="nil"/>
                    <w:tr2bl w:val="nil"/>
                  </w:tcBorders>
                  <w:vAlign w:val="center"/>
                </w:tcPr>
                <w:p w14:paraId="3271A31F">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color w:val="auto"/>
                      <w:sz w:val="18"/>
                      <w:szCs w:val="18"/>
                      <w:highlight w:val="none"/>
                    </w:rPr>
                    <w:t>0.</w:t>
                  </w:r>
                  <w:r>
                    <w:rPr>
                      <w:rFonts w:hint="default" w:ascii="Times New Roman" w:hAnsi="Times New Roman" w:cs="Times New Roman"/>
                      <w:color w:val="auto"/>
                      <w:sz w:val="18"/>
                      <w:szCs w:val="18"/>
                      <w:highlight w:val="none"/>
                      <w:lang w:val="en-US" w:eastAsia="zh-CN"/>
                    </w:rPr>
                    <w:t>0078</w:t>
                  </w:r>
                </w:p>
              </w:tc>
              <w:tc>
                <w:tcPr>
                  <w:tcW w:w="906" w:type="dxa"/>
                  <w:tcBorders>
                    <w:tl2br w:val="nil"/>
                    <w:tr2bl w:val="nil"/>
                  </w:tcBorders>
                  <w:vAlign w:val="center"/>
                </w:tcPr>
                <w:p w14:paraId="27F9166D">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070</w:t>
                  </w:r>
                </w:p>
              </w:tc>
              <w:tc>
                <w:tcPr>
                  <w:tcW w:w="527" w:type="dxa"/>
                  <w:tcBorders>
                    <w:tl2br w:val="nil"/>
                    <w:tr2bl w:val="nil"/>
                  </w:tcBorders>
                  <w:vAlign w:val="center"/>
                </w:tcPr>
                <w:p w14:paraId="17A97367">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900</w:t>
                  </w:r>
                </w:p>
              </w:tc>
              <w:tc>
                <w:tcPr>
                  <w:tcW w:w="723" w:type="dxa"/>
                  <w:vMerge w:val="continue"/>
                  <w:tcBorders>
                    <w:tl2br w:val="nil"/>
                    <w:tr2bl w:val="nil"/>
                  </w:tcBorders>
                  <w:vAlign w:val="center"/>
                </w:tcPr>
                <w:p w14:paraId="51F1B647">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p>
              </w:tc>
              <w:tc>
                <w:tcPr>
                  <w:tcW w:w="323" w:type="dxa"/>
                  <w:vMerge w:val="continue"/>
                  <w:tcBorders>
                    <w:tl2br w:val="nil"/>
                    <w:tr2bl w:val="nil"/>
                  </w:tcBorders>
                  <w:vAlign w:val="center"/>
                </w:tcPr>
                <w:p w14:paraId="349245DD">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p>
              </w:tc>
              <w:tc>
                <w:tcPr>
                  <w:tcW w:w="898" w:type="dxa"/>
                  <w:tcBorders>
                    <w:tl2br w:val="nil"/>
                    <w:tr2bl w:val="nil"/>
                  </w:tcBorders>
                  <w:vAlign w:val="center"/>
                </w:tcPr>
                <w:p w14:paraId="39610AE5">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 w:val="0"/>
                      <w:bCs w:val="0"/>
                      <w:color w:val="auto"/>
                      <w:sz w:val="18"/>
                      <w:szCs w:val="18"/>
                      <w:lang w:val="en-US" w:eastAsia="zh-CN"/>
                    </w:rPr>
                    <w:t>120</w:t>
                  </w:r>
                </w:p>
              </w:tc>
              <w:tc>
                <w:tcPr>
                  <w:tcW w:w="1105" w:type="dxa"/>
                  <w:tcBorders>
                    <w:tl2br w:val="nil"/>
                    <w:tr2bl w:val="nil"/>
                  </w:tcBorders>
                  <w:vAlign w:val="center"/>
                </w:tcPr>
                <w:p w14:paraId="29B7C2AC">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4.0</w:t>
                  </w:r>
                </w:p>
              </w:tc>
            </w:tr>
            <w:tr w14:paraId="38A931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22" w:type="dxa"/>
                  <w:vMerge w:val="continue"/>
                  <w:tcBorders>
                    <w:tl2br w:val="nil"/>
                    <w:tr2bl w:val="nil"/>
                  </w:tcBorders>
                  <w:vAlign w:val="center"/>
                </w:tcPr>
                <w:p w14:paraId="4B2D5BC3">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527" w:type="dxa"/>
                  <w:vMerge w:val="restart"/>
                  <w:tcBorders>
                    <w:tl2br w:val="nil"/>
                    <w:tr2bl w:val="nil"/>
                  </w:tcBorders>
                  <w:shd w:val="clear" w:color="auto" w:fill="auto"/>
                  <w:vAlign w:val="center"/>
                </w:tcPr>
                <w:p w14:paraId="29FC7E28">
                  <w:pPr>
                    <w:pStyle w:val="11"/>
                    <w:keepNext w:val="0"/>
                    <w:keepLines w:val="0"/>
                    <w:pageBreakBefore w:val="0"/>
                    <w:kinsoku/>
                    <w:wordWrap/>
                    <w:overflowPunct/>
                    <w:topLinePunct w:val="0"/>
                    <w:autoSpaceDE/>
                    <w:autoSpaceDN/>
                    <w:bidi w:val="0"/>
                    <w:spacing w:line="24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沥青废气</w:t>
                  </w:r>
                  <w:r>
                    <w:rPr>
                      <w:rStyle w:val="36"/>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沥青储罐</w:t>
                  </w:r>
                  <w:r>
                    <w:rPr>
                      <w:rStyle w:val="36"/>
                      <w:rFonts w:hint="default" w:ascii="Times New Roman" w:hAnsi="Times New Roman" w:cs="Times New Roman"/>
                      <w:color w:val="auto"/>
                      <w:sz w:val="18"/>
                      <w:szCs w:val="18"/>
                      <w:lang w:eastAsia="zh-CN"/>
                    </w:rPr>
                    <w:t>）</w:t>
                  </w:r>
                </w:p>
                <w:p w14:paraId="0892BA4F">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i w:val="0"/>
                      <w:iCs w:val="0"/>
                      <w:color w:val="auto"/>
                      <w:kern w:val="0"/>
                      <w:sz w:val="18"/>
                      <w:szCs w:val="18"/>
                      <w:u w:val="none"/>
                      <w:lang w:val="en-US" w:eastAsia="zh-CN" w:bidi="ar"/>
                    </w:rPr>
                  </w:pPr>
                </w:p>
              </w:tc>
              <w:tc>
                <w:tcPr>
                  <w:tcW w:w="723" w:type="dxa"/>
                  <w:tcBorders>
                    <w:tl2br w:val="nil"/>
                    <w:tr2bl w:val="nil"/>
                  </w:tcBorders>
                  <w:shd w:val="clear" w:color="auto" w:fill="auto"/>
                  <w:vAlign w:val="center"/>
                </w:tcPr>
                <w:p w14:paraId="539CDCB1">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沥青烟</w:t>
                  </w:r>
                </w:p>
              </w:tc>
              <w:tc>
                <w:tcPr>
                  <w:tcW w:w="911" w:type="dxa"/>
                  <w:tcBorders>
                    <w:tl2br w:val="nil"/>
                    <w:tr2bl w:val="nil"/>
                  </w:tcBorders>
                  <w:shd w:val="clear" w:color="auto" w:fill="auto"/>
                  <w:vAlign w:val="center"/>
                </w:tcPr>
                <w:p w14:paraId="1FF35312">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0.0768</w:t>
                  </w:r>
                </w:p>
              </w:tc>
              <w:tc>
                <w:tcPr>
                  <w:tcW w:w="736" w:type="dxa"/>
                  <w:vMerge w:val="restart"/>
                  <w:tcBorders>
                    <w:tl2br w:val="nil"/>
                    <w:tr2bl w:val="nil"/>
                  </w:tcBorders>
                  <w:vAlign w:val="center"/>
                </w:tcPr>
                <w:p w14:paraId="7555C9E6">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100</w:t>
                  </w:r>
                </w:p>
              </w:tc>
              <w:tc>
                <w:tcPr>
                  <w:tcW w:w="1137" w:type="dxa"/>
                  <w:vMerge w:val="restart"/>
                  <w:tcBorders>
                    <w:tl2br w:val="nil"/>
                    <w:tr2bl w:val="nil"/>
                  </w:tcBorders>
                  <w:vAlign w:val="center"/>
                </w:tcPr>
                <w:p w14:paraId="0746BDA6">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管道</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燃烧器燃烧</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20</w:t>
                  </w:r>
                  <w:r>
                    <w:rPr>
                      <w:rFonts w:hint="default" w:ascii="Times New Roman" w:hAnsi="Times New Roman" w:cs="Times New Roman"/>
                      <w:color w:val="auto"/>
                      <w:sz w:val="18"/>
                      <w:szCs w:val="18"/>
                    </w:rPr>
                    <w:t>m排气筒（</w:t>
                  </w:r>
                  <w:r>
                    <w:rPr>
                      <w:rFonts w:hint="default" w:ascii="Times New Roman" w:hAnsi="Times New Roman" w:cs="Times New Roman"/>
                      <w:color w:val="auto"/>
                      <w:sz w:val="18"/>
                      <w:szCs w:val="18"/>
                      <w:lang w:eastAsia="zh-CN"/>
                    </w:rPr>
                    <w:t>DA001</w:t>
                  </w:r>
                  <w:r>
                    <w:rPr>
                      <w:rFonts w:hint="default" w:ascii="Times New Roman" w:hAnsi="Times New Roman" w:cs="Times New Roman"/>
                      <w:color w:val="auto"/>
                      <w:sz w:val="18"/>
                      <w:szCs w:val="18"/>
                    </w:rPr>
                    <w:t>）</w:t>
                  </w:r>
                </w:p>
              </w:tc>
              <w:tc>
                <w:tcPr>
                  <w:tcW w:w="736" w:type="dxa"/>
                  <w:vMerge w:val="restart"/>
                  <w:tcBorders>
                    <w:tl2br w:val="nil"/>
                    <w:tr2bl w:val="nil"/>
                  </w:tcBorders>
                  <w:vAlign w:val="center"/>
                </w:tcPr>
                <w:p w14:paraId="1E9D014C">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98</w:t>
                  </w:r>
                </w:p>
              </w:tc>
              <w:tc>
                <w:tcPr>
                  <w:tcW w:w="941" w:type="dxa"/>
                  <w:vMerge w:val="restart"/>
                  <w:tcBorders>
                    <w:tl2br w:val="nil"/>
                    <w:tr2bl w:val="nil"/>
                  </w:tcBorders>
                  <w:vAlign w:val="center"/>
                </w:tcPr>
                <w:p w14:paraId="0F5412EA">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92000</w:t>
                  </w:r>
                </w:p>
              </w:tc>
              <w:tc>
                <w:tcPr>
                  <w:tcW w:w="1101" w:type="dxa"/>
                  <w:tcBorders>
                    <w:tl2br w:val="nil"/>
                    <w:tr2bl w:val="nil"/>
                  </w:tcBorders>
                  <w:vAlign w:val="center"/>
                </w:tcPr>
                <w:p w14:paraId="2E59C3D2">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color w:val="auto"/>
                      <w:sz w:val="18"/>
                      <w:szCs w:val="18"/>
                      <w:highlight w:val="none"/>
                      <w:lang w:val="en-US" w:eastAsia="zh-CN"/>
                    </w:rPr>
                    <w:t>0.0046</w:t>
                  </w:r>
                </w:p>
              </w:tc>
              <w:tc>
                <w:tcPr>
                  <w:tcW w:w="1024" w:type="dxa"/>
                  <w:tcBorders>
                    <w:tl2br w:val="nil"/>
                    <w:tr2bl w:val="nil"/>
                  </w:tcBorders>
                  <w:vAlign w:val="center"/>
                </w:tcPr>
                <w:p w14:paraId="00FCB033">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color w:val="auto"/>
                      <w:sz w:val="18"/>
                      <w:szCs w:val="18"/>
                      <w:highlight w:val="none"/>
                      <w:lang w:val="en-US" w:eastAsia="zh-CN"/>
                    </w:rPr>
                    <w:t>0.0004</w:t>
                  </w:r>
                </w:p>
              </w:tc>
              <w:tc>
                <w:tcPr>
                  <w:tcW w:w="1024" w:type="dxa"/>
                  <w:tcBorders>
                    <w:tl2br w:val="nil"/>
                    <w:tr2bl w:val="nil"/>
                  </w:tcBorders>
                  <w:vAlign w:val="center"/>
                </w:tcPr>
                <w:p w14:paraId="7A432723">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015</w:t>
                  </w:r>
                </w:p>
              </w:tc>
              <w:tc>
                <w:tcPr>
                  <w:tcW w:w="906" w:type="dxa"/>
                  <w:tcBorders>
                    <w:tl2br w:val="nil"/>
                    <w:tr2bl w:val="nil"/>
                  </w:tcBorders>
                  <w:vAlign w:val="center"/>
                </w:tcPr>
                <w:p w14:paraId="2FA1D0C9">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906" w:type="dxa"/>
                  <w:tcBorders>
                    <w:tl2br w:val="nil"/>
                    <w:tr2bl w:val="nil"/>
                  </w:tcBorders>
                  <w:vAlign w:val="center"/>
                </w:tcPr>
                <w:p w14:paraId="47C87D2F">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527" w:type="dxa"/>
                  <w:tcBorders>
                    <w:tl2br w:val="nil"/>
                    <w:tr2bl w:val="nil"/>
                  </w:tcBorders>
                  <w:vAlign w:val="center"/>
                </w:tcPr>
                <w:p w14:paraId="4469E18B">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900</w:t>
                  </w:r>
                </w:p>
              </w:tc>
              <w:tc>
                <w:tcPr>
                  <w:tcW w:w="723" w:type="dxa"/>
                  <w:vMerge w:val="restart"/>
                  <w:tcBorders>
                    <w:tl2br w:val="nil"/>
                    <w:tr2bl w:val="nil"/>
                  </w:tcBorders>
                  <w:shd w:val="clear" w:color="auto" w:fill="auto"/>
                  <w:vAlign w:val="center"/>
                </w:tcPr>
                <w:p w14:paraId="786C903F">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DA001</w:t>
                  </w:r>
                </w:p>
              </w:tc>
              <w:tc>
                <w:tcPr>
                  <w:tcW w:w="323" w:type="dxa"/>
                  <w:vMerge w:val="restart"/>
                  <w:tcBorders>
                    <w:tl2br w:val="nil"/>
                    <w:tr2bl w:val="nil"/>
                  </w:tcBorders>
                  <w:shd w:val="clear" w:color="auto" w:fill="auto"/>
                  <w:vAlign w:val="center"/>
                </w:tcPr>
                <w:p w14:paraId="2ED54D4B">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主要排放口</w:t>
                  </w:r>
                </w:p>
              </w:tc>
              <w:tc>
                <w:tcPr>
                  <w:tcW w:w="898" w:type="dxa"/>
                  <w:tcBorders>
                    <w:tl2br w:val="nil"/>
                    <w:tr2bl w:val="nil"/>
                  </w:tcBorders>
                  <w:shd w:val="clear" w:color="auto" w:fill="auto"/>
                  <w:vAlign w:val="center"/>
                </w:tcPr>
                <w:p w14:paraId="541A8893">
                  <w:pPr>
                    <w:keepNext w:val="0"/>
                    <w:keepLines w:val="0"/>
                    <w:pageBreakBefore w:val="0"/>
                    <w:tabs>
                      <w:tab w:val="left" w:pos="1170"/>
                      <w:tab w:val="left" w:pos="1470"/>
                    </w:tabs>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75</w:t>
                  </w:r>
                </w:p>
              </w:tc>
              <w:tc>
                <w:tcPr>
                  <w:tcW w:w="1105" w:type="dxa"/>
                  <w:tcBorders>
                    <w:tl2br w:val="nil"/>
                    <w:tr2bl w:val="nil"/>
                  </w:tcBorders>
                  <w:shd w:val="clear" w:color="auto" w:fill="auto"/>
                  <w:vAlign w:val="center"/>
                </w:tcPr>
                <w:p w14:paraId="413D9833">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生产设备不得有明显无组织排放存在</w:t>
                  </w:r>
                </w:p>
              </w:tc>
            </w:tr>
            <w:tr w14:paraId="7FD3FA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22" w:type="dxa"/>
                  <w:vMerge w:val="continue"/>
                  <w:tcBorders>
                    <w:tl2br w:val="nil"/>
                    <w:tr2bl w:val="nil"/>
                  </w:tcBorders>
                  <w:vAlign w:val="center"/>
                </w:tcPr>
                <w:p w14:paraId="62937E47">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527" w:type="dxa"/>
                  <w:vMerge w:val="continue"/>
                  <w:tcBorders>
                    <w:tl2br w:val="nil"/>
                    <w:tr2bl w:val="nil"/>
                  </w:tcBorders>
                  <w:vAlign w:val="center"/>
                </w:tcPr>
                <w:p w14:paraId="609DD45E">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i w:val="0"/>
                      <w:iCs w:val="0"/>
                      <w:color w:val="auto"/>
                      <w:kern w:val="0"/>
                      <w:sz w:val="18"/>
                      <w:szCs w:val="18"/>
                      <w:u w:val="none"/>
                      <w:lang w:val="en-US" w:eastAsia="zh-CN" w:bidi="ar"/>
                    </w:rPr>
                  </w:pPr>
                </w:p>
              </w:tc>
              <w:tc>
                <w:tcPr>
                  <w:tcW w:w="723" w:type="dxa"/>
                  <w:tcBorders>
                    <w:tl2br w:val="nil"/>
                    <w:tr2bl w:val="nil"/>
                  </w:tcBorders>
                  <w:shd w:val="clear" w:color="auto" w:fill="auto"/>
                  <w:vAlign w:val="center"/>
                </w:tcPr>
                <w:p w14:paraId="2EF0C76F">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苯并[a]芘</w:t>
                  </w:r>
                </w:p>
              </w:tc>
              <w:tc>
                <w:tcPr>
                  <w:tcW w:w="911" w:type="dxa"/>
                  <w:tcBorders>
                    <w:tl2br w:val="nil"/>
                    <w:tr2bl w:val="nil"/>
                  </w:tcBorders>
                  <w:shd w:val="clear" w:color="auto" w:fill="auto"/>
                  <w:vAlign w:val="center"/>
                </w:tcPr>
                <w:p w14:paraId="2E457A68">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1.53</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w:t>
                  </w:r>
                  <w:r>
                    <w:rPr>
                      <w:rFonts w:hint="default" w:ascii="Times New Roman" w:hAnsi="Times New Roman" w:cs="Times New Roman"/>
                      <w:color w:val="auto"/>
                      <w:sz w:val="18"/>
                      <w:szCs w:val="18"/>
                      <w:vertAlign w:val="superscript"/>
                      <w:lang w:val="en-US" w:eastAsia="zh-CN"/>
                    </w:rPr>
                    <w:t>6</w:t>
                  </w:r>
                </w:p>
              </w:tc>
              <w:tc>
                <w:tcPr>
                  <w:tcW w:w="736" w:type="dxa"/>
                  <w:vMerge w:val="continue"/>
                  <w:tcBorders>
                    <w:tl2br w:val="nil"/>
                    <w:tr2bl w:val="nil"/>
                  </w:tcBorders>
                  <w:vAlign w:val="center"/>
                </w:tcPr>
                <w:p w14:paraId="01CF6D70">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p>
              </w:tc>
              <w:tc>
                <w:tcPr>
                  <w:tcW w:w="1137" w:type="dxa"/>
                  <w:vMerge w:val="continue"/>
                  <w:tcBorders>
                    <w:tl2br w:val="nil"/>
                    <w:tr2bl w:val="nil"/>
                  </w:tcBorders>
                  <w:vAlign w:val="center"/>
                </w:tcPr>
                <w:p w14:paraId="61A0CA11">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p>
              </w:tc>
              <w:tc>
                <w:tcPr>
                  <w:tcW w:w="736" w:type="dxa"/>
                  <w:vMerge w:val="continue"/>
                  <w:tcBorders>
                    <w:tl2br w:val="nil"/>
                    <w:tr2bl w:val="nil"/>
                  </w:tcBorders>
                  <w:vAlign w:val="center"/>
                </w:tcPr>
                <w:p w14:paraId="7E4EBCB6">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p>
              </w:tc>
              <w:tc>
                <w:tcPr>
                  <w:tcW w:w="941" w:type="dxa"/>
                  <w:vMerge w:val="continue"/>
                  <w:tcBorders>
                    <w:tl2br w:val="nil"/>
                    <w:tr2bl w:val="nil"/>
                  </w:tcBorders>
                  <w:vAlign w:val="center"/>
                </w:tcPr>
                <w:p w14:paraId="06FEE53D">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1101" w:type="dxa"/>
                  <w:tcBorders>
                    <w:tl2br w:val="nil"/>
                    <w:tr2bl w:val="nil"/>
                  </w:tcBorders>
                  <w:vAlign w:val="center"/>
                </w:tcPr>
                <w:p w14:paraId="31A6648F">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color w:val="auto"/>
                      <w:sz w:val="18"/>
                      <w:szCs w:val="18"/>
                      <w:highlight w:val="none"/>
                      <w:lang w:val="en-US" w:eastAsia="zh-CN"/>
                    </w:rPr>
                    <w:t>9.28</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w:t>
                  </w:r>
                  <w:r>
                    <w:rPr>
                      <w:rFonts w:hint="default" w:ascii="Times New Roman" w:hAnsi="Times New Roman" w:cs="Times New Roman"/>
                      <w:color w:val="auto"/>
                      <w:sz w:val="18"/>
                      <w:szCs w:val="18"/>
                      <w:highlight w:val="none"/>
                      <w:vertAlign w:val="superscript"/>
                      <w:lang w:val="en-US" w:eastAsia="zh-CN"/>
                    </w:rPr>
                    <w:t>8</w:t>
                  </w:r>
                </w:p>
              </w:tc>
              <w:tc>
                <w:tcPr>
                  <w:tcW w:w="1024" w:type="dxa"/>
                  <w:tcBorders>
                    <w:tl2br w:val="nil"/>
                    <w:tr2bl w:val="nil"/>
                  </w:tcBorders>
                  <w:vAlign w:val="center"/>
                </w:tcPr>
                <w:p w14:paraId="2C00EC2A">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color w:val="auto"/>
                      <w:sz w:val="18"/>
                      <w:szCs w:val="18"/>
                      <w:highlight w:val="none"/>
                      <w:lang w:val="en-US" w:eastAsia="zh-CN"/>
                    </w:rPr>
                    <w:t>0.85</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-8</w:t>
                  </w:r>
                </w:p>
              </w:tc>
              <w:tc>
                <w:tcPr>
                  <w:tcW w:w="1024" w:type="dxa"/>
                  <w:tcBorders>
                    <w:tl2br w:val="nil"/>
                    <w:tr2bl w:val="nil"/>
                  </w:tcBorders>
                  <w:vAlign w:val="center"/>
                </w:tcPr>
                <w:p w14:paraId="5804290A">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color w:val="auto"/>
                      <w:sz w:val="18"/>
                      <w:szCs w:val="18"/>
                      <w:highlight w:val="none"/>
                      <w:lang w:val="en-US" w:eastAsia="zh-CN"/>
                    </w:rPr>
                    <w:t>3.07</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w:t>
                  </w:r>
                  <w:r>
                    <w:rPr>
                      <w:rFonts w:hint="default" w:ascii="Times New Roman" w:hAnsi="Times New Roman" w:cs="Times New Roman"/>
                      <w:color w:val="auto"/>
                      <w:sz w:val="18"/>
                      <w:szCs w:val="18"/>
                      <w:highlight w:val="none"/>
                      <w:vertAlign w:val="superscript"/>
                      <w:lang w:val="en-US" w:eastAsia="zh-CN"/>
                    </w:rPr>
                    <w:t>8</w:t>
                  </w:r>
                </w:p>
              </w:tc>
              <w:tc>
                <w:tcPr>
                  <w:tcW w:w="906" w:type="dxa"/>
                  <w:tcBorders>
                    <w:tl2br w:val="nil"/>
                    <w:tr2bl w:val="nil"/>
                  </w:tcBorders>
                  <w:vAlign w:val="center"/>
                </w:tcPr>
                <w:p w14:paraId="6CF2B917">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906" w:type="dxa"/>
                  <w:tcBorders>
                    <w:tl2br w:val="nil"/>
                    <w:tr2bl w:val="nil"/>
                  </w:tcBorders>
                  <w:vAlign w:val="center"/>
                </w:tcPr>
                <w:p w14:paraId="015BD74A">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527" w:type="dxa"/>
                  <w:tcBorders>
                    <w:tl2br w:val="nil"/>
                    <w:tr2bl w:val="nil"/>
                  </w:tcBorders>
                  <w:vAlign w:val="center"/>
                </w:tcPr>
                <w:p w14:paraId="63601C19">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900</w:t>
                  </w:r>
                </w:p>
              </w:tc>
              <w:tc>
                <w:tcPr>
                  <w:tcW w:w="723" w:type="dxa"/>
                  <w:vMerge w:val="continue"/>
                  <w:tcBorders>
                    <w:tl2br w:val="nil"/>
                    <w:tr2bl w:val="nil"/>
                  </w:tcBorders>
                  <w:vAlign w:val="center"/>
                </w:tcPr>
                <w:p w14:paraId="06CDE23F">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p>
              </w:tc>
              <w:tc>
                <w:tcPr>
                  <w:tcW w:w="323" w:type="dxa"/>
                  <w:vMerge w:val="continue"/>
                  <w:tcBorders>
                    <w:tl2br w:val="nil"/>
                    <w:tr2bl w:val="nil"/>
                  </w:tcBorders>
                  <w:vAlign w:val="center"/>
                </w:tcPr>
                <w:p w14:paraId="274A057F">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p>
              </w:tc>
              <w:tc>
                <w:tcPr>
                  <w:tcW w:w="898" w:type="dxa"/>
                  <w:tcBorders>
                    <w:tl2br w:val="nil"/>
                    <w:tr2bl w:val="nil"/>
                  </w:tcBorders>
                  <w:shd w:val="clear" w:color="auto" w:fill="auto"/>
                  <w:vAlign w:val="center"/>
                </w:tcPr>
                <w:p w14:paraId="58152672">
                  <w:pPr>
                    <w:keepNext w:val="0"/>
                    <w:keepLines w:val="0"/>
                    <w:pageBreakBefore w:val="0"/>
                    <w:tabs>
                      <w:tab w:val="left" w:pos="1170"/>
                      <w:tab w:val="left" w:pos="1470"/>
                    </w:tabs>
                    <w:kinsoku/>
                    <w:wordWrap/>
                    <w:overflowPunct/>
                    <w:topLinePunct w:val="0"/>
                    <w:autoSpaceDE/>
                    <w:autoSpaceDN/>
                    <w:bidi w:val="0"/>
                    <w:spacing w:line="240" w:lineRule="exact"/>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0.3×10</w:t>
                  </w:r>
                  <w:r>
                    <w:rPr>
                      <w:rFonts w:hint="default" w:ascii="Times New Roman" w:hAnsi="Times New Roman" w:eastAsia="宋体" w:cs="Times New Roman"/>
                      <w:b w:val="0"/>
                      <w:bCs w:val="0"/>
                      <w:color w:val="auto"/>
                      <w:sz w:val="18"/>
                      <w:szCs w:val="18"/>
                      <w:vertAlign w:val="superscript"/>
                      <w:lang w:val="en-US" w:eastAsia="zh-CN"/>
                    </w:rPr>
                    <w:t>-3</w:t>
                  </w:r>
                </w:p>
              </w:tc>
              <w:tc>
                <w:tcPr>
                  <w:tcW w:w="1105" w:type="dxa"/>
                  <w:tcBorders>
                    <w:tl2br w:val="nil"/>
                    <w:tr2bl w:val="nil"/>
                  </w:tcBorders>
                  <w:shd w:val="clear" w:color="auto" w:fill="auto"/>
                  <w:vAlign w:val="center"/>
                </w:tcPr>
                <w:p w14:paraId="478D8B35">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0.008×10</w:t>
                  </w:r>
                  <w:r>
                    <w:rPr>
                      <w:rFonts w:hint="default" w:ascii="Times New Roman" w:hAnsi="Times New Roman" w:eastAsia="宋体" w:cs="Times New Roman"/>
                      <w:b w:val="0"/>
                      <w:bCs w:val="0"/>
                      <w:color w:val="auto"/>
                      <w:sz w:val="18"/>
                      <w:szCs w:val="18"/>
                      <w:vertAlign w:val="superscript"/>
                      <w:lang w:val="en-US" w:eastAsia="zh-CN"/>
                    </w:rPr>
                    <w:t>-3</w:t>
                  </w:r>
                </w:p>
              </w:tc>
            </w:tr>
            <w:tr w14:paraId="41C49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22" w:type="dxa"/>
                  <w:vMerge w:val="continue"/>
                  <w:tcBorders>
                    <w:tl2br w:val="nil"/>
                    <w:tr2bl w:val="nil"/>
                  </w:tcBorders>
                  <w:vAlign w:val="center"/>
                </w:tcPr>
                <w:p w14:paraId="3CB251C4">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527" w:type="dxa"/>
                  <w:vMerge w:val="continue"/>
                  <w:tcBorders>
                    <w:tl2br w:val="nil"/>
                    <w:tr2bl w:val="nil"/>
                  </w:tcBorders>
                  <w:vAlign w:val="center"/>
                </w:tcPr>
                <w:p w14:paraId="1E5E2C32">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i w:val="0"/>
                      <w:iCs w:val="0"/>
                      <w:color w:val="auto"/>
                      <w:kern w:val="0"/>
                      <w:sz w:val="18"/>
                      <w:szCs w:val="18"/>
                      <w:u w:val="none"/>
                      <w:lang w:val="en-US" w:eastAsia="zh-CN" w:bidi="ar"/>
                    </w:rPr>
                  </w:pPr>
                </w:p>
              </w:tc>
              <w:tc>
                <w:tcPr>
                  <w:tcW w:w="723" w:type="dxa"/>
                  <w:tcBorders>
                    <w:tl2br w:val="nil"/>
                    <w:tr2bl w:val="nil"/>
                  </w:tcBorders>
                  <w:shd w:val="clear" w:color="auto" w:fill="auto"/>
                  <w:vAlign w:val="center"/>
                </w:tcPr>
                <w:p w14:paraId="1DD26B2F">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VOCs</w:t>
                  </w:r>
                  <w:r>
                    <w:rPr>
                      <w:rFonts w:hint="default" w:ascii="Times New Roman" w:hAnsi="Times New Roman" w:cs="Times New Roman"/>
                      <w:color w:val="auto"/>
                      <w:sz w:val="18"/>
                      <w:szCs w:val="18"/>
                      <w:lang w:val="en-US" w:eastAsia="zh-CN"/>
                    </w:rPr>
                    <w:t>（以非甲烷总烃计）</w:t>
                  </w:r>
                </w:p>
              </w:tc>
              <w:tc>
                <w:tcPr>
                  <w:tcW w:w="911" w:type="dxa"/>
                  <w:tcBorders>
                    <w:tl2br w:val="nil"/>
                    <w:tr2bl w:val="nil"/>
                  </w:tcBorders>
                  <w:shd w:val="clear" w:color="auto" w:fill="auto"/>
                  <w:vAlign w:val="center"/>
                </w:tcPr>
                <w:p w14:paraId="41EF3DC0">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0.0538</w:t>
                  </w:r>
                </w:p>
              </w:tc>
              <w:tc>
                <w:tcPr>
                  <w:tcW w:w="736" w:type="dxa"/>
                  <w:vMerge w:val="continue"/>
                  <w:tcBorders>
                    <w:tl2br w:val="nil"/>
                    <w:tr2bl w:val="nil"/>
                  </w:tcBorders>
                  <w:vAlign w:val="center"/>
                </w:tcPr>
                <w:p w14:paraId="620F1349">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p>
              </w:tc>
              <w:tc>
                <w:tcPr>
                  <w:tcW w:w="1137" w:type="dxa"/>
                  <w:vMerge w:val="continue"/>
                  <w:tcBorders>
                    <w:tl2br w:val="nil"/>
                    <w:tr2bl w:val="nil"/>
                  </w:tcBorders>
                  <w:vAlign w:val="center"/>
                </w:tcPr>
                <w:p w14:paraId="1F248D78">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p>
              </w:tc>
              <w:tc>
                <w:tcPr>
                  <w:tcW w:w="736" w:type="dxa"/>
                  <w:vMerge w:val="continue"/>
                  <w:tcBorders>
                    <w:tl2br w:val="nil"/>
                    <w:tr2bl w:val="nil"/>
                  </w:tcBorders>
                  <w:vAlign w:val="center"/>
                </w:tcPr>
                <w:p w14:paraId="7A8F5E0F">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p>
              </w:tc>
              <w:tc>
                <w:tcPr>
                  <w:tcW w:w="941" w:type="dxa"/>
                  <w:vMerge w:val="continue"/>
                  <w:tcBorders>
                    <w:tl2br w:val="nil"/>
                    <w:tr2bl w:val="nil"/>
                  </w:tcBorders>
                  <w:vAlign w:val="center"/>
                </w:tcPr>
                <w:p w14:paraId="60C7E093">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1101" w:type="dxa"/>
                  <w:tcBorders>
                    <w:tl2br w:val="nil"/>
                    <w:tr2bl w:val="nil"/>
                  </w:tcBorders>
                  <w:vAlign w:val="center"/>
                </w:tcPr>
                <w:p w14:paraId="2A57A067">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color w:val="auto"/>
                      <w:sz w:val="18"/>
                      <w:szCs w:val="18"/>
                      <w:highlight w:val="none"/>
                      <w:lang w:val="en-US" w:eastAsia="zh-CN"/>
                    </w:rPr>
                    <w:t>0.0032</w:t>
                  </w:r>
                </w:p>
              </w:tc>
              <w:tc>
                <w:tcPr>
                  <w:tcW w:w="1024" w:type="dxa"/>
                  <w:tcBorders>
                    <w:tl2br w:val="nil"/>
                    <w:tr2bl w:val="nil"/>
                  </w:tcBorders>
                  <w:vAlign w:val="center"/>
                </w:tcPr>
                <w:p w14:paraId="694E018D">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color w:val="auto"/>
                      <w:sz w:val="18"/>
                      <w:szCs w:val="18"/>
                      <w:highlight w:val="none"/>
                    </w:rPr>
                    <w:t>0.</w:t>
                  </w:r>
                  <w:r>
                    <w:rPr>
                      <w:rFonts w:hint="default" w:ascii="Times New Roman" w:hAnsi="Times New Roman" w:cs="Times New Roman"/>
                      <w:color w:val="auto"/>
                      <w:sz w:val="18"/>
                      <w:szCs w:val="18"/>
                      <w:highlight w:val="none"/>
                      <w:lang w:val="en-US" w:eastAsia="zh-CN"/>
                    </w:rPr>
                    <w:t>0003</w:t>
                  </w:r>
                </w:p>
              </w:tc>
              <w:tc>
                <w:tcPr>
                  <w:tcW w:w="1024" w:type="dxa"/>
                  <w:tcBorders>
                    <w:tl2br w:val="nil"/>
                    <w:tr2bl w:val="nil"/>
                  </w:tcBorders>
                  <w:vAlign w:val="center"/>
                </w:tcPr>
                <w:p w14:paraId="0BF64B21">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color w:val="auto"/>
                      <w:sz w:val="18"/>
                      <w:szCs w:val="18"/>
                      <w:highlight w:val="none"/>
                    </w:rPr>
                    <w:t>0.00</w:t>
                  </w:r>
                  <w:r>
                    <w:rPr>
                      <w:rFonts w:hint="default" w:ascii="Times New Roman" w:hAnsi="Times New Roman" w:cs="Times New Roman"/>
                      <w:color w:val="auto"/>
                      <w:sz w:val="18"/>
                      <w:szCs w:val="18"/>
                      <w:highlight w:val="none"/>
                      <w:lang w:val="en-US" w:eastAsia="zh-CN"/>
                    </w:rPr>
                    <w:t>11</w:t>
                  </w:r>
                </w:p>
              </w:tc>
              <w:tc>
                <w:tcPr>
                  <w:tcW w:w="906" w:type="dxa"/>
                  <w:tcBorders>
                    <w:tl2br w:val="nil"/>
                    <w:tr2bl w:val="nil"/>
                  </w:tcBorders>
                  <w:vAlign w:val="center"/>
                </w:tcPr>
                <w:p w14:paraId="4751A457">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906" w:type="dxa"/>
                  <w:tcBorders>
                    <w:tl2br w:val="nil"/>
                    <w:tr2bl w:val="nil"/>
                  </w:tcBorders>
                  <w:vAlign w:val="center"/>
                </w:tcPr>
                <w:p w14:paraId="7CD2039D">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527" w:type="dxa"/>
                  <w:tcBorders>
                    <w:tl2br w:val="nil"/>
                    <w:tr2bl w:val="nil"/>
                  </w:tcBorders>
                  <w:vAlign w:val="center"/>
                </w:tcPr>
                <w:p w14:paraId="576CACB3">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900</w:t>
                  </w:r>
                </w:p>
              </w:tc>
              <w:tc>
                <w:tcPr>
                  <w:tcW w:w="723" w:type="dxa"/>
                  <w:vMerge w:val="continue"/>
                  <w:tcBorders>
                    <w:tl2br w:val="nil"/>
                    <w:tr2bl w:val="nil"/>
                  </w:tcBorders>
                  <w:vAlign w:val="center"/>
                </w:tcPr>
                <w:p w14:paraId="058DDAAA">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p>
              </w:tc>
              <w:tc>
                <w:tcPr>
                  <w:tcW w:w="323" w:type="dxa"/>
                  <w:vMerge w:val="continue"/>
                  <w:tcBorders>
                    <w:tl2br w:val="nil"/>
                    <w:tr2bl w:val="nil"/>
                  </w:tcBorders>
                  <w:vAlign w:val="center"/>
                </w:tcPr>
                <w:p w14:paraId="52EF4513">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p>
              </w:tc>
              <w:tc>
                <w:tcPr>
                  <w:tcW w:w="898" w:type="dxa"/>
                  <w:tcBorders>
                    <w:tl2br w:val="nil"/>
                    <w:tr2bl w:val="nil"/>
                  </w:tcBorders>
                  <w:shd w:val="clear" w:color="auto" w:fill="auto"/>
                  <w:vAlign w:val="center"/>
                </w:tcPr>
                <w:p w14:paraId="6A5D14A5">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 w:val="0"/>
                      <w:bCs w:val="0"/>
                      <w:color w:val="auto"/>
                      <w:sz w:val="18"/>
                      <w:szCs w:val="18"/>
                      <w:lang w:val="en-US" w:eastAsia="zh-CN"/>
                    </w:rPr>
                    <w:t>120</w:t>
                  </w:r>
                </w:p>
              </w:tc>
              <w:tc>
                <w:tcPr>
                  <w:tcW w:w="1105" w:type="dxa"/>
                  <w:tcBorders>
                    <w:tl2br w:val="nil"/>
                    <w:tr2bl w:val="nil"/>
                  </w:tcBorders>
                  <w:shd w:val="clear" w:color="auto" w:fill="auto"/>
                  <w:vAlign w:val="center"/>
                </w:tcPr>
                <w:p w14:paraId="18CEA9D8">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4.0</w:t>
                  </w:r>
                </w:p>
              </w:tc>
            </w:tr>
            <w:tr w14:paraId="51BC30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22" w:type="dxa"/>
                  <w:vMerge w:val="continue"/>
                  <w:tcBorders>
                    <w:tl2br w:val="nil"/>
                    <w:tr2bl w:val="nil"/>
                  </w:tcBorders>
                  <w:vAlign w:val="center"/>
                </w:tcPr>
                <w:p w14:paraId="1074C5E3">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527" w:type="dxa"/>
                  <w:tcBorders>
                    <w:tl2br w:val="nil"/>
                    <w:tr2bl w:val="nil"/>
                  </w:tcBorders>
                  <w:vAlign w:val="center"/>
                </w:tcPr>
                <w:p w14:paraId="1D587BD3">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color w:val="auto"/>
                      <w:sz w:val="18"/>
                      <w:szCs w:val="18"/>
                    </w:rPr>
                    <w:t>骨料烘干</w:t>
                  </w:r>
                  <w:r>
                    <w:rPr>
                      <w:rFonts w:hint="default" w:ascii="Times New Roman" w:hAnsi="Times New Roman" w:cs="Times New Roman"/>
                      <w:color w:val="auto"/>
                      <w:sz w:val="18"/>
                      <w:szCs w:val="18"/>
                      <w:lang w:val="en-US" w:eastAsia="zh-CN"/>
                    </w:rPr>
                    <w:t>废气</w:t>
                  </w:r>
                </w:p>
              </w:tc>
              <w:tc>
                <w:tcPr>
                  <w:tcW w:w="723" w:type="dxa"/>
                  <w:tcBorders>
                    <w:tl2br w:val="nil"/>
                    <w:tr2bl w:val="nil"/>
                  </w:tcBorders>
                  <w:shd w:val="clear" w:color="auto" w:fill="auto"/>
                  <w:vAlign w:val="center"/>
                </w:tcPr>
                <w:p w14:paraId="620680CC">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颗粒物</w:t>
                  </w:r>
                </w:p>
              </w:tc>
              <w:tc>
                <w:tcPr>
                  <w:tcW w:w="911" w:type="dxa"/>
                  <w:tcBorders>
                    <w:tl2br w:val="nil"/>
                    <w:tr2bl w:val="nil"/>
                  </w:tcBorders>
                  <w:shd w:val="clear" w:color="auto" w:fill="auto"/>
                  <w:vAlign w:val="center"/>
                </w:tcPr>
                <w:p w14:paraId="15A0AB5F">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23</w:t>
                  </w:r>
                </w:p>
              </w:tc>
              <w:tc>
                <w:tcPr>
                  <w:tcW w:w="736" w:type="dxa"/>
                  <w:tcBorders>
                    <w:tl2br w:val="nil"/>
                    <w:tr2bl w:val="nil"/>
                  </w:tcBorders>
                  <w:vAlign w:val="center"/>
                </w:tcPr>
                <w:p w14:paraId="4C49A3AD">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100</w:t>
                  </w:r>
                </w:p>
              </w:tc>
              <w:tc>
                <w:tcPr>
                  <w:tcW w:w="1137" w:type="dxa"/>
                  <w:tcBorders>
                    <w:tl2br w:val="nil"/>
                    <w:tr2bl w:val="nil"/>
                  </w:tcBorders>
                  <w:vAlign w:val="center"/>
                </w:tcPr>
                <w:p w14:paraId="76241902">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设备密闭</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管道</w:t>
                  </w:r>
                  <w:r>
                    <w:rPr>
                      <w:rFonts w:hint="default" w:ascii="Times New Roman" w:hAnsi="Times New Roman" w:cs="Times New Roman"/>
                      <w:color w:val="auto"/>
                      <w:sz w:val="18"/>
                      <w:szCs w:val="18"/>
                    </w:rPr>
                    <w:t>+除尘系统（</w:t>
                  </w:r>
                  <w:r>
                    <w:rPr>
                      <w:rFonts w:hint="default" w:ascii="Times New Roman" w:hAnsi="Times New Roman" w:cs="Times New Roman"/>
                      <w:bCs/>
                      <w:snapToGrid w:val="0"/>
                      <w:color w:val="auto"/>
                      <w:kern w:val="0"/>
                      <w:sz w:val="18"/>
                      <w:szCs w:val="18"/>
                      <w:highlight w:val="none"/>
                      <w:lang w:val="en-US" w:eastAsia="zh-CN"/>
                    </w:rPr>
                    <w:t>一级重力除尘+二级布袋除尘</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20</w:t>
                  </w:r>
                  <w:r>
                    <w:rPr>
                      <w:rFonts w:hint="default" w:ascii="Times New Roman" w:hAnsi="Times New Roman" w:cs="Times New Roman"/>
                      <w:color w:val="auto"/>
                      <w:sz w:val="18"/>
                      <w:szCs w:val="18"/>
                    </w:rPr>
                    <w:t>m排气筒（</w:t>
                  </w:r>
                  <w:r>
                    <w:rPr>
                      <w:rFonts w:hint="default" w:ascii="Times New Roman" w:hAnsi="Times New Roman" w:cs="Times New Roman"/>
                      <w:color w:val="auto"/>
                      <w:sz w:val="18"/>
                      <w:szCs w:val="18"/>
                      <w:lang w:eastAsia="zh-CN"/>
                    </w:rPr>
                    <w:t>DA001</w:t>
                  </w:r>
                  <w:r>
                    <w:rPr>
                      <w:rFonts w:hint="default" w:ascii="Times New Roman" w:hAnsi="Times New Roman" w:cs="Times New Roman"/>
                      <w:color w:val="auto"/>
                      <w:sz w:val="18"/>
                      <w:szCs w:val="18"/>
                    </w:rPr>
                    <w:t>）</w:t>
                  </w:r>
                </w:p>
              </w:tc>
              <w:tc>
                <w:tcPr>
                  <w:tcW w:w="736" w:type="dxa"/>
                  <w:tcBorders>
                    <w:tl2br w:val="nil"/>
                    <w:tr2bl w:val="nil"/>
                  </w:tcBorders>
                  <w:vAlign w:val="center"/>
                </w:tcPr>
                <w:p w14:paraId="6E6D0117">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99</w:t>
                  </w:r>
                </w:p>
              </w:tc>
              <w:tc>
                <w:tcPr>
                  <w:tcW w:w="941" w:type="dxa"/>
                  <w:tcBorders>
                    <w:tl2br w:val="nil"/>
                    <w:tr2bl w:val="nil"/>
                  </w:tcBorders>
                  <w:vAlign w:val="center"/>
                </w:tcPr>
                <w:p w14:paraId="04E8B677">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92000</w:t>
                  </w:r>
                </w:p>
              </w:tc>
              <w:tc>
                <w:tcPr>
                  <w:tcW w:w="1101" w:type="dxa"/>
                  <w:tcBorders>
                    <w:tl2br w:val="nil"/>
                    <w:tr2bl w:val="nil"/>
                  </w:tcBorders>
                  <w:vAlign w:val="center"/>
                </w:tcPr>
                <w:p w14:paraId="5DA32CB8">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Cs/>
                      <w:snapToGrid w:val="0"/>
                      <w:color w:val="auto"/>
                      <w:kern w:val="0"/>
                      <w:sz w:val="18"/>
                      <w:szCs w:val="18"/>
                      <w:highlight w:val="none"/>
                      <w:lang w:val="en-US" w:eastAsia="zh-CN"/>
                    </w:rPr>
                    <w:t>2.7778</w:t>
                  </w:r>
                </w:p>
              </w:tc>
              <w:tc>
                <w:tcPr>
                  <w:tcW w:w="1024" w:type="dxa"/>
                  <w:tcBorders>
                    <w:tl2br w:val="nil"/>
                    <w:tr2bl w:val="nil"/>
                  </w:tcBorders>
                  <w:vAlign w:val="center"/>
                </w:tcPr>
                <w:p w14:paraId="16920C5F">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Cs/>
                      <w:snapToGrid w:val="0"/>
                      <w:color w:val="auto"/>
                      <w:kern w:val="0"/>
                      <w:sz w:val="18"/>
                      <w:szCs w:val="18"/>
                      <w:highlight w:val="none"/>
                      <w:lang w:val="en-US" w:eastAsia="zh-CN"/>
                    </w:rPr>
                    <w:t>0.2556</w:t>
                  </w:r>
                </w:p>
              </w:tc>
              <w:tc>
                <w:tcPr>
                  <w:tcW w:w="1024" w:type="dxa"/>
                  <w:tcBorders>
                    <w:tl2br w:val="nil"/>
                    <w:tr2bl w:val="nil"/>
                  </w:tcBorders>
                  <w:vAlign w:val="center"/>
                </w:tcPr>
                <w:p w14:paraId="074D9282">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Cs/>
                      <w:snapToGrid w:val="0"/>
                      <w:color w:val="auto"/>
                      <w:kern w:val="0"/>
                      <w:sz w:val="18"/>
                      <w:szCs w:val="18"/>
                      <w:highlight w:val="none"/>
                      <w:lang w:val="en-US" w:eastAsia="zh-CN"/>
                    </w:rPr>
                    <w:t>0.2300</w:t>
                  </w:r>
                </w:p>
              </w:tc>
              <w:tc>
                <w:tcPr>
                  <w:tcW w:w="906" w:type="dxa"/>
                  <w:tcBorders>
                    <w:tl2br w:val="nil"/>
                    <w:tr2bl w:val="nil"/>
                  </w:tcBorders>
                  <w:vAlign w:val="center"/>
                </w:tcPr>
                <w:p w14:paraId="11508627">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906" w:type="dxa"/>
                  <w:tcBorders>
                    <w:tl2br w:val="nil"/>
                    <w:tr2bl w:val="nil"/>
                  </w:tcBorders>
                  <w:vAlign w:val="center"/>
                </w:tcPr>
                <w:p w14:paraId="5EE764F9">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527" w:type="dxa"/>
                  <w:tcBorders>
                    <w:tl2br w:val="nil"/>
                    <w:tr2bl w:val="nil"/>
                  </w:tcBorders>
                  <w:vAlign w:val="center"/>
                </w:tcPr>
                <w:p w14:paraId="398AD71B">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900</w:t>
                  </w:r>
                </w:p>
              </w:tc>
              <w:tc>
                <w:tcPr>
                  <w:tcW w:w="723" w:type="dxa"/>
                  <w:tcBorders>
                    <w:tl2br w:val="nil"/>
                    <w:tr2bl w:val="nil"/>
                  </w:tcBorders>
                  <w:shd w:val="clear" w:color="auto" w:fill="auto"/>
                  <w:vAlign w:val="center"/>
                </w:tcPr>
                <w:p w14:paraId="37B77905">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DA001</w:t>
                  </w:r>
                </w:p>
              </w:tc>
              <w:tc>
                <w:tcPr>
                  <w:tcW w:w="323" w:type="dxa"/>
                  <w:tcBorders>
                    <w:tl2br w:val="nil"/>
                    <w:tr2bl w:val="nil"/>
                  </w:tcBorders>
                  <w:shd w:val="clear" w:color="auto" w:fill="auto"/>
                  <w:vAlign w:val="center"/>
                </w:tcPr>
                <w:p w14:paraId="2B2DCDBB">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主要排放口</w:t>
                  </w:r>
                </w:p>
              </w:tc>
              <w:tc>
                <w:tcPr>
                  <w:tcW w:w="898" w:type="dxa"/>
                  <w:tcBorders>
                    <w:tl2br w:val="nil"/>
                    <w:tr2bl w:val="nil"/>
                  </w:tcBorders>
                  <w:shd w:val="clear" w:color="auto" w:fill="auto"/>
                  <w:vAlign w:val="center"/>
                </w:tcPr>
                <w:p w14:paraId="5740B747">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120</w:t>
                  </w:r>
                </w:p>
              </w:tc>
              <w:tc>
                <w:tcPr>
                  <w:tcW w:w="1105" w:type="dxa"/>
                  <w:tcBorders>
                    <w:tl2br w:val="nil"/>
                    <w:tr2bl w:val="nil"/>
                  </w:tcBorders>
                  <w:shd w:val="clear" w:color="auto" w:fill="auto"/>
                  <w:vAlign w:val="center"/>
                </w:tcPr>
                <w:p w14:paraId="78985A60">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0B9F4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22" w:type="dxa"/>
                  <w:vMerge w:val="continue"/>
                  <w:tcBorders>
                    <w:tl2br w:val="nil"/>
                    <w:tr2bl w:val="nil"/>
                  </w:tcBorders>
                  <w:vAlign w:val="center"/>
                </w:tcPr>
                <w:p w14:paraId="011B94BB">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527" w:type="dxa"/>
                  <w:tcBorders>
                    <w:tl2br w:val="nil"/>
                    <w:tr2bl w:val="nil"/>
                  </w:tcBorders>
                  <w:vAlign w:val="center"/>
                </w:tcPr>
                <w:p w14:paraId="49CCF972">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color w:val="auto"/>
                      <w:sz w:val="18"/>
                      <w:szCs w:val="18"/>
                    </w:rPr>
                    <w:t>骨料筛分废气</w:t>
                  </w:r>
                </w:p>
              </w:tc>
              <w:tc>
                <w:tcPr>
                  <w:tcW w:w="723" w:type="dxa"/>
                  <w:tcBorders>
                    <w:tl2br w:val="nil"/>
                    <w:tr2bl w:val="nil"/>
                  </w:tcBorders>
                  <w:shd w:val="clear" w:color="auto" w:fill="auto"/>
                  <w:vAlign w:val="center"/>
                </w:tcPr>
                <w:p w14:paraId="274738B4">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颗粒物</w:t>
                  </w:r>
                </w:p>
              </w:tc>
              <w:tc>
                <w:tcPr>
                  <w:tcW w:w="911" w:type="dxa"/>
                  <w:tcBorders>
                    <w:tl2br w:val="nil"/>
                    <w:tr2bl w:val="nil"/>
                  </w:tcBorders>
                  <w:shd w:val="clear" w:color="auto" w:fill="auto"/>
                  <w:vAlign w:val="center"/>
                </w:tcPr>
                <w:p w14:paraId="71DBD404">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5.75</w:t>
                  </w:r>
                </w:p>
              </w:tc>
              <w:tc>
                <w:tcPr>
                  <w:tcW w:w="736" w:type="dxa"/>
                  <w:tcBorders>
                    <w:tl2br w:val="nil"/>
                    <w:tr2bl w:val="nil"/>
                  </w:tcBorders>
                  <w:vAlign w:val="center"/>
                </w:tcPr>
                <w:p w14:paraId="66035310">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100</w:t>
                  </w:r>
                </w:p>
              </w:tc>
              <w:tc>
                <w:tcPr>
                  <w:tcW w:w="1137" w:type="dxa"/>
                  <w:tcBorders>
                    <w:tl2br w:val="nil"/>
                    <w:tr2bl w:val="nil"/>
                  </w:tcBorders>
                  <w:vAlign w:val="center"/>
                </w:tcPr>
                <w:p w14:paraId="67CE36D1">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设备密闭</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管道</w:t>
                  </w:r>
                  <w:r>
                    <w:rPr>
                      <w:rFonts w:hint="default" w:ascii="Times New Roman" w:hAnsi="Times New Roman" w:cs="Times New Roman"/>
                      <w:color w:val="auto"/>
                      <w:sz w:val="18"/>
                      <w:szCs w:val="18"/>
                    </w:rPr>
                    <w:t>+除尘系统（</w:t>
                  </w:r>
                  <w:r>
                    <w:rPr>
                      <w:rFonts w:hint="default" w:ascii="Times New Roman" w:hAnsi="Times New Roman" w:cs="Times New Roman"/>
                      <w:bCs/>
                      <w:snapToGrid w:val="0"/>
                      <w:color w:val="auto"/>
                      <w:kern w:val="0"/>
                      <w:sz w:val="18"/>
                      <w:szCs w:val="18"/>
                      <w:highlight w:val="none"/>
                      <w:lang w:val="en-US" w:eastAsia="zh-CN"/>
                    </w:rPr>
                    <w:t>一级重力除尘+二级布袋除尘</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20</w:t>
                  </w:r>
                  <w:r>
                    <w:rPr>
                      <w:rFonts w:hint="default" w:ascii="Times New Roman" w:hAnsi="Times New Roman" w:cs="Times New Roman"/>
                      <w:color w:val="auto"/>
                      <w:sz w:val="18"/>
                      <w:szCs w:val="18"/>
                    </w:rPr>
                    <w:t>m排气筒（</w:t>
                  </w:r>
                  <w:r>
                    <w:rPr>
                      <w:rFonts w:hint="default" w:ascii="Times New Roman" w:hAnsi="Times New Roman" w:cs="Times New Roman"/>
                      <w:color w:val="auto"/>
                      <w:sz w:val="18"/>
                      <w:szCs w:val="18"/>
                      <w:lang w:eastAsia="zh-CN"/>
                    </w:rPr>
                    <w:t>DA001</w:t>
                  </w:r>
                  <w:r>
                    <w:rPr>
                      <w:rFonts w:hint="default" w:ascii="Times New Roman" w:hAnsi="Times New Roman" w:cs="Times New Roman"/>
                      <w:color w:val="auto"/>
                      <w:sz w:val="18"/>
                      <w:szCs w:val="18"/>
                    </w:rPr>
                    <w:t>）</w:t>
                  </w:r>
                </w:p>
              </w:tc>
              <w:tc>
                <w:tcPr>
                  <w:tcW w:w="736" w:type="dxa"/>
                  <w:tcBorders>
                    <w:tl2br w:val="nil"/>
                    <w:tr2bl w:val="nil"/>
                  </w:tcBorders>
                  <w:vAlign w:val="center"/>
                </w:tcPr>
                <w:p w14:paraId="63C1492A">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99</w:t>
                  </w:r>
                </w:p>
              </w:tc>
              <w:tc>
                <w:tcPr>
                  <w:tcW w:w="941" w:type="dxa"/>
                  <w:tcBorders>
                    <w:tl2br w:val="nil"/>
                    <w:tr2bl w:val="nil"/>
                  </w:tcBorders>
                  <w:vAlign w:val="center"/>
                </w:tcPr>
                <w:p w14:paraId="1A33A885">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92000</w:t>
                  </w:r>
                </w:p>
              </w:tc>
              <w:tc>
                <w:tcPr>
                  <w:tcW w:w="1101" w:type="dxa"/>
                  <w:tcBorders>
                    <w:tl2br w:val="nil"/>
                    <w:tr2bl w:val="nil"/>
                  </w:tcBorders>
                  <w:vAlign w:val="center"/>
                </w:tcPr>
                <w:p w14:paraId="6ED93C3D">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Cs/>
                      <w:snapToGrid w:val="0"/>
                      <w:color w:val="auto"/>
                      <w:kern w:val="0"/>
                      <w:sz w:val="18"/>
                      <w:szCs w:val="18"/>
                      <w:highlight w:val="none"/>
                      <w:lang w:val="en-US" w:eastAsia="zh-CN"/>
                    </w:rPr>
                    <w:t>0.6944</w:t>
                  </w:r>
                </w:p>
              </w:tc>
              <w:tc>
                <w:tcPr>
                  <w:tcW w:w="1024" w:type="dxa"/>
                  <w:tcBorders>
                    <w:tl2br w:val="nil"/>
                    <w:tr2bl w:val="nil"/>
                  </w:tcBorders>
                  <w:vAlign w:val="center"/>
                </w:tcPr>
                <w:p w14:paraId="0566B314">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Cs/>
                      <w:snapToGrid w:val="0"/>
                      <w:color w:val="auto"/>
                      <w:kern w:val="0"/>
                      <w:sz w:val="18"/>
                      <w:szCs w:val="18"/>
                      <w:highlight w:val="none"/>
                      <w:lang w:val="en-US" w:eastAsia="zh-CN"/>
                    </w:rPr>
                    <w:t>0.0639</w:t>
                  </w:r>
                </w:p>
              </w:tc>
              <w:tc>
                <w:tcPr>
                  <w:tcW w:w="1024" w:type="dxa"/>
                  <w:tcBorders>
                    <w:tl2br w:val="nil"/>
                    <w:tr2bl w:val="nil"/>
                  </w:tcBorders>
                  <w:vAlign w:val="center"/>
                </w:tcPr>
                <w:p w14:paraId="1AAB3FE0">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bCs/>
                      <w:snapToGrid w:val="0"/>
                      <w:color w:val="auto"/>
                      <w:kern w:val="0"/>
                      <w:sz w:val="18"/>
                      <w:szCs w:val="18"/>
                      <w:highlight w:val="none"/>
                      <w:lang w:val="en-US" w:eastAsia="zh-CN"/>
                    </w:rPr>
                    <w:t>0.0575</w:t>
                  </w:r>
                </w:p>
              </w:tc>
              <w:tc>
                <w:tcPr>
                  <w:tcW w:w="906" w:type="dxa"/>
                  <w:tcBorders>
                    <w:tl2br w:val="nil"/>
                    <w:tr2bl w:val="nil"/>
                  </w:tcBorders>
                  <w:vAlign w:val="center"/>
                </w:tcPr>
                <w:p w14:paraId="6D13D432">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906" w:type="dxa"/>
                  <w:tcBorders>
                    <w:tl2br w:val="nil"/>
                    <w:tr2bl w:val="nil"/>
                  </w:tcBorders>
                  <w:vAlign w:val="center"/>
                </w:tcPr>
                <w:p w14:paraId="186769EA">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527" w:type="dxa"/>
                  <w:tcBorders>
                    <w:tl2br w:val="nil"/>
                    <w:tr2bl w:val="nil"/>
                  </w:tcBorders>
                  <w:vAlign w:val="center"/>
                </w:tcPr>
                <w:p w14:paraId="2D464CB9">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900</w:t>
                  </w:r>
                </w:p>
              </w:tc>
              <w:tc>
                <w:tcPr>
                  <w:tcW w:w="723" w:type="dxa"/>
                  <w:tcBorders>
                    <w:tl2br w:val="nil"/>
                    <w:tr2bl w:val="nil"/>
                  </w:tcBorders>
                  <w:shd w:val="clear" w:color="auto" w:fill="auto"/>
                  <w:vAlign w:val="center"/>
                </w:tcPr>
                <w:p w14:paraId="26C29225">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DA001</w:t>
                  </w:r>
                </w:p>
              </w:tc>
              <w:tc>
                <w:tcPr>
                  <w:tcW w:w="323" w:type="dxa"/>
                  <w:tcBorders>
                    <w:tl2br w:val="nil"/>
                    <w:tr2bl w:val="nil"/>
                  </w:tcBorders>
                  <w:shd w:val="clear" w:color="auto" w:fill="auto"/>
                  <w:vAlign w:val="center"/>
                </w:tcPr>
                <w:p w14:paraId="3087020B">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主要排放口</w:t>
                  </w:r>
                </w:p>
              </w:tc>
              <w:tc>
                <w:tcPr>
                  <w:tcW w:w="898" w:type="dxa"/>
                  <w:tcBorders>
                    <w:tl2br w:val="nil"/>
                    <w:tr2bl w:val="nil"/>
                  </w:tcBorders>
                  <w:shd w:val="clear" w:color="auto" w:fill="auto"/>
                  <w:vAlign w:val="center"/>
                </w:tcPr>
                <w:p w14:paraId="32E5A7C6">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120</w:t>
                  </w:r>
                </w:p>
              </w:tc>
              <w:tc>
                <w:tcPr>
                  <w:tcW w:w="1105" w:type="dxa"/>
                  <w:tcBorders>
                    <w:tl2br w:val="nil"/>
                    <w:tr2bl w:val="nil"/>
                  </w:tcBorders>
                  <w:shd w:val="clear" w:color="auto" w:fill="auto"/>
                  <w:vAlign w:val="center"/>
                </w:tcPr>
                <w:p w14:paraId="2118E6B4">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153E80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22" w:type="dxa"/>
                  <w:vMerge w:val="continue"/>
                  <w:tcBorders>
                    <w:tl2br w:val="nil"/>
                    <w:tr2bl w:val="nil"/>
                  </w:tcBorders>
                  <w:vAlign w:val="center"/>
                </w:tcPr>
                <w:p w14:paraId="3409D12B">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527" w:type="dxa"/>
                  <w:vMerge w:val="restart"/>
                  <w:tcBorders>
                    <w:tl2br w:val="nil"/>
                    <w:tr2bl w:val="nil"/>
                  </w:tcBorders>
                  <w:shd w:val="clear" w:color="auto" w:fill="auto"/>
                  <w:vAlign w:val="center"/>
                </w:tcPr>
                <w:p w14:paraId="30856ED6">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color w:val="auto"/>
                      <w:sz w:val="18"/>
                      <w:szCs w:val="18"/>
                    </w:rPr>
                    <w:t>轻质油燃烧废气</w:t>
                  </w:r>
                </w:p>
              </w:tc>
              <w:tc>
                <w:tcPr>
                  <w:tcW w:w="723" w:type="dxa"/>
                  <w:tcBorders>
                    <w:tl2br w:val="nil"/>
                    <w:tr2bl w:val="nil"/>
                  </w:tcBorders>
                  <w:vAlign w:val="center"/>
                </w:tcPr>
                <w:p w14:paraId="5EF0AB20">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二氧化硫</w:t>
                  </w:r>
                </w:p>
              </w:tc>
              <w:tc>
                <w:tcPr>
                  <w:tcW w:w="911" w:type="dxa"/>
                  <w:tcBorders>
                    <w:tl2br w:val="nil"/>
                    <w:tr2bl w:val="nil"/>
                  </w:tcBorders>
                  <w:shd w:val="clear" w:color="auto" w:fill="auto"/>
                  <w:vAlign w:val="center"/>
                </w:tcPr>
                <w:p w14:paraId="14980BDA">
                  <w:pPr>
                    <w:pStyle w:val="25"/>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0.1520</w:t>
                  </w:r>
                </w:p>
              </w:tc>
              <w:tc>
                <w:tcPr>
                  <w:tcW w:w="736" w:type="dxa"/>
                  <w:vMerge w:val="restart"/>
                  <w:tcBorders>
                    <w:tl2br w:val="nil"/>
                    <w:tr2bl w:val="nil"/>
                  </w:tcBorders>
                  <w:vAlign w:val="center"/>
                </w:tcPr>
                <w:p w14:paraId="3148C69A">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100</w:t>
                  </w:r>
                </w:p>
              </w:tc>
              <w:tc>
                <w:tcPr>
                  <w:tcW w:w="1137" w:type="dxa"/>
                  <w:vMerge w:val="restart"/>
                  <w:tcBorders>
                    <w:tl2br w:val="nil"/>
                    <w:tr2bl w:val="nil"/>
                  </w:tcBorders>
                  <w:vAlign w:val="center"/>
                </w:tcPr>
                <w:p w14:paraId="6CE9A142">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设备密闭</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管道</w:t>
                  </w:r>
                  <w:r>
                    <w:rPr>
                      <w:rFonts w:hint="default" w:ascii="Times New Roman" w:hAnsi="Times New Roman" w:cs="Times New Roman"/>
                      <w:color w:val="auto"/>
                      <w:sz w:val="18"/>
                      <w:szCs w:val="18"/>
                    </w:rPr>
                    <w:t>+除尘系统（布袋除尘）+</w:t>
                  </w:r>
                  <w:r>
                    <w:rPr>
                      <w:rFonts w:hint="default" w:ascii="Times New Roman" w:hAnsi="Times New Roman" w:cs="Times New Roman"/>
                      <w:color w:val="auto"/>
                      <w:sz w:val="18"/>
                      <w:szCs w:val="18"/>
                      <w:lang w:val="en-US" w:eastAsia="zh-CN"/>
                    </w:rPr>
                    <w:t>20</w:t>
                  </w:r>
                  <w:r>
                    <w:rPr>
                      <w:rFonts w:hint="default" w:ascii="Times New Roman" w:hAnsi="Times New Roman" w:cs="Times New Roman"/>
                      <w:color w:val="auto"/>
                      <w:sz w:val="18"/>
                      <w:szCs w:val="18"/>
                    </w:rPr>
                    <w:t>m排气筒（</w:t>
                  </w:r>
                  <w:r>
                    <w:rPr>
                      <w:rFonts w:hint="default" w:ascii="Times New Roman" w:hAnsi="Times New Roman" w:cs="Times New Roman"/>
                      <w:color w:val="auto"/>
                      <w:sz w:val="18"/>
                      <w:szCs w:val="18"/>
                      <w:lang w:eastAsia="zh-CN"/>
                    </w:rPr>
                    <w:t>DA001</w:t>
                  </w:r>
                  <w:r>
                    <w:rPr>
                      <w:rFonts w:hint="default" w:ascii="Times New Roman" w:hAnsi="Times New Roman" w:cs="Times New Roman"/>
                      <w:color w:val="auto"/>
                      <w:sz w:val="18"/>
                      <w:szCs w:val="18"/>
                    </w:rPr>
                    <w:t>）</w:t>
                  </w:r>
                </w:p>
              </w:tc>
              <w:tc>
                <w:tcPr>
                  <w:tcW w:w="736" w:type="dxa"/>
                  <w:tcBorders>
                    <w:tl2br w:val="nil"/>
                    <w:tr2bl w:val="nil"/>
                  </w:tcBorders>
                  <w:vAlign w:val="center"/>
                </w:tcPr>
                <w:p w14:paraId="367726CE">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941" w:type="dxa"/>
                  <w:vMerge w:val="restart"/>
                  <w:tcBorders>
                    <w:tl2br w:val="nil"/>
                    <w:tr2bl w:val="nil"/>
                  </w:tcBorders>
                  <w:vAlign w:val="center"/>
                </w:tcPr>
                <w:p w14:paraId="4CBAFF44">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color w:val="auto"/>
                      <w:sz w:val="18"/>
                      <w:szCs w:val="18"/>
                      <w:lang w:val="en-US"/>
                    </w:rPr>
                  </w:pPr>
                  <w:r>
                    <w:rPr>
                      <w:rFonts w:hint="default" w:ascii="Times New Roman" w:hAnsi="Times New Roman" w:cs="Times New Roman"/>
                      <w:i w:val="0"/>
                      <w:iCs w:val="0"/>
                      <w:color w:val="auto"/>
                      <w:kern w:val="0"/>
                      <w:sz w:val="18"/>
                      <w:szCs w:val="18"/>
                      <w:u w:val="none"/>
                      <w:lang w:val="en-US" w:eastAsia="zh-CN" w:bidi="ar"/>
                    </w:rPr>
                    <w:t>92000</w:t>
                  </w:r>
                </w:p>
              </w:tc>
              <w:tc>
                <w:tcPr>
                  <w:tcW w:w="1101" w:type="dxa"/>
                  <w:tcBorders>
                    <w:tl2br w:val="nil"/>
                    <w:tr2bl w:val="nil"/>
                  </w:tcBorders>
                  <w:vAlign w:val="center"/>
                </w:tcPr>
                <w:p w14:paraId="51D0C765">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highlight w:val="none"/>
                      <w:lang w:val="en-US" w:eastAsia="zh-CN"/>
                    </w:rPr>
                    <w:t>1.8357</w:t>
                  </w:r>
                </w:p>
              </w:tc>
              <w:tc>
                <w:tcPr>
                  <w:tcW w:w="1024" w:type="dxa"/>
                  <w:tcBorders>
                    <w:tl2br w:val="nil"/>
                    <w:tr2bl w:val="nil"/>
                  </w:tcBorders>
                  <w:vAlign w:val="center"/>
                </w:tcPr>
                <w:p w14:paraId="5E4289E3">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highlight w:val="none"/>
                      <w:lang w:eastAsia="zh-CN"/>
                    </w:rPr>
                    <w:t>0.</w:t>
                  </w:r>
                  <w:r>
                    <w:rPr>
                      <w:rFonts w:hint="default" w:ascii="Times New Roman" w:hAnsi="Times New Roman" w:cs="Times New Roman"/>
                      <w:color w:val="auto"/>
                      <w:sz w:val="18"/>
                      <w:szCs w:val="18"/>
                      <w:highlight w:val="none"/>
                      <w:lang w:val="en-US" w:eastAsia="zh-CN"/>
                    </w:rPr>
                    <w:t>1689</w:t>
                  </w:r>
                </w:p>
              </w:tc>
              <w:tc>
                <w:tcPr>
                  <w:tcW w:w="1024" w:type="dxa"/>
                  <w:tcBorders>
                    <w:tl2br w:val="nil"/>
                    <w:tr2bl w:val="nil"/>
                  </w:tcBorders>
                  <w:vAlign w:val="center"/>
                </w:tcPr>
                <w:p w14:paraId="7F1071D9">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bCs/>
                      <w:color w:val="auto"/>
                      <w:sz w:val="18"/>
                      <w:szCs w:val="18"/>
                      <w:highlight w:val="none"/>
                      <w:lang w:val="en-US" w:eastAsia="zh-CN"/>
                    </w:rPr>
                    <w:t>0.1520</w:t>
                  </w:r>
                </w:p>
              </w:tc>
              <w:tc>
                <w:tcPr>
                  <w:tcW w:w="906" w:type="dxa"/>
                  <w:tcBorders>
                    <w:tl2br w:val="nil"/>
                    <w:tr2bl w:val="nil"/>
                  </w:tcBorders>
                  <w:vAlign w:val="center"/>
                </w:tcPr>
                <w:p w14:paraId="280787D1">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i w:val="0"/>
                      <w:iCs w:val="0"/>
                      <w:color w:val="auto"/>
                      <w:kern w:val="0"/>
                      <w:sz w:val="18"/>
                      <w:szCs w:val="18"/>
                      <w:u w:val="none"/>
                      <w:lang w:val="en-US" w:eastAsia="zh-CN" w:bidi="ar"/>
                    </w:rPr>
                    <w:t>/</w:t>
                  </w:r>
                </w:p>
              </w:tc>
              <w:tc>
                <w:tcPr>
                  <w:tcW w:w="906" w:type="dxa"/>
                  <w:tcBorders>
                    <w:tl2br w:val="nil"/>
                    <w:tr2bl w:val="nil"/>
                  </w:tcBorders>
                  <w:vAlign w:val="center"/>
                </w:tcPr>
                <w:p w14:paraId="3D613201">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i w:val="0"/>
                      <w:iCs w:val="0"/>
                      <w:color w:val="auto"/>
                      <w:kern w:val="0"/>
                      <w:sz w:val="18"/>
                      <w:szCs w:val="18"/>
                      <w:u w:val="none"/>
                      <w:lang w:val="en-US" w:eastAsia="zh-CN" w:bidi="ar"/>
                    </w:rPr>
                    <w:t>/</w:t>
                  </w:r>
                </w:p>
              </w:tc>
              <w:tc>
                <w:tcPr>
                  <w:tcW w:w="527" w:type="dxa"/>
                  <w:tcBorders>
                    <w:tl2br w:val="nil"/>
                    <w:tr2bl w:val="nil"/>
                  </w:tcBorders>
                  <w:vAlign w:val="center"/>
                </w:tcPr>
                <w:p w14:paraId="44AFD1B6">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color w:val="auto"/>
                      <w:sz w:val="18"/>
                      <w:szCs w:val="18"/>
                    </w:rPr>
                  </w:pPr>
                  <w:r>
                    <w:rPr>
                      <w:rFonts w:hint="default" w:ascii="Times New Roman" w:hAnsi="Times New Roman" w:cs="Times New Roman"/>
                      <w:i w:val="0"/>
                      <w:iCs w:val="0"/>
                      <w:color w:val="auto"/>
                      <w:kern w:val="0"/>
                      <w:sz w:val="18"/>
                      <w:szCs w:val="18"/>
                      <w:u w:val="none"/>
                      <w:lang w:val="en-US" w:eastAsia="zh-CN" w:bidi="ar"/>
                    </w:rPr>
                    <w:t>900</w:t>
                  </w:r>
                </w:p>
              </w:tc>
              <w:tc>
                <w:tcPr>
                  <w:tcW w:w="723" w:type="dxa"/>
                  <w:vMerge w:val="restart"/>
                  <w:tcBorders>
                    <w:tl2br w:val="nil"/>
                    <w:tr2bl w:val="nil"/>
                  </w:tcBorders>
                  <w:shd w:val="clear" w:color="auto" w:fill="auto"/>
                  <w:vAlign w:val="center"/>
                </w:tcPr>
                <w:p w14:paraId="39923579">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DA001</w:t>
                  </w:r>
                </w:p>
              </w:tc>
              <w:tc>
                <w:tcPr>
                  <w:tcW w:w="323" w:type="dxa"/>
                  <w:vMerge w:val="restart"/>
                  <w:tcBorders>
                    <w:tl2br w:val="nil"/>
                    <w:tr2bl w:val="nil"/>
                  </w:tcBorders>
                  <w:shd w:val="clear" w:color="auto" w:fill="auto"/>
                  <w:vAlign w:val="center"/>
                </w:tcPr>
                <w:p w14:paraId="06687DD7">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主要排放口</w:t>
                  </w:r>
                </w:p>
              </w:tc>
              <w:tc>
                <w:tcPr>
                  <w:tcW w:w="898" w:type="dxa"/>
                  <w:tcBorders>
                    <w:tl2br w:val="nil"/>
                    <w:tr2bl w:val="nil"/>
                  </w:tcBorders>
                  <w:vAlign w:val="center"/>
                </w:tcPr>
                <w:p w14:paraId="66CDABBB">
                  <w:pPr>
                    <w:keepNext w:val="0"/>
                    <w:keepLines w:val="0"/>
                    <w:pageBreakBefore w:val="0"/>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550</w:t>
                  </w:r>
                </w:p>
              </w:tc>
              <w:tc>
                <w:tcPr>
                  <w:tcW w:w="1105" w:type="dxa"/>
                  <w:tcBorders>
                    <w:tl2br w:val="nil"/>
                    <w:tr2bl w:val="nil"/>
                  </w:tcBorders>
                  <w:vAlign w:val="center"/>
                </w:tcPr>
                <w:p w14:paraId="4CCFC667">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3151CD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22" w:type="dxa"/>
                  <w:vMerge w:val="continue"/>
                  <w:tcBorders>
                    <w:tl2br w:val="nil"/>
                    <w:tr2bl w:val="nil"/>
                  </w:tcBorders>
                  <w:vAlign w:val="center"/>
                </w:tcPr>
                <w:p w14:paraId="658F089D">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527" w:type="dxa"/>
                  <w:vMerge w:val="continue"/>
                  <w:tcBorders>
                    <w:tl2br w:val="nil"/>
                    <w:tr2bl w:val="nil"/>
                  </w:tcBorders>
                  <w:vAlign w:val="center"/>
                </w:tcPr>
                <w:p w14:paraId="37ADC101">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i w:val="0"/>
                      <w:iCs w:val="0"/>
                      <w:color w:val="auto"/>
                      <w:kern w:val="0"/>
                      <w:sz w:val="18"/>
                      <w:szCs w:val="18"/>
                      <w:u w:val="none"/>
                      <w:lang w:val="en-US" w:eastAsia="zh-CN" w:bidi="ar"/>
                    </w:rPr>
                  </w:pPr>
                </w:p>
              </w:tc>
              <w:tc>
                <w:tcPr>
                  <w:tcW w:w="723" w:type="dxa"/>
                  <w:tcBorders>
                    <w:tl2br w:val="nil"/>
                    <w:tr2bl w:val="nil"/>
                  </w:tcBorders>
                  <w:vAlign w:val="center"/>
                </w:tcPr>
                <w:p w14:paraId="586FB19C">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颗粒物</w:t>
                  </w:r>
                </w:p>
              </w:tc>
              <w:tc>
                <w:tcPr>
                  <w:tcW w:w="911" w:type="dxa"/>
                  <w:tcBorders>
                    <w:tl2br w:val="nil"/>
                    <w:tr2bl w:val="nil"/>
                  </w:tcBorders>
                  <w:shd w:val="clear" w:color="auto" w:fill="auto"/>
                  <w:vAlign w:val="center"/>
                </w:tcPr>
                <w:p w14:paraId="658296F1">
                  <w:pPr>
                    <w:pStyle w:val="25"/>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0.0520</w:t>
                  </w:r>
                </w:p>
              </w:tc>
              <w:tc>
                <w:tcPr>
                  <w:tcW w:w="736" w:type="dxa"/>
                  <w:vMerge w:val="continue"/>
                  <w:tcBorders>
                    <w:tl2br w:val="nil"/>
                    <w:tr2bl w:val="nil"/>
                  </w:tcBorders>
                  <w:vAlign w:val="center"/>
                </w:tcPr>
                <w:p w14:paraId="3AAD3BEB">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p>
              </w:tc>
              <w:tc>
                <w:tcPr>
                  <w:tcW w:w="1137" w:type="dxa"/>
                  <w:vMerge w:val="continue"/>
                  <w:tcBorders>
                    <w:tl2br w:val="nil"/>
                    <w:tr2bl w:val="nil"/>
                  </w:tcBorders>
                  <w:vAlign w:val="center"/>
                </w:tcPr>
                <w:p w14:paraId="3D8C11E6">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p>
              </w:tc>
              <w:tc>
                <w:tcPr>
                  <w:tcW w:w="736" w:type="dxa"/>
                  <w:tcBorders>
                    <w:tl2br w:val="nil"/>
                    <w:tr2bl w:val="nil"/>
                  </w:tcBorders>
                  <w:vAlign w:val="center"/>
                </w:tcPr>
                <w:p w14:paraId="321F8827">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99</w:t>
                  </w:r>
                </w:p>
              </w:tc>
              <w:tc>
                <w:tcPr>
                  <w:tcW w:w="941" w:type="dxa"/>
                  <w:vMerge w:val="continue"/>
                  <w:tcBorders>
                    <w:tl2br w:val="nil"/>
                    <w:tr2bl w:val="nil"/>
                  </w:tcBorders>
                  <w:vAlign w:val="center"/>
                </w:tcPr>
                <w:p w14:paraId="285303E2">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color w:val="auto"/>
                      <w:sz w:val="18"/>
                      <w:szCs w:val="18"/>
                      <w:lang w:val="en-US"/>
                    </w:rPr>
                  </w:pPr>
                </w:p>
              </w:tc>
              <w:tc>
                <w:tcPr>
                  <w:tcW w:w="1101" w:type="dxa"/>
                  <w:tcBorders>
                    <w:tl2br w:val="nil"/>
                    <w:tr2bl w:val="nil"/>
                  </w:tcBorders>
                  <w:vAlign w:val="center"/>
                </w:tcPr>
                <w:p w14:paraId="015CEEC2">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highlight w:val="none"/>
                      <w:lang w:eastAsia="zh-CN"/>
                    </w:rPr>
                    <w:t>0.0</w:t>
                  </w:r>
                  <w:r>
                    <w:rPr>
                      <w:rFonts w:hint="default" w:ascii="Times New Roman" w:hAnsi="Times New Roman" w:cs="Times New Roman"/>
                      <w:color w:val="auto"/>
                      <w:sz w:val="18"/>
                      <w:szCs w:val="18"/>
                      <w:highlight w:val="none"/>
                      <w:lang w:val="en-US" w:eastAsia="zh-CN"/>
                    </w:rPr>
                    <w:t>063</w:t>
                  </w:r>
                </w:p>
              </w:tc>
              <w:tc>
                <w:tcPr>
                  <w:tcW w:w="1024" w:type="dxa"/>
                  <w:tcBorders>
                    <w:tl2br w:val="nil"/>
                    <w:tr2bl w:val="nil"/>
                  </w:tcBorders>
                  <w:vAlign w:val="center"/>
                </w:tcPr>
                <w:p w14:paraId="67C516E5">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highlight w:val="none"/>
                      <w:lang w:eastAsia="zh-CN"/>
                    </w:rPr>
                    <w:t>0.00</w:t>
                  </w:r>
                  <w:r>
                    <w:rPr>
                      <w:rFonts w:hint="default" w:ascii="Times New Roman" w:hAnsi="Times New Roman" w:cs="Times New Roman"/>
                      <w:color w:val="auto"/>
                      <w:sz w:val="18"/>
                      <w:szCs w:val="18"/>
                      <w:highlight w:val="none"/>
                      <w:lang w:val="en-US" w:eastAsia="zh-CN"/>
                    </w:rPr>
                    <w:t>06</w:t>
                  </w:r>
                </w:p>
              </w:tc>
              <w:tc>
                <w:tcPr>
                  <w:tcW w:w="1024" w:type="dxa"/>
                  <w:tcBorders>
                    <w:tl2br w:val="nil"/>
                    <w:tr2bl w:val="nil"/>
                  </w:tcBorders>
                  <w:vAlign w:val="center"/>
                </w:tcPr>
                <w:p w14:paraId="14B63592">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highlight w:val="none"/>
                      <w:lang w:eastAsia="zh-CN"/>
                    </w:rPr>
                    <w:t>0.000</w:t>
                  </w:r>
                  <w:r>
                    <w:rPr>
                      <w:rFonts w:hint="default" w:ascii="Times New Roman" w:hAnsi="Times New Roman" w:cs="Times New Roman"/>
                      <w:color w:val="auto"/>
                      <w:sz w:val="18"/>
                      <w:szCs w:val="18"/>
                      <w:highlight w:val="none"/>
                      <w:lang w:val="en-US" w:eastAsia="zh-CN"/>
                    </w:rPr>
                    <w:t>5</w:t>
                  </w:r>
                </w:p>
              </w:tc>
              <w:tc>
                <w:tcPr>
                  <w:tcW w:w="906" w:type="dxa"/>
                  <w:tcBorders>
                    <w:tl2br w:val="nil"/>
                    <w:tr2bl w:val="nil"/>
                  </w:tcBorders>
                  <w:vAlign w:val="center"/>
                </w:tcPr>
                <w:p w14:paraId="6A706A30">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i w:val="0"/>
                      <w:iCs w:val="0"/>
                      <w:color w:val="auto"/>
                      <w:kern w:val="0"/>
                      <w:sz w:val="18"/>
                      <w:szCs w:val="18"/>
                      <w:u w:val="none"/>
                      <w:lang w:val="en-US" w:eastAsia="zh-CN" w:bidi="ar"/>
                    </w:rPr>
                    <w:t>/</w:t>
                  </w:r>
                </w:p>
              </w:tc>
              <w:tc>
                <w:tcPr>
                  <w:tcW w:w="906" w:type="dxa"/>
                  <w:tcBorders>
                    <w:tl2br w:val="nil"/>
                    <w:tr2bl w:val="nil"/>
                  </w:tcBorders>
                  <w:vAlign w:val="center"/>
                </w:tcPr>
                <w:p w14:paraId="6183F709">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i w:val="0"/>
                      <w:iCs w:val="0"/>
                      <w:color w:val="auto"/>
                      <w:kern w:val="0"/>
                      <w:sz w:val="18"/>
                      <w:szCs w:val="18"/>
                      <w:u w:val="none"/>
                      <w:lang w:val="en-US" w:eastAsia="zh-CN" w:bidi="ar"/>
                    </w:rPr>
                    <w:t>/</w:t>
                  </w:r>
                </w:p>
              </w:tc>
              <w:tc>
                <w:tcPr>
                  <w:tcW w:w="527" w:type="dxa"/>
                  <w:tcBorders>
                    <w:tl2br w:val="nil"/>
                    <w:tr2bl w:val="nil"/>
                  </w:tcBorders>
                  <w:vAlign w:val="center"/>
                </w:tcPr>
                <w:p w14:paraId="0CB60B83">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color w:val="auto"/>
                      <w:sz w:val="18"/>
                      <w:szCs w:val="18"/>
                    </w:rPr>
                  </w:pPr>
                  <w:r>
                    <w:rPr>
                      <w:rFonts w:hint="default" w:ascii="Times New Roman" w:hAnsi="Times New Roman" w:cs="Times New Roman"/>
                      <w:i w:val="0"/>
                      <w:iCs w:val="0"/>
                      <w:color w:val="auto"/>
                      <w:kern w:val="0"/>
                      <w:sz w:val="18"/>
                      <w:szCs w:val="18"/>
                      <w:u w:val="none"/>
                      <w:lang w:val="en-US" w:eastAsia="zh-CN" w:bidi="ar"/>
                    </w:rPr>
                    <w:t>900</w:t>
                  </w:r>
                </w:p>
              </w:tc>
              <w:tc>
                <w:tcPr>
                  <w:tcW w:w="723" w:type="dxa"/>
                  <w:vMerge w:val="continue"/>
                  <w:tcBorders>
                    <w:tl2br w:val="nil"/>
                    <w:tr2bl w:val="nil"/>
                  </w:tcBorders>
                  <w:vAlign w:val="center"/>
                </w:tcPr>
                <w:p w14:paraId="5940939A">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p>
              </w:tc>
              <w:tc>
                <w:tcPr>
                  <w:tcW w:w="323" w:type="dxa"/>
                  <w:vMerge w:val="continue"/>
                  <w:tcBorders>
                    <w:tl2br w:val="nil"/>
                    <w:tr2bl w:val="nil"/>
                  </w:tcBorders>
                  <w:vAlign w:val="center"/>
                </w:tcPr>
                <w:p w14:paraId="70E8B4DA">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p>
              </w:tc>
              <w:tc>
                <w:tcPr>
                  <w:tcW w:w="898" w:type="dxa"/>
                  <w:tcBorders>
                    <w:tl2br w:val="nil"/>
                    <w:tr2bl w:val="nil"/>
                  </w:tcBorders>
                  <w:vAlign w:val="center"/>
                </w:tcPr>
                <w:p w14:paraId="4D90BF1C">
                  <w:pPr>
                    <w:keepNext w:val="0"/>
                    <w:keepLines w:val="0"/>
                    <w:pageBreakBefore w:val="0"/>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120</w:t>
                  </w:r>
                </w:p>
              </w:tc>
              <w:tc>
                <w:tcPr>
                  <w:tcW w:w="1105" w:type="dxa"/>
                  <w:tcBorders>
                    <w:tl2br w:val="nil"/>
                    <w:tr2bl w:val="nil"/>
                  </w:tcBorders>
                  <w:vAlign w:val="center"/>
                </w:tcPr>
                <w:p w14:paraId="1E4CEF0B">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55A79D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22" w:type="dxa"/>
                  <w:vMerge w:val="continue"/>
                  <w:tcBorders>
                    <w:tl2br w:val="nil"/>
                    <w:tr2bl w:val="nil"/>
                  </w:tcBorders>
                  <w:vAlign w:val="center"/>
                </w:tcPr>
                <w:p w14:paraId="34EF1CF9">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527" w:type="dxa"/>
                  <w:vMerge w:val="continue"/>
                  <w:tcBorders>
                    <w:tl2br w:val="nil"/>
                    <w:tr2bl w:val="nil"/>
                  </w:tcBorders>
                  <w:vAlign w:val="center"/>
                </w:tcPr>
                <w:p w14:paraId="08A6D95D">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i w:val="0"/>
                      <w:iCs w:val="0"/>
                      <w:color w:val="auto"/>
                      <w:kern w:val="0"/>
                      <w:sz w:val="18"/>
                      <w:szCs w:val="18"/>
                      <w:u w:val="none"/>
                      <w:lang w:val="en-US" w:eastAsia="zh-CN" w:bidi="ar"/>
                    </w:rPr>
                  </w:pPr>
                </w:p>
              </w:tc>
              <w:tc>
                <w:tcPr>
                  <w:tcW w:w="723" w:type="dxa"/>
                  <w:tcBorders>
                    <w:tl2br w:val="nil"/>
                    <w:tr2bl w:val="nil"/>
                  </w:tcBorders>
                  <w:vAlign w:val="center"/>
                </w:tcPr>
                <w:p w14:paraId="5C013D3C">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氮氧化物</w:t>
                  </w:r>
                </w:p>
              </w:tc>
              <w:tc>
                <w:tcPr>
                  <w:tcW w:w="911" w:type="dxa"/>
                  <w:tcBorders>
                    <w:tl2br w:val="nil"/>
                    <w:tr2bl w:val="nil"/>
                  </w:tcBorders>
                  <w:shd w:val="clear" w:color="auto" w:fill="auto"/>
                  <w:vAlign w:val="center"/>
                </w:tcPr>
                <w:p w14:paraId="1B86045A">
                  <w:pPr>
                    <w:pStyle w:val="25"/>
                    <w:keepNext w:val="0"/>
                    <w:keepLines w:val="0"/>
                    <w:pageBreakBefore w:val="0"/>
                    <w:kinsoku/>
                    <w:wordWrap/>
                    <w:overflowPunct/>
                    <w:topLinePunct w:val="0"/>
                    <w:autoSpaceDE/>
                    <w:autoSpaceDN/>
                    <w:bidi w:val="0"/>
                    <w:spacing w:line="240" w:lineRule="exact"/>
                    <w:ind w:left="0" w:leftChars="0" w:right="0" w:rightChars="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0.3680</w:t>
                  </w:r>
                </w:p>
              </w:tc>
              <w:tc>
                <w:tcPr>
                  <w:tcW w:w="736" w:type="dxa"/>
                  <w:vMerge w:val="continue"/>
                  <w:tcBorders>
                    <w:tl2br w:val="nil"/>
                    <w:tr2bl w:val="nil"/>
                  </w:tcBorders>
                  <w:vAlign w:val="center"/>
                </w:tcPr>
                <w:p w14:paraId="7A6852A6">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p>
              </w:tc>
              <w:tc>
                <w:tcPr>
                  <w:tcW w:w="1137" w:type="dxa"/>
                  <w:vMerge w:val="continue"/>
                  <w:tcBorders>
                    <w:tl2br w:val="nil"/>
                    <w:tr2bl w:val="nil"/>
                  </w:tcBorders>
                  <w:vAlign w:val="center"/>
                </w:tcPr>
                <w:p w14:paraId="555C7342">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p>
              </w:tc>
              <w:tc>
                <w:tcPr>
                  <w:tcW w:w="736" w:type="dxa"/>
                  <w:tcBorders>
                    <w:tl2br w:val="nil"/>
                    <w:tr2bl w:val="nil"/>
                  </w:tcBorders>
                  <w:vAlign w:val="center"/>
                </w:tcPr>
                <w:p w14:paraId="15528A84">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941" w:type="dxa"/>
                  <w:vMerge w:val="continue"/>
                  <w:tcBorders>
                    <w:tl2br w:val="nil"/>
                    <w:tr2bl w:val="nil"/>
                  </w:tcBorders>
                  <w:vAlign w:val="center"/>
                </w:tcPr>
                <w:p w14:paraId="5153DDC2">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color w:val="auto"/>
                      <w:sz w:val="18"/>
                      <w:szCs w:val="18"/>
                    </w:rPr>
                  </w:pPr>
                </w:p>
              </w:tc>
              <w:tc>
                <w:tcPr>
                  <w:tcW w:w="1101" w:type="dxa"/>
                  <w:tcBorders>
                    <w:tl2br w:val="nil"/>
                    <w:tr2bl w:val="nil"/>
                  </w:tcBorders>
                  <w:vAlign w:val="center"/>
                </w:tcPr>
                <w:p w14:paraId="74176C78">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4.4444</w:t>
                  </w:r>
                </w:p>
              </w:tc>
              <w:tc>
                <w:tcPr>
                  <w:tcW w:w="1024" w:type="dxa"/>
                  <w:tcBorders>
                    <w:tl2br w:val="nil"/>
                    <w:tr2bl w:val="nil"/>
                  </w:tcBorders>
                  <w:vAlign w:val="center"/>
                </w:tcPr>
                <w:p w14:paraId="78BBEDB2">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0.4089</w:t>
                  </w:r>
                </w:p>
              </w:tc>
              <w:tc>
                <w:tcPr>
                  <w:tcW w:w="1024" w:type="dxa"/>
                  <w:tcBorders>
                    <w:tl2br w:val="nil"/>
                    <w:tr2bl w:val="nil"/>
                  </w:tcBorders>
                  <w:vAlign w:val="center"/>
                </w:tcPr>
                <w:p w14:paraId="47532819">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0.3680</w:t>
                  </w:r>
                </w:p>
              </w:tc>
              <w:tc>
                <w:tcPr>
                  <w:tcW w:w="906" w:type="dxa"/>
                  <w:tcBorders>
                    <w:tl2br w:val="nil"/>
                    <w:tr2bl w:val="nil"/>
                  </w:tcBorders>
                  <w:vAlign w:val="center"/>
                </w:tcPr>
                <w:p w14:paraId="0EF26660">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i w:val="0"/>
                      <w:iCs w:val="0"/>
                      <w:color w:val="auto"/>
                      <w:kern w:val="0"/>
                      <w:sz w:val="18"/>
                      <w:szCs w:val="18"/>
                      <w:u w:val="none"/>
                      <w:lang w:val="en-US" w:eastAsia="zh-CN" w:bidi="ar"/>
                    </w:rPr>
                    <w:t>/</w:t>
                  </w:r>
                </w:p>
              </w:tc>
              <w:tc>
                <w:tcPr>
                  <w:tcW w:w="906" w:type="dxa"/>
                  <w:tcBorders>
                    <w:tl2br w:val="nil"/>
                    <w:tr2bl w:val="nil"/>
                  </w:tcBorders>
                  <w:vAlign w:val="center"/>
                </w:tcPr>
                <w:p w14:paraId="6CE8390A">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i w:val="0"/>
                      <w:iCs w:val="0"/>
                      <w:color w:val="auto"/>
                      <w:kern w:val="0"/>
                      <w:sz w:val="18"/>
                      <w:szCs w:val="18"/>
                      <w:u w:val="none"/>
                      <w:lang w:val="en-US" w:eastAsia="zh-CN" w:bidi="ar"/>
                    </w:rPr>
                    <w:t>/</w:t>
                  </w:r>
                </w:p>
              </w:tc>
              <w:tc>
                <w:tcPr>
                  <w:tcW w:w="527" w:type="dxa"/>
                  <w:tcBorders>
                    <w:tl2br w:val="nil"/>
                    <w:tr2bl w:val="nil"/>
                  </w:tcBorders>
                  <w:vAlign w:val="center"/>
                </w:tcPr>
                <w:p w14:paraId="19807232">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color w:val="auto"/>
                      <w:sz w:val="18"/>
                      <w:szCs w:val="18"/>
                    </w:rPr>
                  </w:pPr>
                  <w:r>
                    <w:rPr>
                      <w:rFonts w:hint="default" w:ascii="Times New Roman" w:hAnsi="Times New Roman" w:cs="Times New Roman"/>
                      <w:i w:val="0"/>
                      <w:iCs w:val="0"/>
                      <w:color w:val="auto"/>
                      <w:kern w:val="0"/>
                      <w:sz w:val="18"/>
                      <w:szCs w:val="18"/>
                      <w:u w:val="none"/>
                      <w:lang w:val="en-US" w:eastAsia="zh-CN" w:bidi="ar"/>
                    </w:rPr>
                    <w:t>900</w:t>
                  </w:r>
                </w:p>
              </w:tc>
              <w:tc>
                <w:tcPr>
                  <w:tcW w:w="723" w:type="dxa"/>
                  <w:vMerge w:val="continue"/>
                  <w:tcBorders>
                    <w:tl2br w:val="nil"/>
                    <w:tr2bl w:val="nil"/>
                  </w:tcBorders>
                  <w:vAlign w:val="center"/>
                </w:tcPr>
                <w:p w14:paraId="1B13EED6">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p>
              </w:tc>
              <w:tc>
                <w:tcPr>
                  <w:tcW w:w="323" w:type="dxa"/>
                  <w:vMerge w:val="continue"/>
                  <w:tcBorders>
                    <w:tl2br w:val="nil"/>
                    <w:tr2bl w:val="nil"/>
                  </w:tcBorders>
                  <w:vAlign w:val="center"/>
                </w:tcPr>
                <w:p w14:paraId="7B9E36A8">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p>
              </w:tc>
              <w:tc>
                <w:tcPr>
                  <w:tcW w:w="898" w:type="dxa"/>
                  <w:tcBorders>
                    <w:tl2br w:val="nil"/>
                    <w:tr2bl w:val="nil"/>
                  </w:tcBorders>
                  <w:vAlign w:val="center"/>
                </w:tcPr>
                <w:p w14:paraId="762F0D3E">
                  <w:pPr>
                    <w:keepNext w:val="0"/>
                    <w:keepLines w:val="0"/>
                    <w:pageBreakBefore w:val="0"/>
                    <w:tabs>
                      <w:tab w:val="left" w:pos="1170"/>
                      <w:tab w:val="left" w:pos="1470"/>
                    </w:tabs>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240</w:t>
                  </w:r>
                </w:p>
              </w:tc>
              <w:tc>
                <w:tcPr>
                  <w:tcW w:w="1105" w:type="dxa"/>
                  <w:tcBorders>
                    <w:tl2br w:val="nil"/>
                    <w:tr2bl w:val="nil"/>
                  </w:tcBorders>
                  <w:vAlign w:val="center"/>
                </w:tcPr>
                <w:p w14:paraId="48BBCC82">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2EA432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9" w:type="dxa"/>
                  <w:gridSpan w:val="2"/>
                  <w:tcBorders>
                    <w:tl2br w:val="nil"/>
                    <w:tr2bl w:val="nil"/>
                  </w:tcBorders>
                  <w:shd w:val="clear" w:color="auto" w:fill="auto"/>
                  <w:vAlign w:val="center"/>
                </w:tcPr>
                <w:p w14:paraId="31DE08B6">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堆场扬尘</w:t>
                  </w:r>
                </w:p>
              </w:tc>
              <w:tc>
                <w:tcPr>
                  <w:tcW w:w="723" w:type="dxa"/>
                  <w:tcBorders>
                    <w:tl2br w:val="nil"/>
                    <w:tr2bl w:val="nil"/>
                  </w:tcBorders>
                  <w:shd w:val="clear" w:color="auto" w:fill="auto"/>
                  <w:vAlign w:val="center"/>
                </w:tcPr>
                <w:p w14:paraId="5DB47630">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颗粒物</w:t>
                  </w:r>
                </w:p>
              </w:tc>
              <w:tc>
                <w:tcPr>
                  <w:tcW w:w="911" w:type="dxa"/>
                  <w:tcBorders>
                    <w:tl2br w:val="nil"/>
                    <w:tr2bl w:val="nil"/>
                  </w:tcBorders>
                  <w:shd w:val="clear" w:color="auto" w:fill="auto"/>
                  <w:vAlign w:val="center"/>
                </w:tcPr>
                <w:p w14:paraId="3B7EEEC0">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2.8227</w:t>
                  </w:r>
                </w:p>
              </w:tc>
              <w:tc>
                <w:tcPr>
                  <w:tcW w:w="736" w:type="dxa"/>
                  <w:tcBorders>
                    <w:tl2br w:val="nil"/>
                    <w:tr2bl w:val="nil"/>
                  </w:tcBorders>
                  <w:vAlign w:val="center"/>
                </w:tcPr>
                <w:p w14:paraId="0939A808">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137" w:type="dxa"/>
                  <w:vMerge w:val="restart"/>
                  <w:tcBorders>
                    <w:tl2br w:val="nil"/>
                    <w:tr2bl w:val="nil"/>
                  </w:tcBorders>
                  <w:vAlign w:val="center"/>
                </w:tcPr>
                <w:p w14:paraId="1687FC81">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三面围挡，顶部加盖</w:t>
                  </w:r>
                  <w:r>
                    <w:rPr>
                      <w:rFonts w:hint="default" w:ascii="Times New Roman" w:hAnsi="Times New Roman" w:cs="Times New Roman"/>
                      <w:color w:val="auto"/>
                      <w:sz w:val="18"/>
                      <w:szCs w:val="18"/>
                    </w:rPr>
                    <w:t>，设1套喷雾降尘装置</w:t>
                  </w:r>
                </w:p>
              </w:tc>
              <w:tc>
                <w:tcPr>
                  <w:tcW w:w="736" w:type="dxa"/>
                  <w:tcBorders>
                    <w:tl2br w:val="nil"/>
                    <w:tr2bl w:val="nil"/>
                  </w:tcBorders>
                  <w:vAlign w:val="center"/>
                </w:tcPr>
                <w:p w14:paraId="6B6197BA">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90</w:t>
                  </w:r>
                </w:p>
              </w:tc>
              <w:tc>
                <w:tcPr>
                  <w:tcW w:w="941" w:type="dxa"/>
                  <w:tcBorders>
                    <w:tl2br w:val="nil"/>
                    <w:tr2bl w:val="nil"/>
                  </w:tcBorders>
                  <w:vAlign w:val="center"/>
                </w:tcPr>
                <w:p w14:paraId="0F767D7A">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1101" w:type="dxa"/>
                  <w:tcBorders>
                    <w:tl2br w:val="nil"/>
                    <w:tr2bl w:val="nil"/>
                  </w:tcBorders>
                  <w:vAlign w:val="center"/>
                </w:tcPr>
                <w:p w14:paraId="1B984DCA">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1024" w:type="dxa"/>
                  <w:tcBorders>
                    <w:tl2br w:val="nil"/>
                    <w:tr2bl w:val="nil"/>
                  </w:tcBorders>
                  <w:vAlign w:val="center"/>
                </w:tcPr>
                <w:p w14:paraId="2F22DE72">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1024" w:type="dxa"/>
                  <w:tcBorders>
                    <w:tl2br w:val="nil"/>
                    <w:tr2bl w:val="nil"/>
                  </w:tcBorders>
                  <w:vAlign w:val="center"/>
                </w:tcPr>
                <w:p w14:paraId="5B061230">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906" w:type="dxa"/>
                  <w:tcBorders>
                    <w:tl2br w:val="nil"/>
                    <w:tr2bl w:val="nil"/>
                  </w:tcBorders>
                  <w:vAlign w:val="center"/>
                </w:tcPr>
                <w:p w14:paraId="20CCFC57">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highlight w:val="none"/>
                      <w:lang w:val="en-US" w:eastAsia="zh-CN"/>
                    </w:rPr>
                    <w:t>0.0784</w:t>
                  </w:r>
                </w:p>
              </w:tc>
              <w:tc>
                <w:tcPr>
                  <w:tcW w:w="906" w:type="dxa"/>
                  <w:tcBorders>
                    <w:tl2br w:val="nil"/>
                    <w:tr2bl w:val="nil"/>
                  </w:tcBorders>
                  <w:vAlign w:val="center"/>
                </w:tcPr>
                <w:p w14:paraId="410B0DA2">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highlight w:val="none"/>
                      <w:lang w:val="en-US" w:eastAsia="zh-CN"/>
                    </w:rPr>
                    <w:t>0.2823</w:t>
                  </w:r>
                </w:p>
              </w:tc>
              <w:tc>
                <w:tcPr>
                  <w:tcW w:w="527" w:type="dxa"/>
                  <w:tcBorders>
                    <w:tl2br w:val="nil"/>
                    <w:tr2bl w:val="nil"/>
                  </w:tcBorders>
                  <w:vAlign w:val="center"/>
                </w:tcPr>
                <w:p w14:paraId="24BA2D54">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3600</w:t>
                  </w:r>
                </w:p>
              </w:tc>
              <w:tc>
                <w:tcPr>
                  <w:tcW w:w="723" w:type="dxa"/>
                  <w:tcBorders>
                    <w:tl2br w:val="nil"/>
                    <w:tr2bl w:val="nil"/>
                  </w:tcBorders>
                  <w:vAlign w:val="center"/>
                </w:tcPr>
                <w:p w14:paraId="28804C2E">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p>
              </w:tc>
              <w:tc>
                <w:tcPr>
                  <w:tcW w:w="323" w:type="dxa"/>
                  <w:tcBorders>
                    <w:tl2br w:val="nil"/>
                    <w:tr2bl w:val="nil"/>
                  </w:tcBorders>
                  <w:vAlign w:val="center"/>
                </w:tcPr>
                <w:p w14:paraId="3B69DADA">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p>
              </w:tc>
              <w:tc>
                <w:tcPr>
                  <w:tcW w:w="898" w:type="dxa"/>
                  <w:tcBorders>
                    <w:tl2br w:val="nil"/>
                    <w:tr2bl w:val="nil"/>
                  </w:tcBorders>
                  <w:vAlign w:val="center"/>
                </w:tcPr>
                <w:p w14:paraId="7307CC29">
                  <w:pPr>
                    <w:keepNext w:val="0"/>
                    <w:keepLines w:val="0"/>
                    <w:pageBreakBefore w:val="0"/>
                    <w:tabs>
                      <w:tab w:val="left" w:pos="1170"/>
                      <w:tab w:val="left" w:pos="1470"/>
                    </w:tabs>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105" w:type="dxa"/>
                  <w:tcBorders>
                    <w:tl2br w:val="nil"/>
                    <w:tr2bl w:val="nil"/>
                  </w:tcBorders>
                  <w:vAlign w:val="center"/>
                </w:tcPr>
                <w:p w14:paraId="42EAAC12">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1.0</w:t>
                  </w:r>
                </w:p>
              </w:tc>
            </w:tr>
            <w:tr w14:paraId="232CD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9" w:type="dxa"/>
                  <w:gridSpan w:val="2"/>
                  <w:tcBorders>
                    <w:tl2br w:val="nil"/>
                    <w:tr2bl w:val="nil"/>
                  </w:tcBorders>
                  <w:shd w:val="clear" w:color="auto" w:fill="auto"/>
                  <w:vAlign w:val="center"/>
                </w:tcPr>
                <w:p w14:paraId="21FB2342">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卸料粉尘</w:t>
                  </w:r>
                </w:p>
              </w:tc>
              <w:tc>
                <w:tcPr>
                  <w:tcW w:w="723" w:type="dxa"/>
                  <w:tcBorders>
                    <w:tl2br w:val="nil"/>
                    <w:tr2bl w:val="nil"/>
                  </w:tcBorders>
                  <w:shd w:val="clear" w:color="auto" w:fill="auto"/>
                  <w:vAlign w:val="center"/>
                </w:tcPr>
                <w:p w14:paraId="120CA85E">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颗粒物</w:t>
                  </w:r>
                </w:p>
              </w:tc>
              <w:tc>
                <w:tcPr>
                  <w:tcW w:w="911" w:type="dxa"/>
                  <w:tcBorders>
                    <w:tl2br w:val="nil"/>
                    <w:tr2bl w:val="nil"/>
                  </w:tcBorders>
                  <w:shd w:val="clear" w:color="auto" w:fill="auto"/>
                  <w:vAlign w:val="center"/>
                </w:tcPr>
                <w:p w14:paraId="19281BF2">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0.0075</w:t>
                  </w:r>
                </w:p>
              </w:tc>
              <w:tc>
                <w:tcPr>
                  <w:tcW w:w="736" w:type="dxa"/>
                  <w:tcBorders>
                    <w:tl2br w:val="nil"/>
                    <w:tr2bl w:val="nil"/>
                  </w:tcBorders>
                  <w:vAlign w:val="center"/>
                </w:tcPr>
                <w:p w14:paraId="68D25E34">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137" w:type="dxa"/>
                  <w:vMerge w:val="continue"/>
                  <w:tcBorders>
                    <w:tl2br w:val="nil"/>
                    <w:tr2bl w:val="nil"/>
                  </w:tcBorders>
                  <w:vAlign w:val="center"/>
                </w:tcPr>
                <w:p w14:paraId="1DAAA7EB">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p>
              </w:tc>
              <w:tc>
                <w:tcPr>
                  <w:tcW w:w="736" w:type="dxa"/>
                  <w:tcBorders>
                    <w:tl2br w:val="nil"/>
                    <w:tr2bl w:val="nil"/>
                  </w:tcBorders>
                  <w:vAlign w:val="center"/>
                </w:tcPr>
                <w:p w14:paraId="5902CFE1">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90</w:t>
                  </w:r>
                </w:p>
              </w:tc>
              <w:tc>
                <w:tcPr>
                  <w:tcW w:w="941" w:type="dxa"/>
                  <w:tcBorders>
                    <w:tl2br w:val="nil"/>
                    <w:tr2bl w:val="nil"/>
                  </w:tcBorders>
                  <w:vAlign w:val="center"/>
                </w:tcPr>
                <w:p w14:paraId="03A294AF">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1101" w:type="dxa"/>
                  <w:tcBorders>
                    <w:tl2br w:val="nil"/>
                    <w:tr2bl w:val="nil"/>
                  </w:tcBorders>
                  <w:vAlign w:val="center"/>
                </w:tcPr>
                <w:p w14:paraId="368BC879">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1024" w:type="dxa"/>
                  <w:tcBorders>
                    <w:tl2br w:val="nil"/>
                    <w:tr2bl w:val="nil"/>
                  </w:tcBorders>
                  <w:vAlign w:val="center"/>
                </w:tcPr>
                <w:p w14:paraId="3ADFA9D6">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1024" w:type="dxa"/>
                  <w:tcBorders>
                    <w:tl2br w:val="nil"/>
                    <w:tr2bl w:val="nil"/>
                  </w:tcBorders>
                  <w:vAlign w:val="center"/>
                </w:tcPr>
                <w:p w14:paraId="522D0938">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906" w:type="dxa"/>
                  <w:tcBorders>
                    <w:tl2br w:val="nil"/>
                    <w:tr2bl w:val="nil"/>
                  </w:tcBorders>
                  <w:vAlign w:val="center"/>
                </w:tcPr>
                <w:p w14:paraId="677ECE30">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highlight w:val="none"/>
                    </w:rPr>
                    <w:t>0.0</w:t>
                  </w:r>
                  <w:r>
                    <w:rPr>
                      <w:rFonts w:hint="default" w:ascii="Times New Roman" w:hAnsi="Times New Roman" w:cs="Times New Roman"/>
                      <w:bCs/>
                      <w:color w:val="auto"/>
                      <w:sz w:val="18"/>
                      <w:szCs w:val="18"/>
                      <w:highlight w:val="none"/>
                      <w:lang w:val="en-US" w:eastAsia="zh-CN"/>
                    </w:rPr>
                    <w:t>009</w:t>
                  </w:r>
                </w:p>
              </w:tc>
              <w:tc>
                <w:tcPr>
                  <w:tcW w:w="906" w:type="dxa"/>
                  <w:tcBorders>
                    <w:tl2br w:val="nil"/>
                    <w:tr2bl w:val="nil"/>
                  </w:tcBorders>
                  <w:vAlign w:val="center"/>
                </w:tcPr>
                <w:p w14:paraId="338BE76A">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highlight w:val="none"/>
                      <w:lang w:val="en-US" w:eastAsia="zh-CN"/>
                    </w:rPr>
                    <w:t>0.0008</w:t>
                  </w:r>
                </w:p>
              </w:tc>
              <w:tc>
                <w:tcPr>
                  <w:tcW w:w="527" w:type="dxa"/>
                  <w:tcBorders>
                    <w:tl2br w:val="nil"/>
                    <w:tr2bl w:val="nil"/>
                  </w:tcBorders>
                  <w:vAlign w:val="center"/>
                </w:tcPr>
                <w:p w14:paraId="0A7ECC51">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900</w:t>
                  </w:r>
                </w:p>
              </w:tc>
              <w:tc>
                <w:tcPr>
                  <w:tcW w:w="723" w:type="dxa"/>
                  <w:tcBorders>
                    <w:tl2br w:val="nil"/>
                    <w:tr2bl w:val="nil"/>
                  </w:tcBorders>
                  <w:vAlign w:val="center"/>
                </w:tcPr>
                <w:p w14:paraId="280406FB">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p>
              </w:tc>
              <w:tc>
                <w:tcPr>
                  <w:tcW w:w="323" w:type="dxa"/>
                  <w:tcBorders>
                    <w:tl2br w:val="nil"/>
                    <w:tr2bl w:val="nil"/>
                  </w:tcBorders>
                  <w:vAlign w:val="center"/>
                </w:tcPr>
                <w:p w14:paraId="41045F3E">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p>
              </w:tc>
              <w:tc>
                <w:tcPr>
                  <w:tcW w:w="898" w:type="dxa"/>
                  <w:tcBorders>
                    <w:tl2br w:val="nil"/>
                    <w:tr2bl w:val="nil"/>
                  </w:tcBorders>
                  <w:shd w:val="clear" w:color="auto" w:fill="auto"/>
                  <w:vAlign w:val="center"/>
                </w:tcPr>
                <w:p w14:paraId="4ADC8A24">
                  <w:pPr>
                    <w:keepNext w:val="0"/>
                    <w:keepLines w:val="0"/>
                    <w:pageBreakBefore w:val="0"/>
                    <w:tabs>
                      <w:tab w:val="left" w:pos="1170"/>
                      <w:tab w:val="left" w:pos="1470"/>
                    </w:tabs>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w:t>
                  </w:r>
                </w:p>
              </w:tc>
              <w:tc>
                <w:tcPr>
                  <w:tcW w:w="1105" w:type="dxa"/>
                  <w:tcBorders>
                    <w:tl2br w:val="nil"/>
                    <w:tr2bl w:val="nil"/>
                  </w:tcBorders>
                  <w:shd w:val="clear" w:color="auto" w:fill="auto"/>
                  <w:vAlign w:val="center"/>
                </w:tcPr>
                <w:p w14:paraId="128D8184">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1.0</w:t>
                  </w:r>
                </w:p>
              </w:tc>
            </w:tr>
            <w:tr w14:paraId="4725A2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9" w:type="dxa"/>
                  <w:gridSpan w:val="2"/>
                  <w:tcBorders>
                    <w:tl2br w:val="nil"/>
                    <w:tr2bl w:val="nil"/>
                  </w:tcBorders>
                  <w:shd w:val="clear" w:color="auto" w:fill="auto"/>
                  <w:vAlign w:val="center"/>
                </w:tcPr>
                <w:p w14:paraId="31D33867">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运输扬尘</w:t>
                  </w:r>
                </w:p>
              </w:tc>
              <w:tc>
                <w:tcPr>
                  <w:tcW w:w="723" w:type="dxa"/>
                  <w:tcBorders>
                    <w:tl2br w:val="nil"/>
                    <w:tr2bl w:val="nil"/>
                  </w:tcBorders>
                  <w:shd w:val="clear" w:color="auto" w:fill="auto"/>
                  <w:vAlign w:val="center"/>
                </w:tcPr>
                <w:p w14:paraId="221ADB16">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颗粒物</w:t>
                  </w:r>
                </w:p>
              </w:tc>
              <w:tc>
                <w:tcPr>
                  <w:tcW w:w="911" w:type="dxa"/>
                  <w:tcBorders>
                    <w:tl2br w:val="nil"/>
                    <w:tr2bl w:val="nil"/>
                  </w:tcBorders>
                  <w:shd w:val="clear" w:color="auto" w:fill="auto"/>
                  <w:vAlign w:val="center"/>
                </w:tcPr>
                <w:p w14:paraId="1A174BEA">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0.0656</w:t>
                  </w:r>
                </w:p>
              </w:tc>
              <w:tc>
                <w:tcPr>
                  <w:tcW w:w="736" w:type="dxa"/>
                  <w:tcBorders>
                    <w:tl2br w:val="nil"/>
                    <w:tr2bl w:val="nil"/>
                  </w:tcBorders>
                  <w:vAlign w:val="center"/>
                </w:tcPr>
                <w:p w14:paraId="2443C984">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137" w:type="dxa"/>
                  <w:tcBorders>
                    <w:tl2br w:val="nil"/>
                    <w:tr2bl w:val="nil"/>
                  </w:tcBorders>
                  <w:vAlign w:val="center"/>
                </w:tcPr>
                <w:p w14:paraId="033197D0">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密闭运输、禁止超速、超载，车辆冲洗，洒水降尘等</w:t>
                  </w:r>
                </w:p>
              </w:tc>
              <w:tc>
                <w:tcPr>
                  <w:tcW w:w="736" w:type="dxa"/>
                  <w:tcBorders>
                    <w:tl2br w:val="nil"/>
                    <w:tr2bl w:val="nil"/>
                  </w:tcBorders>
                  <w:vAlign w:val="center"/>
                </w:tcPr>
                <w:p w14:paraId="068F1380">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80</w:t>
                  </w:r>
                </w:p>
              </w:tc>
              <w:tc>
                <w:tcPr>
                  <w:tcW w:w="941" w:type="dxa"/>
                  <w:tcBorders>
                    <w:tl2br w:val="nil"/>
                    <w:tr2bl w:val="nil"/>
                  </w:tcBorders>
                  <w:vAlign w:val="center"/>
                </w:tcPr>
                <w:p w14:paraId="7F6EA0F7">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1101" w:type="dxa"/>
                  <w:tcBorders>
                    <w:tl2br w:val="nil"/>
                    <w:tr2bl w:val="nil"/>
                  </w:tcBorders>
                  <w:vAlign w:val="center"/>
                </w:tcPr>
                <w:p w14:paraId="3CAD0EE2">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1024" w:type="dxa"/>
                  <w:tcBorders>
                    <w:tl2br w:val="nil"/>
                    <w:tr2bl w:val="nil"/>
                  </w:tcBorders>
                  <w:vAlign w:val="center"/>
                </w:tcPr>
                <w:p w14:paraId="55065627">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1024" w:type="dxa"/>
                  <w:tcBorders>
                    <w:tl2br w:val="nil"/>
                    <w:tr2bl w:val="nil"/>
                  </w:tcBorders>
                  <w:vAlign w:val="center"/>
                </w:tcPr>
                <w:p w14:paraId="4EFFB8E9">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906" w:type="dxa"/>
                  <w:tcBorders>
                    <w:tl2br w:val="nil"/>
                    <w:tr2bl w:val="nil"/>
                  </w:tcBorders>
                  <w:vAlign w:val="center"/>
                </w:tcPr>
                <w:p w14:paraId="0F92F6E1">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highlight w:val="none"/>
                    </w:rPr>
                    <w:t>0.</w:t>
                  </w:r>
                  <w:r>
                    <w:rPr>
                      <w:rFonts w:hint="default" w:ascii="Times New Roman" w:hAnsi="Times New Roman" w:cs="Times New Roman"/>
                      <w:bCs/>
                      <w:color w:val="auto"/>
                      <w:sz w:val="18"/>
                      <w:szCs w:val="18"/>
                      <w:highlight w:val="none"/>
                      <w:lang w:val="en-US" w:eastAsia="zh-CN"/>
                    </w:rPr>
                    <w:t>0087</w:t>
                  </w:r>
                </w:p>
              </w:tc>
              <w:tc>
                <w:tcPr>
                  <w:tcW w:w="906" w:type="dxa"/>
                  <w:tcBorders>
                    <w:tl2br w:val="nil"/>
                    <w:tr2bl w:val="nil"/>
                  </w:tcBorders>
                  <w:vAlign w:val="center"/>
                </w:tcPr>
                <w:p w14:paraId="3EBE26A8">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highlight w:val="none"/>
                      <w:lang w:val="en-US" w:eastAsia="zh-CN"/>
                    </w:rPr>
                    <w:t>0.0131</w:t>
                  </w:r>
                </w:p>
              </w:tc>
              <w:tc>
                <w:tcPr>
                  <w:tcW w:w="527" w:type="dxa"/>
                  <w:tcBorders>
                    <w:tl2br w:val="nil"/>
                    <w:tr2bl w:val="nil"/>
                  </w:tcBorders>
                  <w:vAlign w:val="center"/>
                </w:tcPr>
                <w:p w14:paraId="011D6611">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900</w:t>
                  </w:r>
                </w:p>
              </w:tc>
              <w:tc>
                <w:tcPr>
                  <w:tcW w:w="723" w:type="dxa"/>
                  <w:tcBorders>
                    <w:tl2br w:val="nil"/>
                    <w:tr2bl w:val="nil"/>
                  </w:tcBorders>
                  <w:vAlign w:val="center"/>
                </w:tcPr>
                <w:p w14:paraId="01F7D59B">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p>
              </w:tc>
              <w:tc>
                <w:tcPr>
                  <w:tcW w:w="323" w:type="dxa"/>
                  <w:tcBorders>
                    <w:tl2br w:val="nil"/>
                    <w:tr2bl w:val="nil"/>
                  </w:tcBorders>
                  <w:vAlign w:val="center"/>
                </w:tcPr>
                <w:p w14:paraId="1762A321">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p>
              </w:tc>
              <w:tc>
                <w:tcPr>
                  <w:tcW w:w="898" w:type="dxa"/>
                  <w:tcBorders>
                    <w:tl2br w:val="nil"/>
                    <w:tr2bl w:val="nil"/>
                  </w:tcBorders>
                  <w:shd w:val="clear" w:color="auto" w:fill="auto"/>
                  <w:vAlign w:val="center"/>
                </w:tcPr>
                <w:p w14:paraId="21F0D20F">
                  <w:pPr>
                    <w:keepNext w:val="0"/>
                    <w:keepLines w:val="0"/>
                    <w:pageBreakBefore w:val="0"/>
                    <w:tabs>
                      <w:tab w:val="left" w:pos="1170"/>
                      <w:tab w:val="left" w:pos="1470"/>
                    </w:tabs>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w:t>
                  </w:r>
                </w:p>
              </w:tc>
              <w:tc>
                <w:tcPr>
                  <w:tcW w:w="1105" w:type="dxa"/>
                  <w:tcBorders>
                    <w:tl2br w:val="nil"/>
                    <w:tr2bl w:val="nil"/>
                  </w:tcBorders>
                  <w:shd w:val="clear" w:color="auto" w:fill="auto"/>
                  <w:vAlign w:val="center"/>
                </w:tcPr>
                <w:p w14:paraId="61083FFC">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1.0</w:t>
                  </w:r>
                </w:p>
              </w:tc>
            </w:tr>
            <w:tr w14:paraId="0992F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9" w:type="dxa"/>
                  <w:gridSpan w:val="2"/>
                  <w:tcBorders>
                    <w:tl2br w:val="nil"/>
                    <w:tr2bl w:val="nil"/>
                  </w:tcBorders>
                  <w:shd w:val="clear" w:color="auto" w:fill="auto"/>
                  <w:vAlign w:val="center"/>
                </w:tcPr>
                <w:p w14:paraId="27FA3304">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汽车尾气</w:t>
                  </w:r>
                </w:p>
              </w:tc>
              <w:tc>
                <w:tcPr>
                  <w:tcW w:w="723" w:type="dxa"/>
                  <w:tcBorders>
                    <w:tl2br w:val="nil"/>
                    <w:tr2bl w:val="nil"/>
                  </w:tcBorders>
                  <w:shd w:val="clear" w:color="auto" w:fill="auto"/>
                  <w:vAlign w:val="center"/>
                </w:tcPr>
                <w:p w14:paraId="46EF8036">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CO、NOx、THC</w:t>
                  </w:r>
                </w:p>
              </w:tc>
              <w:tc>
                <w:tcPr>
                  <w:tcW w:w="911" w:type="dxa"/>
                  <w:tcBorders>
                    <w:tl2br w:val="nil"/>
                    <w:tr2bl w:val="nil"/>
                  </w:tcBorders>
                  <w:shd w:val="clear" w:color="auto" w:fill="auto"/>
                  <w:vAlign w:val="center"/>
                </w:tcPr>
                <w:p w14:paraId="4A6A479A">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少量</w:t>
                  </w:r>
                </w:p>
              </w:tc>
              <w:tc>
                <w:tcPr>
                  <w:tcW w:w="736" w:type="dxa"/>
                  <w:tcBorders>
                    <w:tl2br w:val="nil"/>
                    <w:tr2bl w:val="nil"/>
                  </w:tcBorders>
                  <w:vAlign w:val="center"/>
                </w:tcPr>
                <w:p w14:paraId="0F4087D3">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137" w:type="dxa"/>
                  <w:tcBorders>
                    <w:tl2br w:val="nil"/>
                    <w:tr2bl w:val="nil"/>
                  </w:tcBorders>
                  <w:shd w:val="clear" w:color="auto" w:fill="auto"/>
                  <w:vAlign w:val="center"/>
                </w:tcPr>
                <w:p w14:paraId="1A5A89FC">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加强车辆管理</w:t>
                  </w:r>
                </w:p>
              </w:tc>
              <w:tc>
                <w:tcPr>
                  <w:tcW w:w="736" w:type="dxa"/>
                  <w:tcBorders>
                    <w:tl2br w:val="nil"/>
                    <w:tr2bl w:val="nil"/>
                  </w:tcBorders>
                  <w:vAlign w:val="center"/>
                </w:tcPr>
                <w:p w14:paraId="73882133">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941" w:type="dxa"/>
                  <w:tcBorders>
                    <w:tl2br w:val="nil"/>
                    <w:tr2bl w:val="nil"/>
                  </w:tcBorders>
                  <w:vAlign w:val="center"/>
                </w:tcPr>
                <w:p w14:paraId="60D66010">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1101" w:type="dxa"/>
                  <w:tcBorders>
                    <w:tl2br w:val="nil"/>
                    <w:tr2bl w:val="nil"/>
                  </w:tcBorders>
                  <w:vAlign w:val="center"/>
                </w:tcPr>
                <w:p w14:paraId="5C592FDE">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1024" w:type="dxa"/>
                  <w:tcBorders>
                    <w:tl2br w:val="nil"/>
                    <w:tr2bl w:val="nil"/>
                  </w:tcBorders>
                  <w:vAlign w:val="center"/>
                </w:tcPr>
                <w:p w14:paraId="40B83461">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1024" w:type="dxa"/>
                  <w:tcBorders>
                    <w:tl2br w:val="nil"/>
                    <w:tr2bl w:val="nil"/>
                  </w:tcBorders>
                  <w:vAlign w:val="center"/>
                </w:tcPr>
                <w:p w14:paraId="393A8693">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w:t>
                  </w:r>
                </w:p>
              </w:tc>
              <w:tc>
                <w:tcPr>
                  <w:tcW w:w="906" w:type="dxa"/>
                  <w:tcBorders>
                    <w:tl2br w:val="nil"/>
                    <w:tr2bl w:val="nil"/>
                  </w:tcBorders>
                  <w:vAlign w:val="center"/>
                </w:tcPr>
                <w:p w14:paraId="4DBAB0FB">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906" w:type="dxa"/>
                  <w:tcBorders>
                    <w:tl2br w:val="nil"/>
                    <w:tr2bl w:val="nil"/>
                  </w:tcBorders>
                  <w:vAlign w:val="center"/>
                </w:tcPr>
                <w:p w14:paraId="37E4E873">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527" w:type="dxa"/>
                  <w:tcBorders>
                    <w:tl2br w:val="nil"/>
                    <w:tr2bl w:val="nil"/>
                  </w:tcBorders>
                  <w:vAlign w:val="center"/>
                </w:tcPr>
                <w:p w14:paraId="6DC4AE43">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900</w:t>
                  </w:r>
                </w:p>
              </w:tc>
              <w:tc>
                <w:tcPr>
                  <w:tcW w:w="723" w:type="dxa"/>
                  <w:tcBorders>
                    <w:tl2br w:val="nil"/>
                    <w:tr2bl w:val="nil"/>
                  </w:tcBorders>
                  <w:vAlign w:val="center"/>
                </w:tcPr>
                <w:p w14:paraId="654F6723">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p>
              </w:tc>
              <w:tc>
                <w:tcPr>
                  <w:tcW w:w="323" w:type="dxa"/>
                  <w:tcBorders>
                    <w:tl2br w:val="nil"/>
                    <w:tr2bl w:val="nil"/>
                  </w:tcBorders>
                  <w:vAlign w:val="center"/>
                </w:tcPr>
                <w:p w14:paraId="1CAE3364">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p>
              </w:tc>
              <w:tc>
                <w:tcPr>
                  <w:tcW w:w="898" w:type="dxa"/>
                  <w:tcBorders>
                    <w:tl2br w:val="nil"/>
                    <w:tr2bl w:val="nil"/>
                  </w:tcBorders>
                  <w:vAlign w:val="center"/>
                </w:tcPr>
                <w:p w14:paraId="4A59EF55">
                  <w:pPr>
                    <w:keepNext w:val="0"/>
                    <w:keepLines w:val="0"/>
                    <w:pageBreakBefore w:val="0"/>
                    <w:tabs>
                      <w:tab w:val="left" w:pos="1170"/>
                      <w:tab w:val="left" w:pos="1470"/>
                    </w:tabs>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105" w:type="dxa"/>
                  <w:tcBorders>
                    <w:tl2br w:val="nil"/>
                    <w:tr2bl w:val="nil"/>
                  </w:tcBorders>
                  <w:vAlign w:val="center"/>
                </w:tcPr>
                <w:p w14:paraId="4C3D04E9">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17E0C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49" w:type="dxa"/>
                  <w:gridSpan w:val="2"/>
                  <w:tcBorders>
                    <w:tl2br w:val="nil"/>
                    <w:tr2bl w:val="nil"/>
                  </w:tcBorders>
                  <w:shd w:val="clear" w:color="auto" w:fill="auto"/>
                  <w:vAlign w:val="center"/>
                </w:tcPr>
                <w:p w14:paraId="7B88A705">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食堂油烟</w:t>
                  </w:r>
                </w:p>
              </w:tc>
              <w:tc>
                <w:tcPr>
                  <w:tcW w:w="723" w:type="dxa"/>
                  <w:tcBorders>
                    <w:tl2br w:val="nil"/>
                    <w:tr2bl w:val="nil"/>
                  </w:tcBorders>
                  <w:shd w:val="clear" w:color="auto" w:fill="auto"/>
                  <w:vAlign w:val="center"/>
                </w:tcPr>
                <w:p w14:paraId="6DD10BDF">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食堂</w:t>
                  </w:r>
                </w:p>
              </w:tc>
              <w:tc>
                <w:tcPr>
                  <w:tcW w:w="911" w:type="dxa"/>
                  <w:tcBorders>
                    <w:tl2br w:val="nil"/>
                    <w:tr2bl w:val="nil"/>
                  </w:tcBorders>
                  <w:shd w:val="clear" w:color="auto" w:fill="auto"/>
                  <w:vAlign w:val="center"/>
                </w:tcPr>
                <w:p w14:paraId="15206772">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0.0012</w:t>
                  </w:r>
                </w:p>
              </w:tc>
              <w:tc>
                <w:tcPr>
                  <w:tcW w:w="736" w:type="dxa"/>
                  <w:tcBorders>
                    <w:tl2br w:val="nil"/>
                    <w:tr2bl w:val="nil"/>
                  </w:tcBorders>
                  <w:vAlign w:val="center"/>
                </w:tcPr>
                <w:p w14:paraId="360B01D5">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100</w:t>
                  </w:r>
                </w:p>
              </w:tc>
              <w:tc>
                <w:tcPr>
                  <w:tcW w:w="1137" w:type="dxa"/>
                  <w:tcBorders>
                    <w:tl2br w:val="nil"/>
                    <w:tr2bl w:val="nil"/>
                  </w:tcBorders>
                  <w:shd w:val="clear" w:color="auto" w:fill="auto"/>
                  <w:vAlign w:val="center"/>
                </w:tcPr>
                <w:p w14:paraId="0492C5F8">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抽油烟机</w:t>
                  </w:r>
                </w:p>
              </w:tc>
              <w:tc>
                <w:tcPr>
                  <w:tcW w:w="736" w:type="dxa"/>
                  <w:tcBorders>
                    <w:tl2br w:val="nil"/>
                    <w:tr2bl w:val="nil"/>
                  </w:tcBorders>
                  <w:vAlign w:val="center"/>
                </w:tcPr>
                <w:p w14:paraId="6E557FFC">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70</w:t>
                  </w:r>
                </w:p>
              </w:tc>
              <w:tc>
                <w:tcPr>
                  <w:tcW w:w="4090" w:type="dxa"/>
                  <w:gridSpan w:val="4"/>
                  <w:tcBorders>
                    <w:tl2br w:val="nil"/>
                    <w:tr2bl w:val="nil"/>
                  </w:tcBorders>
                  <w:vAlign w:val="center"/>
                </w:tcPr>
                <w:p w14:paraId="73D90B5A">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906" w:type="dxa"/>
                  <w:tcBorders>
                    <w:tl2br w:val="nil"/>
                    <w:tr2bl w:val="nil"/>
                  </w:tcBorders>
                  <w:vAlign w:val="center"/>
                </w:tcPr>
                <w:p w14:paraId="349AC63F">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0.0007</w:t>
                  </w:r>
                </w:p>
              </w:tc>
              <w:tc>
                <w:tcPr>
                  <w:tcW w:w="906" w:type="dxa"/>
                  <w:tcBorders>
                    <w:tl2br w:val="nil"/>
                    <w:tr2bl w:val="nil"/>
                  </w:tcBorders>
                  <w:vAlign w:val="center"/>
                </w:tcPr>
                <w:p w14:paraId="26C4D5CF">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0.0004</w:t>
                  </w:r>
                </w:p>
              </w:tc>
              <w:tc>
                <w:tcPr>
                  <w:tcW w:w="527" w:type="dxa"/>
                  <w:tcBorders>
                    <w:tl2br w:val="nil"/>
                    <w:tr2bl w:val="nil"/>
                  </w:tcBorders>
                  <w:vAlign w:val="center"/>
                </w:tcPr>
                <w:p w14:paraId="17E25F07">
                  <w:pPr>
                    <w:keepNext w:val="0"/>
                    <w:keepLines w:val="0"/>
                    <w:pageBreakBefore w:val="0"/>
                    <w:widowControl/>
                    <w:suppressLineNumbers w:val="0"/>
                    <w:kinsoku/>
                    <w:wordWrap/>
                    <w:overflowPunct/>
                    <w:topLinePunct w:val="0"/>
                    <w:autoSpaceDE/>
                    <w:autoSpaceDN/>
                    <w:bidi w:val="0"/>
                    <w:spacing w:line="24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cs="Times New Roman"/>
                      <w:i w:val="0"/>
                      <w:iCs w:val="0"/>
                      <w:color w:val="auto"/>
                      <w:kern w:val="0"/>
                      <w:sz w:val="18"/>
                      <w:szCs w:val="18"/>
                      <w:u w:val="none"/>
                      <w:lang w:val="en-US" w:eastAsia="zh-CN" w:bidi="ar"/>
                    </w:rPr>
                    <w:t>600</w:t>
                  </w:r>
                </w:p>
              </w:tc>
              <w:tc>
                <w:tcPr>
                  <w:tcW w:w="723" w:type="dxa"/>
                  <w:tcBorders>
                    <w:tl2br w:val="nil"/>
                    <w:tr2bl w:val="nil"/>
                  </w:tcBorders>
                  <w:vAlign w:val="center"/>
                </w:tcPr>
                <w:p w14:paraId="70F03B44">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323" w:type="dxa"/>
                  <w:tcBorders>
                    <w:tl2br w:val="nil"/>
                    <w:tr2bl w:val="nil"/>
                  </w:tcBorders>
                  <w:vAlign w:val="center"/>
                </w:tcPr>
                <w:p w14:paraId="3BA8849E">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rPr>
                  </w:pPr>
                </w:p>
              </w:tc>
              <w:tc>
                <w:tcPr>
                  <w:tcW w:w="898" w:type="dxa"/>
                  <w:tcBorders>
                    <w:tl2br w:val="nil"/>
                    <w:tr2bl w:val="nil"/>
                  </w:tcBorders>
                  <w:vAlign w:val="center"/>
                </w:tcPr>
                <w:p w14:paraId="2F3307B3">
                  <w:pPr>
                    <w:keepNext w:val="0"/>
                    <w:keepLines w:val="0"/>
                    <w:pageBreakBefore w:val="0"/>
                    <w:tabs>
                      <w:tab w:val="left" w:pos="1170"/>
                      <w:tab w:val="left" w:pos="1470"/>
                    </w:tabs>
                    <w:kinsoku/>
                    <w:wordWrap/>
                    <w:overflowPunct/>
                    <w:topLinePunct w:val="0"/>
                    <w:autoSpaceDE/>
                    <w:autoSpaceDN/>
                    <w:bidi w:val="0"/>
                    <w:spacing w:line="240" w:lineRule="exact"/>
                    <w:jc w:val="center"/>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w:t>
                  </w:r>
                </w:p>
              </w:tc>
              <w:tc>
                <w:tcPr>
                  <w:tcW w:w="1105" w:type="dxa"/>
                  <w:tcBorders>
                    <w:tl2br w:val="nil"/>
                    <w:tr2bl w:val="nil"/>
                  </w:tcBorders>
                  <w:vAlign w:val="center"/>
                </w:tcPr>
                <w:p w14:paraId="477E676F">
                  <w:pPr>
                    <w:keepNext w:val="0"/>
                    <w:keepLines w:val="0"/>
                    <w:pageBreakBefore w:val="0"/>
                    <w:kinsoku/>
                    <w:wordWrap/>
                    <w:overflowPunct/>
                    <w:topLinePunct w:val="0"/>
                    <w:autoSpaceDE/>
                    <w:autoSpaceDN/>
                    <w:bidi w:val="0"/>
                    <w:spacing w:line="24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2.0</w:t>
                  </w:r>
                </w:p>
              </w:tc>
            </w:tr>
          </w:tbl>
          <w:p w14:paraId="07155227">
            <w:pPr>
              <w:tabs>
                <w:tab w:val="left" w:pos="2973"/>
              </w:tabs>
              <w:spacing w:line="360" w:lineRule="auto"/>
              <w:ind w:firstLine="480" w:firstLineChars="200"/>
              <w:rPr>
                <w:rFonts w:hint="default" w:ascii="Times New Roman" w:hAnsi="Times New Roman" w:cs="Times New Roman"/>
                <w:color w:val="auto"/>
                <w:sz w:val="24"/>
                <w:szCs w:val="24"/>
                <w:lang w:val="en-US" w:eastAsia="zh-CN"/>
              </w:rPr>
            </w:pPr>
          </w:p>
          <w:p w14:paraId="69170A23">
            <w:pPr>
              <w:tabs>
                <w:tab w:val="left" w:pos="2973"/>
              </w:tabs>
              <w:spacing w:line="360" w:lineRule="auto"/>
              <w:ind w:firstLine="480" w:firstLineChars="200"/>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cs="Times New Roman"/>
                <w:color w:val="auto"/>
                <w:sz w:val="24"/>
                <w:szCs w:val="24"/>
                <w:lang w:val="en-US" w:eastAsia="zh-CN"/>
              </w:rPr>
              <w:t>②根据排气筒核算废气结果见下表：</w:t>
            </w:r>
          </w:p>
          <w:p w14:paraId="312D43FE">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highlight w:val="none"/>
                <w:lang w:val="en-US" w:eastAsia="zh-CN" w:bidi="ar-SA"/>
              </w:rPr>
            </w:pPr>
            <w:r>
              <w:rPr>
                <w:rFonts w:hint="default" w:ascii="Times New Roman" w:hAnsi="Times New Roman" w:eastAsia="黑体" w:cs="Times New Roman"/>
                <w:b/>
                <w:bCs/>
                <w:color w:val="auto"/>
                <w:kern w:val="0"/>
                <w:sz w:val="21"/>
                <w:szCs w:val="21"/>
                <w:highlight w:val="none"/>
                <w:lang w:val="en-US" w:eastAsia="zh-CN" w:bidi="ar-SA"/>
              </w:rPr>
              <w:t>表4-10 排气筒污染物排放核算信息表</w:t>
            </w:r>
          </w:p>
          <w:tbl>
            <w:tblPr>
              <w:tblStyle w:val="30"/>
              <w:tblW w:w="500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1240"/>
              <w:gridCol w:w="1242"/>
              <w:gridCol w:w="1751"/>
              <w:gridCol w:w="1751"/>
              <w:gridCol w:w="1904"/>
              <w:gridCol w:w="1811"/>
              <w:gridCol w:w="1579"/>
              <w:gridCol w:w="1557"/>
            </w:tblGrid>
            <w:tr w14:paraId="5E823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536" w:type="pct"/>
                  <w:vMerge w:val="restart"/>
                  <w:tcBorders>
                    <w:tl2br w:val="nil"/>
                    <w:tr2bl w:val="nil"/>
                  </w:tcBorders>
                  <w:vAlign w:val="center"/>
                </w:tcPr>
                <w:p w14:paraId="714AEC15">
                  <w:pPr>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rPr>
                    <w:t>排放口编号</w:t>
                  </w:r>
                </w:p>
              </w:tc>
              <w:tc>
                <w:tcPr>
                  <w:tcW w:w="431" w:type="pct"/>
                  <w:vMerge w:val="restart"/>
                  <w:tcBorders>
                    <w:tl2br w:val="nil"/>
                    <w:tr2bl w:val="nil"/>
                  </w:tcBorders>
                  <w:vAlign w:val="center"/>
                </w:tcPr>
                <w:p w14:paraId="41B5A589">
                  <w:pPr>
                    <w:bidi w:val="0"/>
                    <w:jc w:val="center"/>
                    <w:rPr>
                      <w:rFonts w:hint="default" w:ascii="Times New Roman" w:hAnsi="Times New Roman" w:cs="Times New Roman"/>
                      <w:b/>
                      <w:bCs/>
                      <w:color w:val="auto"/>
                    </w:rPr>
                  </w:pPr>
                  <w:r>
                    <w:rPr>
                      <w:rFonts w:hint="default" w:ascii="Times New Roman" w:hAnsi="Times New Roman" w:cs="Times New Roman"/>
                      <w:b/>
                      <w:bCs/>
                      <w:color w:val="auto"/>
                    </w:rPr>
                    <w:t>污染物种类</w:t>
                  </w:r>
                </w:p>
              </w:tc>
              <w:tc>
                <w:tcPr>
                  <w:tcW w:w="431" w:type="pct"/>
                  <w:vMerge w:val="restart"/>
                  <w:tcBorders>
                    <w:tl2br w:val="nil"/>
                    <w:tr2bl w:val="nil"/>
                  </w:tcBorders>
                  <w:vAlign w:val="center"/>
                </w:tcPr>
                <w:p w14:paraId="2598FCFF">
                  <w:pPr>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rPr>
                    <w:t>排气筒高度（m）</w:t>
                  </w:r>
                </w:p>
              </w:tc>
              <w:tc>
                <w:tcPr>
                  <w:tcW w:w="3058" w:type="pct"/>
                  <w:gridSpan w:val="5"/>
                  <w:tcBorders>
                    <w:tl2br w:val="nil"/>
                    <w:tr2bl w:val="nil"/>
                  </w:tcBorders>
                  <w:vAlign w:val="center"/>
                </w:tcPr>
                <w:p w14:paraId="139CC400">
                  <w:pPr>
                    <w:bidi w:val="0"/>
                    <w:jc w:val="center"/>
                    <w:rPr>
                      <w:rFonts w:hint="default" w:ascii="Times New Roman" w:hAnsi="Times New Roman" w:cs="Times New Roman"/>
                      <w:b/>
                      <w:bCs/>
                      <w:color w:val="auto"/>
                    </w:rPr>
                  </w:pPr>
                  <w:r>
                    <w:rPr>
                      <w:rFonts w:hint="default" w:ascii="Times New Roman" w:hAnsi="Times New Roman" w:cs="Times New Roman"/>
                      <w:b/>
                      <w:bCs/>
                      <w:color w:val="auto"/>
                    </w:rPr>
                    <w:t>污染物排放情况</w:t>
                  </w:r>
                </w:p>
              </w:tc>
              <w:tc>
                <w:tcPr>
                  <w:tcW w:w="541" w:type="pct"/>
                  <w:vMerge w:val="restart"/>
                  <w:tcBorders>
                    <w:tl2br w:val="nil"/>
                    <w:tr2bl w:val="nil"/>
                  </w:tcBorders>
                  <w:vAlign w:val="center"/>
                </w:tcPr>
                <w:p w14:paraId="7F0C463E">
                  <w:pPr>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rPr>
                    <w:t>达标情况</w:t>
                  </w:r>
                </w:p>
              </w:tc>
            </w:tr>
            <w:tr w14:paraId="3956EE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536" w:type="pct"/>
                  <w:vMerge w:val="continue"/>
                  <w:tcBorders>
                    <w:tl2br w:val="nil"/>
                    <w:tr2bl w:val="nil"/>
                  </w:tcBorders>
                  <w:vAlign w:val="center"/>
                </w:tcPr>
                <w:p w14:paraId="5E5A5E18">
                  <w:pPr>
                    <w:bidi w:val="0"/>
                    <w:jc w:val="center"/>
                    <w:rPr>
                      <w:rFonts w:hint="default" w:ascii="Times New Roman" w:hAnsi="Times New Roman" w:cs="Times New Roman"/>
                      <w:color w:val="auto"/>
                      <w:lang w:val="en-US" w:eastAsia="zh-CN"/>
                    </w:rPr>
                  </w:pPr>
                </w:p>
              </w:tc>
              <w:tc>
                <w:tcPr>
                  <w:tcW w:w="431" w:type="pct"/>
                  <w:vMerge w:val="continue"/>
                  <w:tcBorders>
                    <w:tl2br w:val="nil"/>
                    <w:tr2bl w:val="nil"/>
                  </w:tcBorders>
                  <w:vAlign w:val="center"/>
                </w:tcPr>
                <w:p w14:paraId="1DDA4AF9">
                  <w:pPr>
                    <w:bidi w:val="0"/>
                    <w:jc w:val="center"/>
                    <w:rPr>
                      <w:rFonts w:hint="default" w:ascii="Times New Roman" w:hAnsi="Times New Roman" w:cs="Times New Roman"/>
                      <w:color w:val="auto"/>
                      <w:lang w:val="en-US" w:eastAsia="zh-CN"/>
                    </w:rPr>
                  </w:pPr>
                </w:p>
              </w:tc>
              <w:tc>
                <w:tcPr>
                  <w:tcW w:w="431" w:type="pct"/>
                  <w:vMerge w:val="continue"/>
                  <w:tcBorders>
                    <w:tl2br w:val="nil"/>
                    <w:tr2bl w:val="nil"/>
                  </w:tcBorders>
                  <w:vAlign w:val="center"/>
                </w:tcPr>
                <w:p w14:paraId="25FF0886">
                  <w:pPr>
                    <w:bidi w:val="0"/>
                    <w:jc w:val="center"/>
                    <w:rPr>
                      <w:rFonts w:hint="default" w:ascii="Times New Roman" w:hAnsi="Times New Roman" w:cs="Times New Roman"/>
                      <w:color w:val="auto"/>
                      <w:lang w:val="en-US" w:eastAsia="zh-CN"/>
                    </w:rPr>
                  </w:pPr>
                </w:p>
              </w:tc>
              <w:tc>
                <w:tcPr>
                  <w:tcW w:w="608" w:type="pct"/>
                  <w:tcBorders>
                    <w:tl2br w:val="nil"/>
                    <w:tr2bl w:val="nil"/>
                  </w:tcBorders>
                  <w:vAlign w:val="center"/>
                </w:tcPr>
                <w:p w14:paraId="53AD5C06">
                  <w:pPr>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rPr>
                    <w:t>排放速率（kg/h）</w:t>
                  </w:r>
                </w:p>
              </w:tc>
              <w:tc>
                <w:tcPr>
                  <w:tcW w:w="608" w:type="pct"/>
                  <w:tcBorders>
                    <w:tl2br w:val="nil"/>
                    <w:tr2bl w:val="nil"/>
                  </w:tcBorders>
                  <w:vAlign w:val="center"/>
                </w:tcPr>
                <w:p w14:paraId="33058763">
                  <w:pPr>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rPr>
                    <w:t>执行标准（kg/h）</w:t>
                  </w:r>
                </w:p>
              </w:tc>
              <w:tc>
                <w:tcPr>
                  <w:tcW w:w="662" w:type="pct"/>
                  <w:tcBorders>
                    <w:tl2br w:val="nil"/>
                    <w:tr2bl w:val="nil"/>
                  </w:tcBorders>
                  <w:vAlign w:val="center"/>
                </w:tcPr>
                <w:p w14:paraId="02021618">
                  <w:pPr>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rPr>
                    <w:t>排放浓度（mg/m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w:t>
                  </w:r>
                </w:p>
              </w:tc>
              <w:tc>
                <w:tcPr>
                  <w:tcW w:w="629" w:type="pct"/>
                  <w:tcBorders>
                    <w:tl2br w:val="nil"/>
                    <w:tr2bl w:val="nil"/>
                  </w:tcBorders>
                  <w:vAlign w:val="center"/>
                </w:tcPr>
                <w:p w14:paraId="7AE1B085">
                  <w:pPr>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rPr>
                    <w:t>执行标准（mg/m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w:t>
                  </w:r>
                </w:p>
              </w:tc>
              <w:tc>
                <w:tcPr>
                  <w:tcW w:w="549" w:type="pct"/>
                  <w:tcBorders>
                    <w:tl2br w:val="nil"/>
                    <w:tr2bl w:val="nil"/>
                  </w:tcBorders>
                  <w:vAlign w:val="center"/>
                </w:tcPr>
                <w:p w14:paraId="5C89B62D">
                  <w:pPr>
                    <w:bidi w:val="0"/>
                    <w:jc w:val="cente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年排放量（t/a）</w:t>
                  </w:r>
                </w:p>
              </w:tc>
              <w:tc>
                <w:tcPr>
                  <w:tcW w:w="541" w:type="pct"/>
                  <w:vMerge w:val="continue"/>
                  <w:tcBorders>
                    <w:tl2br w:val="nil"/>
                    <w:tr2bl w:val="nil"/>
                  </w:tcBorders>
                  <w:vAlign w:val="center"/>
                </w:tcPr>
                <w:p w14:paraId="56C39A0B">
                  <w:pPr>
                    <w:bidi w:val="0"/>
                    <w:jc w:val="center"/>
                    <w:rPr>
                      <w:rFonts w:hint="default" w:ascii="Times New Roman" w:hAnsi="Times New Roman" w:cs="Times New Roman"/>
                      <w:color w:val="auto"/>
                      <w:lang w:val="en-US" w:eastAsia="zh-CN"/>
                    </w:rPr>
                  </w:pPr>
                </w:p>
              </w:tc>
            </w:tr>
            <w:tr w14:paraId="6D132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36" w:type="pct"/>
                  <w:vMerge w:val="restart"/>
                  <w:tcBorders>
                    <w:tl2br w:val="nil"/>
                    <w:tr2bl w:val="nil"/>
                  </w:tcBorders>
                  <w:vAlign w:val="center"/>
                </w:tcPr>
                <w:p w14:paraId="1D67BD0F">
                  <w:pPr>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DA00</w:t>
                  </w:r>
                  <w:r>
                    <w:rPr>
                      <w:rFonts w:hint="default" w:ascii="Times New Roman" w:hAnsi="Times New Roman" w:cs="Times New Roman"/>
                      <w:color w:val="auto"/>
                      <w:lang w:val="en-US" w:eastAsia="zh-CN"/>
                    </w:rPr>
                    <w:t>1</w:t>
                  </w:r>
                </w:p>
              </w:tc>
              <w:tc>
                <w:tcPr>
                  <w:tcW w:w="431" w:type="pct"/>
                  <w:tcBorders>
                    <w:tl2br w:val="nil"/>
                    <w:tr2bl w:val="nil"/>
                  </w:tcBorders>
                  <w:vAlign w:val="center"/>
                </w:tcPr>
                <w:p w14:paraId="53F58D94">
                  <w:pPr>
                    <w:bidi w:val="0"/>
                    <w:jc w:val="center"/>
                    <w:rPr>
                      <w:rFonts w:hint="default" w:ascii="Times New Roman" w:hAnsi="Times New Roman" w:cs="Times New Roman"/>
                      <w:color w:val="auto"/>
                    </w:rPr>
                  </w:pPr>
                  <w:r>
                    <w:rPr>
                      <w:rFonts w:hint="default" w:ascii="Times New Roman" w:hAnsi="Times New Roman" w:cs="Times New Roman"/>
                      <w:color w:val="auto"/>
                    </w:rPr>
                    <w:t>颗粒物</w:t>
                  </w:r>
                </w:p>
              </w:tc>
              <w:tc>
                <w:tcPr>
                  <w:tcW w:w="431" w:type="pct"/>
                  <w:vMerge w:val="restart"/>
                  <w:tcBorders>
                    <w:tl2br w:val="nil"/>
                    <w:tr2bl w:val="nil"/>
                  </w:tcBorders>
                  <w:vAlign w:val="center"/>
                </w:tcPr>
                <w:p w14:paraId="2A6CAD38">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p>
              </w:tc>
              <w:tc>
                <w:tcPr>
                  <w:tcW w:w="608" w:type="pct"/>
                  <w:tcBorders>
                    <w:tl2br w:val="nil"/>
                    <w:tr2bl w:val="nil"/>
                  </w:tcBorders>
                  <w:vAlign w:val="center"/>
                </w:tcPr>
                <w:p w14:paraId="6C6AC0A7">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0.3201</w:t>
                  </w:r>
                </w:p>
              </w:tc>
              <w:tc>
                <w:tcPr>
                  <w:tcW w:w="608" w:type="pct"/>
                  <w:tcBorders>
                    <w:tl2br w:val="nil"/>
                    <w:tr2bl w:val="nil"/>
                  </w:tcBorders>
                  <w:shd w:val="clear" w:color="auto" w:fill="auto"/>
                  <w:vAlign w:val="center"/>
                </w:tcPr>
                <w:p w14:paraId="144C670D">
                  <w:pPr>
                    <w:pStyle w:val="80"/>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lang w:val="en-US" w:eastAsia="zh-CN"/>
                    </w:rPr>
                    <w:t>5.9</w:t>
                  </w:r>
                </w:p>
              </w:tc>
              <w:tc>
                <w:tcPr>
                  <w:tcW w:w="662" w:type="pct"/>
                  <w:tcBorders>
                    <w:tl2br w:val="nil"/>
                    <w:tr2bl w:val="nil"/>
                  </w:tcBorders>
                  <w:vAlign w:val="center"/>
                </w:tcPr>
                <w:p w14:paraId="2F1AD09F">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3.4785</w:t>
                  </w:r>
                </w:p>
              </w:tc>
              <w:tc>
                <w:tcPr>
                  <w:tcW w:w="629" w:type="pct"/>
                  <w:tcBorders>
                    <w:tl2br w:val="nil"/>
                    <w:tr2bl w:val="nil"/>
                  </w:tcBorders>
                  <w:vAlign w:val="center"/>
                </w:tcPr>
                <w:p w14:paraId="55D9A1A4">
                  <w:pPr>
                    <w:adjustRightInd w:val="0"/>
                    <w:snapToGrid w:val="0"/>
                    <w:spacing w:line="22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120</w:t>
                  </w:r>
                </w:p>
              </w:tc>
              <w:tc>
                <w:tcPr>
                  <w:tcW w:w="549" w:type="pct"/>
                  <w:tcBorders>
                    <w:tl2br w:val="nil"/>
                    <w:tr2bl w:val="nil"/>
                  </w:tcBorders>
                  <w:vAlign w:val="center"/>
                </w:tcPr>
                <w:p w14:paraId="600AFF7A">
                  <w:pPr>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0.2880</w:t>
                  </w:r>
                </w:p>
              </w:tc>
              <w:tc>
                <w:tcPr>
                  <w:tcW w:w="541" w:type="pct"/>
                  <w:tcBorders>
                    <w:tl2br w:val="nil"/>
                    <w:tr2bl w:val="nil"/>
                  </w:tcBorders>
                  <w:vAlign w:val="center"/>
                </w:tcPr>
                <w:p w14:paraId="62FE1DBC">
                  <w:pPr>
                    <w:bidi w:val="0"/>
                    <w:ind w:left="0" w:leftChars="0" w:right="0" w:rightChars="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rPr>
                    <w:t>达标</w:t>
                  </w:r>
                </w:p>
              </w:tc>
            </w:tr>
            <w:tr w14:paraId="30AB2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36" w:type="pct"/>
                  <w:vMerge w:val="continue"/>
                  <w:tcBorders>
                    <w:tl2br w:val="nil"/>
                    <w:tr2bl w:val="nil"/>
                  </w:tcBorders>
                </w:tcPr>
                <w:p w14:paraId="0BE352D2">
                  <w:pPr>
                    <w:bidi w:val="0"/>
                    <w:jc w:val="center"/>
                    <w:rPr>
                      <w:rFonts w:hint="default" w:ascii="Times New Roman" w:hAnsi="Times New Roman" w:cs="Times New Roman"/>
                      <w:color w:val="auto"/>
                      <w:lang w:val="en-US" w:eastAsia="zh-CN"/>
                    </w:rPr>
                  </w:pPr>
                </w:p>
              </w:tc>
              <w:tc>
                <w:tcPr>
                  <w:tcW w:w="431" w:type="pct"/>
                  <w:tcBorders>
                    <w:tl2br w:val="nil"/>
                    <w:tr2bl w:val="nil"/>
                  </w:tcBorders>
                  <w:vAlign w:val="center"/>
                </w:tcPr>
                <w:p w14:paraId="7469655D">
                  <w:pPr>
                    <w:bidi w:val="0"/>
                    <w:jc w:val="center"/>
                    <w:rPr>
                      <w:rFonts w:hint="default" w:ascii="Times New Roman" w:hAnsi="Times New Roman" w:cs="Times New Roman"/>
                      <w:color w:val="auto"/>
                    </w:rPr>
                  </w:pPr>
                  <w:r>
                    <w:rPr>
                      <w:rFonts w:hint="default" w:ascii="Times New Roman" w:hAnsi="Times New Roman" w:cs="Times New Roman"/>
                      <w:color w:val="auto"/>
                    </w:rPr>
                    <w:t>SO</w:t>
                  </w:r>
                  <w:r>
                    <w:rPr>
                      <w:rFonts w:hint="default" w:ascii="Times New Roman" w:hAnsi="Times New Roman" w:cs="Times New Roman"/>
                      <w:color w:val="auto"/>
                      <w:vertAlign w:val="subscript"/>
                    </w:rPr>
                    <w:t>2</w:t>
                  </w:r>
                </w:p>
              </w:tc>
              <w:tc>
                <w:tcPr>
                  <w:tcW w:w="431" w:type="pct"/>
                  <w:vMerge w:val="continue"/>
                  <w:tcBorders>
                    <w:tl2br w:val="nil"/>
                    <w:tr2bl w:val="nil"/>
                  </w:tcBorders>
                </w:tcPr>
                <w:p w14:paraId="07FE46DF">
                  <w:pPr>
                    <w:bidi w:val="0"/>
                    <w:jc w:val="center"/>
                    <w:rPr>
                      <w:rFonts w:hint="default" w:ascii="Times New Roman" w:hAnsi="Times New Roman" w:cs="Times New Roman"/>
                      <w:color w:val="auto"/>
                      <w:lang w:val="en-US" w:eastAsia="zh-CN"/>
                    </w:rPr>
                  </w:pPr>
                </w:p>
              </w:tc>
              <w:tc>
                <w:tcPr>
                  <w:tcW w:w="608" w:type="pct"/>
                  <w:tcBorders>
                    <w:tl2br w:val="nil"/>
                    <w:tr2bl w:val="nil"/>
                  </w:tcBorders>
                  <w:shd w:val="clear" w:color="auto" w:fill="auto"/>
                  <w:vAlign w:val="center"/>
                </w:tcPr>
                <w:p w14:paraId="5AF725AD">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0.1689</w:t>
                  </w:r>
                </w:p>
              </w:tc>
              <w:tc>
                <w:tcPr>
                  <w:tcW w:w="608" w:type="pct"/>
                  <w:tcBorders>
                    <w:tl2br w:val="nil"/>
                    <w:tr2bl w:val="nil"/>
                  </w:tcBorders>
                  <w:shd w:val="clear" w:color="auto" w:fill="auto"/>
                  <w:vAlign w:val="center"/>
                </w:tcPr>
                <w:p w14:paraId="2CE4DB7B">
                  <w:pPr>
                    <w:pStyle w:val="80"/>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lang w:val="en-US" w:eastAsia="zh-CN"/>
                    </w:rPr>
                    <w:t>4.3</w:t>
                  </w:r>
                </w:p>
              </w:tc>
              <w:tc>
                <w:tcPr>
                  <w:tcW w:w="662" w:type="pct"/>
                  <w:tcBorders>
                    <w:tl2br w:val="nil"/>
                    <w:tr2bl w:val="nil"/>
                  </w:tcBorders>
                  <w:shd w:val="clear" w:color="auto" w:fill="auto"/>
                  <w:vAlign w:val="center"/>
                </w:tcPr>
                <w:p w14:paraId="6A82A0C9">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1.8357</w:t>
                  </w:r>
                </w:p>
              </w:tc>
              <w:tc>
                <w:tcPr>
                  <w:tcW w:w="629" w:type="pct"/>
                  <w:tcBorders>
                    <w:tl2br w:val="nil"/>
                    <w:tr2bl w:val="nil"/>
                  </w:tcBorders>
                  <w:vAlign w:val="center"/>
                </w:tcPr>
                <w:p w14:paraId="2A9B1617">
                  <w:pPr>
                    <w:adjustRightInd w:val="0"/>
                    <w:snapToGrid w:val="0"/>
                    <w:spacing w:line="22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550</w:t>
                  </w:r>
                </w:p>
              </w:tc>
              <w:tc>
                <w:tcPr>
                  <w:tcW w:w="549" w:type="pct"/>
                  <w:tcBorders>
                    <w:tl2br w:val="nil"/>
                    <w:tr2bl w:val="nil"/>
                  </w:tcBorders>
                  <w:vAlign w:val="center"/>
                </w:tcPr>
                <w:p w14:paraId="0F51529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0.1520</w:t>
                  </w:r>
                </w:p>
              </w:tc>
              <w:tc>
                <w:tcPr>
                  <w:tcW w:w="541" w:type="pct"/>
                  <w:tcBorders>
                    <w:tl2br w:val="nil"/>
                    <w:tr2bl w:val="nil"/>
                  </w:tcBorders>
                  <w:vAlign w:val="center"/>
                </w:tcPr>
                <w:p w14:paraId="6ABA79A1">
                  <w:pPr>
                    <w:bidi w:val="0"/>
                    <w:ind w:left="0" w:leftChars="0" w:right="0" w:rightChars="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rPr>
                    <w:t>达标</w:t>
                  </w:r>
                </w:p>
              </w:tc>
            </w:tr>
            <w:tr w14:paraId="5A2BA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36" w:type="pct"/>
                  <w:vMerge w:val="continue"/>
                  <w:tcBorders>
                    <w:tl2br w:val="nil"/>
                    <w:tr2bl w:val="nil"/>
                  </w:tcBorders>
                </w:tcPr>
                <w:p w14:paraId="285B797B">
                  <w:pPr>
                    <w:bidi w:val="0"/>
                    <w:jc w:val="center"/>
                    <w:rPr>
                      <w:rFonts w:hint="default" w:ascii="Times New Roman" w:hAnsi="Times New Roman" w:cs="Times New Roman"/>
                      <w:color w:val="auto"/>
                      <w:lang w:val="en-US" w:eastAsia="zh-CN"/>
                    </w:rPr>
                  </w:pPr>
                </w:p>
              </w:tc>
              <w:tc>
                <w:tcPr>
                  <w:tcW w:w="431" w:type="pct"/>
                  <w:tcBorders>
                    <w:tl2br w:val="nil"/>
                    <w:tr2bl w:val="nil"/>
                  </w:tcBorders>
                  <w:vAlign w:val="center"/>
                </w:tcPr>
                <w:p w14:paraId="37918CD3">
                  <w:pPr>
                    <w:bidi w:val="0"/>
                    <w:jc w:val="center"/>
                    <w:rPr>
                      <w:rFonts w:hint="default" w:ascii="Times New Roman" w:hAnsi="Times New Roman" w:cs="Times New Roman"/>
                      <w:color w:val="auto"/>
                    </w:rPr>
                  </w:pPr>
                  <w:r>
                    <w:rPr>
                      <w:rFonts w:hint="default" w:ascii="Times New Roman" w:hAnsi="Times New Roman" w:cs="Times New Roman"/>
                      <w:color w:val="auto"/>
                    </w:rPr>
                    <w:t>NOx</w:t>
                  </w:r>
                </w:p>
              </w:tc>
              <w:tc>
                <w:tcPr>
                  <w:tcW w:w="431" w:type="pct"/>
                  <w:vMerge w:val="continue"/>
                  <w:tcBorders>
                    <w:tl2br w:val="nil"/>
                    <w:tr2bl w:val="nil"/>
                  </w:tcBorders>
                </w:tcPr>
                <w:p w14:paraId="3DDAAD3E">
                  <w:pPr>
                    <w:bidi w:val="0"/>
                    <w:jc w:val="center"/>
                    <w:rPr>
                      <w:rFonts w:hint="default" w:ascii="Times New Roman" w:hAnsi="Times New Roman" w:cs="Times New Roman"/>
                      <w:color w:val="auto"/>
                      <w:lang w:val="en-US" w:eastAsia="zh-CN"/>
                    </w:rPr>
                  </w:pPr>
                </w:p>
              </w:tc>
              <w:tc>
                <w:tcPr>
                  <w:tcW w:w="608" w:type="pct"/>
                  <w:tcBorders>
                    <w:tl2br w:val="nil"/>
                    <w:tr2bl w:val="nil"/>
                  </w:tcBorders>
                  <w:shd w:val="clear" w:color="auto" w:fill="auto"/>
                  <w:vAlign w:val="center"/>
                </w:tcPr>
                <w:p w14:paraId="6C965665">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0.4089</w:t>
                  </w:r>
                </w:p>
              </w:tc>
              <w:tc>
                <w:tcPr>
                  <w:tcW w:w="608" w:type="pct"/>
                  <w:tcBorders>
                    <w:tl2br w:val="nil"/>
                    <w:tr2bl w:val="nil"/>
                  </w:tcBorders>
                  <w:shd w:val="clear" w:color="auto" w:fill="auto"/>
                  <w:vAlign w:val="center"/>
                </w:tcPr>
                <w:p w14:paraId="4A9ED392">
                  <w:pPr>
                    <w:pStyle w:val="80"/>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lang w:val="en-US" w:eastAsia="zh-CN"/>
                    </w:rPr>
                    <w:t>1.3</w:t>
                  </w:r>
                </w:p>
              </w:tc>
              <w:tc>
                <w:tcPr>
                  <w:tcW w:w="662" w:type="pct"/>
                  <w:tcBorders>
                    <w:tl2br w:val="nil"/>
                    <w:tr2bl w:val="nil"/>
                  </w:tcBorders>
                  <w:shd w:val="clear" w:color="auto" w:fill="auto"/>
                  <w:vAlign w:val="center"/>
                </w:tcPr>
                <w:p w14:paraId="106025D8">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4.4444</w:t>
                  </w:r>
                </w:p>
              </w:tc>
              <w:tc>
                <w:tcPr>
                  <w:tcW w:w="629" w:type="pct"/>
                  <w:tcBorders>
                    <w:tl2br w:val="nil"/>
                    <w:tr2bl w:val="nil"/>
                  </w:tcBorders>
                  <w:vAlign w:val="center"/>
                </w:tcPr>
                <w:p w14:paraId="01E6B7C3">
                  <w:pPr>
                    <w:tabs>
                      <w:tab w:val="left" w:pos="1170"/>
                      <w:tab w:val="left" w:pos="1470"/>
                    </w:tabs>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240</w:t>
                  </w:r>
                </w:p>
              </w:tc>
              <w:tc>
                <w:tcPr>
                  <w:tcW w:w="549" w:type="pct"/>
                  <w:tcBorders>
                    <w:tl2br w:val="nil"/>
                    <w:tr2bl w:val="nil"/>
                  </w:tcBorders>
                  <w:vAlign w:val="center"/>
                </w:tcPr>
                <w:p w14:paraId="0AEECF2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0.3680</w:t>
                  </w:r>
                </w:p>
              </w:tc>
              <w:tc>
                <w:tcPr>
                  <w:tcW w:w="541" w:type="pct"/>
                  <w:tcBorders>
                    <w:tl2br w:val="nil"/>
                    <w:tr2bl w:val="nil"/>
                  </w:tcBorders>
                  <w:vAlign w:val="center"/>
                </w:tcPr>
                <w:p w14:paraId="7B2F6857">
                  <w:pPr>
                    <w:bidi w:val="0"/>
                    <w:ind w:left="0" w:leftChars="0" w:right="0" w:rightChars="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rPr>
                    <w:t>达标</w:t>
                  </w:r>
                </w:p>
              </w:tc>
            </w:tr>
            <w:tr w14:paraId="5CFE79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36" w:type="pct"/>
                  <w:vMerge w:val="continue"/>
                  <w:tcBorders>
                    <w:tl2br w:val="nil"/>
                    <w:tr2bl w:val="nil"/>
                  </w:tcBorders>
                </w:tcPr>
                <w:p w14:paraId="3FF95032">
                  <w:pPr>
                    <w:bidi w:val="0"/>
                    <w:jc w:val="center"/>
                    <w:rPr>
                      <w:rFonts w:hint="default" w:ascii="Times New Roman" w:hAnsi="Times New Roman" w:cs="Times New Roman"/>
                      <w:color w:val="auto"/>
                      <w:lang w:val="en-US" w:eastAsia="zh-CN"/>
                    </w:rPr>
                  </w:pPr>
                </w:p>
              </w:tc>
              <w:tc>
                <w:tcPr>
                  <w:tcW w:w="431" w:type="pct"/>
                  <w:tcBorders>
                    <w:tl2br w:val="nil"/>
                    <w:tr2bl w:val="nil"/>
                  </w:tcBorders>
                  <w:shd w:val="clear" w:color="auto" w:fill="auto"/>
                  <w:vAlign w:val="center"/>
                </w:tcPr>
                <w:p w14:paraId="1F6C9B6E">
                  <w:pPr>
                    <w:bidi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沥青烟</w:t>
                  </w:r>
                </w:p>
              </w:tc>
              <w:tc>
                <w:tcPr>
                  <w:tcW w:w="431" w:type="pct"/>
                  <w:vMerge w:val="continue"/>
                  <w:tcBorders>
                    <w:tl2br w:val="nil"/>
                    <w:tr2bl w:val="nil"/>
                  </w:tcBorders>
                </w:tcPr>
                <w:p w14:paraId="6E4C6251">
                  <w:pPr>
                    <w:bidi w:val="0"/>
                    <w:jc w:val="center"/>
                    <w:rPr>
                      <w:rFonts w:hint="default" w:ascii="Times New Roman" w:hAnsi="Times New Roman" w:cs="Times New Roman"/>
                      <w:color w:val="auto"/>
                      <w:lang w:val="en-US" w:eastAsia="zh-CN"/>
                    </w:rPr>
                  </w:pPr>
                </w:p>
              </w:tc>
              <w:tc>
                <w:tcPr>
                  <w:tcW w:w="608" w:type="pct"/>
                  <w:tcBorders>
                    <w:tl2br w:val="nil"/>
                    <w:tr2bl w:val="nil"/>
                  </w:tcBorders>
                  <w:shd w:val="clear" w:color="auto" w:fill="auto"/>
                  <w:vAlign w:val="center"/>
                </w:tcPr>
                <w:p w14:paraId="4B1A0943">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0.0044</w:t>
                  </w:r>
                </w:p>
              </w:tc>
              <w:tc>
                <w:tcPr>
                  <w:tcW w:w="608" w:type="pct"/>
                  <w:tcBorders>
                    <w:tl2br w:val="nil"/>
                    <w:tr2bl w:val="nil"/>
                  </w:tcBorders>
                  <w:shd w:val="clear" w:color="auto" w:fill="auto"/>
                  <w:vAlign w:val="center"/>
                </w:tcPr>
                <w:p w14:paraId="12F00D9E">
                  <w:pPr>
                    <w:tabs>
                      <w:tab w:val="left" w:pos="1170"/>
                      <w:tab w:val="left" w:pos="1470"/>
                    </w:tabs>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0.30</w:t>
                  </w:r>
                </w:p>
              </w:tc>
              <w:tc>
                <w:tcPr>
                  <w:tcW w:w="662" w:type="pct"/>
                  <w:tcBorders>
                    <w:tl2br w:val="nil"/>
                    <w:tr2bl w:val="nil"/>
                  </w:tcBorders>
                  <w:vAlign w:val="center"/>
                </w:tcPr>
                <w:p w14:paraId="248E7C70">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0.0505</w:t>
                  </w:r>
                </w:p>
              </w:tc>
              <w:tc>
                <w:tcPr>
                  <w:tcW w:w="629" w:type="pct"/>
                  <w:tcBorders>
                    <w:tl2br w:val="nil"/>
                    <w:tr2bl w:val="nil"/>
                  </w:tcBorders>
                  <w:vAlign w:val="center"/>
                </w:tcPr>
                <w:p w14:paraId="16C76A01">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75</w:t>
                  </w:r>
                </w:p>
              </w:tc>
              <w:tc>
                <w:tcPr>
                  <w:tcW w:w="549" w:type="pct"/>
                  <w:tcBorders>
                    <w:tl2br w:val="nil"/>
                    <w:tr2bl w:val="nil"/>
                  </w:tcBorders>
                  <w:vAlign w:val="center"/>
                </w:tcPr>
                <w:p w14:paraId="1CECBB1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0.0053</w:t>
                  </w:r>
                </w:p>
              </w:tc>
              <w:tc>
                <w:tcPr>
                  <w:tcW w:w="541" w:type="pct"/>
                  <w:tcBorders>
                    <w:tl2br w:val="nil"/>
                    <w:tr2bl w:val="nil"/>
                  </w:tcBorders>
                  <w:vAlign w:val="center"/>
                </w:tcPr>
                <w:p w14:paraId="1B418812">
                  <w:pPr>
                    <w:bidi w:val="0"/>
                    <w:ind w:left="0" w:leftChars="0" w:right="0" w:rightChars="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rPr>
                    <w:t>达标</w:t>
                  </w:r>
                </w:p>
              </w:tc>
            </w:tr>
            <w:tr w14:paraId="2B8A7B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36" w:type="pct"/>
                  <w:vMerge w:val="continue"/>
                  <w:tcBorders>
                    <w:tl2br w:val="nil"/>
                    <w:tr2bl w:val="nil"/>
                  </w:tcBorders>
                </w:tcPr>
                <w:p w14:paraId="3B116557">
                  <w:pPr>
                    <w:bidi w:val="0"/>
                    <w:jc w:val="center"/>
                    <w:rPr>
                      <w:rFonts w:hint="default" w:ascii="Times New Roman" w:hAnsi="Times New Roman" w:cs="Times New Roman"/>
                      <w:color w:val="auto"/>
                      <w:lang w:val="en-US" w:eastAsia="zh-CN"/>
                    </w:rPr>
                  </w:pPr>
                </w:p>
              </w:tc>
              <w:tc>
                <w:tcPr>
                  <w:tcW w:w="431" w:type="pct"/>
                  <w:tcBorders>
                    <w:tl2br w:val="nil"/>
                    <w:tr2bl w:val="nil"/>
                  </w:tcBorders>
                  <w:shd w:val="clear" w:color="auto" w:fill="auto"/>
                  <w:vAlign w:val="center"/>
                </w:tcPr>
                <w:p w14:paraId="5E7F28D8">
                  <w:pPr>
                    <w:bidi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苯并[a]芘</w:t>
                  </w:r>
                </w:p>
              </w:tc>
              <w:tc>
                <w:tcPr>
                  <w:tcW w:w="431" w:type="pct"/>
                  <w:vMerge w:val="continue"/>
                  <w:tcBorders>
                    <w:tl2br w:val="nil"/>
                    <w:tr2bl w:val="nil"/>
                  </w:tcBorders>
                </w:tcPr>
                <w:p w14:paraId="67687751">
                  <w:pPr>
                    <w:bidi w:val="0"/>
                    <w:jc w:val="center"/>
                    <w:rPr>
                      <w:rFonts w:hint="default" w:ascii="Times New Roman" w:hAnsi="Times New Roman" w:cs="Times New Roman"/>
                      <w:color w:val="auto"/>
                      <w:lang w:val="en-US" w:eastAsia="zh-CN"/>
                    </w:rPr>
                  </w:pPr>
                </w:p>
              </w:tc>
              <w:tc>
                <w:tcPr>
                  <w:tcW w:w="608" w:type="pct"/>
                  <w:tcBorders>
                    <w:tl2br w:val="nil"/>
                    <w:tr2bl w:val="nil"/>
                  </w:tcBorders>
                  <w:vAlign w:val="center"/>
                </w:tcPr>
                <w:p w14:paraId="1D03D58A">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9.29</w:t>
                  </w:r>
                  <w:r>
                    <w:rPr>
                      <w:rFonts w:hint="default" w:ascii="Times New Roman" w:hAnsi="Times New Roman" w:eastAsia="宋体" w:cs="Times New Roman"/>
                      <w:bCs/>
                      <w:color w:val="auto"/>
                      <w:szCs w:val="21"/>
                      <w:lang w:val="en-US" w:eastAsia="zh-CN"/>
                    </w:rPr>
                    <w:t>×10</w:t>
                  </w:r>
                  <w:r>
                    <w:rPr>
                      <w:rFonts w:hint="default" w:ascii="Times New Roman" w:hAnsi="Times New Roman" w:eastAsia="宋体" w:cs="Times New Roman"/>
                      <w:bCs/>
                      <w:color w:val="auto"/>
                      <w:szCs w:val="21"/>
                      <w:vertAlign w:val="superscript"/>
                      <w:lang w:val="en-US" w:eastAsia="zh-CN"/>
                    </w:rPr>
                    <w:t>-</w:t>
                  </w:r>
                  <w:r>
                    <w:rPr>
                      <w:rFonts w:hint="default" w:ascii="Times New Roman" w:hAnsi="Times New Roman" w:cs="Times New Roman"/>
                      <w:bCs/>
                      <w:color w:val="auto"/>
                      <w:szCs w:val="21"/>
                      <w:vertAlign w:val="superscript"/>
                      <w:lang w:val="en-US" w:eastAsia="zh-CN"/>
                    </w:rPr>
                    <w:t>8</w:t>
                  </w:r>
                </w:p>
              </w:tc>
              <w:tc>
                <w:tcPr>
                  <w:tcW w:w="608" w:type="pct"/>
                  <w:tcBorders>
                    <w:tl2br w:val="nil"/>
                    <w:tr2bl w:val="nil"/>
                  </w:tcBorders>
                  <w:shd w:val="clear" w:color="auto" w:fill="auto"/>
                  <w:vAlign w:val="center"/>
                </w:tcPr>
                <w:p w14:paraId="0A4A37D1">
                  <w:pPr>
                    <w:tabs>
                      <w:tab w:val="left" w:pos="1170"/>
                      <w:tab w:val="left" w:pos="1470"/>
                    </w:tabs>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0.085</w:t>
                  </w:r>
                  <w:r>
                    <w:rPr>
                      <w:rFonts w:hint="default" w:ascii="Times New Roman" w:hAnsi="Times New Roman" w:eastAsia="宋体" w:cs="Times New Roman"/>
                      <w:bCs/>
                      <w:color w:val="auto"/>
                      <w:szCs w:val="21"/>
                      <w:lang w:val="en-US" w:eastAsia="zh-CN"/>
                    </w:rPr>
                    <w:t>×10</w:t>
                  </w:r>
                  <w:r>
                    <w:rPr>
                      <w:rFonts w:hint="default" w:ascii="Times New Roman" w:hAnsi="Times New Roman" w:eastAsia="宋体" w:cs="Times New Roman"/>
                      <w:bCs/>
                      <w:color w:val="auto"/>
                      <w:szCs w:val="21"/>
                      <w:vertAlign w:val="superscript"/>
                      <w:lang w:val="en-US" w:eastAsia="zh-CN"/>
                    </w:rPr>
                    <w:t>-3</w:t>
                  </w:r>
                </w:p>
              </w:tc>
              <w:tc>
                <w:tcPr>
                  <w:tcW w:w="662" w:type="pct"/>
                  <w:tcBorders>
                    <w:tl2br w:val="nil"/>
                    <w:tr2bl w:val="nil"/>
                  </w:tcBorders>
                  <w:vAlign w:val="center"/>
                </w:tcPr>
                <w:p w14:paraId="5CB190CB">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1.0108</w:t>
                  </w:r>
                  <w:r>
                    <w:rPr>
                      <w:rFonts w:hint="default" w:ascii="Times New Roman" w:hAnsi="Times New Roman" w:eastAsia="宋体" w:cs="Times New Roman"/>
                      <w:bCs/>
                      <w:color w:val="auto"/>
                      <w:szCs w:val="21"/>
                      <w:lang w:val="en-US" w:eastAsia="zh-CN"/>
                    </w:rPr>
                    <w:t>×10</w:t>
                  </w:r>
                  <w:r>
                    <w:rPr>
                      <w:rFonts w:hint="default" w:ascii="Times New Roman" w:hAnsi="Times New Roman" w:eastAsia="宋体" w:cs="Times New Roman"/>
                      <w:bCs/>
                      <w:color w:val="auto"/>
                      <w:szCs w:val="21"/>
                      <w:vertAlign w:val="superscript"/>
                      <w:lang w:val="en-US" w:eastAsia="zh-CN"/>
                    </w:rPr>
                    <w:t>-</w:t>
                  </w:r>
                  <w:r>
                    <w:rPr>
                      <w:rFonts w:hint="default" w:ascii="Times New Roman" w:hAnsi="Times New Roman" w:cs="Times New Roman"/>
                      <w:bCs/>
                      <w:color w:val="auto"/>
                      <w:szCs w:val="21"/>
                      <w:vertAlign w:val="superscript"/>
                      <w:lang w:val="en-US" w:eastAsia="zh-CN"/>
                    </w:rPr>
                    <w:t>6</w:t>
                  </w:r>
                </w:p>
              </w:tc>
              <w:tc>
                <w:tcPr>
                  <w:tcW w:w="629" w:type="pct"/>
                  <w:tcBorders>
                    <w:tl2br w:val="nil"/>
                    <w:tr2bl w:val="nil"/>
                  </w:tcBorders>
                  <w:vAlign w:val="center"/>
                </w:tcPr>
                <w:p w14:paraId="7AFF8BA8">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Cs w:val="21"/>
                      <w:lang w:val="en-US" w:eastAsia="zh-CN"/>
                    </w:rPr>
                    <w:t>0.</w:t>
                  </w:r>
                  <w:r>
                    <w:rPr>
                      <w:rFonts w:hint="default" w:ascii="Times New Roman" w:hAnsi="Times New Roman" w:cs="Times New Roman"/>
                      <w:bCs/>
                      <w:color w:val="auto"/>
                      <w:szCs w:val="21"/>
                      <w:lang w:val="en-US" w:eastAsia="zh-CN"/>
                    </w:rPr>
                    <w:t>30</w:t>
                  </w:r>
                  <w:r>
                    <w:rPr>
                      <w:rFonts w:hint="default" w:ascii="Times New Roman" w:hAnsi="Times New Roman" w:eastAsia="宋体" w:cs="Times New Roman"/>
                      <w:bCs/>
                      <w:color w:val="auto"/>
                      <w:szCs w:val="21"/>
                      <w:lang w:val="en-US" w:eastAsia="zh-CN"/>
                    </w:rPr>
                    <w:t>×10</w:t>
                  </w:r>
                  <w:r>
                    <w:rPr>
                      <w:rFonts w:hint="default" w:ascii="Times New Roman" w:hAnsi="Times New Roman" w:eastAsia="宋体" w:cs="Times New Roman"/>
                      <w:bCs/>
                      <w:color w:val="auto"/>
                      <w:szCs w:val="21"/>
                      <w:vertAlign w:val="superscript"/>
                      <w:lang w:val="en-US" w:eastAsia="zh-CN"/>
                    </w:rPr>
                    <w:t>-3</w:t>
                  </w:r>
                </w:p>
              </w:tc>
              <w:tc>
                <w:tcPr>
                  <w:tcW w:w="549" w:type="pct"/>
                  <w:tcBorders>
                    <w:tl2br w:val="nil"/>
                    <w:tr2bl w:val="nil"/>
                  </w:tcBorders>
                  <w:vAlign w:val="center"/>
                </w:tcPr>
                <w:p w14:paraId="67BAFBC9">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1.067</w:t>
                  </w:r>
                  <w:r>
                    <w:rPr>
                      <w:rFonts w:hint="default" w:ascii="Times New Roman" w:hAnsi="Times New Roman" w:eastAsia="宋体" w:cs="Times New Roman"/>
                      <w:bCs/>
                      <w:color w:val="auto"/>
                      <w:szCs w:val="21"/>
                      <w:lang w:val="en-US" w:eastAsia="zh-CN"/>
                    </w:rPr>
                    <w:t>×10</w:t>
                  </w:r>
                  <w:r>
                    <w:rPr>
                      <w:rFonts w:hint="default" w:ascii="Times New Roman" w:hAnsi="Times New Roman" w:eastAsia="宋体" w:cs="Times New Roman"/>
                      <w:bCs/>
                      <w:color w:val="auto"/>
                      <w:szCs w:val="21"/>
                      <w:vertAlign w:val="superscript"/>
                      <w:lang w:val="en-US" w:eastAsia="zh-CN"/>
                    </w:rPr>
                    <w:t>-</w:t>
                  </w:r>
                  <w:r>
                    <w:rPr>
                      <w:rFonts w:hint="default" w:ascii="Times New Roman" w:hAnsi="Times New Roman" w:cs="Times New Roman"/>
                      <w:bCs/>
                      <w:color w:val="auto"/>
                      <w:szCs w:val="21"/>
                      <w:vertAlign w:val="superscript"/>
                      <w:lang w:val="en-US" w:eastAsia="zh-CN"/>
                    </w:rPr>
                    <w:t>7</w:t>
                  </w:r>
                </w:p>
              </w:tc>
              <w:tc>
                <w:tcPr>
                  <w:tcW w:w="541" w:type="pct"/>
                  <w:tcBorders>
                    <w:tl2br w:val="nil"/>
                    <w:tr2bl w:val="nil"/>
                  </w:tcBorders>
                  <w:vAlign w:val="center"/>
                </w:tcPr>
                <w:p w14:paraId="5AAB4A5B">
                  <w:pPr>
                    <w:bidi w:val="0"/>
                    <w:ind w:left="0" w:leftChars="0" w:right="0" w:rightChars="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rPr>
                    <w:t>达标</w:t>
                  </w:r>
                </w:p>
              </w:tc>
            </w:tr>
            <w:tr w14:paraId="5AF4C0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36" w:type="pct"/>
                  <w:vMerge w:val="continue"/>
                  <w:tcBorders>
                    <w:tl2br w:val="nil"/>
                    <w:tr2bl w:val="nil"/>
                  </w:tcBorders>
                </w:tcPr>
                <w:p w14:paraId="5A14266E">
                  <w:pPr>
                    <w:bidi w:val="0"/>
                    <w:jc w:val="center"/>
                    <w:rPr>
                      <w:rFonts w:hint="default" w:ascii="Times New Roman" w:hAnsi="Times New Roman" w:cs="Times New Roman"/>
                      <w:color w:val="auto"/>
                      <w:lang w:val="en-US" w:eastAsia="zh-CN"/>
                    </w:rPr>
                  </w:pPr>
                </w:p>
              </w:tc>
              <w:tc>
                <w:tcPr>
                  <w:tcW w:w="431" w:type="pct"/>
                  <w:tcBorders>
                    <w:tl2br w:val="nil"/>
                    <w:tr2bl w:val="nil"/>
                  </w:tcBorders>
                  <w:shd w:val="clear" w:color="auto" w:fill="auto"/>
                  <w:vAlign w:val="center"/>
                </w:tcPr>
                <w:p w14:paraId="43C80110">
                  <w:pPr>
                    <w:bidi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VOC</w:t>
                  </w:r>
                  <w:r>
                    <w:rPr>
                      <w:rFonts w:hint="default" w:ascii="Times New Roman" w:hAnsi="Times New Roman" w:cs="Times New Roman"/>
                      <w:color w:val="auto"/>
                      <w:lang w:val="en-US" w:eastAsia="zh-CN"/>
                    </w:rPr>
                    <w:t>s（以非甲烷总烃计）</w:t>
                  </w:r>
                </w:p>
              </w:tc>
              <w:tc>
                <w:tcPr>
                  <w:tcW w:w="431" w:type="pct"/>
                  <w:vMerge w:val="continue"/>
                  <w:tcBorders>
                    <w:tl2br w:val="nil"/>
                    <w:tr2bl w:val="nil"/>
                  </w:tcBorders>
                </w:tcPr>
                <w:p w14:paraId="4522A19F">
                  <w:pPr>
                    <w:bidi w:val="0"/>
                    <w:jc w:val="center"/>
                    <w:rPr>
                      <w:rFonts w:hint="default" w:ascii="Times New Roman" w:hAnsi="Times New Roman" w:cs="Times New Roman"/>
                      <w:color w:val="auto"/>
                      <w:lang w:val="en-US" w:eastAsia="zh-CN"/>
                    </w:rPr>
                  </w:pPr>
                </w:p>
              </w:tc>
              <w:tc>
                <w:tcPr>
                  <w:tcW w:w="608" w:type="pct"/>
                  <w:tcBorders>
                    <w:tl2br w:val="nil"/>
                    <w:tr2bl w:val="nil"/>
                  </w:tcBorders>
                  <w:vAlign w:val="center"/>
                </w:tcPr>
                <w:p w14:paraId="163D10FE">
                  <w:pPr>
                    <w:tabs>
                      <w:tab w:val="left" w:pos="1170"/>
                      <w:tab w:val="left" w:pos="1470"/>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color w:val="auto"/>
                      <w:szCs w:val="21"/>
                      <w:lang w:val="en-US" w:eastAsia="zh-CN"/>
                    </w:rPr>
                    <w:t>0.0003</w:t>
                  </w:r>
                </w:p>
              </w:tc>
              <w:tc>
                <w:tcPr>
                  <w:tcW w:w="608" w:type="pct"/>
                  <w:tcBorders>
                    <w:tl2br w:val="nil"/>
                    <w:tr2bl w:val="nil"/>
                  </w:tcBorders>
                  <w:shd w:val="clear" w:color="auto" w:fill="auto"/>
                  <w:vAlign w:val="center"/>
                </w:tcPr>
                <w:p w14:paraId="698785E2">
                  <w:pPr>
                    <w:tabs>
                      <w:tab w:val="left" w:pos="1170"/>
                      <w:tab w:val="left" w:pos="1470"/>
                    </w:tabs>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17</w:t>
                  </w:r>
                </w:p>
              </w:tc>
              <w:tc>
                <w:tcPr>
                  <w:tcW w:w="662" w:type="pct"/>
                  <w:tcBorders>
                    <w:tl2br w:val="nil"/>
                    <w:tr2bl w:val="nil"/>
                  </w:tcBorders>
                  <w:shd w:val="clear" w:color="auto" w:fill="auto"/>
                  <w:vAlign w:val="center"/>
                </w:tcPr>
                <w:p w14:paraId="330560D6">
                  <w:pPr>
                    <w:tabs>
                      <w:tab w:val="left" w:pos="1170"/>
                      <w:tab w:val="left" w:pos="1470"/>
                    </w:tabs>
                    <w:jc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bCs/>
                      <w:color w:val="auto"/>
                      <w:szCs w:val="21"/>
                      <w:lang w:val="en-US" w:eastAsia="zh-CN"/>
                    </w:rPr>
                    <w:t>0.0353</w:t>
                  </w:r>
                </w:p>
              </w:tc>
              <w:tc>
                <w:tcPr>
                  <w:tcW w:w="629" w:type="pct"/>
                  <w:tcBorders>
                    <w:tl2br w:val="nil"/>
                    <w:tr2bl w:val="nil"/>
                  </w:tcBorders>
                  <w:vAlign w:val="center"/>
                </w:tcPr>
                <w:p w14:paraId="6B089DBB">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w:t>
                  </w:r>
                </w:p>
              </w:tc>
              <w:tc>
                <w:tcPr>
                  <w:tcW w:w="549" w:type="pct"/>
                  <w:tcBorders>
                    <w:tl2br w:val="nil"/>
                    <w:tr2bl w:val="nil"/>
                  </w:tcBorders>
                  <w:shd w:val="clear" w:color="auto" w:fill="auto"/>
                  <w:vAlign w:val="center"/>
                </w:tcPr>
                <w:p w14:paraId="2F3505DC">
                  <w:pPr>
                    <w:tabs>
                      <w:tab w:val="left" w:pos="1170"/>
                      <w:tab w:val="left" w:pos="1470"/>
                    </w:tabs>
                    <w:jc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bCs/>
                      <w:color w:val="auto"/>
                      <w:szCs w:val="21"/>
                      <w:lang w:val="en-US" w:eastAsia="zh-CN"/>
                    </w:rPr>
                    <w:t>0.0038</w:t>
                  </w:r>
                </w:p>
              </w:tc>
              <w:tc>
                <w:tcPr>
                  <w:tcW w:w="541" w:type="pct"/>
                  <w:tcBorders>
                    <w:tl2br w:val="nil"/>
                    <w:tr2bl w:val="nil"/>
                  </w:tcBorders>
                  <w:vAlign w:val="center"/>
                </w:tcPr>
                <w:p w14:paraId="37C410B3">
                  <w:pPr>
                    <w:bidi w:val="0"/>
                    <w:ind w:left="0" w:leftChars="0" w:right="0" w:rightChars="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rPr>
                    <w:t>达标</w:t>
                  </w:r>
                </w:p>
              </w:tc>
            </w:tr>
          </w:tbl>
          <w:p w14:paraId="3C025131">
            <w:pPr>
              <w:tabs>
                <w:tab w:val="left" w:pos="2973"/>
              </w:tabs>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由上表可知，本项目运营期有组织排放：</w:t>
            </w:r>
            <w:r>
              <w:rPr>
                <w:rFonts w:hint="default" w:ascii="Times New Roman" w:hAnsi="Times New Roman" w:cs="Times New Roman"/>
                <w:color w:val="auto"/>
                <w:sz w:val="24"/>
                <w:szCs w:val="24"/>
                <w:lang w:val="en-US" w:eastAsia="zh-CN"/>
              </w:rPr>
              <w:t>颗粒物</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rPr>
              <w:t>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、NOx</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沥青烟、苯并[a]芘、</w:t>
            </w:r>
            <w:r>
              <w:rPr>
                <w:rFonts w:hint="default" w:ascii="Times New Roman" w:hAnsi="Times New Roman" w:cs="Times New Roman"/>
                <w:color w:val="auto"/>
                <w:sz w:val="24"/>
                <w:szCs w:val="24"/>
              </w:rPr>
              <w:t>VOC</w:t>
            </w:r>
            <w:r>
              <w:rPr>
                <w:rFonts w:hint="default" w:ascii="Times New Roman" w:hAnsi="Times New Roman" w:cs="Times New Roman"/>
                <w:color w:val="auto"/>
                <w:sz w:val="24"/>
                <w:szCs w:val="24"/>
                <w:vertAlign w:val="subscript"/>
              </w:rPr>
              <w:t>S</w:t>
            </w:r>
            <w:r>
              <w:rPr>
                <w:rFonts w:hint="default" w:ascii="Times New Roman" w:hAnsi="Times New Roman" w:cs="Times New Roman"/>
                <w:color w:val="auto"/>
                <w:sz w:val="24"/>
                <w:szCs w:val="24"/>
                <w:vertAlign w:val="baseline"/>
              </w:rPr>
              <w:t>（以非甲烷总烃计）</w:t>
            </w:r>
            <w:r>
              <w:rPr>
                <w:rFonts w:hint="default" w:ascii="Times New Roman" w:hAnsi="Times New Roman" w:cs="Times New Roman"/>
                <w:color w:val="auto"/>
                <w:sz w:val="24"/>
              </w:rPr>
              <w:t>排放满足</w:t>
            </w:r>
            <w:r>
              <w:rPr>
                <w:rFonts w:hint="default" w:ascii="Times New Roman" w:hAnsi="Times New Roman" w:cs="Times New Roman"/>
                <w:color w:val="auto"/>
                <w:sz w:val="24"/>
                <w:szCs w:val="24"/>
              </w:rPr>
              <w:t>《大气污染物综合排放标准》（GB16297-1996）表2中二级排放标准</w:t>
            </w:r>
            <w:r>
              <w:rPr>
                <w:rFonts w:hint="default" w:ascii="Times New Roman" w:hAnsi="Times New Roman" w:cs="Times New Roman"/>
                <w:color w:val="auto"/>
                <w:sz w:val="24"/>
                <w:szCs w:val="24"/>
                <w:lang w:eastAsia="zh-CN"/>
              </w:rPr>
              <w:t>。</w:t>
            </w:r>
          </w:p>
        </w:tc>
      </w:tr>
    </w:tbl>
    <w:p w14:paraId="25C035F4">
      <w:pPr>
        <w:tabs>
          <w:tab w:val="left" w:pos="1005"/>
        </w:tabs>
        <w:rPr>
          <w:rFonts w:hint="default" w:ascii="Times New Roman" w:hAnsi="Times New Roman" w:cs="Times New Roman"/>
          <w:color w:val="auto"/>
          <w:sz w:val="28"/>
          <w:szCs w:val="28"/>
        </w:rPr>
        <w:sectPr>
          <w:pgSz w:w="16838" w:h="11906" w:orient="landscape"/>
          <w:pgMar w:top="1418" w:right="1134"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8858"/>
      </w:tblGrid>
      <w:tr w14:paraId="594A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8" w:hRule="atLeast"/>
        </w:trPr>
        <w:tc>
          <w:tcPr>
            <w:tcW w:w="712" w:type="dxa"/>
            <w:vAlign w:val="center"/>
          </w:tcPr>
          <w:p w14:paraId="757CAB29">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运营</w:t>
            </w:r>
          </w:p>
          <w:p w14:paraId="36E89C57">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期环</w:t>
            </w:r>
          </w:p>
          <w:p w14:paraId="7F61FAB9">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境影</w:t>
            </w:r>
          </w:p>
          <w:p w14:paraId="222BFDE3">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响和</w:t>
            </w:r>
          </w:p>
          <w:p w14:paraId="578095D5">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保护</w:t>
            </w:r>
          </w:p>
          <w:p w14:paraId="667C2F41">
            <w:pPr>
              <w:tabs>
                <w:tab w:val="left" w:pos="1005"/>
              </w:tabs>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措施</w:t>
            </w:r>
          </w:p>
        </w:tc>
        <w:tc>
          <w:tcPr>
            <w:tcW w:w="8858" w:type="dxa"/>
            <w:vAlign w:val="center"/>
          </w:tcPr>
          <w:p w14:paraId="1CEE52B4">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本项目废气污染物排放统计表如下：</w:t>
            </w:r>
          </w:p>
          <w:p w14:paraId="7399409F">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表4-11  运营期废气污染物排放统计表</w:t>
            </w:r>
          </w:p>
          <w:tbl>
            <w:tblPr>
              <w:tblStyle w:val="30"/>
              <w:tblW w:w="496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6"/>
              <w:gridCol w:w="1506"/>
              <w:gridCol w:w="1994"/>
              <w:gridCol w:w="1998"/>
              <w:gridCol w:w="1575"/>
            </w:tblGrid>
            <w:tr w14:paraId="497A2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877" w:type="pct"/>
                  <w:tcBorders>
                    <w:tl2br w:val="nil"/>
                    <w:tr2bl w:val="nil"/>
                  </w:tcBorders>
                  <w:vAlign w:val="center"/>
                </w:tcPr>
                <w:p w14:paraId="63F71C5B">
                  <w:pPr>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时间段</w:t>
                  </w:r>
                </w:p>
              </w:tc>
              <w:tc>
                <w:tcPr>
                  <w:tcW w:w="877" w:type="pct"/>
                  <w:tcBorders>
                    <w:tl2br w:val="nil"/>
                    <w:tr2bl w:val="nil"/>
                  </w:tcBorders>
                  <w:vAlign w:val="center"/>
                </w:tcPr>
                <w:p w14:paraId="31046C38">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tc>
              <w:tc>
                <w:tcPr>
                  <w:tcW w:w="1162" w:type="pct"/>
                  <w:tcBorders>
                    <w:tl2br w:val="nil"/>
                    <w:tr2bl w:val="nil"/>
                  </w:tcBorders>
                  <w:vAlign w:val="center"/>
                </w:tcPr>
                <w:p w14:paraId="7FDAC85F">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lang w:val="en-US" w:eastAsia="zh-CN"/>
                    </w:rPr>
                    <w:t>有</w:t>
                  </w:r>
                  <w:r>
                    <w:rPr>
                      <w:rFonts w:hint="default" w:ascii="Times New Roman" w:hAnsi="Times New Roman" w:cs="Times New Roman"/>
                      <w:b/>
                      <w:bCs/>
                      <w:color w:val="auto"/>
                      <w:szCs w:val="21"/>
                    </w:rPr>
                    <w:t>组织（t/a）</w:t>
                  </w:r>
                </w:p>
              </w:tc>
              <w:tc>
                <w:tcPr>
                  <w:tcW w:w="1164" w:type="pct"/>
                  <w:tcBorders>
                    <w:tl2br w:val="nil"/>
                    <w:tr2bl w:val="nil"/>
                  </w:tcBorders>
                  <w:vAlign w:val="center"/>
                </w:tcPr>
                <w:p w14:paraId="44F97B1D">
                  <w:pPr>
                    <w:jc w:val="center"/>
                    <w:rPr>
                      <w:rFonts w:hint="default" w:ascii="Times New Roman" w:hAnsi="Times New Roman" w:cs="Times New Roman"/>
                      <w:b/>
                      <w:bCs/>
                      <w:color w:val="auto"/>
                      <w:szCs w:val="21"/>
                      <w:lang w:val="en-US" w:eastAsia="zh-CN"/>
                    </w:rPr>
                  </w:pPr>
                  <w:r>
                    <w:rPr>
                      <w:rFonts w:hint="default" w:ascii="Times New Roman" w:hAnsi="Times New Roman" w:cs="Times New Roman"/>
                      <w:b/>
                      <w:bCs/>
                      <w:color w:val="auto"/>
                      <w:szCs w:val="21"/>
                      <w:lang w:val="en-US" w:eastAsia="zh-CN"/>
                    </w:rPr>
                    <w:t>无</w:t>
                  </w:r>
                  <w:r>
                    <w:rPr>
                      <w:rFonts w:hint="default" w:ascii="Times New Roman" w:hAnsi="Times New Roman" w:cs="Times New Roman"/>
                      <w:b/>
                      <w:bCs/>
                      <w:color w:val="auto"/>
                      <w:szCs w:val="21"/>
                    </w:rPr>
                    <w:t>组织（t/a）</w:t>
                  </w:r>
                </w:p>
              </w:tc>
              <w:tc>
                <w:tcPr>
                  <w:tcW w:w="917" w:type="pct"/>
                  <w:tcBorders>
                    <w:tl2br w:val="nil"/>
                    <w:tr2bl w:val="nil"/>
                  </w:tcBorders>
                  <w:vAlign w:val="center"/>
                </w:tcPr>
                <w:p w14:paraId="2B7D4A65">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合计（t/a）</w:t>
                  </w:r>
                </w:p>
              </w:tc>
            </w:tr>
            <w:tr w14:paraId="10897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77" w:type="pct"/>
                  <w:vMerge w:val="restart"/>
                  <w:tcBorders>
                    <w:tl2br w:val="nil"/>
                    <w:tr2bl w:val="nil"/>
                  </w:tcBorders>
                  <w:vAlign w:val="center"/>
                </w:tcPr>
                <w:p w14:paraId="2E0249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固定产污</w:t>
                  </w:r>
                </w:p>
              </w:tc>
              <w:tc>
                <w:tcPr>
                  <w:tcW w:w="877" w:type="pct"/>
                  <w:tcBorders>
                    <w:tl2br w:val="nil"/>
                    <w:tr2bl w:val="nil"/>
                  </w:tcBorders>
                  <w:shd w:val="clear" w:color="auto" w:fill="auto"/>
                  <w:vAlign w:val="center"/>
                </w:tcPr>
                <w:p w14:paraId="5A65F5EE">
                  <w:pPr>
                    <w:bidi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颗粒物</w:t>
                  </w:r>
                </w:p>
              </w:tc>
              <w:tc>
                <w:tcPr>
                  <w:tcW w:w="1162" w:type="pct"/>
                  <w:tcBorders>
                    <w:tl2br w:val="nil"/>
                    <w:tr2bl w:val="nil"/>
                  </w:tcBorders>
                  <w:shd w:val="clear" w:color="auto" w:fill="auto"/>
                  <w:vAlign w:val="center"/>
                </w:tcPr>
                <w:p w14:paraId="55C88431">
                  <w:pPr>
                    <w:spacing w:line="240" w:lineRule="auto"/>
                    <w:ind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lang w:val="en-US" w:eastAsia="zh-CN"/>
                    </w:rPr>
                    <w:t>0.2880</w:t>
                  </w:r>
                </w:p>
              </w:tc>
              <w:tc>
                <w:tcPr>
                  <w:tcW w:w="1164" w:type="pct"/>
                  <w:tcBorders>
                    <w:tl2br w:val="nil"/>
                    <w:tr2bl w:val="nil"/>
                  </w:tcBorders>
                  <w:vAlign w:val="center"/>
                </w:tcPr>
                <w:p w14:paraId="639478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0.3918</w:t>
                  </w:r>
                </w:p>
              </w:tc>
              <w:tc>
                <w:tcPr>
                  <w:tcW w:w="917" w:type="pct"/>
                  <w:tcBorders>
                    <w:tl2br w:val="nil"/>
                    <w:tr2bl w:val="nil"/>
                  </w:tcBorders>
                  <w:vAlign w:val="center"/>
                </w:tcPr>
                <w:p w14:paraId="5B5B8C53">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0.6798</w:t>
                  </w:r>
                </w:p>
              </w:tc>
            </w:tr>
            <w:tr w14:paraId="5BC90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77" w:type="pct"/>
                  <w:vMerge w:val="continue"/>
                  <w:tcBorders>
                    <w:tl2br w:val="nil"/>
                    <w:tr2bl w:val="nil"/>
                  </w:tcBorders>
                  <w:vAlign w:val="center"/>
                </w:tcPr>
                <w:p w14:paraId="4AECD5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77" w:type="pct"/>
                  <w:tcBorders>
                    <w:tl2br w:val="nil"/>
                    <w:tr2bl w:val="nil"/>
                  </w:tcBorders>
                  <w:shd w:val="clear" w:color="auto" w:fill="auto"/>
                  <w:vAlign w:val="center"/>
                </w:tcPr>
                <w:p w14:paraId="18F1F420">
                  <w:pPr>
                    <w:bidi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SO</w:t>
                  </w:r>
                  <w:r>
                    <w:rPr>
                      <w:rFonts w:hint="default" w:ascii="Times New Roman" w:hAnsi="Times New Roman" w:cs="Times New Roman"/>
                      <w:color w:val="auto"/>
                      <w:vertAlign w:val="subscript"/>
                    </w:rPr>
                    <w:t>2</w:t>
                  </w:r>
                </w:p>
              </w:tc>
              <w:tc>
                <w:tcPr>
                  <w:tcW w:w="1162" w:type="pct"/>
                  <w:tcBorders>
                    <w:tl2br w:val="nil"/>
                    <w:tr2bl w:val="nil"/>
                  </w:tcBorders>
                  <w:shd w:val="clear" w:color="auto" w:fill="auto"/>
                  <w:vAlign w:val="center"/>
                </w:tcPr>
                <w:p w14:paraId="56A01D6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lang w:val="en-US" w:eastAsia="zh-CN"/>
                    </w:rPr>
                    <w:t>0.1520</w:t>
                  </w:r>
                </w:p>
              </w:tc>
              <w:tc>
                <w:tcPr>
                  <w:tcW w:w="1164" w:type="pct"/>
                  <w:tcBorders>
                    <w:tl2br w:val="nil"/>
                    <w:tr2bl w:val="nil"/>
                  </w:tcBorders>
                  <w:vAlign w:val="center"/>
                </w:tcPr>
                <w:p w14:paraId="5D0988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w:t>
                  </w:r>
                </w:p>
              </w:tc>
              <w:tc>
                <w:tcPr>
                  <w:tcW w:w="917" w:type="pct"/>
                  <w:tcBorders>
                    <w:tl2br w:val="nil"/>
                    <w:tr2bl w:val="nil"/>
                  </w:tcBorders>
                  <w:vAlign w:val="center"/>
                </w:tcPr>
                <w:p w14:paraId="59FAD9A5">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color w:val="auto"/>
                      <w:lang w:val="en-US" w:eastAsia="zh-CN"/>
                    </w:rPr>
                    <w:t>0.1520</w:t>
                  </w:r>
                </w:p>
              </w:tc>
            </w:tr>
            <w:tr w14:paraId="53E7C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77" w:type="pct"/>
                  <w:vMerge w:val="continue"/>
                  <w:tcBorders>
                    <w:tl2br w:val="nil"/>
                    <w:tr2bl w:val="nil"/>
                  </w:tcBorders>
                  <w:vAlign w:val="center"/>
                </w:tcPr>
                <w:p w14:paraId="2A59B3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77" w:type="pct"/>
                  <w:tcBorders>
                    <w:tl2br w:val="nil"/>
                    <w:tr2bl w:val="nil"/>
                  </w:tcBorders>
                  <w:shd w:val="clear" w:color="auto" w:fill="auto"/>
                  <w:vAlign w:val="center"/>
                </w:tcPr>
                <w:p w14:paraId="59940A4D">
                  <w:pPr>
                    <w:bidi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NOx</w:t>
                  </w:r>
                </w:p>
              </w:tc>
              <w:tc>
                <w:tcPr>
                  <w:tcW w:w="1162" w:type="pct"/>
                  <w:tcBorders>
                    <w:tl2br w:val="nil"/>
                    <w:tr2bl w:val="nil"/>
                  </w:tcBorders>
                  <w:shd w:val="clear" w:color="auto" w:fill="auto"/>
                  <w:vAlign w:val="center"/>
                </w:tcPr>
                <w:p w14:paraId="2BE1497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lang w:val="en-US" w:eastAsia="zh-CN"/>
                    </w:rPr>
                    <w:t>0.3680</w:t>
                  </w:r>
                </w:p>
              </w:tc>
              <w:tc>
                <w:tcPr>
                  <w:tcW w:w="1164" w:type="pct"/>
                  <w:tcBorders>
                    <w:tl2br w:val="nil"/>
                    <w:tr2bl w:val="nil"/>
                  </w:tcBorders>
                  <w:vAlign w:val="center"/>
                </w:tcPr>
                <w:p w14:paraId="353773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w:t>
                  </w:r>
                </w:p>
              </w:tc>
              <w:tc>
                <w:tcPr>
                  <w:tcW w:w="917" w:type="pct"/>
                  <w:tcBorders>
                    <w:tl2br w:val="nil"/>
                    <w:tr2bl w:val="nil"/>
                  </w:tcBorders>
                  <w:vAlign w:val="center"/>
                </w:tcPr>
                <w:p w14:paraId="334A1F0A">
                  <w:pPr>
                    <w:keepNext w:val="0"/>
                    <w:keepLines w:val="0"/>
                    <w:widowControl/>
                    <w:suppressLineNumbers w:val="0"/>
                    <w:ind w:left="0" w:leftChars="0"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color w:val="auto"/>
                      <w:lang w:val="en-US" w:eastAsia="zh-CN"/>
                    </w:rPr>
                    <w:t>0.3680</w:t>
                  </w:r>
                </w:p>
              </w:tc>
            </w:tr>
            <w:tr w14:paraId="322520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77" w:type="pct"/>
                  <w:vMerge w:val="continue"/>
                  <w:tcBorders>
                    <w:tl2br w:val="nil"/>
                    <w:tr2bl w:val="nil"/>
                  </w:tcBorders>
                  <w:vAlign w:val="center"/>
                </w:tcPr>
                <w:p w14:paraId="538A58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77" w:type="pct"/>
                  <w:tcBorders>
                    <w:tl2br w:val="nil"/>
                    <w:tr2bl w:val="nil"/>
                  </w:tcBorders>
                  <w:shd w:val="clear" w:color="auto" w:fill="auto"/>
                  <w:vAlign w:val="center"/>
                </w:tcPr>
                <w:p w14:paraId="59AD8B70">
                  <w:pPr>
                    <w:bidi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沥青烟</w:t>
                  </w:r>
                </w:p>
              </w:tc>
              <w:tc>
                <w:tcPr>
                  <w:tcW w:w="1162" w:type="pct"/>
                  <w:tcBorders>
                    <w:tl2br w:val="nil"/>
                    <w:tr2bl w:val="nil"/>
                  </w:tcBorders>
                  <w:shd w:val="clear" w:color="auto" w:fill="auto"/>
                  <w:vAlign w:val="center"/>
                </w:tcPr>
                <w:p w14:paraId="76EEF00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lang w:val="en-US" w:eastAsia="zh-CN"/>
                    </w:rPr>
                    <w:t>0.0053</w:t>
                  </w:r>
                </w:p>
              </w:tc>
              <w:tc>
                <w:tcPr>
                  <w:tcW w:w="1164" w:type="pct"/>
                  <w:tcBorders>
                    <w:tl2br w:val="nil"/>
                    <w:tr2bl w:val="nil"/>
                  </w:tcBorders>
                  <w:vAlign w:val="center"/>
                </w:tcPr>
                <w:p w14:paraId="796D2E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0.010</w:t>
                  </w:r>
                </w:p>
              </w:tc>
              <w:tc>
                <w:tcPr>
                  <w:tcW w:w="917" w:type="pct"/>
                  <w:tcBorders>
                    <w:tl2br w:val="nil"/>
                    <w:tr2bl w:val="nil"/>
                  </w:tcBorders>
                  <w:vAlign w:val="center"/>
                </w:tcPr>
                <w:p w14:paraId="7F159FB0">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0.0153</w:t>
                  </w:r>
                </w:p>
              </w:tc>
            </w:tr>
            <w:tr w14:paraId="4132E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77" w:type="pct"/>
                  <w:vMerge w:val="continue"/>
                  <w:tcBorders>
                    <w:tl2br w:val="nil"/>
                    <w:tr2bl w:val="nil"/>
                  </w:tcBorders>
                  <w:vAlign w:val="center"/>
                </w:tcPr>
                <w:p w14:paraId="591337CD">
                  <w:pPr>
                    <w:jc w:val="center"/>
                    <w:rPr>
                      <w:rFonts w:hint="default" w:ascii="Times New Roman" w:hAnsi="Times New Roman" w:cs="Times New Roman"/>
                      <w:b w:val="0"/>
                      <w:bCs w:val="0"/>
                      <w:color w:val="auto"/>
                      <w:szCs w:val="21"/>
                      <w:lang w:val="en-US" w:eastAsia="zh-CN"/>
                    </w:rPr>
                  </w:pPr>
                </w:p>
              </w:tc>
              <w:tc>
                <w:tcPr>
                  <w:tcW w:w="877" w:type="pct"/>
                  <w:tcBorders>
                    <w:tl2br w:val="nil"/>
                    <w:tr2bl w:val="nil"/>
                  </w:tcBorders>
                  <w:shd w:val="clear" w:color="auto" w:fill="auto"/>
                  <w:vAlign w:val="center"/>
                </w:tcPr>
                <w:p w14:paraId="7EE6ABD0">
                  <w:pPr>
                    <w:bidi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苯并[a]芘</w:t>
                  </w:r>
                </w:p>
              </w:tc>
              <w:tc>
                <w:tcPr>
                  <w:tcW w:w="1162" w:type="pct"/>
                  <w:tcBorders>
                    <w:tl2br w:val="nil"/>
                    <w:tr2bl w:val="nil"/>
                  </w:tcBorders>
                  <w:shd w:val="clear" w:color="auto" w:fill="auto"/>
                  <w:vAlign w:val="center"/>
                </w:tcPr>
                <w:p w14:paraId="4514074D">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1.067</w:t>
                  </w:r>
                  <w:r>
                    <w:rPr>
                      <w:rFonts w:hint="default" w:ascii="Times New Roman" w:hAnsi="Times New Roman" w:eastAsia="宋体" w:cs="Times New Roman"/>
                      <w:bCs/>
                      <w:color w:val="auto"/>
                      <w:szCs w:val="21"/>
                      <w:lang w:val="en-US" w:eastAsia="zh-CN"/>
                    </w:rPr>
                    <w:t>×10</w:t>
                  </w:r>
                  <w:r>
                    <w:rPr>
                      <w:rFonts w:hint="default" w:ascii="Times New Roman" w:hAnsi="Times New Roman" w:eastAsia="宋体" w:cs="Times New Roman"/>
                      <w:bCs/>
                      <w:color w:val="auto"/>
                      <w:szCs w:val="21"/>
                      <w:vertAlign w:val="superscript"/>
                      <w:lang w:val="en-US" w:eastAsia="zh-CN"/>
                    </w:rPr>
                    <w:t>-</w:t>
                  </w:r>
                  <w:r>
                    <w:rPr>
                      <w:rFonts w:hint="default" w:ascii="Times New Roman" w:hAnsi="Times New Roman" w:cs="Times New Roman"/>
                      <w:bCs/>
                      <w:color w:val="auto"/>
                      <w:szCs w:val="21"/>
                      <w:vertAlign w:val="superscript"/>
                      <w:lang w:val="en-US" w:eastAsia="zh-CN"/>
                    </w:rPr>
                    <w:t>7</w:t>
                  </w:r>
                </w:p>
              </w:tc>
              <w:tc>
                <w:tcPr>
                  <w:tcW w:w="1164" w:type="pct"/>
                  <w:tcBorders>
                    <w:tl2br w:val="nil"/>
                    <w:tr2bl w:val="nil"/>
                  </w:tcBorders>
                  <w:shd w:val="clear" w:color="auto" w:fill="auto"/>
                  <w:vAlign w:val="center"/>
                </w:tcPr>
                <w:p w14:paraId="3ED2DD4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2.0×10</w:t>
                  </w:r>
                  <w:r>
                    <w:rPr>
                      <w:rFonts w:hint="default" w:ascii="Times New Roman" w:hAnsi="Times New Roman" w:eastAsia="宋体" w:cs="Times New Roman"/>
                      <w:i w:val="0"/>
                      <w:iCs w:val="0"/>
                      <w:color w:val="auto"/>
                      <w:kern w:val="0"/>
                      <w:sz w:val="21"/>
                      <w:szCs w:val="21"/>
                      <w:u w:val="none"/>
                      <w:vertAlign w:val="superscript"/>
                      <w:lang w:val="en-US" w:eastAsia="zh-CN" w:bidi="ar"/>
                    </w:rPr>
                    <w:t>-7</w:t>
                  </w:r>
                </w:p>
              </w:tc>
              <w:tc>
                <w:tcPr>
                  <w:tcW w:w="917" w:type="pct"/>
                  <w:tcBorders>
                    <w:tl2br w:val="nil"/>
                    <w:tr2bl w:val="nil"/>
                  </w:tcBorders>
                  <w:vAlign w:val="center"/>
                </w:tcPr>
                <w:p w14:paraId="34C3CA0F">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3.067</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-7</w:t>
                  </w:r>
                </w:p>
              </w:tc>
            </w:tr>
            <w:tr w14:paraId="5DBABF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877" w:type="pct"/>
                  <w:vMerge w:val="continue"/>
                  <w:vAlign w:val="center"/>
                </w:tcPr>
                <w:p w14:paraId="7EE388E3">
                  <w:pPr>
                    <w:jc w:val="center"/>
                    <w:rPr>
                      <w:rFonts w:hint="default" w:ascii="Times New Roman" w:hAnsi="Times New Roman" w:cs="Times New Roman"/>
                      <w:b w:val="0"/>
                      <w:bCs w:val="0"/>
                      <w:color w:val="auto"/>
                      <w:szCs w:val="21"/>
                      <w:lang w:val="en-US" w:eastAsia="zh-CN"/>
                    </w:rPr>
                  </w:pPr>
                </w:p>
              </w:tc>
              <w:tc>
                <w:tcPr>
                  <w:tcW w:w="877" w:type="pct"/>
                  <w:shd w:val="clear" w:color="auto" w:fill="auto"/>
                  <w:vAlign w:val="center"/>
                </w:tcPr>
                <w:p w14:paraId="6BBBDF30">
                  <w:pPr>
                    <w:bidi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VOC</w:t>
                  </w:r>
                  <w:r>
                    <w:rPr>
                      <w:rFonts w:hint="default" w:ascii="Times New Roman" w:hAnsi="Times New Roman" w:cs="Times New Roman"/>
                      <w:color w:val="auto"/>
                      <w:lang w:val="en-US" w:eastAsia="zh-CN"/>
                    </w:rPr>
                    <w:t>s（以非甲烷总烃计）</w:t>
                  </w:r>
                </w:p>
              </w:tc>
              <w:tc>
                <w:tcPr>
                  <w:tcW w:w="1162" w:type="pct"/>
                  <w:shd w:val="clear" w:color="auto" w:fill="auto"/>
                  <w:vAlign w:val="center"/>
                </w:tcPr>
                <w:p w14:paraId="68262610">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0.0038</w:t>
                  </w:r>
                </w:p>
              </w:tc>
              <w:tc>
                <w:tcPr>
                  <w:tcW w:w="1164" w:type="pct"/>
                  <w:shd w:val="clear" w:color="auto" w:fill="auto"/>
                  <w:vAlign w:val="center"/>
                </w:tcPr>
                <w:p w14:paraId="3DFD05A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0.007</w:t>
                  </w:r>
                  <w:r>
                    <w:rPr>
                      <w:rFonts w:hint="default" w:ascii="Times New Roman" w:hAnsi="Times New Roman" w:cs="Times New Roman"/>
                      <w:i w:val="0"/>
                      <w:iCs w:val="0"/>
                      <w:color w:val="auto"/>
                      <w:kern w:val="0"/>
                      <w:sz w:val="21"/>
                      <w:szCs w:val="21"/>
                      <w:u w:val="none"/>
                      <w:lang w:val="en-US" w:eastAsia="zh-CN" w:bidi="ar"/>
                    </w:rPr>
                    <w:t>0</w:t>
                  </w:r>
                </w:p>
              </w:tc>
              <w:tc>
                <w:tcPr>
                  <w:tcW w:w="917" w:type="pct"/>
                  <w:vAlign w:val="center"/>
                </w:tcPr>
                <w:p w14:paraId="4843AAFE">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0.0108</w:t>
                  </w:r>
                </w:p>
              </w:tc>
            </w:tr>
            <w:tr w14:paraId="2514B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77" w:type="pct"/>
                  <w:vAlign w:val="center"/>
                </w:tcPr>
                <w:p w14:paraId="78A621BE">
                  <w:pPr>
                    <w:jc w:val="center"/>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生活</w:t>
                  </w:r>
                </w:p>
              </w:tc>
              <w:tc>
                <w:tcPr>
                  <w:tcW w:w="877" w:type="pct"/>
                  <w:shd w:val="clear" w:color="auto" w:fill="auto"/>
                  <w:vAlign w:val="center"/>
                </w:tcPr>
                <w:p w14:paraId="32AE8297">
                  <w:pPr>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油烟</w:t>
                  </w:r>
                </w:p>
              </w:tc>
              <w:tc>
                <w:tcPr>
                  <w:tcW w:w="1162" w:type="pct"/>
                  <w:shd w:val="clear" w:color="auto" w:fill="auto"/>
                  <w:vAlign w:val="center"/>
                </w:tcPr>
                <w:p w14:paraId="633896E4">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64" w:type="pct"/>
                  <w:vAlign w:val="center"/>
                </w:tcPr>
                <w:p w14:paraId="44B104A0">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0.0004</w:t>
                  </w:r>
                </w:p>
              </w:tc>
              <w:tc>
                <w:tcPr>
                  <w:tcW w:w="917" w:type="pct"/>
                  <w:vAlign w:val="center"/>
                </w:tcPr>
                <w:p w14:paraId="227E9561">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0.0004</w:t>
                  </w:r>
                </w:p>
              </w:tc>
            </w:tr>
          </w:tbl>
          <w:p w14:paraId="1DCA559E">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）监测要求</w:t>
            </w:r>
          </w:p>
          <w:p w14:paraId="31AE75D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本次环评根据《排污单位自行监测技术指南 总则》（HJ819-2017）</w:t>
            </w:r>
            <w:r>
              <w:rPr>
                <w:rFonts w:hint="default" w:ascii="Times New Roman" w:hAnsi="Times New Roman" w:cs="Times New Roman"/>
                <w:color w:val="auto"/>
                <w:sz w:val="24"/>
                <w:szCs w:val="24"/>
                <w:lang w:eastAsia="zh-CN"/>
              </w:rPr>
              <w:t>及</w:t>
            </w:r>
            <w:r>
              <w:rPr>
                <w:rFonts w:hint="default" w:ascii="Times New Roman" w:hAnsi="Times New Roman" w:cs="Times New Roman"/>
                <w:color w:val="auto"/>
                <w:sz w:val="24"/>
                <w:szCs w:val="24"/>
              </w:rPr>
              <w:t>《排污许可证申请与核发技术规范 石墨及其他非金属矿物制品制造》</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HJ1119-2020</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提出项目生产运行阶段的污染源监测计划，详见下表：</w:t>
            </w:r>
          </w:p>
          <w:p w14:paraId="59770217">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表4-12  有组织废气监测方案</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1887"/>
              <w:gridCol w:w="1320"/>
              <w:gridCol w:w="4087"/>
            </w:tblGrid>
            <w:tr w14:paraId="22A681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48" w:type="dxa"/>
                  <w:tcBorders>
                    <w:tl2br w:val="nil"/>
                    <w:tr2bl w:val="nil"/>
                  </w:tcBorders>
                  <w:shd w:val="clear" w:color="auto" w:fill="auto"/>
                  <w:vAlign w:val="center"/>
                </w:tcPr>
                <w:p w14:paraId="5164C6A7">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监测点位</w:t>
                  </w:r>
                </w:p>
              </w:tc>
              <w:tc>
                <w:tcPr>
                  <w:tcW w:w="1887" w:type="dxa"/>
                  <w:tcBorders>
                    <w:tl2br w:val="nil"/>
                    <w:tr2bl w:val="nil"/>
                  </w:tcBorders>
                  <w:shd w:val="clear" w:color="auto" w:fill="auto"/>
                  <w:vAlign w:val="center"/>
                </w:tcPr>
                <w:p w14:paraId="05E0F416">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监测指标</w:t>
                  </w:r>
                </w:p>
              </w:tc>
              <w:tc>
                <w:tcPr>
                  <w:tcW w:w="1320" w:type="dxa"/>
                  <w:tcBorders>
                    <w:tl2br w:val="nil"/>
                    <w:tr2bl w:val="nil"/>
                  </w:tcBorders>
                  <w:shd w:val="clear" w:color="auto" w:fill="auto"/>
                  <w:vAlign w:val="center"/>
                </w:tcPr>
                <w:p w14:paraId="7DBB2689">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监测频次</w:t>
                  </w:r>
                </w:p>
              </w:tc>
              <w:tc>
                <w:tcPr>
                  <w:tcW w:w="4087" w:type="dxa"/>
                  <w:tcBorders>
                    <w:tl2br w:val="nil"/>
                    <w:tr2bl w:val="nil"/>
                  </w:tcBorders>
                </w:tcPr>
                <w:p w14:paraId="7C8A444C">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执行排放标准</w:t>
                  </w:r>
                </w:p>
              </w:tc>
            </w:tr>
            <w:tr w14:paraId="421FA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348" w:type="dxa"/>
                  <w:tcBorders>
                    <w:tl2br w:val="nil"/>
                    <w:tr2bl w:val="nil"/>
                  </w:tcBorders>
                  <w:shd w:val="clear" w:color="auto" w:fill="auto"/>
                  <w:vAlign w:val="center"/>
                </w:tcPr>
                <w:p w14:paraId="520D7865">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DA00</w:t>
                  </w:r>
                  <w:r>
                    <w:rPr>
                      <w:rFonts w:hint="default" w:ascii="Times New Roman" w:hAnsi="Times New Roman" w:cs="Times New Roman"/>
                      <w:color w:val="auto"/>
                      <w:szCs w:val="21"/>
                      <w:lang w:val="en-US" w:eastAsia="zh-CN"/>
                    </w:rPr>
                    <w:t>1</w:t>
                  </w:r>
                </w:p>
              </w:tc>
              <w:tc>
                <w:tcPr>
                  <w:tcW w:w="1887" w:type="dxa"/>
                  <w:tcBorders>
                    <w:tl2br w:val="nil"/>
                    <w:tr2bl w:val="nil"/>
                  </w:tcBorders>
                  <w:shd w:val="clear" w:color="auto" w:fill="auto"/>
                  <w:vAlign w:val="center"/>
                </w:tcPr>
                <w:p w14:paraId="736185CB">
                  <w:pPr>
                    <w:jc w:val="center"/>
                    <w:rPr>
                      <w:rFonts w:hint="default" w:ascii="Times New Roman" w:hAnsi="Times New Roman" w:cs="Times New Roman"/>
                      <w:bCs/>
                      <w:color w:val="auto"/>
                      <w:sz w:val="21"/>
                      <w:szCs w:val="21"/>
                      <w:vertAlign w:val="subscript"/>
                      <w:lang w:val="en-US" w:eastAsia="zh-CN"/>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、NOx、颗粒物</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沥青烟、</w:t>
                  </w:r>
                  <w:r>
                    <w:rPr>
                      <w:rFonts w:hint="default" w:ascii="Times New Roman" w:hAnsi="Times New Roman" w:cs="Times New Roman"/>
                      <w:bCs/>
                      <w:color w:val="auto"/>
                      <w:sz w:val="21"/>
                      <w:szCs w:val="21"/>
                    </w:rPr>
                    <w:t>苯并[a]芘</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lang w:val="en-US" w:eastAsia="zh-CN"/>
                    </w:rPr>
                    <w:t>VOC</w:t>
                  </w:r>
                  <w:r>
                    <w:rPr>
                      <w:rFonts w:hint="default" w:ascii="Times New Roman" w:hAnsi="Times New Roman" w:cs="Times New Roman"/>
                      <w:bCs/>
                      <w:color w:val="auto"/>
                      <w:sz w:val="21"/>
                      <w:szCs w:val="21"/>
                      <w:vertAlign w:val="subscript"/>
                      <w:lang w:val="en-US" w:eastAsia="zh-CN"/>
                    </w:rPr>
                    <w:t>S</w:t>
                  </w:r>
                  <w:r>
                    <w:rPr>
                      <w:rFonts w:hint="default" w:ascii="Times New Roman" w:hAnsi="Times New Roman" w:cs="Times New Roman"/>
                      <w:bCs/>
                      <w:color w:val="auto"/>
                      <w:sz w:val="21"/>
                      <w:szCs w:val="21"/>
                      <w:vertAlign w:val="baseline"/>
                      <w:lang w:val="en-US" w:eastAsia="zh-CN"/>
                    </w:rPr>
                    <w:t>（以非甲烷总烃计）</w:t>
                  </w:r>
                </w:p>
              </w:tc>
              <w:tc>
                <w:tcPr>
                  <w:tcW w:w="1320" w:type="dxa"/>
                  <w:tcBorders>
                    <w:tl2br w:val="nil"/>
                    <w:tr2bl w:val="nil"/>
                  </w:tcBorders>
                  <w:shd w:val="clear" w:color="auto" w:fill="auto"/>
                  <w:vAlign w:val="center"/>
                </w:tcPr>
                <w:p w14:paraId="6116CD16">
                  <w:pPr>
                    <w:jc w:val="center"/>
                    <w:rPr>
                      <w:rFonts w:hint="default" w:ascii="Times New Roman" w:hAnsi="Times New Roman" w:cs="Times New Roman"/>
                      <w:color w:val="auto"/>
                      <w:szCs w:val="21"/>
                    </w:rPr>
                  </w:pPr>
                  <w:r>
                    <w:rPr>
                      <w:rFonts w:hint="default" w:ascii="Times New Roman" w:hAnsi="Times New Roman" w:cs="Times New Roman"/>
                      <w:color w:val="auto"/>
                      <w:szCs w:val="21"/>
                    </w:rPr>
                    <w:t>1次/半年</w:t>
                  </w:r>
                </w:p>
              </w:tc>
              <w:tc>
                <w:tcPr>
                  <w:tcW w:w="4087" w:type="dxa"/>
                  <w:tcBorders>
                    <w:tl2br w:val="nil"/>
                    <w:tr2bl w:val="nil"/>
                  </w:tcBorders>
                  <w:vAlign w:val="center"/>
                </w:tcPr>
                <w:p w14:paraId="79312E60">
                  <w:pPr>
                    <w:jc w:val="center"/>
                    <w:rPr>
                      <w:rFonts w:hint="default" w:ascii="Times New Roman" w:hAnsi="Times New Roman" w:cs="Times New Roman"/>
                      <w:color w:val="auto"/>
                      <w:szCs w:val="21"/>
                    </w:rPr>
                  </w:pPr>
                  <w:r>
                    <w:rPr>
                      <w:rFonts w:hint="default" w:ascii="Times New Roman" w:hAnsi="Times New Roman" w:cs="Times New Roman"/>
                      <w:color w:val="auto"/>
                      <w:szCs w:val="21"/>
                    </w:rPr>
                    <w:t>《大气污染物综合排放标准》（GB16297-1996）表2中二级排放标准</w:t>
                  </w:r>
                </w:p>
              </w:tc>
            </w:tr>
          </w:tbl>
          <w:p w14:paraId="6183D9D9">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表4-13 无组织废气监测方案</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1890"/>
              <w:gridCol w:w="1320"/>
              <w:gridCol w:w="4070"/>
            </w:tblGrid>
            <w:tr w14:paraId="7BD7E1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9" w:type="dxa"/>
                  <w:tcBorders>
                    <w:tl2br w:val="nil"/>
                    <w:tr2bl w:val="nil"/>
                  </w:tcBorders>
                  <w:shd w:val="clear" w:color="auto" w:fill="auto"/>
                  <w:vAlign w:val="center"/>
                </w:tcPr>
                <w:p w14:paraId="5E309AC9">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监测点位</w:t>
                  </w:r>
                </w:p>
              </w:tc>
              <w:tc>
                <w:tcPr>
                  <w:tcW w:w="1890" w:type="dxa"/>
                  <w:tcBorders>
                    <w:tl2br w:val="nil"/>
                    <w:tr2bl w:val="nil"/>
                  </w:tcBorders>
                  <w:shd w:val="clear" w:color="auto" w:fill="auto"/>
                  <w:vAlign w:val="center"/>
                </w:tcPr>
                <w:p w14:paraId="27BA61A3">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监测指标</w:t>
                  </w:r>
                </w:p>
              </w:tc>
              <w:tc>
                <w:tcPr>
                  <w:tcW w:w="1320" w:type="dxa"/>
                  <w:tcBorders>
                    <w:tl2br w:val="nil"/>
                    <w:tr2bl w:val="nil"/>
                  </w:tcBorders>
                  <w:shd w:val="clear" w:color="auto" w:fill="auto"/>
                  <w:vAlign w:val="center"/>
                </w:tcPr>
                <w:p w14:paraId="68A5B6FB">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监测频次</w:t>
                  </w:r>
                </w:p>
              </w:tc>
              <w:tc>
                <w:tcPr>
                  <w:tcW w:w="4070" w:type="dxa"/>
                  <w:tcBorders>
                    <w:tl2br w:val="nil"/>
                    <w:tr2bl w:val="nil"/>
                  </w:tcBorders>
                  <w:vAlign w:val="center"/>
                </w:tcPr>
                <w:p w14:paraId="12D33A22">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执行排放标准</w:t>
                  </w:r>
                </w:p>
              </w:tc>
            </w:tr>
            <w:tr w14:paraId="4F2CA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9" w:type="dxa"/>
                  <w:tcBorders>
                    <w:tl2br w:val="nil"/>
                    <w:tr2bl w:val="nil"/>
                  </w:tcBorders>
                  <w:shd w:val="clear" w:color="auto" w:fill="auto"/>
                  <w:vAlign w:val="center"/>
                </w:tcPr>
                <w:p w14:paraId="4D4CD580">
                  <w:pPr>
                    <w:jc w:val="center"/>
                    <w:rPr>
                      <w:rFonts w:hint="default" w:ascii="Times New Roman" w:hAnsi="Times New Roman" w:cs="Times New Roman"/>
                      <w:color w:val="auto"/>
                      <w:szCs w:val="21"/>
                    </w:rPr>
                  </w:pPr>
                  <w:r>
                    <w:rPr>
                      <w:rFonts w:hint="default" w:ascii="Times New Roman" w:hAnsi="Times New Roman" w:cs="Times New Roman"/>
                      <w:color w:val="auto"/>
                      <w:szCs w:val="21"/>
                    </w:rPr>
                    <w:t>厂界</w:t>
                  </w:r>
                </w:p>
              </w:tc>
              <w:tc>
                <w:tcPr>
                  <w:tcW w:w="1890" w:type="dxa"/>
                  <w:tcBorders>
                    <w:tl2br w:val="nil"/>
                    <w:tr2bl w:val="nil"/>
                  </w:tcBorders>
                  <w:shd w:val="clear" w:color="auto" w:fill="auto"/>
                  <w:vAlign w:val="center"/>
                </w:tcPr>
                <w:p w14:paraId="2AA96089">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颗粒物</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沥青烟、</w:t>
                  </w:r>
                  <w:r>
                    <w:rPr>
                      <w:rFonts w:hint="default" w:ascii="Times New Roman" w:hAnsi="Times New Roman" w:cs="Times New Roman"/>
                      <w:bCs/>
                      <w:color w:val="auto"/>
                      <w:sz w:val="21"/>
                      <w:szCs w:val="21"/>
                    </w:rPr>
                    <w:t>苯并[a]芘</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lang w:val="en-US" w:eastAsia="zh-CN"/>
                    </w:rPr>
                    <w:t>VOC</w:t>
                  </w:r>
                  <w:r>
                    <w:rPr>
                      <w:rFonts w:hint="default" w:ascii="Times New Roman" w:hAnsi="Times New Roman" w:cs="Times New Roman"/>
                      <w:bCs/>
                      <w:color w:val="auto"/>
                      <w:sz w:val="21"/>
                      <w:szCs w:val="21"/>
                      <w:vertAlign w:val="subscript"/>
                      <w:lang w:val="en-US" w:eastAsia="zh-CN"/>
                    </w:rPr>
                    <w:t>S</w:t>
                  </w:r>
                  <w:r>
                    <w:rPr>
                      <w:rFonts w:hint="default" w:ascii="Times New Roman" w:hAnsi="Times New Roman" w:cs="Times New Roman"/>
                      <w:bCs/>
                      <w:color w:val="auto"/>
                      <w:sz w:val="21"/>
                      <w:szCs w:val="21"/>
                      <w:vertAlign w:val="baseline"/>
                      <w:lang w:val="en-US" w:eastAsia="zh-CN"/>
                    </w:rPr>
                    <w:t>（以非甲烷总烃计）</w:t>
                  </w:r>
                </w:p>
              </w:tc>
              <w:tc>
                <w:tcPr>
                  <w:tcW w:w="1320" w:type="dxa"/>
                  <w:tcBorders>
                    <w:tl2br w:val="nil"/>
                    <w:tr2bl w:val="nil"/>
                  </w:tcBorders>
                  <w:shd w:val="clear" w:color="auto" w:fill="auto"/>
                  <w:vAlign w:val="center"/>
                </w:tcPr>
                <w:p w14:paraId="6D062828">
                  <w:pPr>
                    <w:jc w:val="center"/>
                    <w:rPr>
                      <w:rFonts w:hint="default" w:ascii="Times New Roman" w:hAnsi="Times New Roman" w:cs="Times New Roman"/>
                      <w:color w:val="auto"/>
                      <w:szCs w:val="21"/>
                    </w:rPr>
                  </w:pPr>
                  <w:r>
                    <w:rPr>
                      <w:rFonts w:hint="default" w:ascii="Times New Roman" w:hAnsi="Times New Roman" w:cs="Times New Roman"/>
                      <w:color w:val="auto"/>
                      <w:szCs w:val="21"/>
                    </w:rPr>
                    <w:t>1次/半年</w:t>
                  </w:r>
                </w:p>
              </w:tc>
              <w:tc>
                <w:tcPr>
                  <w:tcW w:w="4070" w:type="dxa"/>
                  <w:tcBorders>
                    <w:tl2br w:val="nil"/>
                    <w:tr2bl w:val="nil"/>
                  </w:tcBorders>
                  <w:vAlign w:val="center"/>
                </w:tcPr>
                <w:p w14:paraId="7BB4E8AD">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《大气污染物综合排放标准》（GB16297-1996）</w:t>
                  </w:r>
                  <w:r>
                    <w:rPr>
                      <w:rFonts w:hint="default" w:ascii="Times New Roman" w:hAnsi="Times New Roman" w:cs="Times New Roman"/>
                      <w:color w:val="auto"/>
                      <w:szCs w:val="21"/>
                      <w:lang w:val="en-US" w:eastAsia="zh-CN"/>
                    </w:rPr>
                    <w:t>表2</w:t>
                  </w:r>
                  <w:r>
                    <w:rPr>
                      <w:rFonts w:hint="default" w:ascii="Times New Roman" w:hAnsi="Times New Roman" w:cs="Times New Roman"/>
                      <w:color w:val="auto"/>
                      <w:szCs w:val="21"/>
                    </w:rPr>
                    <w:t>无组织排放监控浓度限值</w:t>
                  </w:r>
                </w:p>
              </w:tc>
            </w:tr>
          </w:tbl>
          <w:p w14:paraId="6CBE6FB4">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w:t>
            </w:r>
            <w:r>
              <w:rPr>
                <w:rFonts w:hint="default" w:ascii="Times New Roman" w:hAnsi="Times New Roman" w:cs="Times New Roman"/>
                <w:b/>
                <w:bCs/>
                <w:color w:val="auto"/>
                <w:kern w:val="0"/>
                <w:sz w:val="24"/>
                <w:szCs w:val="24"/>
                <w:lang w:val="en-US" w:eastAsia="zh-CN" w:bidi="ar"/>
              </w:rPr>
              <w:t>5</w:t>
            </w:r>
            <w:r>
              <w:rPr>
                <w:rFonts w:hint="default" w:ascii="Times New Roman" w:hAnsi="Times New Roman" w:eastAsia="宋体" w:cs="Times New Roman"/>
                <w:b/>
                <w:bCs/>
                <w:color w:val="auto"/>
                <w:kern w:val="0"/>
                <w:sz w:val="24"/>
                <w:szCs w:val="24"/>
                <w:lang w:val="en-US" w:eastAsia="zh-CN" w:bidi="ar"/>
              </w:rPr>
              <w:t>）非正常工况分析</w:t>
            </w:r>
          </w:p>
          <w:p w14:paraId="229C21BC">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考虑本项目废气收集措施出现非正常状况的情况很少见，最有可能的非正常工况是废气处理措施出现故障，导致各废气污染物去除效率降低。本环评假定非正常排放的工况为废气处理系统的处理效率降低至0%，则非正常状况下污染物排放量如下表所示</w:t>
            </w:r>
            <w:r>
              <w:rPr>
                <w:rFonts w:hint="default" w:ascii="Times New Roman" w:hAnsi="Times New Roman" w:cs="Times New Roman"/>
                <w:color w:val="auto"/>
                <w:sz w:val="24"/>
                <w:szCs w:val="24"/>
                <w:lang w:val="en-US" w:eastAsia="zh-CN"/>
              </w:rPr>
              <w:t>。</w:t>
            </w:r>
          </w:p>
          <w:p w14:paraId="53665594">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bidi="ar-SA"/>
              </w:rPr>
            </w:pPr>
          </w:p>
          <w:p w14:paraId="1B304065">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表4-14  本项目污染物非正常排放量及排放浓度</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654"/>
              <w:gridCol w:w="1060"/>
              <w:gridCol w:w="956"/>
              <w:gridCol w:w="766"/>
              <w:gridCol w:w="1223"/>
              <w:gridCol w:w="1262"/>
              <w:gridCol w:w="635"/>
            </w:tblGrid>
            <w:tr w14:paraId="4A552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206" w:type="pct"/>
                  <w:tcBorders>
                    <w:tl2br w:val="nil"/>
                    <w:tr2bl w:val="nil"/>
                  </w:tcBorders>
                  <w:vAlign w:val="center"/>
                </w:tcPr>
                <w:p w14:paraId="5278AE2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b/>
                      <w:bCs/>
                      <w:color w:val="auto"/>
                      <w:kern w:val="0"/>
                      <w:szCs w:val="21"/>
                      <w:lang w:bidi="ar"/>
                    </w:rPr>
                    <w:t>污染源</w:t>
                  </w:r>
                </w:p>
              </w:tc>
              <w:tc>
                <w:tcPr>
                  <w:tcW w:w="378" w:type="pct"/>
                  <w:tcBorders>
                    <w:tl2br w:val="nil"/>
                    <w:tr2bl w:val="nil"/>
                  </w:tcBorders>
                  <w:vAlign w:val="center"/>
                </w:tcPr>
                <w:p w14:paraId="06C5A00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b/>
                      <w:bCs/>
                      <w:color w:val="auto"/>
                      <w:kern w:val="0"/>
                      <w:szCs w:val="21"/>
                      <w:lang w:bidi="ar"/>
                    </w:rPr>
                    <w:t>非正常排放原因</w:t>
                  </w:r>
                </w:p>
              </w:tc>
              <w:tc>
                <w:tcPr>
                  <w:tcW w:w="613" w:type="pct"/>
                  <w:tcBorders>
                    <w:tl2br w:val="nil"/>
                    <w:tr2bl w:val="nil"/>
                  </w:tcBorders>
                  <w:vAlign w:val="center"/>
                </w:tcPr>
                <w:p w14:paraId="35ACB84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b/>
                      <w:bCs/>
                      <w:color w:val="auto"/>
                      <w:kern w:val="0"/>
                      <w:szCs w:val="21"/>
                      <w:lang w:bidi="ar"/>
                    </w:rPr>
                    <w:t>污染物</w:t>
                  </w:r>
                </w:p>
              </w:tc>
              <w:tc>
                <w:tcPr>
                  <w:tcW w:w="553" w:type="pct"/>
                  <w:tcBorders>
                    <w:tl2br w:val="nil"/>
                    <w:tr2bl w:val="nil"/>
                  </w:tcBorders>
                  <w:vAlign w:val="center"/>
                </w:tcPr>
                <w:p w14:paraId="1CD85DB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b/>
                      <w:bCs/>
                      <w:color w:val="auto"/>
                      <w:kern w:val="0"/>
                      <w:szCs w:val="21"/>
                      <w:lang w:bidi="ar"/>
                    </w:rPr>
                    <w:t>单次持续时间</w:t>
                  </w:r>
                </w:p>
              </w:tc>
              <w:tc>
                <w:tcPr>
                  <w:tcW w:w="443" w:type="pct"/>
                  <w:tcBorders>
                    <w:tl2br w:val="nil"/>
                    <w:tr2bl w:val="nil"/>
                  </w:tcBorders>
                  <w:vAlign w:val="center"/>
                </w:tcPr>
                <w:p w14:paraId="30805AB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b/>
                      <w:bCs/>
                      <w:color w:val="auto"/>
                      <w:kern w:val="0"/>
                      <w:szCs w:val="21"/>
                      <w:lang w:bidi="ar"/>
                    </w:rPr>
                    <w:t>发生频次</w:t>
                  </w:r>
                </w:p>
              </w:tc>
              <w:tc>
                <w:tcPr>
                  <w:tcW w:w="707" w:type="pct"/>
                  <w:tcBorders>
                    <w:tl2br w:val="nil"/>
                    <w:tr2bl w:val="nil"/>
                  </w:tcBorders>
                  <w:vAlign w:val="center"/>
                </w:tcPr>
                <w:p w14:paraId="19396715">
                  <w:pPr>
                    <w:adjustRightInd w:val="0"/>
                    <w:snapToGrid w:val="0"/>
                    <w:spacing w:line="25" w:lineRule="atLeast"/>
                    <w:jc w:val="center"/>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lang w:val="en-US" w:eastAsia="zh-CN"/>
                    </w:rPr>
                    <w:t>进入处理系统浓度</w:t>
                  </w:r>
                  <w:r>
                    <w:rPr>
                      <w:rFonts w:hint="default" w:ascii="Times New Roman" w:hAnsi="Times New Roman" w:eastAsia="宋体" w:cs="Times New Roman"/>
                      <w:b/>
                      <w:bCs/>
                      <w:color w:val="auto"/>
                      <w:kern w:val="0"/>
                      <w:sz w:val="21"/>
                      <w:szCs w:val="21"/>
                      <w:lang w:val="en-US" w:eastAsia="zh-CN" w:bidi="ar-SA"/>
                    </w:rPr>
                    <w:t>mg/m</w:t>
                  </w:r>
                  <w:r>
                    <w:rPr>
                      <w:rFonts w:hint="default" w:ascii="Times New Roman" w:hAnsi="Times New Roman" w:eastAsia="宋体" w:cs="Times New Roman"/>
                      <w:b/>
                      <w:bCs/>
                      <w:color w:val="auto"/>
                      <w:kern w:val="0"/>
                      <w:sz w:val="21"/>
                      <w:szCs w:val="21"/>
                      <w:vertAlign w:val="superscript"/>
                      <w:lang w:val="en-US" w:eastAsia="zh-CN" w:bidi="ar-SA"/>
                    </w:rPr>
                    <w:t>3</w:t>
                  </w:r>
                </w:p>
              </w:tc>
              <w:tc>
                <w:tcPr>
                  <w:tcW w:w="730" w:type="pct"/>
                  <w:tcBorders>
                    <w:tl2br w:val="nil"/>
                    <w:tr2bl w:val="nil"/>
                  </w:tcBorders>
                  <w:vAlign w:val="center"/>
                </w:tcPr>
                <w:p w14:paraId="74E412F7">
                  <w:pPr>
                    <w:adjustRightInd w:val="0"/>
                    <w:snapToGrid w:val="0"/>
                    <w:spacing w:line="25" w:lineRule="atLeast"/>
                    <w:jc w:val="center"/>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lang w:val="en-US" w:eastAsia="zh-CN"/>
                    </w:rPr>
                    <w:t>非正常排放速率kg/h</w:t>
                  </w:r>
                </w:p>
              </w:tc>
              <w:tc>
                <w:tcPr>
                  <w:tcW w:w="367" w:type="pct"/>
                  <w:tcBorders>
                    <w:tl2br w:val="nil"/>
                    <w:tr2bl w:val="nil"/>
                  </w:tcBorders>
                  <w:vAlign w:val="center"/>
                </w:tcPr>
                <w:p w14:paraId="174593B3">
                  <w:pPr>
                    <w:adjustRightInd w:val="0"/>
                    <w:snapToGrid w:val="0"/>
                    <w:spacing w:line="25" w:lineRule="atLeast"/>
                    <w:jc w:val="center"/>
                    <w:rPr>
                      <w:rFonts w:hint="default" w:ascii="Times New Roman" w:hAnsi="Times New Roman" w:cs="Times New Roman"/>
                      <w:b/>
                      <w:bCs/>
                      <w:color w:val="auto"/>
                      <w:kern w:val="0"/>
                      <w:szCs w:val="21"/>
                      <w:lang w:bidi="ar"/>
                    </w:rPr>
                  </w:pPr>
                  <w:r>
                    <w:rPr>
                      <w:rFonts w:hint="default" w:ascii="Times New Roman" w:hAnsi="Times New Roman" w:eastAsia="宋体" w:cs="Times New Roman"/>
                      <w:b/>
                      <w:bCs/>
                      <w:color w:val="auto"/>
                      <w:kern w:val="0"/>
                      <w:sz w:val="21"/>
                      <w:szCs w:val="21"/>
                      <w:vertAlign w:val="baseline"/>
                      <w:lang w:val="en-US" w:eastAsia="zh-CN"/>
                    </w:rPr>
                    <w:t>措施</w:t>
                  </w:r>
                </w:p>
              </w:tc>
            </w:tr>
            <w:tr w14:paraId="6B0B82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pct"/>
                  <w:tcBorders>
                    <w:tl2br w:val="nil"/>
                    <w:tr2bl w:val="nil"/>
                  </w:tcBorders>
                  <w:vAlign w:val="center"/>
                </w:tcPr>
                <w:p w14:paraId="260B5585">
                  <w:pPr>
                    <w:widowControl/>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骨料上料粉尘</w:t>
                  </w:r>
                </w:p>
              </w:tc>
              <w:tc>
                <w:tcPr>
                  <w:tcW w:w="378" w:type="pct"/>
                  <w:vMerge w:val="restart"/>
                  <w:tcBorders>
                    <w:tl2br w:val="nil"/>
                    <w:tr2bl w:val="nil"/>
                  </w:tcBorders>
                  <w:vAlign w:val="center"/>
                </w:tcPr>
                <w:p w14:paraId="56CC64AB">
                  <w:pPr>
                    <w:widowControl/>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val="en-US" w:eastAsia="zh-CN" w:bidi="ar"/>
                    </w:rPr>
                    <w:t>密闭不严、</w:t>
                  </w:r>
                  <w:r>
                    <w:rPr>
                      <w:rFonts w:hint="default" w:ascii="Times New Roman" w:hAnsi="Times New Roman" w:eastAsia="宋体" w:cs="Times New Roman"/>
                      <w:color w:val="auto"/>
                      <w:kern w:val="0"/>
                      <w:szCs w:val="21"/>
                      <w:lang w:bidi="ar"/>
                    </w:rPr>
                    <w:t>废气处理装置故障</w:t>
                  </w:r>
                </w:p>
              </w:tc>
              <w:tc>
                <w:tcPr>
                  <w:tcW w:w="613" w:type="pct"/>
                  <w:tcBorders>
                    <w:tl2br w:val="nil"/>
                    <w:tr2bl w:val="nil"/>
                  </w:tcBorders>
                  <w:shd w:val="clear" w:color="auto" w:fill="auto"/>
                  <w:vAlign w:val="center"/>
                </w:tcPr>
                <w:p w14:paraId="044BD35C">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Cs w:val="21"/>
                      <w:lang w:val="en-US" w:eastAsia="zh-CN" w:bidi="ar"/>
                    </w:rPr>
                    <w:t>颗粒物</w:t>
                  </w:r>
                </w:p>
              </w:tc>
              <w:tc>
                <w:tcPr>
                  <w:tcW w:w="553" w:type="pct"/>
                  <w:tcBorders>
                    <w:tl2br w:val="nil"/>
                    <w:tr2bl w:val="nil"/>
                  </w:tcBorders>
                  <w:shd w:val="clear" w:color="auto" w:fill="auto"/>
                  <w:vAlign w:val="center"/>
                </w:tcPr>
                <w:p w14:paraId="43DD1A51">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Cs w:val="21"/>
                      <w:lang w:bidi="ar"/>
                    </w:rPr>
                    <w:t>0.5h/次</w:t>
                  </w:r>
                </w:p>
              </w:tc>
              <w:tc>
                <w:tcPr>
                  <w:tcW w:w="443" w:type="pct"/>
                  <w:tcBorders>
                    <w:tl2br w:val="nil"/>
                    <w:tr2bl w:val="nil"/>
                  </w:tcBorders>
                  <w:shd w:val="clear" w:color="auto" w:fill="auto"/>
                  <w:vAlign w:val="center"/>
                </w:tcPr>
                <w:p w14:paraId="7D30D081">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Cs w:val="21"/>
                      <w:lang w:bidi="ar"/>
                    </w:rPr>
                    <w:t>1次/a</w:t>
                  </w:r>
                </w:p>
              </w:tc>
              <w:tc>
                <w:tcPr>
                  <w:tcW w:w="707" w:type="pct"/>
                  <w:tcBorders>
                    <w:tl2br w:val="nil"/>
                    <w:tr2bl w:val="nil"/>
                  </w:tcBorders>
                  <w:shd w:val="clear" w:color="auto" w:fill="auto"/>
                  <w:vAlign w:val="center"/>
                </w:tcPr>
                <w:p w14:paraId="195D3B5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0.9200</w:t>
                  </w:r>
                </w:p>
              </w:tc>
              <w:tc>
                <w:tcPr>
                  <w:tcW w:w="730" w:type="pct"/>
                  <w:tcBorders>
                    <w:tl2br w:val="nil"/>
                    <w:tr2bl w:val="nil"/>
                  </w:tcBorders>
                  <w:shd w:val="clear" w:color="auto" w:fill="auto"/>
                  <w:vAlign w:val="center"/>
                </w:tcPr>
                <w:p w14:paraId="5C3931D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1.0222</w:t>
                  </w:r>
                </w:p>
              </w:tc>
              <w:tc>
                <w:tcPr>
                  <w:tcW w:w="367" w:type="pct"/>
                  <w:vMerge w:val="restart"/>
                  <w:tcBorders>
                    <w:tl2br w:val="nil"/>
                    <w:tr2bl w:val="nil"/>
                  </w:tcBorders>
                  <w:vAlign w:val="center"/>
                </w:tcPr>
                <w:p w14:paraId="2143899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0"/>
                      <w:szCs w:val="21"/>
                      <w:lang w:bidi="ar"/>
                    </w:rPr>
                  </w:pPr>
                  <w:r>
                    <w:rPr>
                      <w:rFonts w:hint="default" w:ascii="Times New Roman" w:hAnsi="Times New Roman" w:eastAsia="宋体" w:cs="Times New Roman"/>
                      <w:color w:val="auto"/>
                      <w:kern w:val="0"/>
                      <w:sz w:val="21"/>
                      <w:szCs w:val="21"/>
                      <w:lang w:val="en-US" w:eastAsia="zh-CN" w:bidi="ar"/>
                    </w:rPr>
                    <w:t>加强废气处理系统的维护，定期检修</w:t>
                  </w:r>
                </w:p>
              </w:tc>
            </w:tr>
            <w:tr w14:paraId="5C9D9C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pct"/>
                  <w:tcBorders>
                    <w:tl2br w:val="nil"/>
                    <w:tr2bl w:val="nil"/>
                  </w:tcBorders>
                  <w:vAlign w:val="center"/>
                </w:tcPr>
                <w:p w14:paraId="60F198D3">
                  <w:pPr>
                    <w:widowControl/>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szCs w:val="21"/>
                    </w:rPr>
                    <w:t>矿粉筒仓粉尘</w:t>
                  </w:r>
                </w:p>
              </w:tc>
              <w:tc>
                <w:tcPr>
                  <w:tcW w:w="378" w:type="pct"/>
                  <w:vMerge w:val="continue"/>
                  <w:tcBorders>
                    <w:tl2br w:val="nil"/>
                    <w:tr2bl w:val="nil"/>
                  </w:tcBorders>
                  <w:vAlign w:val="center"/>
                </w:tcPr>
                <w:p w14:paraId="086507AC">
                  <w:pPr>
                    <w:widowControl/>
                    <w:jc w:val="center"/>
                    <w:textAlignment w:val="center"/>
                    <w:rPr>
                      <w:rFonts w:hint="default" w:ascii="Times New Roman" w:hAnsi="Times New Roman" w:eastAsia="宋体" w:cs="Times New Roman"/>
                      <w:color w:val="auto"/>
                      <w:kern w:val="0"/>
                      <w:szCs w:val="21"/>
                      <w:lang w:bidi="ar"/>
                    </w:rPr>
                  </w:pPr>
                </w:p>
              </w:tc>
              <w:tc>
                <w:tcPr>
                  <w:tcW w:w="613" w:type="pct"/>
                  <w:tcBorders>
                    <w:tl2br w:val="nil"/>
                    <w:tr2bl w:val="nil"/>
                  </w:tcBorders>
                  <w:shd w:val="clear" w:color="auto" w:fill="auto"/>
                  <w:vAlign w:val="center"/>
                </w:tcPr>
                <w:p w14:paraId="52E6402C">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Cs w:val="21"/>
                      <w:lang w:val="en-US" w:eastAsia="zh-CN" w:bidi="ar"/>
                    </w:rPr>
                    <w:t>颗粒物</w:t>
                  </w:r>
                </w:p>
              </w:tc>
              <w:tc>
                <w:tcPr>
                  <w:tcW w:w="553" w:type="pct"/>
                  <w:tcBorders>
                    <w:tl2br w:val="nil"/>
                    <w:tr2bl w:val="nil"/>
                  </w:tcBorders>
                  <w:shd w:val="clear" w:color="auto" w:fill="auto"/>
                  <w:vAlign w:val="center"/>
                </w:tcPr>
                <w:p w14:paraId="12E45EAA">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Cs w:val="21"/>
                      <w:lang w:bidi="ar"/>
                    </w:rPr>
                    <w:t>0.5h/次</w:t>
                  </w:r>
                </w:p>
              </w:tc>
              <w:tc>
                <w:tcPr>
                  <w:tcW w:w="443" w:type="pct"/>
                  <w:tcBorders>
                    <w:tl2br w:val="nil"/>
                    <w:tr2bl w:val="nil"/>
                  </w:tcBorders>
                  <w:shd w:val="clear" w:color="auto" w:fill="auto"/>
                  <w:vAlign w:val="center"/>
                </w:tcPr>
                <w:p w14:paraId="636DDAF3">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Cs w:val="21"/>
                      <w:lang w:bidi="ar"/>
                    </w:rPr>
                    <w:t>1次/a</w:t>
                  </w:r>
                </w:p>
              </w:tc>
              <w:tc>
                <w:tcPr>
                  <w:tcW w:w="707" w:type="pct"/>
                  <w:tcBorders>
                    <w:tl2br w:val="nil"/>
                    <w:tr2bl w:val="nil"/>
                  </w:tcBorders>
                  <w:shd w:val="clear" w:color="auto" w:fill="auto"/>
                  <w:vAlign w:val="center"/>
                </w:tcPr>
                <w:p w14:paraId="59EBD68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0.3600</w:t>
                  </w:r>
                </w:p>
              </w:tc>
              <w:tc>
                <w:tcPr>
                  <w:tcW w:w="730" w:type="pct"/>
                  <w:tcBorders>
                    <w:tl2br w:val="nil"/>
                    <w:tr2bl w:val="nil"/>
                  </w:tcBorders>
                  <w:shd w:val="clear" w:color="auto" w:fill="auto"/>
                  <w:vAlign w:val="center"/>
                </w:tcPr>
                <w:p w14:paraId="3E5FDF0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0.4000</w:t>
                  </w:r>
                </w:p>
              </w:tc>
              <w:tc>
                <w:tcPr>
                  <w:tcW w:w="367" w:type="pct"/>
                  <w:vMerge w:val="continue"/>
                  <w:tcBorders>
                    <w:tl2br w:val="nil"/>
                    <w:tr2bl w:val="nil"/>
                  </w:tcBorders>
                  <w:vAlign w:val="center"/>
                </w:tcPr>
                <w:p w14:paraId="3F255EE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
                    </w:rPr>
                  </w:pPr>
                </w:p>
              </w:tc>
            </w:tr>
            <w:tr w14:paraId="69171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pct"/>
                  <w:vMerge w:val="restart"/>
                  <w:tcBorders>
                    <w:tl2br w:val="nil"/>
                    <w:tr2bl w:val="nil"/>
                  </w:tcBorders>
                  <w:shd w:val="clear" w:color="auto" w:fill="auto"/>
                  <w:vAlign w:val="center"/>
                </w:tcPr>
                <w:p w14:paraId="4EE24D2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cs="Times New Roman"/>
                      <w:color w:val="auto"/>
                      <w:szCs w:val="21"/>
                    </w:rPr>
                    <w:t>沥青废气</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搅拌、卸料</w:t>
                  </w:r>
                  <w:r>
                    <w:rPr>
                      <w:rFonts w:hint="default" w:ascii="Times New Roman" w:hAnsi="Times New Roman" w:cs="Times New Roman"/>
                      <w:color w:val="auto"/>
                      <w:szCs w:val="21"/>
                      <w:lang w:eastAsia="zh-CN"/>
                    </w:rPr>
                    <w:t>）</w:t>
                  </w:r>
                </w:p>
              </w:tc>
              <w:tc>
                <w:tcPr>
                  <w:tcW w:w="378" w:type="pct"/>
                  <w:vMerge w:val="continue"/>
                  <w:tcBorders>
                    <w:tl2br w:val="nil"/>
                    <w:tr2bl w:val="nil"/>
                  </w:tcBorders>
                  <w:vAlign w:val="center"/>
                </w:tcPr>
                <w:p w14:paraId="0ACDAED3">
                  <w:pPr>
                    <w:widowControl/>
                    <w:jc w:val="center"/>
                    <w:textAlignment w:val="center"/>
                    <w:rPr>
                      <w:rFonts w:hint="default" w:ascii="Times New Roman" w:hAnsi="Times New Roman" w:eastAsia="宋体" w:cs="Times New Roman"/>
                      <w:color w:val="auto"/>
                      <w:kern w:val="0"/>
                      <w:szCs w:val="21"/>
                      <w:lang w:bidi="ar"/>
                    </w:rPr>
                  </w:pPr>
                </w:p>
              </w:tc>
              <w:tc>
                <w:tcPr>
                  <w:tcW w:w="613" w:type="pct"/>
                  <w:tcBorders>
                    <w:tl2br w:val="nil"/>
                    <w:tr2bl w:val="nil"/>
                  </w:tcBorders>
                  <w:shd w:val="clear" w:color="auto" w:fill="auto"/>
                  <w:vAlign w:val="center"/>
                </w:tcPr>
                <w:p w14:paraId="34C10A0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沥青烟</w:t>
                  </w:r>
                </w:p>
              </w:tc>
              <w:tc>
                <w:tcPr>
                  <w:tcW w:w="553" w:type="pct"/>
                  <w:tcBorders>
                    <w:tl2br w:val="nil"/>
                    <w:tr2bl w:val="nil"/>
                  </w:tcBorders>
                  <w:shd w:val="clear" w:color="auto" w:fill="auto"/>
                  <w:vAlign w:val="center"/>
                </w:tcPr>
                <w:p w14:paraId="34192ADE">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Cs w:val="21"/>
                      <w:lang w:bidi="ar"/>
                    </w:rPr>
                    <w:t>0.5h/次</w:t>
                  </w:r>
                </w:p>
              </w:tc>
              <w:tc>
                <w:tcPr>
                  <w:tcW w:w="443" w:type="pct"/>
                  <w:tcBorders>
                    <w:tl2br w:val="nil"/>
                    <w:tr2bl w:val="nil"/>
                  </w:tcBorders>
                  <w:shd w:val="clear" w:color="auto" w:fill="auto"/>
                  <w:vAlign w:val="center"/>
                </w:tcPr>
                <w:p w14:paraId="26563B97">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Cs w:val="21"/>
                      <w:lang w:bidi="ar"/>
                    </w:rPr>
                    <w:t>1次/a</w:t>
                  </w:r>
                </w:p>
              </w:tc>
              <w:tc>
                <w:tcPr>
                  <w:tcW w:w="707" w:type="pct"/>
                  <w:tcBorders>
                    <w:tl2br w:val="nil"/>
                    <w:tr2bl w:val="nil"/>
                  </w:tcBorders>
                  <w:shd w:val="clear" w:color="auto" w:fill="auto"/>
                  <w:vAlign w:val="center"/>
                </w:tcPr>
                <w:p w14:paraId="6B58A87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0.2000</w:t>
                  </w:r>
                </w:p>
              </w:tc>
              <w:tc>
                <w:tcPr>
                  <w:tcW w:w="730" w:type="pct"/>
                  <w:tcBorders>
                    <w:tl2br w:val="nil"/>
                    <w:tr2bl w:val="nil"/>
                  </w:tcBorders>
                  <w:shd w:val="clear" w:color="auto" w:fill="auto"/>
                  <w:vAlign w:val="center"/>
                </w:tcPr>
                <w:p w14:paraId="7521E9F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0.2222</w:t>
                  </w:r>
                </w:p>
              </w:tc>
              <w:tc>
                <w:tcPr>
                  <w:tcW w:w="367" w:type="pct"/>
                  <w:vMerge w:val="continue"/>
                  <w:tcBorders>
                    <w:tl2br w:val="nil"/>
                    <w:tr2bl w:val="nil"/>
                  </w:tcBorders>
                  <w:vAlign w:val="center"/>
                </w:tcPr>
                <w:p w14:paraId="18D60349">
                  <w:pPr>
                    <w:widowControl/>
                    <w:jc w:val="center"/>
                    <w:textAlignment w:val="center"/>
                    <w:rPr>
                      <w:rFonts w:hint="default" w:ascii="Times New Roman" w:hAnsi="Times New Roman" w:cs="Times New Roman"/>
                      <w:color w:val="auto"/>
                      <w:kern w:val="0"/>
                      <w:szCs w:val="21"/>
                      <w:lang w:bidi="ar"/>
                    </w:rPr>
                  </w:pPr>
                </w:p>
              </w:tc>
            </w:tr>
            <w:tr w14:paraId="415C9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206" w:type="pct"/>
                  <w:vMerge w:val="continue"/>
                  <w:tcBorders>
                    <w:tl2br w:val="nil"/>
                    <w:tr2bl w:val="nil"/>
                  </w:tcBorders>
                  <w:vAlign w:val="center"/>
                </w:tcPr>
                <w:p w14:paraId="2ED90690">
                  <w:pPr>
                    <w:widowControl/>
                    <w:jc w:val="center"/>
                    <w:textAlignment w:val="center"/>
                    <w:rPr>
                      <w:rFonts w:hint="default" w:ascii="Times New Roman" w:hAnsi="Times New Roman" w:eastAsia="宋体" w:cs="Times New Roman"/>
                      <w:color w:val="auto"/>
                      <w:kern w:val="0"/>
                      <w:szCs w:val="21"/>
                      <w:lang w:val="en-US" w:eastAsia="zh-CN" w:bidi="ar"/>
                    </w:rPr>
                  </w:pPr>
                </w:p>
              </w:tc>
              <w:tc>
                <w:tcPr>
                  <w:tcW w:w="378" w:type="pct"/>
                  <w:vMerge w:val="continue"/>
                  <w:tcBorders>
                    <w:tl2br w:val="nil"/>
                    <w:tr2bl w:val="nil"/>
                  </w:tcBorders>
                  <w:vAlign w:val="center"/>
                </w:tcPr>
                <w:p w14:paraId="14D36541">
                  <w:pPr>
                    <w:widowControl/>
                    <w:jc w:val="center"/>
                    <w:textAlignment w:val="center"/>
                    <w:rPr>
                      <w:rFonts w:hint="default" w:ascii="Times New Roman" w:hAnsi="Times New Roman" w:eastAsia="宋体" w:cs="Times New Roman"/>
                      <w:color w:val="auto"/>
                      <w:kern w:val="0"/>
                      <w:szCs w:val="21"/>
                      <w:lang w:bidi="ar"/>
                    </w:rPr>
                  </w:pPr>
                </w:p>
              </w:tc>
              <w:tc>
                <w:tcPr>
                  <w:tcW w:w="613" w:type="pct"/>
                  <w:tcBorders>
                    <w:tl2br w:val="nil"/>
                    <w:tr2bl w:val="nil"/>
                  </w:tcBorders>
                  <w:vAlign w:val="center"/>
                </w:tcPr>
                <w:p w14:paraId="4D331AB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苯并[a]芘</w:t>
                  </w:r>
                </w:p>
              </w:tc>
              <w:tc>
                <w:tcPr>
                  <w:tcW w:w="553" w:type="pct"/>
                  <w:tcBorders>
                    <w:tl2br w:val="nil"/>
                    <w:tr2bl w:val="nil"/>
                  </w:tcBorders>
                  <w:vAlign w:val="center"/>
                </w:tcPr>
                <w:p w14:paraId="5B036529">
                  <w:pPr>
                    <w:widowControl/>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0.5h/次</w:t>
                  </w:r>
                </w:p>
              </w:tc>
              <w:tc>
                <w:tcPr>
                  <w:tcW w:w="443" w:type="pct"/>
                  <w:tcBorders>
                    <w:tl2br w:val="nil"/>
                    <w:tr2bl w:val="nil"/>
                  </w:tcBorders>
                  <w:vAlign w:val="center"/>
                </w:tcPr>
                <w:p w14:paraId="13F1C414">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1次/a</w:t>
                  </w:r>
                </w:p>
              </w:tc>
              <w:tc>
                <w:tcPr>
                  <w:tcW w:w="707" w:type="pct"/>
                  <w:tcBorders>
                    <w:tl2br w:val="nil"/>
                    <w:tr2bl w:val="nil"/>
                  </w:tcBorders>
                  <w:shd w:val="clear" w:color="auto" w:fill="auto"/>
                  <w:vAlign w:val="center"/>
                </w:tcPr>
                <w:p w14:paraId="11BF1E92">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lang w:val="en-US" w:eastAsia="zh-CN"/>
                    </w:rPr>
                    <w:t>4.00</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vertAlign w:val="superscript"/>
                      <w:lang w:val="en-US" w:eastAsia="zh-CN"/>
                    </w:rPr>
                    <w:t>6</w:t>
                  </w:r>
                </w:p>
              </w:tc>
              <w:tc>
                <w:tcPr>
                  <w:tcW w:w="730" w:type="pct"/>
                  <w:tcBorders>
                    <w:tl2br w:val="nil"/>
                    <w:tr2bl w:val="nil"/>
                  </w:tcBorders>
                  <w:shd w:val="clear" w:color="auto" w:fill="auto"/>
                  <w:vAlign w:val="center"/>
                </w:tcPr>
                <w:p w14:paraId="064658F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4.44</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vertAlign w:val="superscript"/>
                      <w:lang w:val="en-US" w:eastAsia="zh-CN"/>
                    </w:rPr>
                    <w:t>6</w:t>
                  </w:r>
                </w:p>
              </w:tc>
              <w:tc>
                <w:tcPr>
                  <w:tcW w:w="367" w:type="pct"/>
                  <w:vMerge w:val="continue"/>
                  <w:tcBorders>
                    <w:tl2br w:val="nil"/>
                    <w:tr2bl w:val="nil"/>
                  </w:tcBorders>
                  <w:vAlign w:val="center"/>
                </w:tcPr>
                <w:p w14:paraId="61DF406D">
                  <w:pPr>
                    <w:widowControl/>
                    <w:jc w:val="center"/>
                    <w:textAlignment w:val="center"/>
                    <w:rPr>
                      <w:rFonts w:hint="default" w:ascii="Times New Roman" w:hAnsi="Times New Roman" w:cs="Times New Roman"/>
                      <w:color w:val="auto"/>
                      <w:kern w:val="0"/>
                      <w:szCs w:val="21"/>
                      <w:lang w:bidi="ar"/>
                    </w:rPr>
                  </w:pPr>
                </w:p>
              </w:tc>
            </w:tr>
            <w:tr w14:paraId="588A8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pct"/>
                  <w:vMerge w:val="continue"/>
                  <w:tcBorders>
                    <w:tl2br w:val="nil"/>
                    <w:tr2bl w:val="nil"/>
                  </w:tcBorders>
                  <w:vAlign w:val="center"/>
                </w:tcPr>
                <w:p w14:paraId="3AB4927E">
                  <w:pPr>
                    <w:widowControl/>
                    <w:jc w:val="center"/>
                    <w:textAlignment w:val="center"/>
                    <w:rPr>
                      <w:rFonts w:hint="default" w:ascii="Times New Roman" w:hAnsi="Times New Roman" w:eastAsia="宋体" w:cs="Times New Roman"/>
                      <w:color w:val="auto"/>
                      <w:kern w:val="0"/>
                      <w:szCs w:val="21"/>
                      <w:lang w:val="en-US" w:eastAsia="zh-CN" w:bidi="ar"/>
                    </w:rPr>
                  </w:pPr>
                </w:p>
              </w:tc>
              <w:tc>
                <w:tcPr>
                  <w:tcW w:w="378" w:type="pct"/>
                  <w:vMerge w:val="continue"/>
                  <w:tcBorders>
                    <w:tl2br w:val="nil"/>
                    <w:tr2bl w:val="nil"/>
                  </w:tcBorders>
                  <w:vAlign w:val="center"/>
                </w:tcPr>
                <w:p w14:paraId="470E8581">
                  <w:pPr>
                    <w:widowControl/>
                    <w:jc w:val="center"/>
                    <w:textAlignment w:val="center"/>
                    <w:rPr>
                      <w:rFonts w:hint="default" w:ascii="Times New Roman" w:hAnsi="Times New Roman" w:eastAsia="宋体" w:cs="Times New Roman"/>
                      <w:color w:val="auto"/>
                      <w:kern w:val="0"/>
                      <w:szCs w:val="21"/>
                      <w:lang w:bidi="ar"/>
                    </w:rPr>
                  </w:pPr>
                </w:p>
              </w:tc>
              <w:tc>
                <w:tcPr>
                  <w:tcW w:w="613" w:type="pct"/>
                  <w:tcBorders>
                    <w:tl2br w:val="nil"/>
                    <w:tr2bl w:val="nil"/>
                  </w:tcBorders>
                  <w:vAlign w:val="center"/>
                </w:tcPr>
                <w:p w14:paraId="28544F7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VOC</w:t>
                  </w:r>
                  <w:r>
                    <w:rPr>
                      <w:rFonts w:hint="default" w:ascii="Times New Roman" w:hAnsi="Times New Roman" w:eastAsia="宋体" w:cs="Times New Roman"/>
                      <w:i w:val="0"/>
                      <w:iCs w:val="0"/>
                      <w:color w:val="auto"/>
                      <w:kern w:val="0"/>
                      <w:sz w:val="21"/>
                      <w:szCs w:val="21"/>
                      <w:u w:val="none"/>
                      <w:vertAlign w:val="subscript"/>
                      <w:lang w:val="en-US" w:eastAsia="zh-CN" w:bidi="ar"/>
                    </w:rPr>
                    <w:t>S</w:t>
                  </w:r>
                  <w:r>
                    <w:rPr>
                      <w:rFonts w:hint="default" w:ascii="Times New Roman" w:hAnsi="Times New Roman" w:cs="Times New Roman"/>
                      <w:color w:val="auto"/>
                      <w:lang w:val="en-US" w:eastAsia="zh-CN"/>
                    </w:rPr>
                    <w:t>（以非甲烷总烃计）</w:t>
                  </w:r>
                </w:p>
              </w:tc>
              <w:tc>
                <w:tcPr>
                  <w:tcW w:w="553" w:type="pct"/>
                  <w:tcBorders>
                    <w:tl2br w:val="nil"/>
                    <w:tr2bl w:val="nil"/>
                  </w:tcBorders>
                  <w:vAlign w:val="center"/>
                </w:tcPr>
                <w:p w14:paraId="099CA6C7">
                  <w:pPr>
                    <w:widowControl/>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0.5h/次</w:t>
                  </w:r>
                </w:p>
              </w:tc>
              <w:tc>
                <w:tcPr>
                  <w:tcW w:w="443" w:type="pct"/>
                  <w:tcBorders>
                    <w:tl2br w:val="nil"/>
                    <w:tr2bl w:val="nil"/>
                  </w:tcBorders>
                  <w:vAlign w:val="center"/>
                </w:tcPr>
                <w:p w14:paraId="7CE2D5BD">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1次/a</w:t>
                  </w:r>
                </w:p>
              </w:tc>
              <w:tc>
                <w:tcPr>
                  <w:tcW w:w="707" w:type="pct"/>
                  <w:tcBorders>
                    <w:tl2br w:val="nil"/>
                    <w:tr2bl w:val="nil"/>
                  </w:tcBorders>
                  <w:shd w:val="clear" w:color="auto" w:fill="auto"/>
                  <w:vAlign w:val="center"/>
                </w:tcPr>
                <w:p w14:paraId="43E93513">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lang w:val="en-US" w:eastAsia="zh-CN"/>
                    </w:rPr>
                    <w:t>0.1400</w:t>
                  </w:r>
                </w:p>
              </w:tc>
              <w:tc>
                <w:tcPr>
                  <w:tcW w:w="730" w:type="pct"/>
                  <w:tcBorders>
                    <w:tl2br w:val="nil"/>
                    <w:tr2bl w:val="nil"/>
                  </w:tcBorders>
                  <w:shd w:val="clear" w:color="auto" w:fill="auto"/>
                  <w:vAlign w:val="center"/>
                </w:tcPr>
                <w:p w14:paraId="750261C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0.1556</w:t>
                  </w:r>
                </w:p>
              </w:tc>
              <w:tc>
                <w:tcPr>
                  <w:tcW w:w="367" w:type="pct"/>
                  <w:vMerge w:val="continue"/>
                  <w:tcBorders>
                    <w:tl2br w:val="nil"/>
                    <w:tr2bl w:val="nil"/>
                  </w:tcBorders>
                  <w:vAlign w:val="center"/>
                </w:tcPr>
                <w:p w14:paraId="43BFA683">
                  <w:pPr>
                    <w:widowControl/>
                    <w:jc w:val="center"/>
                    <w:textAlignment w:val="center"/>
                    <w:rPr>
                      <w:rFonts w:hint="default" w:ascii="Times New Roman" w:hAnsi="Times New Roman" w:cs="Times New Roman"/>
                      <w:color w:val="auto"/>
                      <w:kern w:val="0"/>
                      <w:szCs w:val="21"/>
                      <w:lang w:bidi="ar"/>
                    </w:rPr>
                  </w:pPr>
                </w:p>
              </w:tc>
            </w:tr>
            <w:tr w14:paraId="380A9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pct"/>
                  <w:vMerge w:val="restart"/>
                  <w:tcBorders>
                    <w:tl2br w:val="nil"/>
                    <w:tr2bl w:val="nil"/>
                  </w:tcBorders>
                  <w:vAlign w:val="center"/>
                </w:tcPr>
                <w:p w14:paraId="75DC8C15">
                  <w:pPr>
                    <w:widowControl/>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szCs w:val="21"/>
                    </w:rPr>
                    <w:t>沥青废气</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储罐</w:t>
                  </w:r>
                  <w:r>
                    <w:rPr>
                      <w:rFonts w:hint="default" w:ascii="Times New Roman" w:hAnsi="Times New Roman" w:cs="Times New Roman"/>
                      <w:color w:val="auto"/>
                      <w:szCs w:val="21"/>
                      <w:lang w:eastAsia="zh-CN"/>
                    </w:rPr>
                    <w:t>）</w:t>
                  </w:r>
                </w:p>
              </w:tc>
              <w:tc>
                <w:tcPr>
                  <w:tcW w:w="378" w:type="pct"/>
                  <w:vMerge w:val="continue"/>
                  <w:tcBorders>
                    <w:tl2br w:val="nil"/>
                    <w:tr2bl w:val="nil"/>
                  </w:tcBorders>
                  <w:vAlign w:val="center"/>
                </w:tcPr>
                <w:p w14:paraId="02939F0E">
                  <w:pPr>
                    <w:widowControl/>
                    <w:jc w:val="center"/>
                    <w:textAlignment w:val="center"/>
                    <w:rPr>
                      <w:rFonts w:hint="default" w:ascii="Times New Roman" w:hAnsi="Times New Roman" w:eastAsia="宋体" w:cs="Times New Roman"/>
                      <w:color w:val="auto"/>
                      <w:kern w:val="0"/>
                      <w:szCs w:val="21"/>
                      <w:lang w:bidi="ar"/>
                    </w:rPr>
                  </w:pPr>
                </w:p>
              </w:tc>
              <w:tc>
                <w:tcPr>
                  <w:tcW w:w="613" w:type="pct"/>
                  <w:tcBorders>
                    <w:tl2br w:val="nil"/>
                    <w:tr2bl w:val="nil"/>
                  </w:tcBorders>
                  <w:shd w:val="clear" w:color="auto" w:fill="auto"/>
                  <w:vAlign w:val="center"/>
                </w:tcPr>
                <w:p w14:paraId="4EB15A0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沥青烟</w:t>
                  </w:r>
                </w:p>
              </w:tc>
              <w:tc>
                <w:tcPr>
                  <w:tcW w:w="553" w:type="pct"/>
                  <w:tcBorders>
                    <w:tl2br w:val="nil"/>
                    <w:tr2bl w:val="nil"/>
                  </w:tcBorders>
                  <w:vAlign w:val="center"/>
                </w:tcPr>
                <w:p w14:paraId="4B5A45CF">
                  <w:pPr>
                    <w:widowControl/>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0.5h/次</w:t>
                  </w:r>
                </w:p>
              </w:tc>
              <w:tc>
                <w:tcPr>
                  <w:tcW w:w="443" w:type="pct"/>
                  <w:tcBorders>
                    <w:tl2br w:val="nil"/>
                    <w:tr2bl w:val="nil"/>
                  </w:tcBorders>
                  <w:vAlign w:val="center"/>
                </w:tcPr>
                <w:p w14:paraId="19DE6B97">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1次/a</w:t>
                  </w:r>
                </w:p>
              </w:tc>
              <w:tc>
                <w:tcPr>
                  <w:tcW w:w="707" w:type="pct"/>
                  <w:tcBorders>
                    <w:tl2br w:val="nil"/>
                    <w:tr2bl w:val="nil"/>
                  </w:tcBorders>
                  <w:shd w:val="clear" w:color="auto" w:fill="auto"/>
                  <w:vAlign w:val="center"/>
                </w:tcPr>
                <w:p w14:paraId="05E423A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0.0768</w:t>
                  </w:r>
                </w:p>
              </w:tc>
              <w:tc>
                <w:tcPr>
                  <w:tcW w:w="730" w:type="pct"/>
                  <w:tcBorders>
                    <w:tl2br w:val="nil"/>
                    <w:tr2bl w:val="nil"/>
                  </w:tcBorders>
                  <w:shd w:val="clear" w:color="auto" w:fill="auto"/>
                  <w:vAlign w:val="center"/>
                </w:tcPr>
                <w:p w14:paraId="58AFF6B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0.0213</w:t>
                  </w:r>
                </w:p>
              </w:tc>
              <w:tc>
                <w:tcPr>
                  <w:tcW w:w="367" w:type="pct"/>
                  <w:vMerge w:val="continue"/>
                  <w:tcBorders>
                    <w:tl2br w:val="nil"/>
                    <w:tr2bl w:val="nil"/>
                  </w:tcBorders>
                  <w:vAlign w:val="center"/>
                </w:tcPr>
                <w:p w14:paraId="18A95C92">
                  <w:pPr>
                    <w:widowControl/>
                    <w:jc w:val="center"/>
                    <w:textAlignment w:val="center"/>
                    <w:rPr>
                      <w:rFonts w:hint="default" w:ascii="Times New Roman" w:hAnsi="Times New Roman" w:cs="Times New Roman"/>
                      <w:color w:val="auto"/>
                      <w:kern w:val="0"/>
                      <w:szCs w:val="21"/>
                      <w:lang w:bidi="ar"/>
                    </w:rPr>
                  </w:pPr>
                </w:p>
              </w:tc>
            </w:tr>
            <w:tr w14:paraId="12D77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pct"/>
                  <w:vMerge w:val="continue"/>
                  <w:tcBorders>
                    <w:tl2br w:val="nil"/>
                    <w:tr2bl w:val="nil"/>
                  </w:tcBorders>
                  <w:vAlign w:val="center"/>
                </w:tcPr>
                <w:p w14:paraId="094D420E">
                  <w:pPr>
                    <w:widowControl/>
                    <w:jc w:val="center"/>
                    <w:textAlignment w:val="center"/>
                    <w:rPr>
                      <w:rFonts w:hint="default" w:ascii="Times New Roman" w:hAnsi="Times New Roman" w:eastAsia="宋体" w:cs="Times New Roman"/>
                      <w:color w:val="auto"/>
                      <w:kern w:val="0"/>
                      <w:szCs w:val="21"/>
                      <w:lang w:bidi="ar"/>
                    </w:rPr>
                  </w:pPr>
                </w:p>
              </w:tc>
              <w:tc>
                <w:tcPr>
                  <w:tcW w:w="378" w:type="pct"/>
                  <w:vMerge w:val="continue"/>
                  <w:tcBorders>
                    <w:tl2br w:val="nil"/>
                    <w:tr2bl w:val="nil"/>
                  </w:tcBorders>
                  <w:vAlign w:val="center"/>
                </w:tcPr>
                <w:p w14:paraId="1D95240A">
                  <w:pPr>
                    <w:widowControl/>
                    <w:jc w:val="center"/>
                    <w:textAlignment w:val="center"/>
                    <w:rPr>
                      <w:rFonts w:hint="default" w:ascii="Times New Roman" w:hAnsi="Times New Roman" w:eastAsia="宋体" w:cs="Times New Roman"/>
                      <w:color w:val="auto"/>
                      <w:kern w:val="0"/>
                      <w:szCs w:val="21"/>
                      <w:lang w:bidi="ar"/>
                    </w:rPr>
                  </w:pPr>
                </w:p>
              </w:tc>
              <w:tc>
                <w:tcPr>
                  <w:tcW w:w="613" w:type="pct"/>
                  <w:tcBorders>
                    <w:tl2br w:val="nil"/>
                    <w:tr2bl w:val="nil"/>
                  </w:tcBorders>
                  <w:shd w:val="clear" w:color="auto" w:fill="auto"/>
                  <w:vAlign w:val="center"/>
                </w:tcPr>
                <w:p w14:paraId="71DA0F1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苯并[a]芘</w:t>
                  </w:r>
                </w:p>
              </w:tc>
              <w:tc>
                <w:tcPr>
                  <w:tcW w:w="553" w:type="pct"/>
                  <w:tcBorders>
                    <w:tl2br w:val="nil"/>
                    <w:tr2bl w:val="nil"/>
                  </w:tcBorders>
                  <w:vAlign w:val="center"/>
                </w:tcPr>
                <w:p w14:paraId="125108D3">
                  <w:pPr>
                    <w:widowControl/>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0.5h/次</w:t>
                  </w:r>
                </w:p>
              </w:tc>
              <w:tc>
                <w:tcPr>
                  <w:tcW w:w="443" w:type="pct"/>
                  <w:tcBorders>
                    <w:tl2br w:val="nil"/>
                    <w:tr2bl w:val="nil"/>
                  </w:tcBorders>
                  <w:vAlign w:val="center"/>
                </w:tcPr>
                <w:p w14:paraId="3E71FCF3">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1次/a</w:t>
                  </w:r>
                </w:p>
              </w:tc>
              <w:tc>
                <w:tcPr>
                  <w:tcW w:w="707" w:type="pct"/>
                  <w:tcBorders>
                    <w:tl2br w:val="nil"/>
                    <w:tr2bl w:val="nil"/>
                  </w:tcBorders>
                  <w:shd w:val="clear" w:color="auto" w:fill="auto"/>
                  <w:vAlign w:val="center"/>
                </w:tcPr>
                <w:p w14:paraId="5ABEAF3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1.53</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vertAlign w:val="superscript"/>
                      <w:lang w:val="en-US" w:eastAsia="zh-CN"/>
                    </w:rPr>
                    <w:t>6</w:t>
                  </w:r>
                </w:p>
              </w:tc>
              <w:tc>
                <w:tcPr>
                  <w:tcW w:w="730" w:type="pct"/>
                  <w:tcBorders>
                    <w:tl2br w:val="nil"/>
                    <w:tr2bl w:val="nil"/>
                  </w:tcBorders>
                  <w:shd w:val="clear" w:color="auto" w:fill="auto"/>
                  <w:vAlign w:val="center"/>
                </w:tcPr>
                <w:p w14:paraId="3E59DEF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4.26</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vertAlign w:val="superscript"/>
                      <w:lang w:val="en-US" w:eastAsia="zh-CN"/>
                    </w:rPr>
                    <w:t>7</w:t>
                  </w:r>
                </w:p>
              </w:tc>
              <w:tc>
                <w:tcPr>
                  <w:tcW w:w="367" w:type="pct"/>
                  <w:vMerge w:val="continue"/>
                  <w:tcBorders>
                    <w:tl2br w:val="nil"/>
                    <w:tr2bl w:val="nil"/>
                  </w:tcBorders>
                  <w:vAlign w:val="center"/>
                </w:tcPr>
                <w:p w14:paraId="3AA6CEFB">
                  <w:pPr>
                    <w:widowControl/>
                    <w:jc w:val="center"/>
                    <w:textAlignment w:val="center"/>
                    <w:rPr>
                      <w:rFonts w:hint="default" w:ascii="Times New Roman" w:hAnsi="Times New Roman" w:cs="Times New Roman"/>
                      <w:color w:val="auto"/>
                      <w:kern w:val="0"/>
                      <w:szCs w:val="21"/>
                      <w:lang w:bidi="ar"/>
                    </w:rPr>
                  </w:pPr>
                </w:p>
              </w:tc>
            </w:tr>
            <w:tr w14:paraId="32F4C1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pct"/>
                  <w:vMerge w:val="continue"/>
                  <w:tcBorders>
                    <w:tl2br w:val="nil"/>
                    <w:tr2bl w:val="nil"/>
                  </w:tcBorders>
                  <w:vAlign w:val="center"/>
                </w:tcPr>
                <w:p w14:paraId="0740AF6E">
                  <w:pPr>
                    <w:widowControl/>
                    <w:jc w:val="center"/>
                    <w:textAlignment w:val="center"/>
                    <w:rPr>
                      <w:rFonts w:hint="default" w:ascii="Times New Roman" w:hAnsi="Times New Roman" w:eastAsia="宋体" w:cs="Times New Roman"/>
                      <w:color w:val="auto"/>
                      <w:kern w:val="0"/>
                      <w:szCs w:val="21"/>
                      <w:lang w:bidi="ar"/>
                    </w:rPr>
                  </w:pPr>
                </w:p>
              </w:tc>
              <w:tc>
                <w:tcPr>
                  <w:tcW w:w="378" w:type="pct"/>
                  <w:vMerge w:val="continue"/>
                  <w:tcBorders>
                    <w:tl2br w:val="nil"/>
                    <w:tr2bl w:val="nil"/>
                  </w:tcBorders>
                  <w:vAlign w:val="center"/>
                </w:tcPr>
                <w:p w14:paraId="62B45A9F">
                  <w:pPr>
                    <w:widowControl/>
                    <w:jc w:val="center"/>
                    <w:textAlignment w:val="center"/>
                    <w:rPr>
                      <w:rFonts w:hint="default" w:ascii="Times New Roman" w:hAnsi="Times New Roman" w:eastAsia="宋体" w:cs="Times New Roman"/>
                      <w:color w:val="auto"/>
                      <w:kern w:val="0"/>
                      <w:szCs w:val="21"/>
                      <w:lang w:bidi="ar"/>
                    </w:rPr>
                  </w:pPr>
                </w:p>
              </w:tc>
              <w:tc>
                <w:tcPr>
                  <w:tcW w:w="613" w:type="pct"/>
                  <w:tcBorders>
                    <w:tl2br w:val="nil"/>
                    <w:tr2bl w:val="nil"/>
                  </w:tcBorders>
                  <w:shd w:val="clear" w:color="auto" w:fill="auto"/>
                  <w:vAlign w:val="center"/>
                </w:tcPr>
                <w:p w14:paraId="4B13F6B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VOC</w:t>
                  </w:r>
                  <w:r>
                    <w:rPr>
                      <w:rFonts w:hint="default" w:ascii="Times New Roman" w:hAnsi="Times New Roman" w:eastAsia="宋体" w:cs="Times New Roman"/>
                      <w:i w:val="0"/>
                      <w:iCs w:val="0"/>
                      <w:color w:val="auto"/>
                      <w:kern w:val="0"/>
                      <w:sz w:val="21"/>
                      <w:szCs w:val="21"/>
                      <w:u w:val="none"/>
                      <w:vertAlign w:val="subscript"/>
                      <w:lang w:val="en-US" w:eastAsia="zh-CN" w:bidi="ar"/>
                    </w:rPr>
                    <w:t>S</w:t>
                  </w:r>
                  <w:r>
                    <w:rPr>
                      <w:rFonts w:hint="default" w:ascii="Times New Roman" w:hAnsi="Times New Roman" w:cs="Times New Roman"/>
                      <w:color w:val="auto"/>
                      <w:lang w:val="en-US" w:eastAsia="zh-CN"/>
                    </w:rPr>
                    <w:t>（以非甲烷总烃计）</w:t>
                  </w:r>
                </w:p>
              </w:tc>
              <w:tc>
                <w:tcPr>
                  <w:tcW w:w="553" w:type="pct"/>
                  <w:tcBorders>
                    <w:tl2br w:val="nil"/>
                    <w:tr2bl w:val="nil"/>
                  </w:tcBorders>
                  <w:vAlign w:val="center"/>
                </w:tcPr>
                <w:p w14:paraId="3FDD6735">
                  <w:pPr>
                    <w:widowControl/>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0.5h/次</w:t>
                  </w:r>
                </w:p>
              </w:tc>
              <w:tc>
                <w:tcPr>
                  <w:tcW w:w="443" w:type="pct"/>
                  <w:tcBorders>
                    <w:tl2br w:val="nil"/>
                    <w:tr2bl w:val="nil"/>
                  </w:tcBorders>
                  <w:vAlign w:val="center"/>
                </w:tcPr>
                <w:p w14:paraId="719CA0A3">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1次/a</w:t>
                  </w:r>
                </w:p>
              </w:tc>
              <w:tc>
                <w:tcPr>
                  <w:tcW w:w="707" w:type="pct"/>
                  <w:tcBorders>
                    <w:tl2br w:val="nil"/>
                    <w:tr2bl w:val="nil"/>
                  </w:tcBorders>
                  <w:shd w:val="clear" w:color="auto" w:fill="auto"/>
                  <w:vAlign w:val="center"/>
                </w:tcPr>
                <w:p w14:paraId="66FFCD9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0.0538</w:t>
                  </w:r>
                </w:p>
              </w:tc>
              <w:tc>
                <w:tcPr>
                  <w:tcW w:w="730" w:type="pct"/>
                  <w:tcBorders>
                    <w:tl2br w:val="nil"/>
                    <w:tr2bl w:val="nil"/>
                  </w:tcBorders>
                  <w:shd w:val="clear" w:color="auto" w:fill="auto"/>
                  <w:vAlign w:val="center"/>
                </w:tcPr>
                <w:p w14:paraId="754FD77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0.0149</w:t>
                  </w:r>
                </w:p>
              </w:tc>
              <w:tc>
                <w:tcPr>
                  <w:tcW w:w="367" w:type="pct"/>
                  <w:vMerge w:val="continue"/>
                  <w:tcBorders>
                    <w:tl2br w:val="nil"/>
                    <w:tr2bl w:val="nil"/>
                  </w:tcBorders>
                  <w:vAlign w:val="center"/>
                </w:tcPr>
                <w:p w14:paraId="6DB4DAE7">
                  <w:pPr>
                    <w:widowControl/>
                    <w:jc w:val="center"/>
                    <w:textAlignment w:val="center"/>
                    <w:rPr>
                      <w:rFonts w:hint="default" w:ascii="Times New Roman" w:hAnsi="Times New Roman" w:cs="Times New Roman"/>
                      <w:color w:val="auto"/>
                      <w:kern w:val="0"/>
                      <w:szCs w:val="21"/>
                      <w:lang w:bidi="ar"/>
                    </w:rPr>
                  </w:pPr>
                </w:p>
              </w:tc>
            </w:tr>
            <w:tr w14:paraId="7E853E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pct"/>
                  <w:tcBorders>
                    <w:tl2br w:val="nil"/>
                    <w:tr2bl w:val="nil"/>
                  </w:tcBorders>
                  <w:shd w:val="clear" w:color="auto" w:fill="auto"/>
                  <w:vAlign w:val="center"/>
                </w:tcPr>
                <w:p w14:paraId="652B49E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骨料烘干</w:t>
                  </w:r>
                  <w:r>
                    <w:rPr>
                      <w:rFonts w:hint="default" w:ascii="Times New Roman" w:hAnsi="Times New Roman" w:cs="Times New Roman"/>
                      <w:color w:val="auto"/>
                      <w:szCs w:val="21"/>
                      <w:lang w:val="en-US" w:eastAsia="zh-CN"/>
                    </w:rPr>
                    <w:t>粉尘</w:t>
                  </w:r>
                </w:p>
              </w:tc>
              <w:tc>
                <w:tcPr>
                  <w:tcW w:w="378" w:type="pct"/>
                  <w:vMerge w:val="continue"/>
                  <w:tcBorders>
                    <w:tl2br w:val="nil"/>
                    <w:tr2bl w:val="nil"/>
                  </w:tcBorders>
                  <w:vAlign w:val="center"/>
                </w:tcPr>
                <w:p w14:paraId="67B6B670">
                  <w:pPr>
                    <w:widowControl/>
                    <w:jc w:val="center"/>
                    <w:textAlignment w:val="center"/>
                    <w:rPr>
                      <w:rFonts w:hint="default" w:ascii="Times New Roman" w:hAnsi="Times New Roman" w:eastAsia="宋体" w:cs="Times New Roman"/>
                      <w:color w:val="auto"/>
                      <w:kern w:val="0"/>
                      <w:szCs w:val="21"/>
                      <w:lang w:bidi="ar"/>
                    </w:rPr>
                  </w:pPr>
                </w:p>
              </w:tc>
              <w:tc>
                <w:tcPr>
                  <w:tcW w:w="613" w:type="pct"/>
                  <w:tcBorders>
                    <w:tl2br w:val="nil"/>
                    <w:tr2bl w:val="nil"/>
                  </w:tcBorders>
                  <w:shd w:val="clear" w:color="auto" w:fill="auto"/>
                  <w:vAlign w:val="center"/>
                </w:tcPr>
                <w:p w14:paraId="0559462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颗粒物</w:t>
                  </w:r>
                </w:p>
              </w:tc>
              <w:tc>
                <w:tcPr>
                  <w:tcW w:w="553" w:type="pct"/>
                  <w:tcBorders>
                    <w:tl2br w:val="nil"/>
                    <w:tr2bl w:val="nil"/>
                  </w:tcBorders>
                  <w:vAlign w:val="center"/>
                </w:tcPr>
                <w:p w14:paraId="1830B5EA">
                  <w:pPr>
                    <w:widowControl/>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0.5h/次</w:t>
                  </w:r>
                </w:p>
              </w:tc>
              <w:tc>
                <w:tcPr>
                  <w:tcW w:w="443" w:type="pct"/>
                  <w:tcBorders>
                    <w:tl2br w:val="nil"/>
                    <w:tr2bl w:val="nil"/>
                  </w:tcBorders>
                  <w:vAlign w:val="center"/>
                </w:tcPr>
                <w:p w14:paraId="2D85F563">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1次/a</w:t>
                  </w:r>
                </w:p>
              </w:tc>
              <w:tc>
                <w:tcPr>
                  <w:tcW w:w="707" w:type="pct"/>
                  <w:tcBorders>
                    <w:tl2br w:val="nil"/>
                    <w:tr2bl w:val="nil"/>
                  </w:tcBorders>
                  <w:shd w:val="clear" w:color="auto" w:fill="auto"/>
                  <w:vAlign w:val="center"/>
                </w:tcPr>
                <w:p w14:paraId="4803F15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23</w:t>
                  </w:r>
                </w:p>
              </w:tc>
              <w:tc>
                <w:tcPr>
                  <w:tcW w:w="730" w:type="pct"/>
                  <w:tcBorders>
                    <w:tl2br w:val="nil"/>
                    <w:tr2bl w:val="nil"/>
                  </w:tcBorders>
                  <w:shd w:val="clear" w:color="auto" w:fill="auto"/>
                  <w:vAlign w:val="center"/>
                </w:tcPr>
                <w:p w14:paraId="4095882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25.5556</w:t>
                  </w:r>
                </w:p>
              </w:tc>
              <w:tc>
                <w:tcPr>
                  <w:tcW w:w="367" w:type="pct"/>
                  <w:vMerge w:val="continue"/>
                  <w:tcBorders>
                    <w:tl2br w:val="nil"/>
                    <w:tr2bl w:val="nil"/>
                  </w:tcBorders>
                  <w:vAlign w:val="center"/>
                </w:tcPr>
                <w:p w14:paraId="2E71D9BD">
                  <w:pPr>
                    <w:widowControl/>
                    <w:jc w:val="center"/>
                    <w:textAlignment w:val="center"/>
                    <w:rPr>
                      <w:rFonts w:hint="default" w:ascii="Times New Roman" w:hAnsi="Times New Roman" w:cs="Times New Roman"/>
                      <w:color w:val="auto"/>
                      <w:kern w:val="0"/>
                      <w:szCs w:val="21"/>
                      <w:lang w:bidi="ar"/>
                    </w:rPr>
                  </w:pPr>
                </w:p>
              </w:tc>
            </w:tr>
            <w:tr w14:paraId="31452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pct"/>
                  <w:tcBorders>
                    <w:tl2br w:val="nil"/>
                    <w:tr2bl w:val="nil"/>
                  </w:tcBorders>
                  <w:shd w:val="clear" w:color="auto" w:fill="auto"/>
                  <w:vAlign w:val="center"/>
                </w:tcPr>
                <w:p w14:paraId="67D00D3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骨料筛分</w:t>
                  </w:r>
                  <w:r>
                    <w:rPr>
                      <w:rFonts w:hint="default" w:ascii="Times New Roman" w:hAnsi="Times New Roman" w:cs="Times New Roman"/>
                      <w:color w:val="auto"/>
                      <w:szCs w:val="21"/>
                      <w:lang w:val="en-US" w:eastAsia="zh-CN"/>
                    </w:rPr>
                    <w:t>粉尘</w:t>
                  </w:r>
                </w:p>
              </w:tc>
              <w:tc>
                <w:tcPr>
                  <w:tcW w:w="378" w:type="pct"/>
                  <w:vMerge w:val="continue"/>
                  <w:tcBorders>
                    <w:tl2br w:val="nil"/>
                    <w:tr2bl w:val="nil"/>
                  </w:tcBorders>
                  <w:vAlign w:val="center"/>
                </w:tcPr>
                <w:p w14:paraId="1855537F">
                  <w:pPr>
                    <w:widowControl/>
                    <w:jc w:val="center"/>
                    <w:textAlignment w:val="center"/>
                    <w:rPr>
                      <w:rFonts w:hint="default" w:ascii="Times New Roman" w:hAnsi="Times New Roman" w:eastAsia="宋体" w:cs="Times New Roman"/>
                      <w:color w:val="auto"/>
                      <w:kern w:val="0"/>
                      <w:szCs w:val="21"/>
                      <w:lang w:bidi="ar"/>
                    </w:rPr>
                  </w:pPr>
                </w:p>
              </w:tc>
              <w:tc>
                <w:tcPr>
                  <w:tcW w:w="613" w:type="pct"/>
                  <w:tcBorders>
                    <w:tl2br w:val="nil"/>
                    <w:tr2bl w:val="nil"/>
                  </w:tcBorders>
                  <w:shd w:val="clear" w:color="auto" w:fill="auto"/>
                  <w:vAlign w:val="center"/>
                </w:tcPr>
                <w:p w14:paraId="7C73CD1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颗粒物</w:t>
                  </w:r>
                </w:p>
              </w:tc>
              <w:tc>
                <w:tcPr>
                  <w:tcW w:w="553" w:type="pct"/>
                  <w:tcBorders>
                    <w:tl2br w:val="nil"/>
                    <w:tr2bl w:val="nil"/>
                  </w:tcBorders>
                  <w:vAlign w:val="center"/>
                </w:tcPr>
                <w:p w14:paraId="5650622A">
                  <w:pPr>
                    <w:widowControl/>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0.5h/次</w:t>
                  </w:r>
                </w:p>
              </w:tc>
              <w:tc>
                <w:tcPr>
                  <w:tcW w:w="443" w:type="pct"/>
                  <w:tcBorders>
                    <w:tl2br w:val="nil"/>
                    <w:tr2bl w:val="nil"/>
                  </w:tcBorders>
                  <w:vAlign w:val="center"/>
                </w:tcPr>
                <w:p w14:paraId="1DA9BE1A">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1次/a</w:t>
                  </w:r>
                </w:p>
              </w:tc>
              <w:tc>
                <w:tcPr>
                  <w:tcW w:w="707" w:type="pct"/>
                  <w:tcBorders>
                    <w:tl2br w:val="nil"/>
                    <w:tr2bl w:val="nil"/>
                  </w:tcBorders>
                  <w:shd w:val="clear" w:color="auto" w:fill="auto"/>
                  <w:vAlign w:val="center"/>
                </w:tcPr>
                <w:p w14:paraId="2E0C07F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5.75</w:t>
                  </w:r>
                </w:p>
              </w:tc>
              <w:tc>
                <w:tcPr>
                  <w:tcW w:w="730" w:type="pct"/>
                  <w:tcBorders>
                    <w:tl2br w:val="nil"/>
                    <w:tr2bl w:val="nil"/>
                  </w:tcBorders>
                  <w:shd w:val="clear" w:color="auto" w:fill="auto"/>
                  <w:vAlign w:val="center"/>
                </w:tcPr>
                <w:p w14:paraId="709A65D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6.3889</w:t>
                  </w:r>
                </w:p>
              </w:tc>
              <w:tc>
                <w:tcPr>
                  <w:tcW w:w="367" w:type="pct"/>
                  <w:vMerge w:val="continue"/>
                  <w:tcBorders>
                    <w:tl2br w:val="nil"/>
                    <w:tr2bl w:val="nil"/>
                  </w:tcBorders>
                  <w:vAlign w:val="center"/>
                </w:tcPr>
                <w:p w14:paraId="5D154AFA">
                  <w:pPr>
                    <w:widowControl/>
                    <w:jc w:val="center"/>
                    <w:textAlignment w:val="center"/>
                    <w:rPr>
                      <w:rFonts w:hint="default" w:ascii="Times New Roman" w:hAnsi="Times New Roman" w:cs="Times New Roman"/>
                      <w:color w:val="auto"/>
                      <w:kern w:val="0"/>
                      <w:szCs w:val="21"/>
                      <w:lang w:bidi="ar"/>
                    </w:rPr>
                  </w:pPr>
                </w:p>
              </w:tc>
            </w:tr>
            <w:tr w14:paraId="100DA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06" w:type="pct"/>
                  <w:vMerge w:val="restart"/>
                  <w:tcBorders>
                    <w:tl2br w:val="nil"/>
                    <w:tr2bl w:val="nil"/>
                  </w:tcBorders>
                  <w:vAlign w:val="center"/>
                </w:tcPr>
                <w:p w14:paraId="7F447DBC">
                  <w:pPr>
                    <w:widowControl/>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cs="Times New Roman"/>
                      <w:color w:val="auto"/>
                      <w:szCs w:val="21"/>
                      <w:lang w:val="en-US" w:eastAsia="zh-CN"/>
                    </w:rPr>
                    <w:t>燃烧废气</w:t>
                  </w:r>
                </w:p>
              </w:tc>
              <w:tc>
                <w:tcPr>
                  <w:tcW w:w="378" w:type="pct"/>
                  <w:vMerge w:val="continue"/>
                  <w:tcBorders>
                    <w:tl2br w:val="nil"/>
                    <w:tr2bl w:val="nil"/>
                  </w:tcBorders>
                  <w:vAlign w:val="center"/>
                </w:tcPr>
                <w:p w14:paraId="17A84E7F">
                  <w:pPr>
                    <w:widowControl/>
                    <w:jc w:val="center"/>
                    <w:textAlignment w:val="center"/>
                    <w:rPr>
                      <w:rFonts w:hint="default" w:ascii="Times New Roman" w:hAnsi="Times New Roman" w:eastAsia="宋体" w:cs="Times New Roman"/>
                      <w:color w:val="auto"/>
                      <w:kern w:val="0"/>
                      <w:szCs w:val="21"/>
                      <w:lang w:bidi="ar"/>
                    </w:rPr>
                  </w:pPr>
                </w:p>
              </w:tc>
              <w:tc>
                <w:tcPr>
                  <w:tcW w:w="613" w:type="pct"/>
                  <w:tcBorders>
                    <w:tl2br w:val="nil"/>
                    <w:tr2bl w:val="nil"/>
                  </w:tcBorders>
                  <w:vAlign w:val="center"/>
                </w:tcPr>
                <w:p w14:paraId="0EA33BDA">
                  <w:pPr>
                    <w:widowControl/>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kern w:val="0"/>
                      <w:szCs w:val="21"/>
                      <w:lang w:val="en-US" w:eastAsia="zh-CN" w:bidi="ar"/>
                    </w:rPr>
                    <w:t>SO</w:t>
                  </w:r>
                  <w:r>
                    <w:rPr>
                      <w:rFonts w:hint="default" w:ascii="Times New Roman" w:hAnsi="Times New Roman" w:eastAsia="宋体" w:cs="Times New Roman"/>
                      <w:color w:val="auto"/>
                      <w:kern w:val="0"/>
                      <w:szCs w:val="21"/>
                      <w:vertAlign w:val="subscript"/>
                      <w:lang w:val="en-US" w:eastAsia="zh-CN" w:bidi="ar"/>
                    </w:rPr>
                    <w:t>2</w:t>
                  </w:r>
                </w:p>
              </w:tc>
              <w:tc>
                <w:tcPr>
                  <w:tcW w:w="553" w:type="pct"/>
                  <w:tcBorders>
                    <w:tl2br w:val="nil"/>
                    <w:tr2bl w:val="nil"/>
                  </w:tcBorders>
                  <w:vAlign w:val="center"/>
                </w:tcPr>
                <w:p w14:paraId="100555C5">
                  <w:pPr>
                    <w:widowControl/>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0.5h/次</w:t>
                  </w:r>
                </w:p>
              </w:tc>
              <w:tc>
                <w:tcPr>
                  <w:tcW w:w="443" w:type="pct"/>
                  <w:tcBorders>
                    <w:tl2br w:val="nil"/>
                    <w:tr2bl w:val="nil"/>
                  </w:tcBorders>
                  <w:vAlign w:val="center"/>
                </w:tcPr>
                <w:p w14:paraId="37298382">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1次/a</w:t>
                  </w:r>
                </w:p>
              </w:tc>
              <w:tc>
                <w:tcPr>
                  <w:tcW w:w="707" w:type="pct"/>
                  <w:tcBorders>
                    <w:tl2br w:val="nil"/>
                    <w:tr2bl w:val="nil"/>
                  </w:tcBorders>
                  <w:shd w:val="clear" w:color="auto" w:fill="auto"/>
                  <w:vAlign w:val="center"/>
                </w:tcPr>
                <w:p w14:paraId="3A999E13">
                  <w:pPr>
                    <w:pStyle w:val="25"/>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0.1520</w:t>
                  </w:r>
                </w:p>
              </w:tc>
              <w:tc>
                <w:tcPr>
                  <w:tcW w:w="730" w:type="pct"/>
                  <w:tcBorders>
                    <w:tl2br w:val="nil"/>
                    <w:tr2bl w:val="nil"/>
                  </w:tcBorders>
                  <w:shd w:val="clear" w:color="auto" w:fill="auto"/>
                  <w:vAlign w:val="center"/>
                </w:tcPr>
                <w:p w14:paraId="7C781E96">
                  <w:pPr>
                    <w:pStyle w:val="25"/>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0.1689</w:t>
                  </w:r>
                </w:p>
              </w:tc>
              <w:tc>
                <w:tcPr>
                  <w:tcW w:w="367" w:type="pct"/>
                  <w:vMerge w:val="continue"/>
                  <w:tcBorders>
                    <w:tl2br w:val="nil"/>
                    <w:tr2bl w:val="nil"/>
                  </w:tcBorders>
                  <w:vAlign w:val="center"/>
                </w:tcPr>
                <w:p w14:paraId="26610DE3">
                  <w:pPr>
                    <w:widowControl/>
                    <w:jc w:val="center"/>
                    <w:textAlignment w:val="center"/>
                    <w:rPr>
                      <w:rFonts w:hint="default" w:ascii="Times New Roman" w:hAnsi="Times New Roman" w:cs="Times New Roman"/>
                      <w:color w:val="auto"/>
                      <w:kern w:val="0"/>
                      <w:szCs w:val="21"/>
                      <w:lang w:bidi="ar"/>
                    </w:rPr>
                  </w:pPr>
                </w:p>
              </w:tc>
            </w:tr>
            <w:tr w14:paraId="3CF74C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206" w:type="pct"/>
                  <w:vMerge w:val="continue"/>
                  <w:tcBorders>
                    <w:tl2br w:val="nil"/>
                    <w:tr2bl w:val="nil"/>
                  </w:tcBorders>
                  <w:vAlign w:val="center"/>
                </w:tcPr>
                <w:p w14:paraId="22F4DC2B">
                  <w:pPr>
                    <w:widowControl/>
                    <w:jc w:val="center"/>
                    <w:textAlignment w:val="center"/>
                    <w:rPr>
                      <w:rFonts w:hint="default" w:ascii="Times New Roman" w:hAnsi="Times New Roman" w:eastAsia="宋体" w:cs="Times New Roman"/>
                      <w:color w:val="auto"/>
                      <w:kern w:val="0"/>
                      <w:szCs w:val="21"/>
                      <w:lang w:bidi="ar"/>
                    </w:rPr>
                  </w:pPr>
                </w:p>
              </w:tc>
              <w:tc>
                <w:tcPr>
                  <w:tcW w:w="378" w:type="pct"/>
                  <w:vMerge w:val="continue"/>
                  <w:tcBorders>
                    <w:tl2br w:val="nil"/>
                    <w:tr2bl w:val="nil"/>
                  </w:tcBorders>
                  <w:vAlign w:val="center"/>
                </w:tcPr>
                <w:p w14:paraId="3A301576">
                  <w:pPr>
                    <w:widowControl/>
                    <w:jc w:val="center"/>
                    <w:textAlignment w:val="center"/>
                    <w:rPr>
                      <w:rFonts w:hint="default" w:ascii="Times New Roman" w:hAnsi="Times New Roman" w:eastAsia="宋体" w:cs="Times New Roman"/>
                      <w:color w:val="auto"/>
                      <w:kern w:val="0"/>
                      <w:szCs w:val="21"/>
                      <w:lang w:bidi="ar"/>
                    </w:rPr>
                  </w:pPr>
                </w:p>
              </w:tc>
              <w:tc>
                <w:tcPr>
                  <w:tcW w:w="613" w:type="pct"/>
                  <w:tcBorders>
                    <w:tl2br w:val="nil"/>
                    <w:tr2bl w:val="nil"/>
                  </w:tcBorders>
                  <w:vAlign w:val="center"/>
                </w:tcPr>
                <w:p w14:paraId="07D20242">
                  <w:pPr>
                    <w:widowControl/>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kern w:val="0"/>
                      <w:szCs w:val="21"/>
                      <w:lang w:val="en-US" w:eastAsia="zh-CN" w:bidi="ar"/>
                    </w:rPr>
                    <w:t>颗粒物</w:t>
                  </w:r>
                </w:p>
              </w:tc>
              <w:tc>
                <w:tcPr>
                  <w:tcW w:w="553" w:type="pct"/>
                  <w:tcBorders>
                    <w:tl2br w:val="nil"/>
                    <w:tr2bl w:val="nil"/>
                  </w:tcBorders>
                  <w:vAlign w:val="center"/>
                </w:tcPr>
                <w:p w14:paraId="615F79EC">
                  <w:pPr>
                    <w:widowControl/>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0.5h/次</w:t>
                  </w:r>
                </w:p>
              </w:tc>
              <w:tc>
                <w:tcPr>
                  <w:tcW w:w="443" w:type="pct"/>
                  <w:tcBorders>
                    <w:tl2br w:val="nil"/>
                    <w:tr2bl w:val="nil"/>
                  </w:tcBorders>
                  <w:vAlign w:val="center"/>
                </w:tcPr>
                <w:p w14:paraId="4182231B">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1次/a</w:t>
                  </w:r>
                </w:p>
              </w:tc>
              <w:tc>
                <w:tcPr>
                  <w:tcW w:w="707" w:type="pct"/>
                  <w:tcBorders>
                    <w:tl2br w:val="nil"/>
                    <w:tr2bl w:val="nil"/>
                  </w:tcBorders>
                  <w:shd w:val="clear" w:color="auto" w:fill="auto"/>
                  <w:vAlign w:val="center"/>
                </w:tcPr>
                <w:p w14:paraId="70EE7F97">
                  <w:pPr>
                    <w:pStyle w:val="25"/>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0.0520</w:t>
                  </w:r>
                </w:p>
              </w:tc>
              <w:tc>
                <w:tcPr>
                  <w:tcW w:w="730" w:type="pct"/>
                  <w:tcBorders>
                    <w:tl2br w:val="nil"/>
                    <w:tr2bl w:val="nil"/>
                  </w:tcBorders>
                  <w:shd w:val="clear" w:color="auto" w:fill="auto"/>
                  <w:vAlign w:val="center"/>
                </w:tcPr>
                <w:p w14:paraId="476C6A6F">
                  <w:pPr>
                    <w:pStyle w:val="25"/>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0.0578</w:t>
                  </w:r>
                </w:p>
              </w:tc>
              <w:tc>
                <w:tcPr>
                  <w:tcW w:w="367" w:type="pct"/>
                  <w:vMerge w:val="continue"/>
                  <w:tcBorders>
                    <w:tl2br w:val="nil"/>
                    <w:tr2bl w:val="nil"/>
                  </w:tcBorders>
                  <w:vAlign w:val="center"/>
                </w:tcPr>
                <w:p w14:paraId="55A63F2C">
                  <w:pPr>
                    <w:widowControl/>
                    <w:jc w:val="center"/>
                    <w:textAlignment w:val="center"/>
                    <w:rPr>
                      <w:rFonts w:hint="default" w:ascii="Times New Roman" w:hAnsi="Times New Roman" w:cs="Times New Roman"/>
                      <w:color w:val="auto"/>
                      <w:kern w:val="0"/>
                      <w:szCs w:val="21"/>
                      <w:lang w:bidi="ar"/>
                    </w:rPr>
                  </w:pPr>
                </w:p>
              </w:tc>
            </w:tr>
            <w:tr w14:paraId="58DE7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pct"/>
                  <w:vMerge w:val="continue"/>
                  <w:tcBorders>
                    <w:tl2br w:val="nil"/>
                    <w:tr2bl w:val="nil"/>
                  </w:tcBorders>
                  <w:vAlign w:val="center"/>
                </w:tcPr>
                <w:p w14:paraId="22617DB0">
                  <w:pPr>
                    <w:widowControl/>
                    <w:jc w:val="center"/>
                    <w:textAlignment w:val="center"/>
                    <w:rPr>
                      <w:rFonts w:hint="default" w:ascii="Times New Roman" w:hAnsi="Times New Roman" w:eastAsia="宋体" w:cs="Times New Roman"/>
                      <w:color w:val="auto"/>
                      <w:kern w:val="0"/>
                      <w:szCs w:val="21"/>
                      <w:lang w:bidi="ar"/>
                    </w:rPr>
                  </w:pPr>
                </w:p>
              </w:tc>
              <w:tc>
                <w:tcPr>
                  <w:tcW w:w="378" w:type="pct"/>
                  <w:vMerge w:val="continue"/>
                  <w:tcBorders>
                    <w:tl2br w:val="nil"/>
                    <w:tr2bl w:val="nil"/>
                  </w:tcBorders>
                  <w:vAlign w:val="center"/>
                </w:tcPr>
                <w:p w14:paraId="7C347834">
                  <w:pPr>
                    <w:widowControl/>
                    <w:jc w:val="center"/>
                    <w:textAlignment w:val="center"/>
                    <w:rPr>
                      <w:rFonts w:hint="default" w:ascii="Times New Roman" w:hAnsi="Times New Roman" w:eastAsia="宋体" w:cs="Times New Roman"/>
                      <w:color w:val="auto"/>
                      <w:kern w:val="0"/>
                      <w:szCs w:val="21"/>
                      <w:lang w:bidi="ar"/>
                    </w:rPr>
                  </w:pPr>
                </w:p>
              </w:tc>
              <w:tc>
                <w:tcPr>
                  <w:tcW w:w="613" w:type="pct"/>
                  <w:tcBorders>
                    <w:tl2br w:val="nil"/>
                    <w:tr2bl w:val="nil"/>
                  </w:tcBorders>
                  <w:vAlign w:val="center"/>
                </w:tcPr>
                <w:p w14:paraId="5C8E22BC">
                  <w:pPr>
                    <w:widowControl/>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kern w:val="0"/>
                      <w:szCs w:val="21"/>
                      <w:lang w:val="en-US" w:eastAsia="zh-CN" w:bidi="ar"/>
                    </w:rPr>
                    <w:t>NOx</w:t>
                  </w:r>
                </w:p>
              </w:tc>
              <w:tc>
                <w:tcPr>
                  <w:tcW w:w="553" w:type="pct"/>
                  <w:tcBorders>
                    <w:tl2br w:val="nil"/>
                    <w:tr2bl w:val="nil"/>
                  </w:tcBorders>
                  <w:vAlign w:val="center"/>
                </w:tcPr>
                <w:p w14:paraId="16D76636">
                  <w:pPr>
                    <w:widowControl/>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0.5h/次</w:t>
                  </w:r>
                </w:p>
              </w:tc>
              <w:tc>
                <w:tcPr>
                  <w:tcW w:w="443" w:type="pct"/>
                  <w:tcBorders>
                    <w:tl2br w:val="nil"/>
                    <w:tr2bl w:val="nil"/>
                  </w:tcBorders>
                  <w:vAlign w:val="center"/>
                </w:tcPr>
                <w:p w14:paraId="2EA27926">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1次/a</w:t>
                  </w:r>
                </w:p>
              </w:tc>
              <w:tc>
                <w:tcPr>
                  <w:tcW w:w="707" w:type="pct"/>
                  <w:tcBorders>
                    <w:tl2br w:val="nil"/>
                    <w:tr2bl w:val="nil"/>
                  </w:tcBorders>
                  <w:shd w:val="clear" w:color="auto" w:fill="auto"/>
                  <w:vAlign w:val="center"/>
                </w:tcPr>
                <w:p w14:paraId="1FA6D2A6">
                  <w:pPr>
                    <w:pStyle w:val="25"/>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0.3680</w:t>
                  </w:r>
                </w:p>
              </w:tc>
              <w:tc>
                <w:tcPr>
                  <w:tcW w:w="730" w:type="pct"/>
                  <w:tcBorders>
                    <w:tl2br w:val="nil"/>
                    <w:tr2bl w:val="nil"/>
                  </w:tcBorders>
                  <w:shd w:val="clear" w:color="auto" w:fill="auto"/>
                  <w:vAlign w:val="center"/>
                </w:tcPr>
                <w:p w14:paraId="5A13F286">
                  <w:pPr>
                    <w:pStyle w:val="25"/>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0.4089</w:t>
                  </w:r>
                </w:p>
              </w:tc>
              <w:tc>
                <w:tcPr>
                  <w:tcW w:w="367" w:type="pct"/>
                  <w:vMerge w:val="continue"/>
                  <w:tcBorders>
                    <w:tl2br w:val="nil"/>
                    <w:tr2bl w:val="nil"/>
                  </w:tcBorders>
                  <w:vAlign w:val="center"/>
                </w:tcPr>
                <w:p w14:paraId="7E8451A9">
                  <w:pPr>
                    <w:widowControl/>
                    <w:jc w:val="center"/>
                    <w:textAlignment w:val="center"/>
                    <w:rPr>
                      <w:rFonts w:hint="default" w:ascii="Times New Roman" w:hAnsi="Times New Roman" w:cs="Times New Roman"/>
                      <w:color w:val="auto"/>
                      <w:kern w:val="0"/>
                      <w:szCs w:val="21"/>
                      <w:lang w:bidi="ar"/>
                    </w:rPr>
                  </w:pPr>
                </w:p>
              </w:tc>
            </w:tr>
            <w:tr w14:paraId="28ACC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206" w:type="pct"/>
                  <w:tcBorders>
                    <w:tl2br w:val="nil"/>
                    <w:tr2bl w:val="nil"/>
                  </w:tcBorders>
                  <w:shd w:val="clear" w:color="auto" w:fill="auto"/>
                  <w:vAlign w:val="center"/>
                </w:tcPr>
                <w:p w14:paraId="390E23A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堆场扬尘</w:t>
                  </w:r>
                </w:p>
              </w:tc>
              <w:tc>
                <w:tcPr>
                  <w:tcW w:w="378" w:type="pct"/>
                  <w:vMerge w:val="continue"/>
                  <w:tcBorders>
                    <w:tl2br w:val="nil"/>
                    <w:tr2bl w:val="nil"/>
                  </w:tcBorders>
                  <w:vAlign w:val="center"/>
                </w:tcPr>
                <w:p w14:paraId="00FA2E8B">
                  <w:pPr>
                    <w:widowControl/>
                    <w:jc w:val="center"/>
                    <w:textAlignment w:val="center"/>
                    <w:rPr>
                      <w:rFonts w:hint="default" w:ascii="Times New Roman" w:hAnsi="Times New Roman" w:eastAsia="宋体" w:cs="Times New Roman"/>
                      <w:color w:val="auto"/>
                      <w:kern w:val="0"/>
                      <w:szCs w:val="21"/>
                      <w:lang w:bidi="ar"/>
                    </w:rPr>
                  </w:pPr>
                </w:p>
              </w:tc>
              <w:tc>
                <w:tcPr>
                  <w:tcW w:w="613" w:type="pct"/>
                  <w:tcBorders>
                    <w:tl2br w:val="nil"/>
                    <w:tr2bl w:val="nil"/>
                  </w:tcBorders>
                  <w:shd w:val="clear" w:color="auto" w:fill="auto"/>
                  <w:vAlign w:val="center"/>
                </w:tcPr>
                <w:p w14:paraId="26E9210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颗粒物</w:t>
                  </w:r>
                </w:p>
              </w:tc>
              <w:tc>
                <w:tcPr>
                  <w:tcW w:w="553" w:type="pct"/>
                  <w:tcBorders>
                    <w:tl2br w:val="nil"/>
                    <w:tr2bl w:val="nil"/>
                  </w:tcBorders>
                  <w:vAlign w:val="center"/>
                </w:tcPr>
                <w:p w14:paraId="00FA890A">
                  <w:pPr>
                    <w:widowControl/>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0.5h/次</w:t>
                  </w:r>
                </w:p>
              </w:tc>
              <w:tc>
                <w:tcPr>
                  <w:tcW w:w="443" w:type="pct"/>
                  <w:tcBorders>
                    <w:tl2br w:val="nil"/>
                    <w:tr2bl w:val="nil"/>
                  </w:tcBorders>
                  <w:vAlign w:val="center"/>
                </w:tcPr>
                <w:p w14:paraId="5544FC27">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1次/a</w:t>
                  </w:r>
                </w:p>
              </w:tc>
              <w:tc>
                <w:tcPr>
                  <w:tcW w:w="707" w:type="pct"/>
                  <w:tcBorders>
                    <w:tl2br w:val="nil"/>
                    <w:tr2bl w:val="nil"/>
                  </w:tcBorders>
                  <w:shd w:val="clear" w:color="auto" w:fill="auto"/>
                  <w:vAlign w:val="center"/>
                </w:tcPr>
                <w:p w14:paraId="05B76D2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2.8227</w:t>
                  </w:r>
                </w:p>
              </w:tc>
              <w:tc>
                <w:tcPr>
                  <w:tcW w:w="730" w:type="pct"/>
                  <w:tcBorders>
                    <w:tl2br w:val="nil"/>
                    <w:tr2bl w:val="nil"/>
                  </w:tcBorders>
                  <w:shd w:val="clear" w:color="auto" w:fill="auto"/>
                  <w:vAlign w:val="center"/>
                </w:tcPr>
                <w:p w14:paraId="0625270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0.7841</w:t>
                  </w:r>
                </w:p>
              </w:tc>
              <w:tc>
                <w:tcPr>
                  <w:tcW w:w="367" w:type="pct"/>
                  <w:vMerge w:val="continue"/>
                  <w:tcBorders>
                    <w:tl2br w:val="nil"/>
                    <w:tr2bl w:val="nil"/>
                  </w:tcBorders>
                  <w:vAlign w:val="center"/>
                </w:tcPr>
                <w:p w14:paraId="7042357D">
                  <w:pPr>
                    <w:widowControl/>
                    <w:jc w:val="center"/>
                    <w:textAlignment w:val="center"/>
                    <w:rPr>
                      <w:rFonts w:hint="default" w:ascii="Times New Roman" w:hAnsi="Times New Roman" w:cs="Times New Roman"/>
                      <w:color w:val="auto"/>
                      <w:kern w:val="0"/>
                      <w:szCs w:val="21"/>
                      <w:lang w:bidi="ar"/>
                    </w:rPr>
                  </w:pPr>
                </w:p>
              </w:tc>
            </w:tr>
            <w:tr w14:paraId="59A7AC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206" w:type="pct"/>
                  <w:tcBorders>
                    <w:tl2br w:val="nil"/>
                    <w:tr2bl w:val="nil"/>
                  </w:tcBorders>
                  <w:shd w:val="clear" w:color="auto" w:fill="auto"/>
                  <w:vAlign w:val="center"/>
                </w:tcPr>
                <w:p w14:paraId="0B7E2C1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卸料粉尘</w:t>
                  </w:r>
                </w:p>
              </w:tc>
              <w:tc>
                <w:tcPr>
                  <w:tcW w:w="378" w:type="pct"/>
                  <w:vMerge w:val="continue"/>
                  <w:tcBorders>
                    <w:tl2br w:val="nil"/>
                    <w:tr2bl w:val="nil"/>
                  </w:tcBorders>
                  <w:vAlign w:val="center"/>
                </w:tcPr>
                <w:p w14:paraId="30B9AA7B">
                  <w:pPr>
                    <w:widowControl/>
                    <w:jc w:val="center"/>
                    <w:textAlignment w:val="center"/>
                    <w:rPr>
                      <w:rFonts w:hint="default" w:ascii="Times New Roman" w:hAnsi="Times New Roman" w:eastAsia="宋体" w:cs="Times New Roman"/>
                      <w:color w:val="auto"/>
                      <w:kern w:val="0"/>
                      <w:szCs w:val="21"/>
                      <w:lang w:bidi="ar"/>
                    </w:rPr>
                  </w:pPr>
                </w:p>
              </w:tc>
              <w:tc>
                <w:tcPr>
                  <w:tcW w:w="613" w:type="pct"/>
                  <w:tcBorders>
                    <w:tl2br w:val="nil"/>
                    <w:tr2bl w:val="nil"/>
                  </w:tcBorders>
                  <w:shd w:val="clear" w:color="auto" w:fill="auto"/>
                  <w:vAlign w:val="center"/>
                </w:tcPr>
                <w:p w14:paraId="083BA19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颗粒物</w:t>
                  </w:r>
                </w:p>
              </w:tc>
              <w:tc>
                <w:tcPr>
                  <w:tcW w:w="553" w:type="pct"/>
                  <w:tcBorders>
                    <w:tl2br w:val="nil"/>
                    <w:tr2bl w:val="nil"/>
                  </w:tcBorders>
                  <w:vAlign w:val="center"/>
                </w:tcPr>
                <w:p w14:paraId="71D6D246">
                  <w:pPr>
                    <w:widowControl/>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0.5h/次</w:t>
                  </w:r>
                </w:p>
              </w:tc>
              <w:tc>
                <w:tcPr>
                  <w:tcW w:w="443" w:type="pct"/>
                  <w:tcBorders>
                    <w:tl2br w:val="nil"/>
                    <w:tr2bl w:val="nil"/>
                  </w:tcBorders>
                  <w:vAlign w:val="center"/>
                </w:tcPr>
                <w:p w14:paraId="577BFC38">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1次/a</w:t>
                  </w:r>
                </w:p>
              </w:tc>
              <w:tc>
                <w:tcPr>
                  <w:tcW w:w="707" w:type="pct"/>
                  <w:tcBorders>
                    <w:tl2br w:val="nil"/>
                    <w:tr2bl w:val="nil"/>
                  </w:tcBorders>
                  <w:shd w:val="clear" w:color="auto" w:fill="auto"/>
                  <w:vAlign w:val="center"/>
                </w:tcPr>
                <w:p w14:paraId="799AE82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0.0075</w:t>
                  </w:r>
                </w:p>
              </w:tc>
              <w:tc>
                <w:tcPr>
                  <w:tcW w:w="730" w:type="pct"/>
                  <w:tcBorders>
                    <w:tl2br w:val="nil"/>
                    <w:tr2bl w:val="nil"/>
                  </w:tcBorders>
                  <w:shd w:val="clear" w:color="auto" w:fill="auto"/>
                  <w:vAlign w:val="center"/>
                </w:tcPr>
                <w:p w14:paraId="4A80752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0.0084</w:t>
                  </w:r>
                </w:p>
              </w:tc>
              <w:tc>
                <w:tcPr>
                  <w:tcW w:w="367" w:type="pct"/>
                  <w:tcBorders>
                    <w:tl2br w:val="nil"/>
                    <w:tr2bl w:val="nil"/>
                  </w:tcBorders>
                  <w:vAlign w:val="center"/>
                </w:tcPr>
                <w:p w14:paraId="6CBAAFC8">
                  <w:pPr>
                    <w:widowControl/>
                    <w:jc w:val="center"/>
                    <w:textAlignment w:val="center"/>
                    <w:rPr>
                      <w:rFonts w:hint="default" w:ascii="Times New Roman" w:hAnsi="Times New Roman" w:cs="Times New Roman"/>
                      <w:color w:val="auto"/>
                      <w:kern w:val="0"/>
                      <w:szCs w:val="21"/>
                      <w:lang w:bidi="ar"/>
                    </w:rPr>
                  </w:pPr>
                </w:p>
              </w:tc>
            </w:tr>
            <w:tr w14:paraId="161ED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206" w:type="pct"/>
                  <w:tcBorders>
                    <w:tl2br w:val="nil"/>
                    <w:tr2bl w:val="nil"/>
                  </w:tcBorders>
                  <w:shd w:val="clear" w:color="auto" w:fill="auto"/>
                  <w:vAlign w:val="center"/>
                </w:tcPr>
                <w:p w14:paraId="226D370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运输扬尘</w:t>
                  </w:r>
                </w:p>
              </w:tc>
              <w:tc>
                <w:tcPr>
                  <w:tcW w:w="378" w:type="pct"/>
                  <w:vMerge w:val="continue"/>
                  <w:tcBorders>
                    <w:tl2br w:val="nil"/>
                    <w:tr2bl w:val="nil"/>
                  </w:tcBorders>
                  <w:vAlign w:val="center"/>
                </w:tcPr>
                <w:p w14:paraId="39EFF810">
                  <w:pPr>
                    <w:widowControl/>
                    <w:jc w:val="center"/>
                    <w:textAlignment w:val="center"/>
                    <w:rPr>
                      <w:rFonts w:hint="default" w:ascii="Times New Roman" w:hAnsi="Times New Roman" w:eastAsia="宋体" w:cs="Times New Roman"/>
                      <w:color w:val="auto"/>
                      <w:kern w:val="0"/>
                      <w:szCs w:val="21"/>
                      <w:lang w:bidi="ar"/>
                    </w:rPr>
                  </w:pPr>
                </w:p>
              </w:tc>
              <w:tc>
                <w:tcPr>
                  <w:tcW w:w="613" w:type="pct"/>
                  <w:tcBorders>
                    <w:tl2br w:val="nil"/>
                    <w:tr2bl w:val="nil"/>
                  </w:tcBorders>
                  <w:shd w:val="clear" w:color="auto" w:fill="auto"/>
                  <w:vAlign w:val="center"/>
                </w:tcPr>
                <w:p w14:paraId="2D40733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颗粒物</w:t>
                  </w:r>
                </w:p>
              </w:tc>
              <w:tc>
                <w:tcPr>
                  <w:tcW w:w="553" w:type="pct"/>
                  <w:tcBorders>
                    <w:tl2br w:val="nil"/>
                    <w:tr2bl w:val="nil"/>
                  </w:tcBorders>
                  <w:vAlign w:val="center"/>
                </w:tcPr>
                <w:p w14:paraId="7459EE91">
                  <w:pPr>
                    <w:widowControl/>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0.5h/次</w:t>
                  </w:r>
                </w:p>
              </w:tc>
              <w:tc>
                <w:tcPr>
                  <w:tcW w:w="443" w:type="pct"/>
                  <w:tcBorders>
                    <w:tl2br w:val="nil"/>
                    <w:tr2bl w:val="nil"/>
                  </w:tcBorders>
                  <w:vAlign w:val="center"/>
                </w:tcPr>
                <w:p w14:paraId="71418F85">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1次/a</w:t>
                  </w:r>
                </w:p>
              </w:tc>
              <w:tc>
                <w:tcPr>
                  <w:tcW w:w="707" w:type="pct"/>
                  <w:tcBorders>
                    <w:tl2br w:val="nil"/>
                    <w:tr2bl w:val="nil"/>
                  </w:tcBorders>
                  <w:shd w:val="clear" w:color="auto" w:fill="auto"/>
                  <w:vAlign w:val="center"/>
                </w:tcPr>
                <w:p w14:paraId="0409EF3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0.0656</w:t>
                  </w:r>
                </w:p>
              </w:tc>
              <w:tc>
                <w:tcPr>
                  <w:tcW w:w="730" w:type="pct"/>
                  <w:tcBorders>
                    <w:tl2br w:val="nil"/>
                    <w:tr2bl w:val="nil"/>
                  </w:tcBorders>
                  <w:shd w:val="clear" w:color="auto" w:fill="auto"/>
                  <w:vAlign w:val="center"/>
                </w:tcPr>
                <w:p w14:paraId="6B608C1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0.0437</w:t>
                  </w:r>
                </w:p>
              </w:tc>
              <w:tc>
                <w:tcPr>
                  <w:tcW w:w="367" w:type="pct"/>
                  <w:tcBorders>
                    <w:tl2br w:val="nil"/>
                    <w:tr2bl w:val="nil"/>
                  </w:tcBorders>
                  <w:vAlign w:val="center"/>
                </w:tcPr>
                <w:p w14:paraId="39ABA9E1">
                  <w:pPr>
                    <w:widowControl/>
                    <w:jc w:val="center"/>
                    <w:textAlignment w:val="center"/>
                    <w:rPr>
                      <w:rFonts w:hint="default" w:ascii="Times New Roman" w:hAnsi="Times New Roman" w:cs="Times New Roman"/>
                      <w:color w:val="auto"/>
                      <w:kern w:val="0"/>
                      <w:szCs w:val="21"/>
                      <w:lang w:bidi="ar"/>
                    </w:rPr>
                  </w:pPr>
                </w:p>
              </w:tc>
            </w:tr>
          </w:tbl>
          <w:p w14:paraId="2860A2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sz w:val="24"/>
                <w:szCs w:val="24"/>
                <w:lang w:val="en-US" w:eastAsia="zh-CN"/>
              </w:rPr>
            </w:pPr>
            <w:r>
              <w:rPr>
                <w:rFonts w:hint="default" w:ascii="Times New Roman" w:hAnsi="Times New Roman" w:cs="Times New Roman"/>
                <w:b/>
                <w:color w:val="auto"/>
                <w:sz w:val="24"/>
                <w:szCs w:val="24"/>
                <w:lang w:val="en-US" w:eastAsia="zh-CN"/>
              </w:rPr>
              <w:t>（6）大气防护距离</w:t>
            </w:r>
          </w:p>
          <w:p w14:paraId="13ACBE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32"/>
                <w:lang w:bidi="ar"/>
              </w:rPr>
              <w:t>根据《环境影响评价技术导则—大气环境》（HJ2.2-2018）要求，大气环境防护距离需要根据全厂污染源进行短期预测确定。采用AERMOD模式对厂区大气防护距离进行模拟，经预测，本项目排放大气污染物厂界浓度满足标准限值，且厂界外大气污染物浓度均满足环境空气质量标准，因此无需设置大气环境防护距离。</w:t>
            </w:r>
            <w:r>
              <w:rPr>
                <w:rFonts w:hint="default" w:ascii="Times New Roman" w:hAnsi="Times New Roman" w:cs="Times New Roman"/>
                <w:color w:val="auto"/>
                <w:sz w:val="24"/>
                <w:szCs w:val="32"/>
                <w:lang w:val="en-US" w:eastAsia="zh-CN" w:bidi="ar"/>
              </w:rPr>
              <w:t>详见大气专章。</w:t>
            </w:r>
          </w:p>
          <w:p w14:paraId="0F03C5B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lang w:val="en-US" w:eastAsia="zh-CN"/>
              </w:rPr>
              <w:t>7</w:t>
            </w: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rPr>
              <w:t>环境影响结论</w:t>
            </w:r>
          </w:p>
          <w:p w14:paraId="0C69DC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napToGrid w:val="0"/>
                <w:color w:val="auto"/>
                <w:kern w:val="0"/>
                <w:sz w:val="24"/>
                <w:lang w:eastAsia="zh-CN"/>
              </w:rPr>
            </w:pPr>
            <w:r>
              <w:rPr>
                <w:rFonts w:hint="default" w:ascii="Times New Roman" w:hAnsi="Times New Roman" w:eastAsia="宋体" w:cs="Times New Roman"/>
                <w:bCs/>
                <w:snapToGrid w:val="0"/>
                <w:color w:val="auto"/>
                <w:kern w:val="0"/>
                <w:sz w:val="24"/>
                <w:lang w:val="en-US" w:eastAsia="zh-CN"/>
              </w:rPr>
              <w:t>本项目</w:t>
            </w:r>
            <w:r>
              <w:rPr>
                <w:rFonts w:hint="default" w:ascii="Times New Roman" w:hAnsi="Times New Roman" w:eastAsia="宋体" w:cs="Times New Roman"/>
                <w:bCs/>
                <w:snapToGrid w:val="0"/>
                <w:color w:val="auto"/>
                <w:kern w:val="0"/>
                <w:sz w:val="24"/>
              </w:rPr>
              <w:t>骨料通过装载机转运至计量配料区进行上料，配料区设置三面围挡，顶部加盖，上料区上方采取喷雾降尘装置、平缓上料、减小落差等措施，降低骨料上料、输送过程产生的粉尘</w:t>
            </w:r>
            <w:r>
              <w:rPr>
                <w:rFonts w:hint="default" w:ascii="Times New Roman" w:hAnsi="Times New Roman" w:eastAsia="宋体" w:cs="Times New Roman"/>
                <w:bCs/>
                <w:snapToGrid w:val="0"/>
                <w:color w:val="auto"/>
                <w:kern w:val="0"/>
                <w:sz w:val="24"/>
                <w:lang w:eastAsia="zh-CN"/>
              </w:rPr>
              <w:t>。</w:t>
            </w:r>
            <w:r>
              <w:rPr>
                <w:rFonts w:hint="default" w:ascii="Times New Roman" w:hAnsi="Times New Roman" w:cs="Times New Roman"/>
                <w:bCs/>
                <w:snapToGrid w:val="0"/>
                <w:color w:val="auto"/>
                <w:kern w:val="0"/>
                <w:sz w:val="24"/>
              </w:rPr>
              <w:t>根据《扬尘源颗粒物排放清单编制技术指南（试行）》表12可知，采取以上措施后，可减少约</w:t>
            </w:r>
            <w:r>
              <w:rPr>
                <w:rFonts w:hint="default" w:ascii="Times New Roman" w:hAnsi="Times New Roman" w:cs="Times New Roman"/>
                <w:bCs/>
                <w:snapToGrid w:val="0"/>
                <w:color w:val="auto"/>
                <w:kern w:val="0"/>
                <w:sz w:val="24"/>
                <w:lang w:val="en-US" w:eastAsia="zh-CN"/>
              </w:rPr>
              <w:t>90</w:t>
            </w:r>
            <w:r>
              <w:rPr>
                <w:rFonts w:hint="default" w:ascii="Times New Roman" w:hAnsi="Times New Roman" w:cs="Times New Roman"/>
                <w:bCs/>
                <w:snapToGrid w:val="0"/>
                <w:color w:val="auto"/>
                <w:kern w:val="0"/>
                <w:sz w:val="24"/>
              </w:rPr>
              <w:t>%的无组织粉尘</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满足</w:t>
            </w:r>
            <w:r>
              <w:rPr>
                <w:rFonts w:hint="default" w:ascii="Times New Roman" w:hAnsi="Times New Roman" w:cs="Times New Roman"/>
                <w:color w:val="auto"/>
                <w:sz w:val="24"/>
                <w:highlight w:val="none"/>
              </w:rPr>
              <w:t>《大气污染物综合排放标准》（GB16297-1996）表2无组织排放监控浓度限值</w:t>
            </w:r>
            <w:r>
              <w:rPr>
                <w:rFonts w:hint="default" w:ascii="Times New Roman" w:hAnsi="Times New Roman" w:cs="Times New Roman"/>
                <w:color w:val="auto"/>
                <w:sz w:val="24"/>
                <w:highlight w:val="none"/>
                <w:lang w:val="en-US" w:eastAsia="zh-CN"/>
              </w:rPr>
              <w:t>要求</w:t>
            </w:r>
            <w:r>
              <w:rPr>
                <w:rFonts w:hint="default" w:ascii="Times New Roman" w:hAnsi="Times New Roman" w:cs="Times New Roman"/>
                <w:color w:val="auto"/>
                <w:sz w:val="24"/>
                <w:highlight w:val="none"/>
                <w:lang w:eastAsia="zh-CN"/>
              </w:rPr>
              <w:t>。</w:t>
            </w:r>
          </w:p>
          <w:p w14:paraId="5B2C7A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本项目矿粉</w:t>
            </w:r>
            <w:r>
              <w:rPr>
                <w:rFonts w:hint="default" w:ascii="Times New Roman" w:hAnsi="Times New Roman" w:cs="Times New Roman"/>
                <w:color w:val="auto"/>
                <w:sz w:val="24"/>
                <w:highlight w:val="none"/>
                <w:lang w:val="en-US" w:eastAsia="zh-CN"/>
              </w:rPr>
              <w:t>筒仓</w:t>
            </w:r>
            <w:r>
              <w:rPr>
                <w:rFonts w:hint="default" w:ascii="Times New Roman" w:hAnsi="Times New Roman" w:cs="Times New Roman"/>
                <w:color w:val="auto"/>
                <w:sz w:val="24"/>
                <w:highlight w:val="none"/>
              </w:rPr>
              <w:t>粉尘，经自带的脉冲式</w:t>
            </w:r>
            <w:r>
              <w:rPr>
                <w:rFonts w:hint="default" w:ascii="Times New Roman" w:hAnsi="Times New Roman" w:cs="Times New Roman"/>
                <w:color w:val="auto"/>
                <w:sz w:val="24"/>
                <w:highlight w:val="none"/>
                <w:lang w:val="en-US" w:eastAsia="zh-CN"/>
              </w:rPr>
              <w:t>布袋</w:t>
            </w:r>
            <w:r>
              <w:rPr>
                <w:rFonts w:hint="default" w:ascii="Times New Roman" w:hAnsi="Times New Roman" w:cs="Times New Roman"/>
                <w:color w:val="auto"/>
                <w:sz w:val="24"/>
                <w:highlight w:val="none"/>
              </w:rPr>
              <w:t>除尘器处理后通过仓顶排气口排放，处理效率达99%以上</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根据《排污许可证申请与核发技术规范石墨及其他非金属矿物制品制造》（HJ1119-2020）中表A.5沥青混合料生产排污单位废气污染防治可行技术参考表中料粉仓废气采取“脉冲式布袋除尘器”措施为可行性技术。采取以上措施后，颗粒物有组织排放浓度满足《大气污染物综合排放标准》（GB16297-1996）新污染源表2中无组织排放监控浓度限值</w:t>
            </w:r>
            <w:r>
              <w:rPr>
                <w:rFonts w:hint="default" w:ascii="Times New Roman" w:hAnsi="Times New Roman" w:cs="Times New Roman"/>
                <w:color w:val="auto"/>
                <w:sz w:val="24"/>
                <w:highlight w:val="none"/>
                <w:lang w:val="en-US" w:eastAsia="zh-CN"/>
              </w:rPr>
              <w:t>要求</w:t>
            </w:r>
            <w:r>
              <w:rPr>
                <w:rFonts w:hint="default" w:ascii="Times New Roman" w:hAnsi="Times New Roman" w:cs="Times New Roman"/>
                <w:color w:val="auto"/>
                <w:sz w:val="24"/>
                <w:highlight w:val="none"/>
              </w:rPr>
              <w:t>。</w:t>
            </w:r>
          </w:p>
          <w:p w14:paraId="73A2A93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kern w:val="0"/>
                <w:sz w:val="24"/>
                <w:szCs w:val="24"/>
                <w:highlight w:val="none"/>
                <w:lang w:eastAsia="zh-CN" w:bidi="ar"/>
              </w:rPr>
              <w:t>沥青罐密闭设置，设置储存呼吸口，呼吸口阀门关闭，储罐上方采用管道连通，沥青烟气通过管道密闭式收集，然后引至烘干筒燃烧器外焰高温燃烧</w:t>
            </w:r>
            <w:r>
              <w:rPr>
                <w:rFonts w:hint="default" w:ascii="Times New Roman" w:hAnsi="Times New Roman" w:cs="Times New Roman"/>
                <w:color w:val="auto"/>
                <w:kern w:val="0"/>
                <w:sz w:val="24"/>
                <w:szCs w:val="24"/>
                <w:highlight w:val="none"/>
                <w:lang w:bidi="ar"/>
              </w:rPr>
              <w:t>；成品卸料口的沥青烟气经静电捕集后，经管道与收集的沥青呼吸口沥青烟一并引至烘干筒前端与燃烧器火焰进行高温燃烧后，同烘干筒废气一起经除尘系统（一级重力除尘+二级布袋除尘）处理</w:t>
            </w:r>
            <w:r>
              <w:rPr>
                <w:rFonts w:hint="default" w:ascii="Times New Roman" w:hAnsi="Times New Roman" w:cs="Times New Roman"/>
                <w:color w:val="auto"/>
                <w:kern w:val="0"/>
                <w:sz w:val="24"/>
                <w:szCs w:val="24"/>
                <w:highlight w:val="none"/>
                <w:lang w:eastAsia="zh-CN" w:bidi="ar"/>
              </w:rPr>
              <w:t>，</w:t>
            </w:r>
            <w:r>
              <w:rPr>
                <w:rFonts w:hint="default" w:ascii="Times New Roman" w:hAnsi="Times New Roman" w:eastAsia="宋体" w:cs="Times New Roman"/>
                <w:color w:val="auto"/>
                <w:sz w:val="24"/>
                <w:szCs w:val="24"/>
                <w:lang w:val="en-US" w:eastAsia="zh-CN"/>
              </w:rPr>
              <w:t>沥青废气</w:t>
            </w:r>
            <w:r>
              <w:rPr>
                <w:rFonts w:hint="default" w:ascii="Times New Roman" w:hAnsi="Times New Roman" w:eastAsia="宋体" w:cs="Times New Roman"/>
                <w:color w:val="auto"/>
                <w:sz w:val="24"/>
                <w:szCs w:val="24"/>
              </w:rPr>
              <w:t>去除效率</w:t>
            </w:r>
            <w:r>
              <w:rPr>
                <w:rFonts w:hint="default" w:ascii="Times New Roman" w:hAnsi="Times New Roman" w:cs="Times New Roman"/>
                <w:bCs/>
                <w:color w:val="auto"/>
                <w:sz w:val="24"/>
                <w:highlight w:val="none"/>
              </w:rPr>
              <w:t>可达</w:t>
            </w:r>
            <w:r>
              <w:rPr>
                <w:rFonts w:hint="default" w:ascii="Times New Roman" w:hAnsi="Times New Roman" w:cs="Times New Roman"/>
                <w:bCs/>
                <w:color w:val="auto"/>
                <w:sz w:val="24"/>
                <w:highlight w:val="none"/>
                <w:lang w:val="en-US" w:eastAsia="zh-CN"/>
              </w:rPr>
              <w:t>98</w:t>
            </w:r>
            <w:r>
              <w:rPr>
                <w:rFonts w:hint="default" w:ascii="Times New Roman" w:hAnsi="Times New Roman" w:cs="Times New Roman"/>
                <w:bCs/>
                <w:color w:val="auto"/>
                <w:sz w:val="24"/>
                <w:highlight w:val="none"/>
              </w:rPr>
              <w:t>%，处理后经一根</w:t>
            </w:r>
            <w:r>
              <w:rPr>
                <w:rFonts w:hint="default" w:ascii="Times New Roman" w:hAnsi="Times New Roman" w:cs="Times New Roman"/>
                <w:bCs/>
                <w:snapToGrid w:val="0"/>
                <w:color w:val="auto"/>
                <w:kern w:val="0"/>
                <w:sz w:val="24"/>
                <w:highlight w:val="none"/>
                <w:lang w:val="en-US" w:eastAsia="zh-CN"/>
              </w:rPr>
              <w:t>20</w:t>
            </w:r>
            <w:r>
              <w:rPr>
                <w:rFonts w:hint="default" w:ascii="Times New Roman" w:hAnsi="Times New Roman" w:cs="Times New Roman"/>
                <w:bCs/>
                <w:snapToGrid w:val="0"/>
                <w:color w:val="auto"/>
                <w:kern w:val="0"/>
                <w:sz w:val="24"/>
                <w:highlight w:val="none"/>
              </w:rPr>
              <w:t>m高</w:t>
            </w:r>
            <w:r>
              <w:rPr>
                <w:rFonts w:hint="default" w:ascii="Times New Roman" w:hAnsi="Times New Roman" w:cs="Times New Roman"/>
                <w:bCs/>
                <w:snapToGrid w:val="0"/>
                <w:color w:val="auto"/>
                <w:kern w:val="0"/>
                <w:sz w:val="24"/>
                <w:highlight w:val="none"/>
                <w:lang w:eastAsia="zh-CN"/>
              </w:rPr>
              <w:t>排气筒</w:t>
            </w:r>
            <w:r>
              <w:rPr>
                <w:rFonts w:hint="default" w:ascii="Times New Roman" w:hAnsi="Times New Roman" w:cs="Times New Roman"/>
                <w:bCs/>
                <w:snapToGrid w:val="0"/>
                <w:color w:val="auto"/>
                <w:kern w:val="0"/>
                <w:sz w:val="24"/>
                <w:highlight w:val="none"/>
              </w:rPr>
              <w:t>（DA002）</w:t>
            </w:r>
            <w:r>
              <w:rPr>
                <w:rFonts w:hint="default" w:ascii="Times New Roman" w:hAnsi="Times New Roman" w:cs="Times New Roman"/>
                <w:bCs/>
                <w:color w:val="auto"/>
                <w:sz w:val="24"/>
                <w:highlight w:val="none"/>
              </w:rPr>
              <w:t>排放。</w:t>
            </w:r>
            <w:r>
              <w:rPr>
                <w:rFonts w:hint="default" w:ascii="Times New Roman" w:hAnsi="Times New Roman" w:cs="Times New Roman"/>
                <w:color w:val="auto"/>
                <w:sz w:val="24"/>
                <w:highlight w:val="none"/>
              </w:rPr>
              <w:t>根据《排污许可证申请与核发技术规范  石墨及其他非金属矿物制品制造》（HJ1119-2020）中表A.5沥青混合料生产排污单位废气污染防治可行技术参考表中骨料干燥系统废气采取“布袋除尘器”措施为可行性技术；本项目</w:t>
            </w:r>
            <w:r>
              <w:rPr>
                <w:rFonts w:hint="default" w:ascii="Times New Roman" w:hAnsi="Times New Roman" w:cs="Times New Roman"/>
                <w:bCs/>
                <w:color w:val="auto"/>
                <w:sz w:val="24"/>
                <w:highlight w:val="none"/>
              </w:rPr>
              <w:t>沥青储罐及沥青加热搅拌系统</w:t>
            </w:r>
            <w:r>
              <w:rPr>
                <w:rFonts w:hint="default" w:ascii="Times New Roman" w:hAnsi="Times New Roman" w:cs="Times New Roman"/>
                <w:color w:val="auto"/>
                <w:sz w:val="24"/>
                <w:highlight w:val="none"/>
              </w:rPr>
              <w:t>废气污染防治可行技术参考表中成品出料废气采取“</w:t>
            </w:r>
            <w:r>
              <w:rPr>
                <w:rFonts w:hint="default" w:ascii="Times New Roman" w:hAnsi="Times New Roman" w:cs="Times New Roman"/>
                <w:color w:val="auto"/>
                <w:sz w:val="24"/>
                <w:highlight w:val="none"/>
                <w:lang w:val="en-US" w:eastAsia="zh-CN"/>
              </w:rPr>
              <w:t>静电捕集+除尘系统</w:t>
            </w:r>
            <w:r>
              <w:rPr>
                <w:rFonts w:hint="default" w:ascii="Times New Roman" w:hAnsi="Times New Roman" w:cs="Times New Roman"/>
                <w:color w:val="auto"/>
                <w:kern w:val="0"/>
                <w:sz w:val="24"/>
                <w:szCs w:val="24"/>
                <w:highlight w:val="none"/>
                <w:lang w:bidi="ar"/>
              </w:rPr>
              <w:t>（一级重力除尘+二级布袋除尘）</w:t>
            </w:r>
            <w:r>
              <w:rPr>
                <w:rFonts w:hint="default" w:ascii="Times New Roman" w:hAnsi="Times New Roman" w:cs="Times New Roman"/>
                <w:color w:val="auto"/>
                <w:sz w:val="24"/>
                <w:highlight w:val="none"/>
              </w:rPr>
              <w:t>”措施为可行性技术。</w:t>
            </w:r>
            <w:r>
              <w:rPr>
                <w:rFonts w:hint="default" w:ascii="Times New Roman" w:hAnsi="Times New Roman" w:cs="Times New Roman"/>
                <w:color w:val="auto"/>
                <w:sz w:val="24"/>
                <w:highlight w:val="none"/>
                <w:lang w:val="en-US" w:eastAsia="zh-CN"/>
              </w:rPr>
              <w:t xml:space="preserve"> </w:t>
            </w:r>
          </w:p>
          <w:p w14:paraId="0F46BB45">
            <w:pPr>
              <w:spacing w:line="4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本项目骨料烘干</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筛分</w:t>
            </w:r>
            <w:r>
              <w:rPr>
                <w:rFonts w:hint="default" w:ascii="Times New Roman" w:hAnsi="Times New Roman" w:cs="Times New Roman"/>
                <w:color w:val="auto"/>
                <w:sz w:val="24"/>
                <w:highlight w:val="none"/>
              </w:rPr>
              <w:t>产生的颗粒物引入除尘效率为99%的布袋除尘器处理后引至</w:t>
            </w:r>
            <w:r>
              <w:rPr>
                <w:rFonts w:hint="default" w:ascii="Times New Roman" w:hAnsi="Times New Roman" w:cs="Times New Roman"/>
                <w:color w:val="auto"/>
                <w:sz w:val="24"/>
                <w:highlight w:val="none"/>
                <w:lang w:val="en-US" w:eastAsia="zh-CN"/>
              </w:rPr>
              <w:t>20</w:t>
            </w:r>
            <w:r>
              <w:rPr>
                <w:rFonts w:hint="default" w:ascii="Times New Roman" w:hAnsi="Times New Roman" w:cs="Times New Roman"/>
                <w:color w:val="auto"/>
                <w:sz w:val="24"/>
                <w:highlight w:val="none"/>
              </w:rPr>
              <w:t>m高</w:t>
            </w:r>
            <w:r>
              <w:rPr>
                <w:rFonts w:hint="default" w:ascii="Times New Roman" w:hAnsi="Times New Roman" w:cs="Times New Roman"/>
                <w:color w:val="auto"/>
                <w:sz w:val="24"/>
                <w:highlight w:val="none"/>
                <w:lang w:eastAsia="zh-CN"/>
              </w:rPr>
              <w:t>排气筒</w:t>
            </w:r>
            <w:r>
              <w:rPr>
                <w:rFonts w:hint="default" w:ascii="Times New Roman" w:hAnsi="Times New Roman" w:cs="Times New Roman"/>
                <w:color w:val="auto"/>
                <w:sz w:val="24"/>
                <w:highlight w:val="none"/>
              </w:rPr>
              <w:t>（DA001）排放；“布袋除尘器”为《排污许可证申请与核发技术规范  总则》（HJ942-2018）中可行技术。</w:t>
            </w:r>
          </w:p>
          <w:p w14:paraId="259D9538">
            <w:pPr>
              <w:spacing w:line="4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本项目骨料烘干工序</w:t>
            </w:r>
            <w:r>
              <w:rPr>
                <w:rFonts w:hint="default" w:ascii="Times New Roman" w:hAnsi="Times New Roman" w:cs="Times New Roman"/>
                <w:color w:val="auto"/>
                <w:sz w:val="24"/>
                <w:highlight w:val="none"/>
                <w:lang w:val="en-US" w:eastAsia="zh-CN"/>
              </w:rPr>
              <w:t>轻质油</w:t>
            </w:r>
            <w:r>
              <w:rPr>
                <w:rFonts w:hint="default" w:ascii="Times New Roman" w:hAnsi="Times New Roman" w:cs="Times New Roman"/>
                <w:color w:val="auto"/>
                <w:sz w:val="24"/>
                <w:highlight w:val="none"/>
              </w:rPr>
              <w:t>燃烧产生的颗粒物、二氧化硫、氮氧化物经管道引至除尘系统（一级重力除尘+二级布袋除尘）与骨料烘干、筛分粉尘一并处理后通过</w:t>
            </w:r>
            <w:r>
              <w:rPr>
                <w:rFonts w:hint="default" w:ascii="Times New Roman" w:hAnsi="Times New Roman" w:cs="Times New Roman"/>
                <w:color w:val="auto"/>
                <w:sz w:val="24"/>
                <w:highlight w:val="none"/>
                <w:lang w:eastAsia="zh-CN"/>
              </w:rPr>
              <w:t>20</w:t>
            </w:r>
            <w:r>
              <w:rPr>
                <w:rFonts w:hint="default" w:ascii="Times New Roman" w:hAnsi="Times New Roman" w:cs="Times New Roman"/>
                <w:color w:val="auto"/>
                <w:sz w:val="24"/>
                <w:highlight w:val="none"/>
              </w:rPr>
              <w:t>m排气筒（DA001）排放。</w:t>
            </w:r>
            <w:r>
              <w:rPr>
                <w:rFonts w:hint="default" w:ascii="Times New Roman" w:hAnsi="Times New Roman" w:cs="Times New Roman"/>
                <w:color w:val="auto"/>
                <w:sz w:val="24"/>
                <w:highlight w:val="none"/>
                <w:lang w:eastAsia="zh-CN"/>
              </w:rPr>
              <w:t>根据</w:t>
            </w:r>
            <w:r>
              <w:rPr>
                <w:rFonts w:hint="default" w:ascii="Times New Roman" w:hAnsi="Times New Roman" w:cs="Times New Roman"/>
                <w:color w:val="auto"/>
                <w:sz w:val="24"/>
                <w:highlight w:val="none"/>
              </w:rPr>
              <w:t>《排污许可证申请与核发技术规范  石墨及其他非金属矿物制品制造》（HJ1119-2020）中表</w:t>
            </w:r>
            <w:r>
              <w:rPr>
                <w:rFonts w:hint="default" w:ascii="Times New Roman" w:hAnsi="Times New Roman" w:cs="Times New Roman"/>
                <w:color w:val="auto"/>
                <w:sz w:val="24"/>
                <w:highlight w:val="none"/>
                <w:lang w:val="en-US" w:eastAsia="zh-CN"/>
              </w:rPr>
              <w:t xml:space="preserve">21 </w:t>
            </w:r>
            <w:r>
              <w:rPr>
                <w:rFonts w:hint="default" w:ascii="Times New Roman" w:hAnsi="Times New Roman" w:cs="Times New Roman"/>
                <w:color w:val="auto"/>
                <w:sz w:val="24"/>
                <w:highlight w:val="none"/>
              </w:rPr>
              <w:t>沥青混合料生产排污单位废气</w:t>
            </w:r>
            <w:r>
              <w:rPr>
                <w:rFonts w:hint="default" w:ascii="Times New Roman" w:hAnsi="Times New Roman" w:cs="Times New Roman"/>
                <w:color w:val="auto"/>
                <w:sz w:val="24"/>
                <w:highlight w:val="none"/>
                <w:lang w:eastAsia="zh-CN"/>
              </w:rPr>
              <w:t>产生环节、污染物项目及对应排放口类型一览表，</w:t>
            </w:r>
            <w:r>
              <w:rPr>
                <w:rFonts w:hint="default" w:ascii="Times New Roman" w:hAnsi="Times New Roman" w:cs="Times New Roman"/>
                <w:color w:val="auto"/>
                <w:sz w:val="24"/>
                <w:highlight w:val="none"/>
              </w:rPr>
              <w:t>为可行性技术。</w:t>
            </w:r>
          </w:p>
          <w:p w14:paraId="5968BC31">
            <w:pPr>
              <w:spacing w:line="480" w:lineRule="exact"/>
              <w:ind w:firstLine="480" w:firstLineChars="200"/>
              <w:rPr>
                <w:rFonts w:hint="default" w:ascii="Times New Roman" w:hAnsi="Times New Roman" w:eastAsia="宋体" w:cs="Times New Roman"/>
                <w:bCs/>
                <w:snapToGrid w:val="0"/>
                <w:color w:val="auto"/>
                <w:kern w:val="0"/>
                <w:sz w:val="24"/>
                <w:lang w:eastAsia="zh-CN"/>
              </w:rPr>
            </w:pPr>
            <w:r>
              <w:rPr>
                <w:rFonts w:hint="default" w:ascii="Times New Roman" w:hAnsi="Times New Roman" w:cs="Times New Roman"/>
                <w:color w:val="auto"/>
                <w:sz w:val="24"/>
              </w:rPr>
              <w:t>本项目骨料堆场均采取钢结构厂房（三面封闭+顶棚），料仓顶部安装多排喷雾降尘装置，治理效率90%。</w:t>
            </w:r>
            <w:r>
              <w:rPr>
                <w:rFonts w:hint="default" w:ascii="Times New Roman" w:hAnsi="Times New Roman" w:cs="Times New Roman"/>
                <w:bCs/>
                <w:snapToGrid w:val="0"/>
                <w:color w:val="auto"/>
                <w:kern w:val="0"/>
                <w:sz w:val="24"/>
              </w:rPr>
              <w:t>根据《扬尘源颗粒物排放清单编制技术指南（试行）》表12可知，采取以上措施后，可减少约</w:t>
            </w:r>
            <w:r>
              <w:rPr>
                <w:rFonts w:hint="default" w:ascii="Times New Roman" w:hAnsi="Times New Roman" w:cs="Times New Roman"/>
                <w:bCs/>
                <w:snapToGrid w:val="0"/>
                <w:color w:val="auto"/>
                <w:kern w:val="0"/>
                <w:sz w:val="24"/>
                <w:lang w:val="en-US" w:eastAsia="zh-CN"/>
              </w:rPr>
              <w:t>90</w:t>
            </w:r>
            <w:r>
              <w:rPr>
                <w:rFonts w:hint="default" w:ascii="Times New Roman" w:hAnsi="Times New Roman" w:cs="Times New Roman"/>
                <w:bCs/>
                <w:snapToGrid w:val="0"/>
                <w:color w:val="auto"/>
                <w:kern w:val="0"/>
                <w:sz w:val="24"/>
              </w:rPr>
              <w:t>%的无组织粉尘</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满足</w:t>
            </w:r>
            <w:r>
              <w:rPr>
                <w:rFonts w:hint="default" w:ascii="Times New Roman" w:hAnsi="Times New Roman" w:cs="Times New Roman"/>
                <w:color w:val="auto"/>
                <w:sz w:val="24"/>
                <w:highlight w:val="none"/>
              </w:rPr>
              <w:t>《大气污染物综合排放标准》（GB16297-1996）表2无组织排放监控浓度限值</w:t>
            </w:r>
            <w:r>
              <w:rPr>
                <w:rFonts w:hint="default" w:ascii="Times New Roman" w:hAnsi="Times New Roman" w:cs="Times New Roman"/>
                <w:color w:val="auto"/>
                <w:sz w:val="24"/>
                <w:highlight w:val="none"/>
                <w:lang w:val="en-US" w:eastAsia="zh-CN"/>
              </w:rPr>
              <w:t>要求</w:t>
            </w:r>
            <w:r>
              <w:rPr>
                <w:rFonts w:hint="default" w:ascii="Times New Roman" w:hAnsi="Times New Roman" w:cs="Times New Roman"/>
                <w:color w:val="auto"/>
                <w:sz w:val="24"/>
                <w:highlight w:val="none"/>
                <w:lang w:eastAsia="zh-CN"/>
              </w:rPr>
              <w:t>。</w:t>
            </w:r>
          </w:p>
          <w:p w14:paraId="25BEED87">
            <w:pPr>
              <w:spacing w:line="480" w:lineRule="exact"/>
              <w:ind w:firstLine="480" w:firstLineChars="200"/>
              <w:rPr>
                <w:rFonts w:hint="default" w:ascii="Times New Roman" w:hAnsi="Times New Roman" w:eastAsia="宋体" w:cs="Times New Roman"/>
                <w:bCs/>
                <w:snapToGrid w:val="0"/>
                <w:color w:val="auto"/>
                <w:kern w:val="0"/>
                <w:sz w:val="24"/>
                <w:lang w:val="en-US" w:eastAsia="zh-CN"/>
              </w:rPr>
            </w:pPr>
            <w:r>
              <w:rPr>
                <w:rFonts w:hint="default" w:ascii="Times New Roman" w:hAnsi="Times New Roman" w:eastAsia="宋体" w:cs="Times New Roman"/>
                <w:bCs/>
                <w:snapToGrid w:val="0"/>
                <w:color w:val="auto"/>
                <w:kern w:val="0"/>
                <w:sz w:val="24"/>
                <w:lang w:val="en-US" w:eastAsia="zh-CN"/>
              </w:rPr>
              <w:t>本项目原料矿粉采用封闭式罐车运入厂区，厂区矿粉筒仓整体封闭，粉料的输送、计量及投料均为封闭式。骨料运输车辆全部采用苫布覆盖，本项目沥青由厂家直接运送至厂区沥青罐内。运输产生的粉尘主要是沿途抛洒及道路行驶引起的扬尘，属于无组织排放源。要求原料运输车辆采用篷布覆盖，运输过程做到不超载，不滴、撒、漏，可避免扬尘现象发生。产品运输采用全封闭运输罐车。本项目矿粉料仓整体封闭，骨料堆场地面硬化，物料及产品运输过程中均采取密闭、苫布苫盖等措施，</w:t>
            </w:r>
            <w:r>
              <w:rPr>
                <w:rFonts w:hint="default" w:ascii="Times New Roman" w:hAnsi="Times New Roman" w:cs="Times New Roman"/>
                <w:bCs/>
                <w:snapToGrid w:val="0"/>
                <w:color w:val="auto"/>
                <w:kern w:val="0"/>
                <w:sz w:val="24"/>
                <w:lang w:val="en-US" w:eastAsia="zh-CN"/>
              </w:rPr>
              <w:t>运输车辆</w:t>
            </w:r>
            <w:r>
              <w:rPr>
                <w:rFonts w:hint="default" w:ascii="Times New Roman" w:hAnsi="Times New Roman" w:eastAsia="宋体" w:cs="Times New Roman"/>
                <w:bCs/>
                <w:snapToGrid w:val="0"/>
                <w:color w:val="auto"/>
                <w:kern w:val="0"/>
                <w:sz w:val="24"/>
                <w:lang w:val="en-US" w:eastAsia="zh-CN"/>
              </w:rPr>
              <w:t>不超载、在临近居民区等地段减速行驶，如以上措施得以满足，则无组织排放粉尘对外环境影响较小。</w:t>
            </w:r>
          </w:p>
          <w:p w14:paraId="43A3D34F">
            <w:pPr>
              <w:spacing w:line="480" w:lineRule="exact"/>
              <w:ind w:firstLine="480" w:firstLineChars="200"/>
              <w:rPr>
                <w:rFonts w:hint="default" w:ascii="Times New Roman" w:hAnsi="Times New Roman" w:cs="Times New Roman"/>
                <w:color w:val="auto"/>
                <w:sz w:val="24"/>
                <w:highlight w:val="yellow"/>
              </w:rPr>
            </w:pPr>
            <w:r>
              <w:rPr>
                <w:rFonts w:hint="default" w:ascii="Times New Roman" w:hAnsi="Times New Roman" w:cs="Times New Roman"/>
                <w:color w:val="auto"/>
                <w:sz w:val="24"/>
                <w:highlight w:val="none"/>
                <w:lang w:val="en-US" w:eastAsia="zh-CN"/>
              </w:rPr>
              <w:t>本项目上述生产工序距离紧密，有组织废气经各自管道分别引至除尘系统处理后经20</w:t>
            </w:r>
            <w:r>
              <w:rPr>
                <w:rFonts w:hint="default" w:ascii="Times New Roman" w:hAnsi="Times New Roman" w:cs="Times New Roman"/>
                <w:color w:val="auto"/>
                <w:sz w:val="24"/>
                <w:highlight w:val="none"/>
              </w:rPr>
              <w:t>m高的</w:t>
            </w:r>
            <w:r>
              <w:rPr>
                <w:rFonts w:hint="default" w:ascii="Times New Roman" w:hAnsi="Times New Roman" w:cs="Times New Roman"/>
                <w:color w:val="auto"/>
                <w:sz w:val="24"/>
                <w:highlight w:val="none"/>
                <w:lang w:eastAsia="zh-CN"/>
              </w:rPr>
              <w:t>排气筒</w:t>
            </w:r>
            <w:r>
              <w:rPr>
                <w:rFonts w:hint="default" w:ascii="Times New Roman" w:hAnsi="Times New Roman" w:cs="Times New Roman"/>
                <w:color w:val="auto"/>
                <w:sz w:val="24"/>
                <w:highlight w:val="none"/>
              </w:rPr>
              <w:t>DA001</w:t>
            </w:r>
            <w:r>
              <w:rPr>
                <w:rFonts w:hint="default" w:ascii="Times New Roman" w:hAnsi="Times New Roman" w:cs="Times New Roman"/>
                <w:color w:val="auto"/>
                <w:sz w:val="24"/>
                <w:highlight w:val="none"/>
                <w:lang w:val="en-US" w:eastAsia="zh-CN"/>
              </w:rPr>
              <w:t>排放</w:t>
            </w:r>
            <w:r>
              <w:rPr>
                <w:rFonts w:hint="default" w:ascii="Times New Roman" w:hAnsi="Times New Roman" w:cs="Times New Roman"/>
                <w:color w:val="auto"/>
                <w:sz w:val="24"/>
                <w:highlight w:val="none"/>
                <w:lang w:eastAsia="zh-CN"/>
              </w:rPr>
              <w:t>为可行性措施。</w:t>
            </w:r>
            <w:r>
              <w:rPr>
                <w:rFonts w:hint="default" w:ascii="Times New Roman" w:hAnsi="Times New Roman" w:cs="Times New Roman"/>
                <w:color w:val="auto"/>
                <w:sz w:val="24"/>
                <w:highlight w:val="none"/>
              </w:rPr>
              <w:t>经DA001</w:t>
            </w:r>
            <w:r>
              <w:rPr>
                <w:rFonts w:hint="default" w:ascii="Times New Roman" w:hAnsi="Times New Roman" w:cs="Times New Roman"/>
                <w:color w:val="auto"/>
                <w:sz w:val="24"/>
                <w:highlight w:val="none"/>
                <w:lang w:eastAsia="zh-CN"/>
              </w:rPr>
              <w:t>排气筒</w:t>
            </w:r>
            <w:r>
              <w:rPr>
                <w:rFonts w:hint="default" w:ascii="Times New Roman" w:hAnsi="Times New Roman" w:cs="Times New Roman"/>
                <w:color w:val="auto"/>
                <w:sz w:val="24"/>
                <w:highlight w:val="none"/>
                <w:lang w:val="en-US" w:eastAsia="zh-CN"/>
              </w:rPr>
              <w:t>排放的</w:t>
            </w:r>
            <w:r>
              <w:rPr>
                <w:rFonts w:hint="default" w:ascii="Times New Roman" w:hAnsi="Times New Roman" w:cs="Times New Roman"/>
                <w:color w:val="auto"/>
                <w:sz w:val="24"/>
                <w:highlight w:val="none"/>
              </w:rPr>
              <w:t>颗粒物</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二氧化硫</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氮氧化物</w:t>
            </w:r>
            <w:r>
              <w:rPr>
                <w:rFonts w:hint="default" w:ascii="Times New Roman" w:hAnsi="Times New Roman" w:cs="Times New Roman"/>
                <w:color w:val="auto"/>
                <w:sz w:val="24"/>
                <w:highlight w:val="none"/>
                <w:lang w:eastAsia="zh-CN"/>
              </w:rPr>
              <w:t>、</w:t>
            </w:r>
            <w:r>
              <w:rPr>
                <w:rFonts w:hint="default" w:ascii="Times New Roman" w:hAnsi="Times New Roman" w:cs="Times New Roman"/>
                <w:bCs/>
                <w:color w:val="auto"/>
                <w:sz w:val="24"/>
                <w:highlight w:val="none"/>
              </w:rPr>
              <w:t>沥青烟</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苯并[a]芘、挥发性有机物等</w:t>
            </w:r>
            <w:r>
              <w:rPr>
                <w:rFonts w:hint="default" w:ascii="Times New Roman" w:hAnsi="Times New Roman" w:cs="Times New Roman"/>
                <w:color w:val="auto"/>
                <w:sz w:val="24"/>
                <w:highlight w:val="none"/>
              </w:rPr>
              <w:t>满足《大气污染物综合排放标准》（GB16297-1996）新污染源表2中</w:t>
            </w:r>
            <w:r>
              <w:rPr>
                <w:rFonts w:hint="default" w:ascii="Times New Roman" w:hAnsi="Times New Roman" w:cs="Times New Roman"/>
                <w:color w:val="auto"/>
                <w:sz w:val="24"/>
                <w:highlight w:val="none"/>
                <w:lang w:val="en-US" w:eastAsia="zh-CN"/>
              </w:rPr>
              <w:t>二级</w:t>
            </w:r>
            <w:r>
              <w:rPr>
                <w:rFonts w:hint="default" w:ascii="Times New Roman" w:hAnsi="Times New Roman" w:cs="Times New Roman"/>
                <w:color w:val="auto"/>
                <w:sz w:val="24"/>
                <w:highlight w:val="none"/>
              </w:rPr>
              <w:t>标准限值。</w:t>
            </w:r>
          </w:p>
          <w:p w14:paraId="054E34C9">
            <w:pPr>
              <w:spacing w:line="480" w:lineRule="exact"/>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w:t>
            </w:r>
            <w:r>
              <w:rPr>
                <w:rFonts w:hint="default" w:ascii="Times New Roman" w:hAnsi="Times New Roman" w:cs="Times New Roman"/>
                <w:color w:val="auto"/>
                <w:sz w:val="24"/>
                <w:highlight w:val="none"/>
                <w:lang w:val="en-US" w:eastAsia="zh-CN"/>
              </w:rPr>
              <w:t>所在区域为空气质量达标区，</w:t>
            </w:r>
            <w:r>
              <w:rPr>
                <w:rFonts w:hint="default" w:ascii="Times New Roman" w:hAnsi="Times New Roman" w:cs="Times New Roman"/>
                <w:color w:val="auto"/>
                <w:sz w:val="24"/>
                <w:szCs w:val="24"/>
              </w:rPr>
              <w:t>项目周边500m范围内环境保护目标</w:t>
            </w:r>
            <w:r>
              <w:rPr>
                <w:rFonts w:hint="default" w:ascii="Times New Roman" w:hAnsi="Times New Roman" w:cs="Times New Roman"/>
                <w:color w:val="auto"/>
                <w:sz w:val="24"/>
                <w:szCs w:val="24"/>
                <w:lang w:val="en-US" w:eastAsia="zh-CN"/>
              </w:rPr>
              <w:t>主要</w:t>
            </w:r>
            <w:r>
              <w:rPr>
                <w:rFonts w:hint="default" w:ascii="Times New Roman" w:hAnsi="Times New Roman" w:cs="Times New Roman"/>
                <w:color w:val="auto"/>
                <w:sz w:val="24"/>
                <w:szCs w:val="24"/>
              </w:rPr>
              <w:t>分布在厂界</w:t>
            </w:r>
            <w:r>
              <w:rPr>
                <w:rFonts w:hint="default" w:ascii="Times New Roman" w:hAnsi="Times New Roman" w:cs="Times New Roman"/>
                <w:color w:val="auto"/>
                <w:sz w:val="24"/>
                <w:szCs w:val="24"/>
                <w:lang w:val="en-US" w:eastAsia="zh-CN"/>
              </w:rPr>
              <w:t>西北</w:t>
            </w:r>
            <w:r>
              <w:rPr>
                <w:rFonts w:hint="default" w:ascii="Times New Roman" w:hAnsi="Times New Roman" w:cs="Times New Roman"/>
                <w:color w:val="auto"/>
                <w:sz w:val="24"/>
                <w:szCs w:val="24"/>
              </w:rPr>
              <w:t>侧</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highlight w:val="none"/>
              </w:rPr>
              <w:t>采取</w:t>
            </w:r>
            <w:r>
              <w:rPr>
                <w:rFonts w:hint="default" w:ascii="Times New Roman" w:hAnsi="Times New Roman" w:cs="Times New Roman"/>
                <w:color w:val="auto"/>
                <w:sz w:val="24"/>
                <w:highlight w:val="none"/>
                <w:lang w:val="en-US" w:eastAsia="zh-CN"/>
              </w:rPr>
              <w:t>上述废气</w:t>
            </w:r>
            <w:r>
              <w:rPr>
                <w:rFonts w:hint="default" w:ascii="Times New Roman" w:hAnsi="Times New Roman" w:cs="Times New Roman"/>
                <w:color w:val="auto"/>
                <w:sz w:val="24"/>
                <w:highlight w:val="none"/>
              </w:rPr>
              <w:t>污染控制措施</w:t>
            </w:r>
            <w:r>
              <w:rPr>
                <w:rFonts w:hint="default" w:ascii="Times New Roman" w:hAnsi="Times New Roman" w:cs="Times New Roman"/>
                <w:color w:val="auto"/>
                <w:sz w:val="24"/>
                <w:highlight w:val="none"/>
                <w:lang w:val="en-US" w:eastAsia="zh-CN"/>
              </w:rPr>
              <w:t>后</w:t>
            </w:r>
            <w:r>
              <w:rPr>
                <w:rFonts w:hint="default" w:ascii="Times New Roman" w:hAnsi="Times New Roman" w:cs="Times New Roman"/>
                <w:color w:val="auto"/>
                <w:sz w:val="24"/>
                <w:szCs w:val="24"/>
                <w:lang w:val="en-US" w:eastAsia="zh-CN"/>
              </w:rPr>
              <w:t>对外环境影响较小。</w:t>
            </w:r>
            <w:r>
              <w:rPr>
                <w:rFonts w:hint="default" w:ascii="Times New Roman" w:hAnsi="Times New Roman" w:cs="Times New Roman"/>
                <w:color w:val="auto"/>
                <w:sz w:val="24"/>
                <w:highlight w:val="none"/>
              </w:rPr>
              <w:t>综上所述，本项目污染防治措施有效可行，可保证废气污染物达标排放，对周边环境空气的影响是可以接受的。</w:t>
            </w:r>
          </w:p>
          <w:p w14:paraId="27F49F7E">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2、废水</w:t>
            </w:r>
          </w:p>
          <w:p w14:paraId="7C078138">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（1）产排污环节、类别、污染物种类、产生量核算</w:t>
            </w:r>
          </w:p>
          <w:p w14:paraId="18EA63DE">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①生活污水</w:t>
            </w:r>
          </w:p>
          <w:p w14:paraId="608EE26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本项目员工人数为</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0人，根据《四川省用水定额》（川府函〔2021〕8号）</w:t>
            </w:r>
            <w:r>
              <w:rPr>
                <w:rFonts w:hint="default" w:ascii="Times New Roman" w:hAnsi="Times New Roman" w:cs="Times New Roman"/>
                <w:color w:val="auto"/>
                <w:kern w:val="24"/>
                <w:sz w:val="24"/>
                <w:szCs w:val="24"/>
              </w:rPr>
              <w:t>制定的用水标准</w:t>
            </w:r>
            <w:r>
              <w:rPr>
                <w:rFonts w:hint="default" w:ascii="Times New Roman" w:hAnsi="Times New Roman" w:cs="Times New Roman"/>
                <w:color w:val="auto"/>
                <w:sz w:val="24"/>
                <w:szCs w:val="24"/>
              </w:rPr>
              <w:t>，用水量按</w:t>
            </w:r>
            <w:r>
              <w:rPr>
                <w:rFonts w:hint="default" w:ascii="Times New Roman" w:hAnsi="Times New Roman" w:cs="Times New Roman"/>
                <w:color w:val="auto"/>
                <w:sz w:val="24"/>
                <w:szCs w:val="24"/>
                <w:lang w:val="en-US" w:eastAsia="zh-CN"/>
              </w:rPr>
              <w:t>120</w:t>
            </w:r>
            <w:r>
              <w:rPr>
                <w:rFonts w:hint="default" w:ascii="Times New Roman" w:hAnsi="Times New Roman" w:cs="Times New Roman"/>
                <w:color w:val="auto"/>
                <w:sz w:val="24"/>
                <w:szCs w:val="24"/>
              </w:rPr>
              <w:t>L/人·d计，则本项目生活用水量为</w:t>
            </w:r>
            <w:r>
              <w:rPr>
                <w:rFonts w:hint="default"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lang w:val="en-US" w:eastAsia="zh-CN"/>
              </w:rPr>
              <w:t>180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/a）。生活污水产生系数取0.85，则生活污水产生量约</w:t>
            </w:r>
            <w:r>
              <w:rPr>
                <w:rFonts w:hint="default" w:ascii="Times New Roman" w:hAnsi="Times New Roman" w:cs="Times New Roman"/>
                <w:color w:val="auto"/>
                <w:sz w:val="24"/>
                <w:szCs w:val="24"/>
                <w:lang w:val="en-US" w:eastAsia="zh-CN"/>
              </w:rPr>
              <w:t>1.02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lang w:val="en-US" w:eastAsia="zh-CN"/>
              </w:rPr>
              <w:t>153</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/d）。根据生活污水水质参考《排放源统计调查产排污核算方法和系数手册—生活污染源产排污系数手册》表1-1城镇生活</w:t>
            </w:r>
            <w:r>
              <w:rPr>
                <w:rFonts w:hint="default" w:ascii="Times New Roman" w:hAnsi="Times New Roman" w:cs="Times New Roman"/>
                <w:color w:val="auto"/>
                <w:sz w:val="24"/>
                <w:szCs w:val="24"/>
                <w:lang w:val="en-US" w:eastAsia="zh-CN"/>
              </w:rPr>
              <w:t>污水</w:t>
            </w:r>
            <w:r>
              <w:rPr>
                <w:rFonts w:hint="default" w:ascii="Times New Roman" w:hAnsi="Times New Roman" w:cs="Times New Roman"/>
                <w:color w:val="auto"/>
                <w:sz w:val="24"/>
                <w:szCs w:val="24"/>
              </w:rPr>
              <w:t>污染物产生系数。主要污染物</w:t>
            </w:r>
            <w:r>
              <w:rPr>
                <w:rFonts w:hint="default" w:ascii="Times New Roman" w:hAnsi="Times New Roman" w:cs="Times New Roman"/>
                <w:color w:val="auto"/>
                <w:sz w:val="24"/>
                <w:szCs w:val="24"/>
                <w:lang w:val="en-US" w:eastAsia="zh-CN"/>
              </w:rPr>
              <w:t>排放</w:t>
            </w:r>
            <w:r>
              <w:rPr>
                <w:rFonts w:hint="default" w:ascii="Times New Roman" w:hAnsi="Times New Roman" w:cs="Times New Roman"/>
                <w:color w:val="auto"/>
                <w:sz w:val="24"/>
                <w:szCs w:val="24"/>
              </w:rPr>
              <w:t>浓度COD：</w:t>
            </w:r>
            <w:r>
              <w:rPr>
                <w:rFonts w:hint="default" w:ascii="Times New Roman" w:hAnsi="Times New Roman" w:cs="Times New Roman"/>
                <w:color w:val="auto"/>
                <w:sz w:val="24"/>
                <w:szCs w:val="24"/>
                <w:lang w:val="en-US" w:eastAsia="zh-CN"/>
              </w:rPr>
              <w:t>325</w:t>
            </w:r>
            <w:r>
              <w:rPr>
                <w:rFonts w:hint="default" w:ascii="Times New Roman" w:hAnsi="Times New Roman" w:cs="Times New Roman"/>
                <w:color w:val="auto"/>
                <w:sz w:val="24"/>
                <w:szCs w:val="24"/>
              </w:rPr>
              <w:t>mg/L、BOD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140</w:t>
            </w:r>
            <w:r>
              <w:rPr>
                <w:rFonts w:hint="default" w:ascii="Times New Roman" w:hAnsi="Times New Roman" w:cs="Times New Roman"/>
                <w:color w:val="auto"/>
                <w:sz w:val="24"/>
                <w:szCs w:val="24"/>
              </w:rPr>
              <w:t>mg/L、SS：</w:t>
            </w:r>
            <w:r>
              <w:rPr>
                <w:rFonts w:hint="default" w:ascii="Times New Roman" w:hAnsi="Times New Roman" w:cs="Times New Roman"/>
                <w:color w:val="auto"/>
                <w:sz w:val="24"/>
                <w:szCs w:val="24"/>
                <w:lang w:val="en-US" w:eastAsia="zh-CN"/>
              </w:rPr>
              <w:t>200</w:t>
            </w:r>
            <w:r>
              <w:rPr>
                <w:rFonts w:hint="default" w:ascii="Times New Roman" w:hAnsi="Times New Roman" w:cs="Times New Roman"/>
                <w:color w:val="auto"/>
                <w:sz w:val="24"/>
                <w:szCs w:val="24"/>
              </w:rPr>
              <w:t>mg/L、NH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w:t>
            </w:r>
            <w:r>
              <w:rPr>
                <w:rFonts w:hint="default" w:ascii="Times New Roman" w:hAnsi="Times New Roman" w:cs="Times New Roman"/>
                <w:color w:val="auto"/>
                <w:sz w:val="24"/>
                <w:szCs w:val="24"/>
                <w:lang w:val="en-US" w:eastAsia="zh-CN"/>
              </w:rPr>
              <w:t>37.7</w:t>
            </w:r>
            <w:r>
              <w:rPr>
                <w:rFonts w:hint="default" w:ascii="Times New Roman" w:hAnsi="Times New Roman" w:cs="Times New Roman"/>
                <w:color w:val="auto"/>
                <w:sz w:val="24"/>
                <w:szCs w:val="24"/>
              </w:rPr>
              <w:t>mg/L、TP：</w:t>
            </w:r>
            <w:r>
              <w:rPr>
                <w:rFonts w:hint="default" w:ascii="Times New Roman" w:hAnsi="Times New Roman" w:cs="Times New Roman"/>
                <w:color w:val="auto"/>
                <w:sz w:val="24"/>
                <w:szCs w:val="24"/>
                <w:lang w:val="en-US" w:eastAsia="zh-CN"/>
              </w:rPr>
              <w:t>4.28</w:t>
            </w:r>
            <w:r>
              <w:rPr>
                <w:rFonts w:hint="default" w:ascii="Times New Roman" w:hAnsi="Times New Roman" w:cs="Times New Roman"/>
                <w:color w:val="auto"/>
                <w:sz w:val="24"/>
                <w:szCs w:val="24"/>
              </w:rPr>
              <w:t>mg/L</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动植物油：100</w:t>
            </w:r>
            <w:r>
              <w:rPr>
                <w:rFonts w:hint="default" w:ascii="Times New Roman" w:hAnsi="Times New Roman" w:cs="Times New Roman"/>
                <w:color w:val="auto"/>
                <w:sz w:val="24"/>
                <w:szCs w:val="24"/>
              </w:rPr>
              <w:t>mg/L</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则生活污水产生源强见下表：</w:t>
            </w:r>
          </w:p>
          <w:p w14:paraId="0CAEE4C8">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lang w:val="en-US" w:eastAsia="zh-CN" w:bidi="ar-SA"/>
              </w:rPr>
            </w:pPr>
            <w:r>
              <w:rPr>
                <w:rFonts w:hint="default" w:ascii="Times New Roman" w:hAnsi="Times New Roman" w:eastAsia="黑体" w:cs="Times New Roman"/>
                <w:b/>
                <w:bCs/>
                <w:color w:val="auto"/>
                <w:kern w:val="0"/>
                <w:sz w:val="21"/>
                <w:szCs w:val="21"/>
                <w:highlight w:val="none"/>
                <w:lang w:val="en-US" w:eastAsia="zh-CN" w:bidi="ar-SA"/>
              </w:rPr>
              <w:t xml:space="preserve">表4-15 </w:t>
            </w:r>
            <w:r>
              <w:rPr>
                <w:rFonts w:hint="default" w:ascii="Times New Roman" w:hAnsi="Times New Roman" w:eastAsia="黑体" w:cs="Times New Roman"/>
                <w:b/>
                <w:bCs/>
                <w:color w:val="auto"/>
                <w:kern w:val="0"/>
                <w:sz w:val="21"/>
                <w:szCs w:val="21"/>
                <w:lang w:val="en-US" w:eastAsia="zh-CN" w:bidi="ar-SA"/>
              </w:rPr>
              <w:t>生活污水产排污环节、类别、污染物种类、产生量</w:t>
            </w:r>
          </w:p>
          <w:tbl>
            <w:tblPr>
              <w:tblStyle w:val="30"/>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593"/>
              <w:gridCol w:w="1186"/>
              <w:gridCol w:w="1486"/>
              <w:gridCol w:w="1639"/>
              <w:gridCol w:w="1639"/>
            </w:tblGrid>
            <w:tr w14:paraId="24CF8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1099" w:type="dxa"/>
                  <w:vMerge w:val="restart"/>
                  <w:tcBorders>
                    <w:tl2br w:val="nil"/>
                    <w:tr2bl w:val="nil"/>
                  </w:tcBorders>
                  <w:vAlign w:val="center"/>
                </w:tcPr>
                <w:p w14:paraId="61AB63A9">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废水产污环节</w:t>
                  </w:r>
                </w:p>
              </w:tc>
              <w:tc>
                <w:tcPr>
                  <w:tcW w:w="1593" w:type="dxa"/>
                  <w:vMerge w:val="restart"/>
                  <w:tcBorders>
                    <w:tl2br w:val="nil"/>
                    <w:tr2bl w:val="nil"/>
                  </w:tcBorders>
                  <w:vAlign w:val="center"/>
                </w:tcPr>
                <w:p w14:paraId="78C2C107">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废水类别</w:t>
                  </w:r>
                </w:p>
              </w:tc>
              <w:tc>
                <w:tcPr>
                  <w:tcW w:w="1186" w:type="dxa"/>
                  <w:vMerge w:val="restart"/>
                  <w:tcBorders>
                    <w:tl2br w:val="nil"/>
                    <w:tr2bl w:val="nil"/>
                  </w:tcBorders>
                  <w:vAlign w:val="center"/>
                </w:tcPr>
                <w:p w14:paraId="4777926A">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废水量（m</w:t>
                  </w:r>
                  <w:r>
                    <w:rPr>
                      <w:rFonts w:hint="default" w:ascii="Times New Roman" w:hAnsi="Times New Roman" w:cs="Times New Roman"/>
                      <w:b/>
                      <w:bCs/>
                      <w:color w:val="auto"/>
                      <w:szCs w:val="21"/>
                      <w:vertAlign w:val="superscript"/>
                    </w:rPr>
                    <w:t>3</w:t>
                  </w:r>
                  <w:r>
                    <w:rPr>
                      <w:rFonts w:hint="default" w:ascii="Times New Roman" w:hAnsi="Times New Roman" w:cs="Times New Roman"/>
                      <w:b/>
                      <w:bCs/>
                      <w:color w:val="auto"/>
                      <w:szCs w:val="21"/>
                    </w:rPr>
                    <w:t>/d）</w:t>
                  </w:r>
                </w:p>
              </w:tc>
              <w:tc>
                <w:tcPr>
                  <w:tcW w:w="1486" w:type="dxa"/>
                  <w:vMerge w:val="restart"/>
                  <w:tcBorders>
                    <w:tl2br w:val="nil"/>
                    <w:tr2bl w:val="nil"/>
                  </w:tcBorders>
                  <w:vAlign w:val="center"/>
                </w:tcPr>
                <w:p w14:paraId="3E981932">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污染物种类</w:t>
                  </w:r>
                </w:p>
              </w:tc>
              <w:tc>
                <w:tcPr>
                  <w:tcW w:w="3278" w:type="dxa"/>
                  <w:gridSpan w:val="2"/>
                  <w:tcBorders>
                    <w:tl2br w:val="nil"/>
                    <w:tr2bl w:val="nil"/>
                  </w:tcBorders>
                  <w:vAlign w:val="center"/>
                </w:tcPr>
                <w:p w14:paraId="51E8C622">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污染物产生量</w:t>
                  </w:r>
                </w:p>
              </w:tc>
            </w:tr>
            <w:tr w14:paraId="1BC4D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9" w:type="dxa"/>
                  <w:vMerge w:val="continue"/>
                  <w:tcBorders>
                    <w:tl2br w:val="nil"/>
                    <w:tr2bl w:val="nil"/>
                  </w:tcBorders>
                  <w:vAlign w:val="center"/>
                </w:tcPr>
                <w:p w14:paraId="17F88B80">
                  <w:pPr>
                    <w:jc w:val="center"/>
                    <w:rPr>
                      <w:rFonts w:hint="default" w:ascii="Times New Roman" w:hAnsi="Times New Roman" w:cs="Times New Roman"/>
                      <w:b/>
                      <w:bCs/>
                      <w:color w:val="auto"/>
                      <w:szCs w:val="21"/>
                    </w:rPr>
                  </w:pPr>
                </w:p>
              </w:tc>
              <w:tc>
                <w:tcPr>
                  <w:tcW w:w="1593" w:type="dxa"/>
                  <w:vMerge w:val="continue"/>
                  <w:tcBorders>
                    <w:tl2br w:val="nil"/>
                    <w:tr2bl w:val="nil"/>
                  </w:tcBorders>
                  <w:vAlign w:val="center"/>
                </w:tcPr>
                <w:p w14:paraId="0248F49F">
                  <w:pPr>
                    <w:jc w:val="center"/>
                    <w:rPr>
                      <w:rFonts w:hint="default" w:ascii="Times New Roman" w:hAnsi="Times New Roman" w:cs="Times New Roman"/>
                      <w:b/>
                      <w:bCs/>
                      <w:color w:val="auto"/>
                      <w:szCs w:val="21"/>
                    </w:rPr>
                  </w:pPr>
                </w:p>
              </w:tc>
              <w:tc>
                <w:tcPr>
                  <w:tcW w:w="1186" w:type="dxa"/>
                  <w:vMerge w:val="continue"/>
                  <w:tcBorders>
                    <w:tl2br w:val="nil"/>
                    <w:tr2bl w:val="nil"/>
                  </w:tcBorders>
                  <w:vAlign w:val="center"/>
                </w:tcPr>
                <w:p w14:paraId="7912F9A2">
                  <w:pPr>
                    <w:jc w:val="center"/>
                    <w:rPr>
                      <w:rFonts w:hint="default" w:ascii="Times New Roman" w:hAnsi="Times New Roman" w:cs="Times New Roman"/>
                      <w:b/>
                      <w:bCs/>
                      <w:color w:val="auto"/>
                      <w:szCs w:val="21"/>
                    </w:rPr>
                  </w:pPr>
                </w:p>
              </w:tc>
              <w:tc>
                <w:tcPr>
                  <w:tcW w:w="1486" w:type="dxa"/>
                  <w:vMerge w:val="continue"/>
                  <w:tcBorders>
                    <w:tl2br w:val="nil"/>
                    <w:tr2bl w:val="nil"/>
                  </w:tcBorders>
                  <w:vAlign w:val="center"/>
                </w:tcPr>
                <w:p w14:paraId="2AE80361">
                  <w:pPr>
                    <w:jc w:val="center"/>
                    <w:rPr>
                      <w:rFonts w:hint="default" w:ascii="Times New Roman" w:hAnsi="Times New Roman" w:cs="Times New Roman"/>
                      <w:b/>
                      <w:bCs/>
                      <w:color w:val="auto"/>
                      <w:szCs w:val="21"/>
                    </w:rPr>
                  </w:pPr>
                </w:p>
              </w:tc>
              <w:tc>
                <w:tcPr>
                  <w:tcW w:w="1639" w:type="dxa"/>
                  <w:tcBorders>
                    <w:tl2br w:val="nil"/>
                    <w:tr2bl w:val="nil"/>
                  </w:tcBorders>
                  <w:vAlign w:val="center"/>
                </w:tcPr>
                <w:p w14:paraId="1F38D772">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浓度（mg/L）</w:t>
                  </w:r>
                </w:p>
              </w:tc>
              <w:tc>
                <w:tcPr>
                  <w:tcW w:w="1639" w:type="dxa"/>
                  <w:tcBorders>
                    <w:tl2br w:val="nil"/>
                    <w:tr2bl w:val="nil"/>
                  </w:tcBorders>
                  <w:vAlign w:val="center"/>
                </w:tcPr>
                <w:p w14:paraId="526BF9C4">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产生量（t/a）</w:t>
                  </w:r>
                </w:p>
              </w:tc>
            </w:tr>
            <w:tr w14:paraId="1C781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9" w:type="dxa"/>
                  <w:vMerge w:val="restart"/>
                  <w:tcBorders>
                    <w:tl2br w:val="nil"/>
                    <w:tr2bl w:val="nil"/>
                  </w:tcBorders>
                  <w:vAlign w:val="center"/>
                </w:tcPr>
                <w:p w14:paraId="569A7336">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生活用水</w:t>
                  </w:r>
                </w:p>
              </w:tc>
              <w:tc>
                <w:tcPr>
                  <w:tcW w:w="1593" w:type="dxa"/>
                  <w:vMerge w:val="restart"/>
                  <w:tcBorders>
                    <w:tl2br w:val="nil"/>
                    <w:tr2bl w:val="nil"/>
                  </w:tcBorders>
                  <w:vAlign w:val="center"/>
                </w:tcPr>
                <w:p w14:paraId="024BD3E3">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生活污水</w:t>
                  </w:r>
                </w:p>
              </w:tc>
              <w:tc>
                <w:tcPr>
                  <w:tcW w:w="1186" w:type="dxa"/>
                  <w:vMerge w:val="restart"/>
                  <w:tcBorders>
                    <w:tl2br w:val="nil"/>
                    <w:tr2bl w:val="nil"/>
                  </w:tcBorders>
                  <w:vAlign w:val="center"/>
                </w:tcPr>
                <w:p w14:paraId="7039C825">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1.02</w:t>
                  </w:r>
                </w:p>
              </w:tc>
              <w:tc>
                <w:tcPr>
                  <w:tcW w:w="1486" w:type="dxa"/>
                  <w:tcBorders>
                    <w:tl2br w:val="nil"/>
                    <w:tr2bl w:val="nil"/>
                  </w:tcBorders>
                  <w:vAlign w:val="center"/>
                </w:tcPr>
                <w:p w14:paraId="7310C46B">
                  <w:pPr>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1639" w:type="dxa"/>
                  <w:tcBorders>
                    <w:tl2br w:val="nil"/>
                    <w:tr2bl w:val="nil"/>
                  </w:tcBorders>
                  <w:vAlign w:val="center"/>
                </w:tcPr>
                <w:p w14:paraId="527489AD">
                  <w:pPr>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eastAsia="zh-CN"/>
                    </w:rPr>
                    <w:t>325</w:t>
                  </w:r>
                </w:p>
              </w:tc>
              <w:tc>
                <w:tcPr>
                  <w:tcW w:w="1639" w:type="dxa"/>
                  <w:tcBorders>
                    <w:tl2br w:val="nil"/>
                    <w:tr2bl w:val="nil"/>
                  </w:tcBorders>
                  <w:vAlign w:val="center"/>
                </w:tcPr>
                <w:p w14:paraId="73EDB0D1">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0.0497 </w:t>
                  </w:r>
                </w:p>
              </w:tc>
            </w:tr>
            <w:tr w14:paraId="35A76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9" w:type="dxa"/>
                  <w:vMerge w:val="continue"/>
                  <w:tcBorders>
                    <w:tl2br w:val="nil"/>
                    <w:tr2bl w:val="nil"/>
                  </w:tcBorders>
                  <w:vAlign w:val="center"/>
                </w:tcPr>
                <w:p w14:paraId="59BF00CF">
                  <w:pPr>
                    <w:jc w:val="center"/>
                    <w:rPr>
                      <w:rFonts w:hint="default" w:ascii="Times New Roman" w:hAnsi="Times New Roman" w:cs="Times New Roman"/>
                      <w:color w:val="auto"/>
                      <w:szCs w:val="21"/>
                    </w:rPr>
                  </w:pPr>
                </w:p>
              </w:tc>
              <w:tc>
                <w:tcPr>
                  <w:tcW w:w="1593" w:type="dxa"/>
                  <w:vMerge w:val="continue"/>
                  <w:tcBorders>
                    <w:tl2br w:val="nil"/>
                    <w:tr2bl w:val="nil"/>
                  </w:tcBorders>
                  <w:vAlign w:val="center"/>
                </w:tcPr>
                <w:p w14:paraId="52BCA91C">
                  <w:pPr>
                    <w:jc w:val="center"/>
                    <w:rPr>
                      <w:rFonts w:hint="default" w:ascii="Times New Roman" w:hAnsi="Times New Roman" w:cs="Times New Roman"/>
                      <w:color w:val="auto"/>
                      <w:szCs w:val="21"/>
                    </w:rPr>
                  </w:pPr>
                </w:p>
              </w:tc>
              <w:tc>
                <w:tcPr>
                  <w:tcW w:w="1186" w:type="dxa"/>
                  <w:vMerge w:val="continue"/>
                  <w:tcBorders>
                    <w:tl2br w:val="nil"/>
                    <w:tr2bl w:val="nil"/>
                  </w:tcBorders>
                  <w:vAlign w:val="center"/>
                </w:tcPr>
                <w:p w14:paraId="339D47D4">
                  <w:pPr>
                    <w:jc w:val="center"/>
                    <w:rPr>
                      <w:rFonts w:hint="default" w:ascii="Times New Roman" w:hAnsi="Times New Roman" w:cs="Times New Roman"/>
                      <w:color w:val="auto"/>
                      <w:szCs w:val="21"/>
                    </w:rPr>
                  </w:pPr>
                </w:p>
              </w:tc>
              <w:tc>
                <w:tcPr>
                  <w:tcW w:w="1486" w:type="dxa"/>
                  <w:tcBorders>
                    <w:tl2br w:val="nil"/>
                    <w:tr2bl w:val="nil"/>
                  </w:tcBorders>
                  <w:vAlign w:val="center"/>
                </w:tcPr>
                <w:p w14:paraId="31504737">
                  <w:pPr>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1639" w:type="dxa"/>
                  <w:tcBorders>
                    <w:tl2br w:val="nil"/>
                    <w:tr2bl w:val="nil"/>
                  </w:tcBorders>
                  <w:vAlign w:val="center"/>
                </w:tcPr>
                <w:p w14:paraId="069917CC">
                  <w:pPr>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eastAsia="zh-CN"/>
                    </w:rPr>
                    <w:t>140</w:t>
                  </w:r>
                </w:p>
              </w:tc>
              <w:tc>
                <w:tcPr>
                  <w:tcW w:w="1639" w:type="dxa"/>
                  <w:tcBorders>
                    <w:tl2br w:val="nil"/>
                    <w:tr2bl w:val="nil"/>
                  </w:tcBorders>
                  <w:vAlign w:val="center"/>
                </w:tcPr>
                <w:p w14:paraId="0CB3743B">
                  <w:pPr>
                    <w:keepNext w:val="0"/>
                    <w:keepLines w:val="0"/>
                    <w:widowControl/>
                    <w:suppressLineNumbers w:val="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0.0214 </w:t>
                  </w:r>
                </w:p>
              </w:tc>
            </w:tr>
            <w:tr w14:paraId="75C4D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9" w:type="dxa"/>
                  <w:vMerge w:val="continue"/>
                  <w:tcBorders>
                    <w:tl2br w:val="nil"/>
                    <w:tr2bl w:val="nil"/>
                  </w:tcBorders>
                  <w:vAlign w:val="center"/>
                </w:tcPr>
                <w:p w14:paraId="1B6F343E">
                  <w:pPr>
                    <w:jc w:val="center"/>
                    <w:rPr>
                      <w:rFonts w:hint="default" w:ascii="Times New Roman" w:hAnsi="Times New Roman" w:cs="Times New Roman"/>
                      <w:color w:val="auto"/>
                      <w:szCs w:val="21"/>
                    </w:rPr>
                  </w:pPr>
                </w:p>
              </w:tc>
              <w:tc>
                <w:tcPr>
                  <w:tcW w:w="1593" w:type="dxa"/>
                  <w:vMerge w:val="continue"/>
                  <w:tcBorders>
                    <w:tl2br w:val="nil"/>
                    <w:tr2bl w:val="nil"/>
                  </w:tcBorders>
                  <w:vAlign w:val="center"/>
                </w:tcPr>
                <w:p w14:paraId="5FEC94DB">
                  <w:pPr>
                    <w:jc w:val="center"/>
                    <w:rPr>
                      <w:rFonts w:hint="default" w:ascii="Times New Roman" w:hAnsi="Times New Roman" w:cs="Times New Roman"/>
                      <w:color w:val="auto"/>
                      <w:szCs w:val="21"/>
                    </w:rPr>
                  </w:pPr>
                </w:p>
              </w:tc>
              <w:tc>
                <w:tcPr>
                  <w:tcW w:w="1186" w:type="dxa"/>
                  <w:vMerge w:val="continue"/>
                  <w:tcBorders>
                    <w:tl2br w:val="nil"/>
                    <w:tr2bl w:val="nil"/>
                  </w:tcBorders>
                  <w:vAlign w:val="center"/>
                </w:tcPr>
                <w:p w14:paraId="66BAE152">
                  <w:pPr>
                    <w:jc w:val="center"/>
                    <w:rPr>
                      <w:rFonts w:hint="default" w:ascii="Times New Roman" w:hAnsi="Times New Roman" w:cs="Times New Roman"/>
                      <w:color w:val="auto"/>
                      <w:szCs w:val="21"/>
                    </w:rPr>
                  </w:pPr>
                </w:p>
              </w:tc>
              <w:tc>
                <w:tcPr>
                  <w:tcW w:w="1486" w:type="dxa"/>
                  <w:tcBorders>
                    <w:tl2br w:val="nil"/>
                    <w:tr2bl w:val="nil"/>
                  </w:tcBorders>
                  <w:vAlign w:val="center"/>
                </w:tcPr>
                <w:p w14:paraId="68DF79C3">
                  <w:pPr>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1639" w:type="dxa"/>
                  <w:tcBorders>
                    <w:tl2br w:val="nil"/>
                    <w:tr2bl w:val="nil"/>
                  </w:tcBorders>
                  <w:vAlign w:val="center"/>
                </w:tcPr>
                <w:p w14:paraId="03D002E0">
                  <w:pPr>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eastAsia="zh-CN"/>
                    </w:rPr>
                    <w:t>200</w:t>
                  </w:r>
                </w:p>
              </w:tc>
              <w:tc>
                <w:tcPr>
                  <w:tcW w:w="1639" w:type="dxa"/>
                  <w:tcBorders>
                    <w:tl2br w:val="nil"/>
                    <w:tr2bl w:val="nil"/>
                  </w:tcBorders>
                  <w:vAlign w:val="center"/>
                </w:tcPr>
                <w:p w14:paraId="59758574">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0.0306 </w:t>
                  </w:r>
                </w:p>
              </w:tc>
            </w:tr>
            <w:tr w14:paraId="6F64F9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9" w:type="dxa"/>
                  <w:vMerge w:val="continue"/>
                  <w:tcBorders>
                    <w:tl2br w:val="nil"/>
                    <w:tr2bl w:val="nil"/>
                  </w:tcBorders>
                  <w:vAlign w:val="center"/>
                </w:tcPr>
                <w:p w14:paraId="3CF84DCC">
                  <w:pPr>
                    <w:jc w:val="center"/>
                    <w:rPr>
                      <w:rFonts w:hint="default" w:ascii="Times New Roman" w:hAnsi="Times New Roman" w:cs="Times New Roman"/>
                      <w:color w:val="auto"/>
                      <w:szCs w:val="21"/>
                    </w:rPr>
                  </w:pPr>
                </w:p>
              </w:tc>
              <w:tc>
                <w:tcPr>
                  <w:tcW w:w="1593" w:type="dxa"/>
                  <w:vMerge w:val="continue"/>
                  <w:tcBorders>
                    <w:tl2br w:val="nil"/>
                    <w:tr2bl w:val="nil"/>
                  </w:tcBorders>
                  <w:vAlign w:val="center"/>
                </w:tcPr>
                <w:p w14:paraId="22D29D97">
                  <w:pPr>
                    <w:jc w:val="center"/>
                    <w:rPr>
                      <w:rFonts w:hint="default" w:ascii="Times New Roman" w:hAnsi="Times New Roman" w:cs="Times New Roman"/>
                      <w:color w:val="auto"/>
                      <w:szCs w:val="21"/>
                    </w:rPr>
                  </w:pPr>
                </w:p>
              </w:tc>
              <w:tc>
                <w:tcPr>
                  <w:tcW w:w="1186" w:type="dxa"/>
                  <w:vMerge w:val="continue"/>
                  <w:tcBorders>
                    <w:tl2br w:val="nil"/>
                    <w:tr2bl w:val="nil"/>
                  </w:tcBorders>
                  <w:vAlign w:val="center"/>
                </w:tcPr>
                <w:p w14:paraId="3473F232">
                  <w:pPr>
                    <w:jc w:val="center"/>
                    <w:rPr>
                      <w:rFonts w:hint="default" w:ascii="Times New Roman" w:hAnsi="Times New Roman" w:cs="Times New Roman"/>
                      <w:color w:val="auto"/>
                      <w:szCs w:val="21"/>
                    </w:rPr>
                  </w:pPr>
                </w:p>
              </w:tc>
              <w:tc>
                <w:tcPr>
                  <w:tcW w:w="1486" w:type="dxa"/>
                  <w:tcBorders>
                    <w:tl2br w:val="nil"/>
                    <w:tr2bl w:val="nil"/>
                  </w:tcBorders>
                  <w:vAlign w:val="center"/>
                </w:tcPr>
                <w:p w14:paraId="54051648">
                  <w:pPr>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1639" w:type="dxa"/>
                  <w:tcBorders>
                    <w:tl2br w:val="nil"/>
                    <w:tr2bl w:val="nil"/>
                  </w:tcBorders>
                  <w:vAlign w:val="center"/>
                </w:tcPr>
                <w:p w14:paraId="655B5BC2">
                  <w:pPr>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eastAsia="zh-CN"/>
                    </w:rPr>
                    <w:t>37.7</w:t>
                  </w:r>
                </w:p>
              </w:tc>
              <w:tc>
                <w:tcPr>
                  <w:tcW w:w="1639" w:type="dxa"/>
                  <w:tcBorders>
                    <w:tl2br w:val="nil"/>
                    <w:tr2bl w:val="nil"/>
                  </w:tcBorders>
                  <w:vAlign w:val="center"/>
                </w:tcPr>
                <w:p w14:paraId="4D471EA2">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0.0058 </w:t>
                  </w:r>
                </w:p>
              </w:tc>
            </w:tr>
            <w:tr w14:paraId="2D36F6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9" w:type="dxa"/>
                  <w:vMerge w:val="continue"/>
                  <w:tcBorders>
                    <w:tl2br w:val="nil"/>
                    <w:tr2bl w:val="nil"/>
                  </w:tcBorders>
                  <w:vAlign w:val="center"/>
                </w:tcPr>
                <w:p w14:paraId="2799F5A9">
                  <w:pPr>
                    <w:jc w:val="center"/>
                    <w:rPr>
                      <w:rFonts w:hint="default" w:ascii="Times New Roman" w:hAnsi="Times New Roman" w:cs="Times New Roman"/>
                      <w:color w:val="auto"/>
                      <w:szCs w:val="21"/>
                    </w:rPr>
                  </w:pPr>
                </w:p>
              </w:tc>
              <w:tc>
                <w:tcPr>
                  <w:tcW w:w="1593" w:type="dxa"/>
                  <w:vMerge w:val="continue"/>
                  <w:tcBorders>
                    <w:tl2br w:val="nil"/>
                    <w:tr2bl w:val="nil"/>
                  </w:tcBorders>
                  <w:vAlign w:val="center"/>
                </w:tcPr>
                <w:p w14:paraId="0B881BAE">
                  <w:pPr>
                    <w:jc w:val="center"/>
                    <w:rPr>
                      <w:rFonts w:hint="default" w:ascii="Times New Roman" w:hAnsi="Times New Roman" w:cs="Times New Roman"/>
                      <w:color w:val="auto"/>
                      <w:szCs w:val="21"/>
                    </w:rPr>
                  </w:pPr>
                </w:p>
              </w:tc>
              <w:tc>
                <w:tcPr>
                  <w:tcW w:w="1186" w:type="dxa"/>
                  <w:vMerge w:val="continue"/>
                  <w:tcBorders>
                    <w:tl2br w:val="nil"/>
                    <w:tr2bl w:val="nil"/>
                  </w:tcBorders>
                  <w:vAlign w:val="center"/>
                </w:tcPr>
                <w:p w14:paraId="1DC22157">
                  <w:pPr>
                    <w:jc w:val="center"/>
                    <w:rPr>
                      <w:rFonts w:hint="default" w:ascii="Times New Roman" w:hAnsi="Times New Roman" w:cs="Times New Roman"/>
                      <w:color w:val="auto"/>
                      <w:szCs w:val="21"/>
                    </w:rPr>
                  </w:pPr>
                </w:p>
              </w:tc>
              <w:tc>
                <w:tcPr>
                  <w:tcW w:w="1486" w:type="dxa"/>
                  <w:tcBorders>
                    <w:tl2br w:val="nil"/>
                    <w:tr2bl w:val="nil"/>
                  </w:tcBorders>
                  <w:vAlign w:val="center"/>
                </w:tcPr>
                <w:p w14:paraId="059EE629">
                  <w:pPr>
                    <w:jc w:val="center"/>
                    <w:rPr>
                      <w:rFonts w:hint="default" w:ascii="Times New Roman" w:hAnsi="Times New Roman" w:cs="Times New Roman"/>
                      <w:color w:val="auto"/>
                      <w:szCs w:val="21"/>
                    </w:rPr>
                  </w:pPr>
                  <w:r>
                    <w:rPr>
                      <w:rFonts w:hint="default" w:ascii="Times New Roman" w:hAnsi="Times New Roman" w:cs="Times New Roman"/>
                      <w:color w:val="auto"/>
                      <w:szCs w:val="21"/>
                    </w:rPr>
                    <w:t>TP</w:t>
                  </w:r>
                </w:p>
              </w:tc>
              <w:tc>
                <w:tcPr>
                  <w:tcW w:w="1639" w:type="dxa"/>
                  <w:tcBorders>
                    <w:tl2br w:val="nil"/>
                    <w:tr2bl w:val="nil"/>
                  </w:tcBorders>
                  <w:vAlign w:val="center"/>
                </w:tcPr>
                <w:p w14:paraId="1CDA25E4">
                  <w:pPr>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eastAsia="zh-CN"/>
                    </w:rPr>
                    <w:t>4.28</w:t>
                  </w:r>
                </w:p>
              </w:tc>
              <w:tc>
                <w:tcPr>
                  <w:tcW w:w="1639" w:type="dxa"/>
                  <w:tcBorders>
                    <w:tl2br w:val="nil"/>
                    <w:tr2bl w:val="nil"/>
                  </w:tcBorders>
                  <w:vAlign w:val="center"/>
                </w:tcPr>
                <w:p w14:paraId="32A8E585">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0.0007 </w:t>
                  </w:r>
                </w:p>
              </w:tc>
            </w:tr>
            <w:tr w14:paraId="053C14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9" w:type="dxa"/>
                  <w:vMerge w:val="continue"/>
                  <w:tcBorders>
                    <w:tl2br w:val="nil"/>
                    <w:tr2bl w:val="nil"/>
                  </w:tcBorders>
                  <w:vAlign w:val="center"/>
                </w:tcPr>
                <w:p w14:paraId="343F3952">
                  <w:pPr>
                    <w:jc w:val="center"/>
                    <w:rPr>
                      <w:rFonts w:hint="default" w:ascii="Times New Roman" w:hAnsi="Times New Roman" w:cs="Times New Roman"/>
                      <w:color w:val="auto"/>
                      <w:szCs w:val="21"/>
                    </w:rPr>
                  </w:pPr>
                </w:p>
              </w:tc>
              <w:tc>
                <w:tcPr>
                  <w:tcW w:w="1593" w:type="dxa"/>
                  <w:vMerge w:val="continue"/>
                  <w:tcBorders>
                    <w:tl2br w:val="nil"/>
                    <w:tr2bl w:val="nil"/>
                  </w:tcBorders>
                  <w:vAlign w:val="center"/>
                </w:tcPr>
                <w:p w14:paraId="4797E75E">
                  <w:pPr>
                    <w:jc w:val="center"/>
                    <w:rPr>
                      <w:rFonts w:hint="default" w:ascii="Times New Roman" w:hAnsi="Times New Roman" w:cs="Times New Roman"/>
                      <w:color w:val="auto"/>
                      <w:szCs w:val="21"/>
                    </w:rPr>
                  </w:pPr>
                </w:p>
              </w:tc>
              <w:tc>
                <w:tcPr>
                  <w:tcW w:w="1186" w:type="dxa"/>
                  <w:vMerge w:val="continue"/>
                  <w:tcBorders>
                    <w:tl2br w:val="nil"/>
                    <w:tr2bl w:val="nil"/>
                  </w:tcBorders>
                  <w:vAlign w:val="center"/>
                </w:tcPr>
                <w:p w14:paraId="0BB53CF3">
                  <w:pPr>
                    <w:jc w:val="center"/>
                    <w:rPr>
                      <w:rFonts w:hint="default" w:ascii="Times New Roman" w:hAnsi="Times New Roman" w:cs="Times New Roman"/>
                      <w:color w:val="auto"/>
                      <w:szCs w:val="21"/>
                    </w:rPr>
                  </w:pPr>
                </w:p>
              </w:tc>
              <w:tc>
                <w:tcPr>
                  <w:tcW w:w="1486" w:type="dxa"/>
                  <w:tcBorders>
                    <w:tl2br w:val="nil"/>
                    <w:tr2bl w:val="nil"/>
                  </w:tcBorders>
                  <w:vAlign w:val="center"/>
                </w:tcPr>
                <w:p w14:paraId="7B3B4053">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动植物油</w:t>
                  </w:r>
                </w:p>
              </w:tc>
              <w:tc>
                <w:tcPr>
                  <w:tcW w:w="1639" w:type="dxa"/>
                  <w:tcBorders>
                    <w:tl2br w:val="nil"/>
                    <w:tr2bl w:val="nil"/>
                  </w:tcBorders>
                  <w:vAlign w:val="center"/>
                </w:tcPr>
                <w:p w14:paraId="05EFA326">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100</w:t>
                  </w:r>
                </w:p>
              </w:tc>
              <w:tc>
                <w:tcPr>
                  <w:tcW w:w="1639" w:type="dxa"/>
                  <w:tcBorders>
                    <w:tl2br w:val="nil"/>
                    <w:tr2bl w:val="nil"/>
                  </w:tcBorders>
                  <w:vAlign w:val="center"/>
                </w:tcPr>
                <w:p w14:paraId="5C8C4B0F">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0.0153 </w:t>
                  </w:r>
                </w:p>
              </w:tc>
            </w:tr>
          </w:tbl>
          <w:p w14:paraId="1B8E6480">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②生产废水</w:t>
            </w:r>
          </w:p>
          <w:p w14:paraId="37032B73">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color w:val="auto"/>
                <w:sz w:val="24"/>
                <w:szCs w:val="24"/>
              </w:rPr>
              <w:t>项目</w:t>
            </w:r>
            <w:r>
              <w:rPr>
                <w:rFonts w:hint="default" w:ascii="Times New Roman" w:hAnsi="Times New Roman" w:cs="Times New Roman"/>
                <w:bCs/>
                <w:color w:val="auto"/>
                <w:sz w:val="24"/>
                <w:szCs w:val="24"/>
              </w:rPr>
              <w:t>作业区地面冲洗废水产生量约</w:t>
            </w:r>
            <w:r>
              <w:rPr>
                <w:rFonts w:hint="default" w:ascii="Times New Roman" w:hAnsi="Times New Roman" w:cs="Times New Roman"/>
                <w:bCs/>
                <w:color w:val="auto"/>
                <w:sz w:val="24"/>
                <w:szCs w:val="24"/>
                <w:lang w:val="en-US" w:eastAsia="zh-CN"/>
              </w:rPr>
              <w:t>3.83</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/d，主要污染物浓度SS：1000mg/L；车辆冲洗废水产生量约</w:t>
            </w:r>
            <w:r>
              <w:rPr>
                <w:rFonts w:hint="default" w:ascii="Times New Roman" w:hAnsi="Times New Roman" w:cs="Times New Roman"/>
                <w:bCs/>
                <w:color w:val="auto"/>
                <w:sz w:val="24"/>
                <w:szCs w:val="24"/>
                <w:lang w:val="en-US" w:eastAsia="zh-CN"/>
              </w:rPr>
              <w:t>2.78</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/d，主要污染物浓度SS：200mg/L、石油类：7.4mg/L。</w:t>
            </w:r>
            <w:r>
              <w:rPr>
                <w:rFonts w:hint="default" w:ascii="Times New Roman" w:hAnsi="Times New Roman" w:cs="Times New Roman"/>
                <w:color w:val="auto"/>
                <w:sz w:val="24"/>
                <w:szCs w:val="24"/>
              </w:rPr>
              <w:t>生产</w:t>
            </w:r>
            <w:r>
              <w:rPr>
                <w:rFonts w:hint="default" w:ascii="Times New Roman" w:hAnsi="Times New Roman" w:cs="Times New Roman"/>
                <w:color w:val="auto"/>
                <w:sz w:val="24"/>
                <w:szCs w:val="24"/>
                <w:lang w:val="en-US" w:eastAsia="zh-CN"/>
              </w:rPr>
              <w:t>废</w:t>
            </w:r>
            <w:r>
              <w:rPr>
                <w:rFonts w:hint="default" w:ascii="Times New Roman" w:hAnsi="Times New Roman" w:cs="Times New Roman"/>
                <w:color w:val="auto"/>
                <w:sz w:val="24"/>
                <w:szCs w:val="24"/>
              </w:rPr>
              <w:t>水为</w:t>
            </w:r>
            <w:r>
              <w:rPr>
                <w:rFonts w:hint="default" w:ascii="Times New Roman" w:hAnsi="Times New Roman" w:cs="Times New Roman"/>
                <w:color w:val="auto"/>
                <w:kern w:val="24"/>
                <w:sz w:val="24"/>
                <w:szCs w:val="24"/>
                <w:lang w:val="en-US" w:eastAsia="zh-CN"/>
              </w:rPr>
              <w:t>地面冲洗废水和车辆冲洗废水，经排水沟收集后汇入三级沉淀池，经三级沉淀池沉淀处理后回用，不外排</w:t>
            </w:r>
            <w:r>
              <w:rPr>
                <w:rFonts w:hint="default" w:ascii="Times New Roman" w:hAnsi="Times New Roman" w:cs="Times New Roman"/>
                <w:color w:val="auto"/>
                <w:sz w:val="24"/>
                <w:szCs w:val="24"/>
                <w:lang w:val="en-US" w:eastAsia="zh-CN"/>
              </w:rPr>
              <w:t>。</w:t>
            </w:r>
            <w:r>
              <w:rPr>
                <w:rFonts w:hint="default" w:ascii="Times New Roman" w:hAnsi="Times New Roman" w:cs="Times New Roman"/>
                <w:bCs/>
                <w:color w:val="auto"/>
                <w:sz w:val="24"/>
                <w:szCs w:val="24"/>
              </w:rPr>
              <w:t>工程</w:t>
            </w:r>
            <w:r>
              <w:rPr>
                <w:rFonts w:hint="default" w:ascii="Times New Roman" w:hAnsi="Times New Roman" w:cs="Times New Roman"/>
                <w:bCs/>
                <w:color w:val="auto"/>
                <w:sz w:val="24"/>
                <w:szCs w:val="24"/>
                <w:lang w:val="en-US" w:eastAsia="zh-CN"/>
              </w:rPr>
              <w:t>生产</w:t>
            </w:r>
            <w:r>
              <w:rPr>
                <w:rFonts w:hint="default" w:ascii="Times New Roman" w:hAnsi="Times New Roman" w:cs="Times New Roman"/>
                <w:bCs/>
                <w:color w:val="auto"/>
                <w:sz w:val="24"/>
                <w:szCs w:val="24"/>
              </w:rPr>
              <w:t>废水产排污环节、类别、污染物种类、产生量见下表：</w:t>
            </w:r>
          </w:p>
          <w:p w14:paraId="0FA6B5D2">
            <w:pPr>
              <w:spacing w:line="360" w:lineRule="auto"/>
              <w:jc w:val="center"/>
              <w:rPr>
                <w:rFonts w:hint="default" w:ascii="Times New Roman" w:hAnsi="Times New Roman" w:cs="Times New Roman"/>
                <w:b/>
                <w:color w:val="auto"/>
                <w:sz w:val="24"/>
                <w:szCs w:val="24"/>
              </w:rPr>
            </w:pPr>
            <w:r>
              <w:rPr>
                <w:rFonts w:hint="default" w:ascii="Times New Roman" w:hAnsi="Times New Roman"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-1</w:t>
            </w:r>
            <w:r>
              <w:rPr>
                <w:rFonts w:hint="default" w:ascii="Times New Roman" w:hAnsi="Times New Roman" w:cs="Times New Roman"/>
                <w:b/>
                <w:color w:val="auto"/>
                <w:sz w:val="21"/>
                <w:szCs w:val="21"/>
                <w:highlight w:val="none"/>
                <w:lang w:val="en-US" w:eastAsia="zh-CN"/>
              </w:rPr>
              <w:t>6</w:t>
            </w:r>
            <w:r>
              <w:rPr>
                <w:rFonts w:hint="default" w:ascii="Times New Roman" w:hAnsi="Times New Roman" w:cs="Times New Roman"/>
                <w:b/>
                <w:color w:val="auto"/>
                <w:sz w:val="21"/>
                <w:szCs w:val="21"/>
                <w:highlight w:val="none"/>
              </w:rPr>
              <w:t xml:space="preserve"> </w:t>
            </w:r>
            <w:r>
              <w:rPr>
                <w:rFonts w:hint="default" w:ascii="Times New Roman" w:hAnsi="Times New Roman" w:cs="Times New Roman"/>
                <w:b/>
                <w:color w:val="auto"/>
                <w:sz w:val="21"/>
                <w:szCs w:val="21"/>
              </w:rPr>
              <w:t>废水产排污环节、类别、污染物种类、产生量表</w:t>
            </w:r>
          </w:p>
          <w:tbl>
            <w:tblPr>
              <w:tblStyle w:val="3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2189"/>
              <w:gridCol w:w="1121"/>
              <w:gridCol w:w="1277"/>
              <w:gridCol w:w="1370"/>
              <w:gridCol w:w="1367"/>
            </w:tblGrid>
            <w:tr w14:paraId="153D0E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restart"/>
                  <w:tcBorders>
                    <w:tl2br w:val="nil"/>
                    <w:tr2bl w:val="nil"/>
                  </w:tcBorders>
                  <w:vAlign w:val="center"/>
                </w:tcPr>
                <w:p w14:paraId="0999E101">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废水产污环节</w:t>
                  </w:r>
                </w:p>
              </w:tc>
              <w:tc>
                <w:tcPr>
                  <w:tcW w:w="1267" w:type="pct"/>
                  <w:vMerge w:val="restart"/>
                  <w:tcBorders>
                    <w:tl2br w:val="nil"/>
                    <w:tr2bl w:val="nil"/>
                  </w:tcBorders>
                  <w:vAlign w:val="center"/>
                </w:tcPr>
                <w:p w14:paraId="6F59A12D">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废水类别</w:t>
                  </w:r>
                </w:p>
              </w:tc>
              <w:tc>
                <w:tcPr>
                  <w:tcW w:w="649" w:type="pct"/>
                  <w:vMerge w:val="restart"/>
                  <w:tcBorders>
                    <w:tl2br w:val="nil"/>
                    <w:tr2bl w:val="nil"/>
                  </w:tcBorders>
                  <w:vAlign w:val="center"/>
                </w:tcPr>
                <w:p w14:paraId="5C8935EE">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废水量（m</w:t>
                  </w:r>
                  <w:r>
                    <w:rPr>
                      <w:rFonts w:hint="default" w:ascii="Times New Roman" w:hAnsi="Times New Roman" w:cs="Times New Roman"/>
                      <w:b/>
                      <w:bCs/>
                      <w:color w:val="auto"/>
                      <w:szCs w:val="21"/>
                      <w:vertAlign w:val="superscript"/>
                    </w:rPr>
                    <w:t>3</w:t>
                  </w:r>
                  <w:r>
                    <w:rPr>
                      <w:rFonts w:hint="default" w:ascii="Times New Roman" w:hAnsi="Times New Roman" w:cs="Times New Roman"/>
                      <w:b/>
                      <w:bCs/>
                      <w:color w:val="auto"/>
                      <w:szCs w:val="21"/>
                    </w:rPr>
                    <w:t>/d）</w:t>
                  </w:r>
                </w:p>
              </w:tc>
              <w:tc>
                <w:tcPr>
                  <w:tcW w:w="739" w:type="pct"/>
                  <w:vMerge w:val="restart"/>
                  <w:tcBorders>
                    <w:tl2br w:val="nil"/>
                    <w:tr2bl w:val="nil"/>
                  </w:tcBorders>
                  <w:vAlign w:val="center"/>
                </w:tcPr>
                <w:p w14:paraId="16E6CB99">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污染物种类</w:t>
                  </w:r>
                </w:p>
              </w:tc>
              <w:tc>
                <w:tcPr>
                  <w:tcW w:w="1584" w:type="pct"/>
                  <w:gridSpan w:val="2"/>
                  <w:tcBorders>
                    <w:tl2br w:val="nil"/>
                    <w:tr2bl w:val="nil"/>
                  </w:tcBorders>
                  <w:vAlign w:val="center"/>
                </w:tcPr>
                <w:p w14:paraId="2F1D61C8">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污染物产生量</w:t>
                  </w:r>
                </w:p>
              </w:tc>
            </w:tr>
            <w:tr w14:paraId="2D66E5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vAlign w:val="center"/>
                </w:tcPr>
                <w:p w14:paraId="62548F22">
                  <w:pPr>
                    <w:jc w:val="center"/>
                    <w:rPr>
                      <w:rFonts w:hint="default" w:ascii="Times New Roman" w:hAnsi="Times New Roman" w:cs="Times New Roman"/>
                      <w:b/>
                      <w:bCs/>
                      <w:color w:val="auto"/>
                      <w:szCs w:val="21"/>
                    </w:rPr>
                  </w:pPr>
                </w:p>
              </w:tc>
              <w:tc>
                <w:tcPr>
                  <w:tcW w:w="1267" w:type="pct"/>
                  <w:vMerge w:val="continue"/>
                  <w:tcBorders>
                    <w:tl2br w:val="nil"/>
                    <w:tr2bl w:val="nil"/>
                  </w:tcBorders>
                  <w:vAlign w:val="center"/>
                </w:tcPr>
                <w:p w14:paraId="6104088E">
                  <w:pPr>
                    <w:jc w:val="center"/>
                    <w:rPr>
                      <w:rFonts w:hint="default" w:ascii="Times New Roman" w:hAnsi="Times New Roman" w:cs="Times New Roman"/>
                      <w:b/>
                      <w:bCs/>
                      <w:color w:val="auto"/>
                      <w:szCs w:val="21"/>
                    </w:rPr>
                  </w:pPr>
                </w:p>
              </w:tc>
              <w:tc>
                <w:tcPr>
                  <w:tcW w:w="649" w:type="pct"/>
                  <w:vMerge w:val="continue"/>
                  <w:tcBorders>
                    <w:tl2br w:val="nil"/>
                    <w:tr2bl w:val="nil"/>
                  </w:tcBorders>
                  <w:vAlign w:val="center"/>
                </w:tcPr>
                <w:p w14:paraId="72C91D6E">
                  <w:pPr>
                    <w:jc w:val="center"/>
                    <w:rPr>
                      <w:rFonts w:hint="default" w:ascii="Times New Roman" w:hAnsi="Times New Roman" w:cs="Times New Roman"/>
                      <w:b/>
                      <w:bCs/>
                      <w:color w:val="auto"/>
                      <w:szCs w:val="21"/>
                    </w:rPr>
                  </w:pPr>
                </w:p>
              </w:tc>
              <w:tc>
                <w:tcPr>
                  <w:tcW w:w="739" w:type="pct"/>
                  <w:vMerge w:val="continue"/>
                  <w:tcBorders>
                    <w:tl2br w:val="nil"/>
                    <w:tr2bl w:val="nil"/>
                  </w:tcBorders>
                  <w:vAlign w:val="center"/>
                </w:tcPr>
                <w:p w14:paraId="287AE9BE">
                  <w:pPr>
                    <w:jc w:val="center"/>
                    <w:rPr>
                      <w:rFonts w:hint="default" w:ascii="Times New Roman" w:hAnsi="Times New Roman" w:cs="Times New Roman"/>
                      <w:b/>
                      <w:bCs/>
                      <w:color w:val="auto"/>
                      <w:szCs w:val="21"/>
                    </w:rPr>
                  </w:pPr>
                </w:p>
              </w:tc>
              <w:tc>
                <w:tcPr>
                  <w:tcW w:w="793" w:type="pct"/>
                  <w:tcBorders>
                    <w:tl2br w:val="nil"/>
                    <w:tr2bl w:val="nil"/>
                  </w:tcBorders>
                  <w:vAlign w:val="center"/>
                </w:tcPr>
                <w:p w14:paraId="0E65DD57">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浓度（mg/L）</w:t>
                  </w:r>
                </w:p>
              </w:tc>
              <w:tc>
                <w:tcPr>
                  <w:tcW w:w="791" w:type="pct"/>
                  <w:tcBorders>
                    <w:tl2br w:val="nil"/>
                    <w:tr2bl w:val="nil"/>
                  </w:tcBorders>
                  <w:vAlign w:val="center"/>
                </w:tcPr>
                <w:p w14:paraId="74E918BC">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产生量（t/a）</w:t>
                  </w:r>
                </w:p>
              </w:tc>
            </w:tr>
            <w:tr w14:paraId="67769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tcBorders>
                    <w:tl2br w:val="nil"/>
                    <w:tr2bl w:val="nil"/>
                  </w:tcBorders>
                  <w:vAlign w:val="center"/>
                </w:tcPr>
                <w:p w14:paraId="5F6FD336">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地面冲洗</w:t>
                  </w:r>
                </w:p>
              </w:tc>
              <w:tc>
                <w:tcPr>
                  <w:tcW w:w="1267" w:type="pct"/>
                  <w:tcBorders>
                    <w:tl2br w:val="nil"/>
                    <w:tr2bl w:val="nil"/>
                  </w:tcBorders>
                  <w:vAlign w:val="center"/>
                </w:tcPr>
                <w:p w14:paraId="6006A45E">
                  <w:pPr>
                    <w:jc w:val="center"/>
                    <w:rPr>
                      <w:rFonts w:hint="default" w:ascii="Times New Roman" w:hAnsi="Times New Roman" w:cs="Times New Roman"/>
                      <w:color w:val="auto"/>
                      <w:szCs w:val="21"/>
                    </w:rPr>
                  </w:pPr>
                  <w:r>
                    <w:rPr>
                      <w:rFonts w:hint="default" w:ascii="Times New Roman" w:hAnsi="Times New Roman" w:cs="Times New Roman"/>
                      <w:color w:val="auto"/>
                      <w:szCs w:val="21"/>
                    </w:rPr>
                    <w:t>作业区地面冲洗废水</w:t>
                  </w:r>
                </w:p>
              </w:tc>
              <w:tc>
                <w:tcPr>
                  <w:tcW w:w="649" w:type="pct"/>
                  <w:tcBorders>
                    <w:tl2br w:val="nil"/>
                    <w:tr2bl w:val="nil"/>
                  </w:tcBorders>
                  <w:vAlign w:val="center"/>
                </w:tcPr>
                <w:p w14:paraId="79DC9D9C">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bCs/>
                      <w:color w:val="auto"/>
                      <w:szCs w:val="21"/>
                      <w:lang w:val="en-US" w:eastAsia="zh-CN"/>
                    </w:rPr>
                    <w:t>3.83</w:t>
                  </w:r>
                </w:p>
              </w:tc>
              <w:tc>
                <w:tcPr>
                  <w:tcW w:w="739" w:type="pct"/>
                  <w:tcBorders>
                    <w:tl2br w:val="nil"/>
                    <w:tr2bl w:val="nil"/>
                  </w:tcBorders>
                  <w:vAlign w:val="center"/>
                </w:tcPr>
                <w:p w14:paraId="1F97665B">
                  <w:pPr>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793" w:type="pct"/>
                  <w:tcBorders>
                    <w:tl2br w:val="nil"/>
                    <w:tr2bl w:val="nil"/>
                  </w:tcBorders>
                  <w:vAlign w:val="center"/>
                </w:tcPr>
                <w:p w14:paraId="0E3E6E21">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1000</w:t>
                  </w:r>
                </w:p>
              </w:tc>
              <w:tc>
                <w:tcPr>
                  <w:tcW w:w="1366" w:type="dxa"/>
                  <w:tcBorders>
                    <w:tl2br w:val="nil"/>
                    <w:tr2bl w:val="nil"/>
                  </w:tcBorders>
                  <w:vAlign w:val="center"/>
                </w:tcPr>
                <w:p w14:paraId="0C139CE4">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0.5745 </w:t>
                  </w:r>
                </w:p>
              </w:tc>
            </w:tr>
            <w:tr w14:paraId="55D000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restart"/>
                  <w:tcBorders>
                    <w:tl2br w:val="nil"/>
                    <w:tr2bl w:val="nil"/>
                  </w:tcBorders>
                  <w:vAlign w:val="center"/>
                </w:tcPr>
                <w:p w14:paraId="4B03543B">
                  <w:pPr>
                    <w:jc w:val="center"/>
                    <w:rPr>
                      <w:rFonts w:hint="default" w:ascii="Times New Roman" w:hAnsi="Times New Roman" w:cs="Times New Roman"/>
                      <w:color w:val="auto"/>
                      <w:szCs w:val="21"/>
                    </w:rPr>
                  </w:pPr>
                  <w:r>
                    <w:rPr>
                      <w:rFonts w:hint="default" w:ascii="Times New Roman" w:hAnsi="Times New Roman" w:cs="Times New Roman"/>
                      <w:color w:val="auto"/>
                      <w:szCs w:val="21"/>
                    </w:rPr>
                    <w:t>车辆冲洗</w:t>
                  </w:r>
                </w:p>
              </w:tc>
              <w:tc>
                <w:tcPr>
                  <w:tcW w:w="1267" w:type="pct"/>
                  <w:vMerge w:val="restart"/>
                  <w:tcBorders>
                    <w:tl2br w:val="nil"/>
                    <w:tr2bl w:val="nil"/>
                  </w:tcBorders>
                  <w:vAlign w:val="center"/>
                </w:tcPr>
                <w:p w14:paraId="59C330C7">
                  <w:pPr>
                    <w:jc w:val="center"/>
                    <w:rPr>
                      <w:rFonts w:hint="default" w:ascii="Times New Roman" w:hAnsi="Times New Roman" w:cs="Times New Roman"/>
                      <w:color w:val="auto"/>
                      <w:szCs w:val="21"/>
                    </w:rPr>
                  </w:pPr>
                  <w:r>
                    <w:rPr>
                      <w:rFonts w:hint="default" w:ascii="Times New Roman" w:hAnsi="Times New Roman" w:cs="Times New Roman"/>
                      <w:color w:val="auto"/>
                      <w:szCs w:val="21"/>
                    </w:rPr>
                    <w:t>车辆冲洗废水</w:t>
                  </w:r>
                </w:p>
              </w:tc>
              <w:tc>
                <w:tcPr>
                  <w:tcW w:w="649" w:type="pct"/>
                  <w:vMerge w:val="restart"/>
                  <w:tcBorders>
                    <w:tl2br w:val="nil"/>
                    <w:tr2bl w:val="nil"/>
                  </w:tcBorders>
                  <w:vAlign w:val="center"/>
                </w:tcPr>
                <w:p w14:paraId="303317DD">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2.78</w:t>
                  </w:r>
                </w:p>
              </w:tc>
              <w:tc>
                <w:tcPr>
                  <w:tcW w:w="739" w:type="pct"/>
                  <w:tcBorders>
                    <w:tl2br w:val="nil"/>
                    <w:tr2bl w:val="nil"/>
                  </w:tcBorders>
                  <w:vAlign w:val="center"/>
                </w:tcPr>
                <w:p w14:paraId="33273D65">
                  <w:pPr>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793" w:type="pct"/>
                  <w:tcBorders>
                    <w:tl2br w:val="nil"/>
                    <w:tr2bl w:val="nil"/>
                  </w:tcBorders>
                  <w:vAlign w:val="center"/>
                </w:tcPr>
                <w:p w14:paraId="036B29CE">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c>
                <w:tcPr>
                  <w:tcW w:w="1366" w:type="dxa"/>
                  <w:tcBorders>
                    <w:tl2br w:val="nil"/>
                    <w:tr2bl w:val="nil"/>
                  </w:tcBorders>
                  <w:vAlign w:val="center"/>
                </w:tcPr>
                <w:p w14:paraId="412F7CB5">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0.0834 </w:t>
                  </w:r>
                </w:p>
              </w:tc>
            </w:tr>
            <w:tr w14:paraId="7E80E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vAlign w:val="center"/>
                </w:tcPr>
                <w:p w14:paraId="27AD12D1">
                  <w:pPr>
                    <w:jc w:val="center"/>
                    <w:rPr>
                      <w:rFonts w:hint="default" w:ascii="Times New Roman" w:hAnsi="Times New Roman" w:cs="Times New Roman"/>
                      <w:color w:val="auto"/>
                      <w:szCs w:val="21"/>
                    </w:rPr>
                  </w:pPr>
                </w:p>
              </w:tc>
              <w:tc>
                <w:tcPr>
                  <w:tcW w:w="1267" w:type="pct"/>
                  <w:vMerge w:val="continue"/>
                  <w:tcBorders>
                    <w:tl2br w:val="nil"/>
                    <w:tr2bl w:val="nil"/>
                  </w:tcBorders>
                  <w:vAlign w:val="center"/>
                </w:tcPr>
                <w:p w14:paraId="35B79EC3">
                  <w:pPr>
                    <w:jc w:val="center"/>
                    <w:rPr>
                      <w:rFonts w:hint="default" w:ascii="Times New Roman" w:hAnsi="Times New Roman" w:cs="Times New Roman"/>
                      <w:color w:val="auto"/>
                      <w:szCs w:val="21"/>
                    </w:rPr>
                  </w:pPr>
                </w:p>
              </w:tc>
              <w:tc>
                <w:tcPr>
                  <w:tcW w:w="649" w:type="pct"/>
                  <w:vMerge w:val="continue"/>
                  <w:tcBorders>
                    <w:tl2br w:val="nil"/>
                    <w:tr2bl w:val="nil"/>
                  </w:tcBorders>
                  <w:vAlign w:val="center"/>
                </w:tcPr>
                <w:p w14:paraId="60527994">
                  <w:pPr>
                    <w:jc w:val="center"/>
                    <w:rPr>
                      <w:rFonts w:hint="default" w:ascii="Times New Roman" w:hAnsi="Times New Roman" w:cs="Times New Roman"/>
                      <w:color w:val="auto"/>
                      <w:szCs w:val="21"/>
                    </w:rPr>
                  </w:pPr>
                </w:p>
              </w:tc>
              <w:tc>
                <w:tcPr>
                  <w:tcW w:w="739" w:type="pct"/>
                  <w:tcBorders>
                    <w:tl2br w:val="nil"/>
                    <w:tr2bl w:val="nil"/>
                  </w:tcBorders>
                  <w:vAlign w:val="center"/>
                </w:tcPr>
                <w:p w14:paraId="570EFB54">
                  <w:pPr>
                    <w:jc w:val="center"/>
                    <w:rPr>
                      <w:rFonts w:hint="default" w:ascii="Times New Roman" w:hAnsi="Times New Roman" w:cs="Times New Roman"/>
                      <w:color w:val="auto"/>
                      <w:szCs w:val="21"/>
                    </w:rPr>
                  </w:pPr>
                  <w:r>
                    <w:rPr>
                      <w:rFonts w:hint="default" w:ascii="Times New Roman" w:hAnsi="Times New Roman" w:cs="Times New Roman"/>
                      <w:color w:val="auto"/>
                      <w:szCs w:val="21"/>
                    </w:rPr>
                    <w:t>石油类</w:t>
                  </w:r>
                </w:p>
              </w:tc>
              <w:tc>
                <w:tcPr>
                  <w:tcW w:w="793" w:type="pct"/>
                  <w:tcBorders>
                    <w:tl2br w:val="nil"/>
                    <w:tr2bl w:val="nil"/>
                  </w:tcBorders>
                  <w:vAlign w:val="center"/>
                </w:tcPr>
                <w:p w14:paraId="74CCBA2D">
                  <w:pPr>
                    <w:jc w:val="center"/>
                    <w:rPr>
                      <w:rFonts w:hint="default" w:ascii="Times New Roman" w:hAnsi="Times New Roman" w:cs="Times New Roman"/>
                      <w:color w:val="auto"/>
                      <w:szCs w:val="21"/>
                    </w:rPr>
                  </w:pPr>
                  <w:r>
                    <w:rPr>
                      <w:rFonts w:hint="default" w:ascii="Times New Roman" w:hAnsi="Times New Roman" w:cs="Times New Roman"/>
                      <w:color w:val="auto"/>
                      <w:szCs w:val="21"/>
                    </w:rPr>
                    <w:t>7.4</w:t>
                  </w:r>
                </w:p>
              </w:tc>
              <w:tc>
                <w:tcPr>
                  <w:tcW w:w="1366" w:type="dxa"/>
                  <w:tcBorders>
                    <w:tl2br w:val="nil"/>
                    <w:tr2bl w:val="nil"/>
                  </w:tcBorders>
                  <w:vAlign w:val="center"/>
                </w:tcPr>
                <w:p w14:paraId="6D0F496E">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0.0031 </w:t>
                  </w:r>
                </w:p>
              </w:tc>
            </w:tr>
          </w:tbl>
          <w:p w14:paraId="663D1D80">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（2）治理设施、排放方式、排放口基本信息</w:t>
            </w:r>
          </w:p>
          <w:p w14:paraId="3CA0338F">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①治理措施</w:t>
            </w:r>
          </w:p>
          <w:p w14:paraId="5CCF1301">
            <w:pPr>
              <w:spacing w:line="360" w:lineRule="auto"/>
              <w:ind w:firstLine="480" w:firstLineChars="200"/>
              <w:rPr>
                <w:rFonts w:hint="default" w:ascii="Times New Roman" w:hAnsi="Times New Roman" w:cs="Times New Roman"/>
                <w:color w:val="auto"/>
                <w:kern w:val="24"/>
                <w:sz w:val="24"/>
                <w:szCs w:val="24"/>
                <w:lang w:eastAsia="zh-CN"/>
              </w:rPr>
            </w:pPr>
            <w:r>
              <w:rPr>
                <w:rFonts w:hint="default" w:ascii="Times New Roman" w:hAnsi="Times New Roman" w:cs="Times New Roman"/>
                <w:color w:val="auto"/>
                <w:kern w:val="24"/>
                <w:sz w:val="24"/>
                <w:szCs w:val="24"/>
              </w:rPr>
              <w:t>车辆冲洗废水</w:t>
            </w:r>
            <w:r>
              <w:rPr>
                <w:rFonts w:hint="default" w:ascii="Times New Roman" w:hAnsi="Times New Roman" w:cs="Times New Roman"/>
                <w:color w:val="auto"/>
                <w:kern w:val="24"/>
                <w:sz w:val="24"/>
                <w:szCs w:val="24"/>
                <w:lang w:eastAsia="zh-CN"/>
              </w:rPr>
              <w:t>：在项目西侧厂区入口处设置车辆冲洗平台，车辆冲洗废水进入三级沉淀池（容积</w:t>
            </w:r>
            <w:r>
              <w:rPr>
                <w:rFonts w:hint="default" w:ascii="Times New Roman" w:hAnsi="Times New Roman" w:cs="Times New Roman"/>
                <w:color w:val="auto"/>
                <w:kern w:val="24"/>
                <w:sz w:val="24"/>
                <w:szCs w:val="24"/>
                <w:lang w:val="en-US" w:eastAsia="zh-CN"/>
              </w:rPr>
              <w:t>3</w:t>
            </w:r>
            <w:r>
              <w:rPr>
                <w:rFonts w:hint="default" w:ascii="Times New Roman" w:hAnsi="Times New Roman" w:cs="Times New Roman"/>
                <w:color w:val="auto"/>
                <w:kern w:val="24"/>
                <w:sz w:val="24"/>
                <w:szCs w:val="24"/>
                <w:lang w:eastAsia="zh-CN"/>
              </w:rPr>
              <w:t>0m</w:t>
            </w:r>
            <w:r>
              <w:rPr>
                <w:rFonts w:hint="default" w:ascii="Times New Roman" w:hAnsi="Times New Roman" w:cs="Times New Roman"/>
                <w:color w:val="auto"/>
                <w:kern w:val="24"/>
                <w:sz w:val="24"/>
                <w:szCs w:val="24"/>
                <w:vertAlign w:val="superscript"/>
                <w:lang w:eastAsia="zh-CN"/>
              </w:rPr>
              <w:t>3</w:t>
            </w:r>
            <w:r>
              <w:rPr>
                <w:rFonts w:hint="default" w:ascii="Times New Roman" w:hAnsi="Times New Roman" w:cs="Times New Roman"/>
                <w:color w:val="auto"/>
                <w:kern w:val="24"/>
                <w:sz w:val="24"/>
                <w:szCs w:val="24"/>
                <w:lang w:eastAsia="zh-CN"/>
              </w:rPr>
              <w:t>），处理后回用于生产，不外排。</w:t>
            </w:r>
          </w:p>
          <w:p w14:paraId="562D5599">
            <w:pPr>
              <w:spacing w:line="360" w:lineRule="auto"/>
              <w:ind w:firstLine="480" w:firstLineChars="200"/>
              <w:rPr>
                <w:rFonts w:hint="default" w:ascii="Times New Roman" w:hAnsi="Times New Roman" w:cs="Times New Roman"/>
                <w:color w:val="auto"/>
                <w:kern w:val="24"/>
                <w:sz w:val="24"/>
                <w:szCs w:val="24"/>
                <w:lang w:val="en-US" w:eastAsia="zh-CN"/>
              </w:rPr>
            </w:pPr>
            <w:r>
              <w:rPr>
                <w:rFonts w:hint="default" w:ascii="Times New Roman" w:hAnsi="Times New Roman" w:cs="Times New Roman"/>
                <w:color w:val="auto"/>
                <w:kern w:val="24"/>
                <w:sz w:val="24"/>
                <w:szCs w:val="24"/>
                <w:lang w:val="en-US" w:eastAsia="zh-CN"/>
              </w:rPr>
              <w:t>地面冲洗废水：在场地东北侧地势低洼处设置一个5×3×</w:t>
            </w:r>
            <w:r>
              <w:rPr>
                <w:rFonts w:hint="eastAsia" w:ascii="Times New Roman" w:hAnsi="Times New Roman" w:cs="Times New Roman"/>
                <w:color w:val="auto"/>
                <w:kern w:val="24"/>
                <w:sz w:val="24"/>
                <w:szCs w:val="24"/>
                <w:lang w:val="en-US" w:eastAsia="zh-CN"/>
              </w:rPr>
              <w:t>2</w:t>
            </w:r>
            <w:r>
              <w:rPr>
                <w:rFonts w:hint="default" w:ascii="Times New Roman" w:hAnsi="Times New Roman" w:cs="Times New Roman"/>
                <w:color w:val="auto"/>
                <w:kern w:val="24"/>
                <w:sz w:val="24"/>
                <w:szCs w:val="24"/>
                <w:lang w:val="en-US" w:eastAsia="zh-CN"/>
              </w:rPr>
              <w:t>m的三级沉淀池（容积30m</w:t>
            </w:r>
            <w:r>
              <w:rPr>
                <w:rFonts w:hint="default" w:ascii="Times New Roman" w:hAnsi="Times New Roman" w:cs="Times New Roman"/>
                <w:color w:val="auto"/>
                <w:kern w:val="24"/>
                <w:sz w:val="24"/>
                <w:szCs w:val="24"/>
                <w:vertAlign w:val="superscript"/>
                <w:lang w:val="en-US" w:eastAsia="zh-CN"/>
              </w:rPr>
              <w:t>3</w:t>
            </w:r>
            <w:r>
              <w:rPr>
                <w:rFonts w:hint="default" w:ascii="Times New Roman" w:hAnsi="Times New Roman" w:cs="Times New Roman"/>
                <w:color w:val="auto"/>
                <w:kern w:val="24"/>
                <w:sz w:val="24"/>
                <w:szCs w:val="24"/>
                <w:lang w:val="en-US" w:eastAsia="zh-CN"/>
              </w:rPr>
              <w:t>），收集厂区的场地冲洗水，与车辆冲洗废水一起处理，不外排。</w:t>
            </w:r>
          </w:p>
          <w:p w14:paraId="49115207">
            <w:pPr>
              <w:spacing w:line="360" w:lineRule="auto"/>
              <w:ind w:firstLine="480" w:firstLineChars="200"/>
              <w:rPr>
                <w:rFonts w:hint="default" w:ascii="Times New Roman" w:hAnsi="Times New Roman" w:cs="Times New Roman"/>
                <w:color w:val="auto"/>
                <w:kern w:val="24"/>
                <w:sz w:val="24"/>
                <w:szCs w:val="24"/>
                <w:lang w:val="en-US" w:eastAsia="zh-CN"/>
              </w:rPr>
            </w:pPr>
            <w:r>
              <w:rPr>
                <w:rFonts w:hint="default" w:ascii="Times New Roman" w:hAnsi="Times New Roman" w:cs="Times New Roman"/>
                <w:color w:val="auto"/>
                <w:kern w:val="24"/>
                <w:sz w:val="24"/>
                <w:szCs w:val="24"/>
                <w:lang w:val="en-US" w:eastAsia="zh-CN"/>
              </w:rPr>
              <w:t>初期雨水：厂区周围建排水沟；场外雨水直接随雨水沟排放；场地内设置截排水沟，雨水及冲洗废水经收集进入三级沉淀池（容积30m</w:t>
            </w:r>
            <w:r>
              <w:rPr>
                <w:rFonts w:hint="default" w:ascii="Times New Roman" w:hAnsi="Times New Roman" w:cs="Times New Roman"/>
                <w:color w:val="auto"/>
                <w:kern w:val="24"/>
                <w:sz w:val="24"/>
                <w:szCs w:val="24"/>
                <w:vertAlign w:val="superscript"/>
                <w:lang w:val="en-US" w:eastAsia="zh-CN"/>
              </w:rPr>
              <w:t>3</w:t>
            </w:r>
            <w:r>
              <w:rPr>
                <w:rFonts w:hint="default" w:ascii="Times New Roman" w:hAnsi="Times New Roman" w:cs="Times New Roman"/>
                <w:color w:val="auto"/>
                <w:kern w:val="24"/>
                <w:sz w:val="24"/>
                <w:szCs w:val="24"/>
                <w:lang w:val="en-US" w:eastAsia="zh-CN"/>
              </w:rPr>
              <w:t>）处理后回用。</w:t>
            </w:r>
          </w:p>
          <w:p w14:paraId="52FE56A1">
            <w:pPr>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②废水治理设施、排放口基本信息表</w:t>
            </w:r>
          </w:p>
          <w:p w14:paraId="2B473D92">
            <w:pPr>
              <w:spacing w:line="360" w:lineRule="auto"/>
              <w:ind w:firstLine="480" w:firstLineChars="200"/>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cs="Times New Roman"/>
                <w:color w:val="auto"/>
                <w:sz w:val="24"/>
                <w:szCs w:val="24"/>
              </w:rPr>
              <w:t>本项目废水治理设施、排放口基本信息见下表：</w:t>
            </w:r>
          </w:p>
          <w:p w14:paraId="036E7402">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 xml:space="preserve">表4-17 </w:t>
            </w:r>
            <w:r>
              <w:rPr>
                <w:rFonts w:hint="default" w:ascii="Times New Roman" w:hAnsi="Times New Roman" w:eastAsia="黑体" w:cs="Times New Roman"/>
                <w:b/>
                <w:bCs/>
                <w:color w:val="auto"/>
                <w:kern w:val="0"/>
                <w:sz w:val="20"/>
                <w:szCs w:val="20"/>
                <w:lang w:val="en-US" w:eastAsia="zh-CN" w:bidi="ar-SA"/>
              </w:rPr>
              <w:t>废水治理设施信息表</w:t>
            </w:r>
          </w:p>
          <w:tbl>
            <w:tblPr>
              <w:tblStyle w:val="29"/>
              <w:tblW w:w="499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123"/>
              <w:gridCol w:w="1381"/>
              <w:gridCol w:w="1192"/>
              <w:gridCol w:w="990"/>
              <w:gridCol w:w="1155"/>
              <w:gridCol w:w="960"/>
              <w:gridCol w:w="930"/>
              <w:gridCol w:w="894"/>
            </w:tblGrid>
            <w:tr w14:paraId="1B695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23" w:type="dxa"/>
                  <w:vMerge w:val="restart"/>
                  <w:tcBorders>
                    <w:tl2br w:val="nil"/>
                    <w:tr2bl w:val="nil"/>
                  </w:tcBorders>
                  <w:shd w:val="clear" w:color="000000" w:fill="auto"/>
                  <w:vAlign w:val="center"/>
                </w:tcPr>
                <w:p w14:paraId="5AC40079">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废水类别</w:t>
                  </w:r>
                </w:p>
              </w:tc>
              <w:tc>
                <w:tcPr>
                  <w:tcW w:w="1381" w:type="dxa"/>
                  <w:vMerge w:val="restart"/>
                  <w:tcBorders>
                    <w:tl2br w:val="nil"/>
                    <w:tr2bl w:val="nil"/>
                  </w:tcBorders>
                  <w:shd w:val="clear" w:color="000000" w:fill="auto"/>
                  <w:vAlign w:val="center"/>
                </w:tcPr>
                <w:p w14:paraId="771B3357">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污染物种类</w:t>
                  </w:r>
                </w:p>
              </w:tc>
              <w:tc>
                <w:tcPr>
                  <w:tcW w:w="4297" w:type="dxa"/>
                  <w:gridSpan w:val="4"/>
                  <w:tcBorders>
                    <w:tl2br w:val="nil"/>
                    <w:tr2bl w:val="nil"/>
                  </w:tcBorders>
                  <w:shd w:val="clear" w:color="000000" w:fill="auto"/>
                  <w:vAlign w:val="center"/>
                </w:tcPr>
                <w:p w14:paraId="3025D1FD">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污染治理设施</w:t>
                  </w:r>
                </w:p>
              </w:tc>
              <w:tc>
                <w:tcPr>
                  <w:tcW w:w="930" w:type="dxa"/>
                  <w:vMerge w:val="restart"/>
                  <w:tcBorders>
                    <w:tl2br w:val="nil"/>
                    <w:tr2bl w:val="nil"/>
                  </w:tcBorders>
                  <w:shd w:val="clear" w:color="000000" w:fill="auto"/>
                  <w:vAlign w:val="center"/>
                </w:tcPr>
                <w:p w14:paraId="4E766CAA">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w:t>
                  </w:r>
                </w:p>
                <w:p w14:paraId="52D6BFAE">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方式</w:t>
                  </w:r>
                </w:p>
              </w:tc>
              <w:tc>
                <w:tcPr>
                  <w:tcW w:w="894" w:type="dxa"/>
                  <w:vMerge w:val="restart"/>
                  <w:tcBorders>
                    <w:tl2br w:val="nil"/>
                    <w:tr2bl w:val="nil"/>
                  </w:tcBorders>
                  <w:shd w:val="clear" w:color="000000" w:fill="auto"/>
                  <w:vAlign w:val="center"/>
                </w:tcPr>
                <w:p w14:paraId="280BF115">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w:t>
                  </w:r>
                </w:p>
                <w:p w14:paraId="6A56B9AF">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去向</w:t>
                  </w:r>
                </w:p>
              </w:tc>
            </w:tr>
            <w:tr w14:paraId="51CB5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23" w:type="dxa"/>
                  <w:vMerge w:val="continue"/>
                  <w:tcBorders>
                    <w:tl2br w:val="nil"/>
                    <w:tr2bl w:val="nil"/>
                  </w:tcBorders>
                  <w:shd w:val="clear" w:color="auto" w:fill="auto"/>
                  <w:vAlign w:val="center"/>
                </w:tcPr>
                <w:p w14:paraId="1653217B">
                  <w:pPr>
                    <w:jc w:val="center"/>
                    <w:rPr>
                      <w:rFonts w:hint="default" w:ascii="Times New Roman" w:hAnsi="Times New Roman" w:cs="Times New Roman"/>
                      <w:color w:val="auto"/>
                      <w:szCs w:val="21"/>
                    </w:rPr>
                  </w:pPr>
                </w:p>
              </w:tc>
              <w:tc>
                <w:tcPr>
                  <w:tcW w:w="1381" w:type="dxa"/>
                  <w:vMerge w:val="continue"/>
                  <w:tcBorders>
                    <w:tl2br w:val="nil"/>
                    <w:tr2bl w:val="nil"/>
                  </w:tcBorders>
                  <w:shd w:val="clear" w:color="auto" w:fill="auto"/>
                  <w:vAlign w:val="center"/>
                </w:tcPr>
                <w:p w14:paraId="4EF468E5">
                  <w:pPr>
                    <w:jc w:val="center"/>
                    <w:rPr>
                      <w:rFonts w:hint="default" w:ascii="Times New Roman" w:hAnsi="Times New Roman" w:cs="Times New Roman"/>
                      <w:color w:val="auto"/>
                      <w:szCs w:val="21"/>
                    </w:rPr>
                  </w:pPr>
                </w:p>
              </w:tc>
              <w:tc>
                <w:tcPr>
                  <w:tcW w:w="1192" w:type="dxa"/>
                  <w:tcBorders>
                    <w:tl2br w:val="nil"/>
                    <w:tr2bl w:val="nil"/>
                  </w:tcBorders>
                  <w:shd w:val="clear" w:color="000000" w:fill="auto"/>
                  <w:vAlign w:val="center"/>
                </w:tcPr>
                <w:p w14:paraId="0BBDEDD7">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名称</w:t>
                  </w:r>
                </w:p>
              </w:tc>
              <w:tc>
                <w:tcPr>
                  <w:tcW w:w="990" w:type="dxa"/>
                  <w:tcBorders>
                    <w:tl2br w:val="nil"/>
                    <w:tr2bl w:val="nil"/>
                  </w:tcBorders>
                  <w:shd w:val="clear" w:color="000000" w:fill="auto"/>
                  <w:vAlign w:val="center"/>
                </w:tcPr>
                <w:p w14:paraId="69FFD1A3">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处理能力（</w:t>
                  </w:r>
                  <w:r>
                    <w:rPr>
                      <w:rFonts w:hint="default" w:ascii="Times New Roman" w:hAnsi="Times New Roman" w:cs="Times New Roman"/>
                      <w:b/>
                      <w:bCs/>
                      <w:color w:val="auto"/>
                      <w:szCs w:val="21"/>
                      <w:lang w:val="en-US" w:eastAsia="zh-CN"/>
                    </w:rPr>
                    <w:t>m</w:t>
                  </w:r>
                  <w:r>
                    <w:rPr>
                      <w:rFonts w:hint="default" w:ascii="Times New Roman" w:hAnsi="Times New Roman" w:cs="Times New Roman"/>
                      <w:b/>
                      <w:bCs/>
                      <w:color w:val="auto"/>
                      <w:szCs w:val="21"/>
                      <w:vertAlign w:val="superscript"/>
                      <w:lang w:val="en-US" w:eastAsia="zh-CN"/>
                    </w:rPr>
                    <w:t>3</w:t>
                  </w:r>
                  <w:r>
                    <w:rPr>
                      <w:rFonts w:hint="default" w:ascii="Times New Roman" w:hAnsi="Times New Roman" w:cs="Times New Roman"/>
                      <w:b/>
                      <w:bCs/>
                      <w:color w:val="auto"/>
                      <w:szCs w:val="21"/>
                    </w:rPr>
                    <w:t>/d）</w:t>
                  </w:r>
                </w:p>
              </w:tc>
              <w:tc>
                <w:tcPr>
                  <w:tcW w:w="1155" w:type="dxa"/>
                  <w:tcBorders>
                    <w:tl2br w:val="nil"/>
                    <w:tr2bl w:val="nil"/>
                  </w:tcBorders>
                  <w:shd w:val="clear" w:color="000000" w:fill="auto"/>
                  <w:vAlign w:val="center"/>
                </w:tcPr>
                <w:p w14:paraId="55519A57">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治理</w:t>
                  </w:r>
                </w:p>
                <w:p w14:paraId="55D7E007">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工艺</w:t>
                  </w:r>
                </w:p>
              </w:tc>
              <w:tc>
                <w:tcPr>
                  <w:tcW w:w="960" w:type="dxa"/>
                  <w:tcBorders>
                    <w:tl2br w:val="nil"/>
                    <w:tr2bl w:val="nil"/>
                  </w:tcBorders>
                  <w:shd w:val="clear" w:color="000000" w:fill="auto"/>
                  <w:vAlign w:val="center"/>
                </w:tcPr>
                <w:p w14:paraId="0DC2659F">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是否为可行性技术</w:t>
                  </w:r>
                </w:p>
              </w:tc>
              <w:tc>
                <w:tcPr>
                  <w:tcW w:w="930" w:type="dxa"/>
                  <w:vMerge w:val="continue"/>
                  <w:tcBorders>
                    <w:tl2br w:val="nil"/>
                    <w:tr2bl w:val="nil"/>
                  </w:tcBorders>
                  <w:vAlign w:val="center"/>
                </w:tcPr>
                <w:p w14:paraId="5FD8E602">
                  <w:pPr>
                    <w:jc w:val="center"/>
                    <w:rPr>
                      <w:rFonts w:hint="default" w:ascii="Times New Roman" w:hAnsi="Times New Roman" w:cs="Times New Roman"/>
                      <w:color w:val="auto"/>
                      <w:szCs w:val="21"/>
                    </w:rPr>
                  </w:pPr>
                </w:p>
              </w:tc>
              <w:tc>
                <w:tcPr>
                  <w:tcW w:w="894" w:type="dxa"/>
                  <w:vMerge w:val="continue"/>
                  <w:tcBorders>
                    <w:tl2br w:val="nil"/>
                    <w:tr2bl w:val="nil"/>
                  </w:tcBorders>
                  <w:vAlign w:val="center"/>
                </w:tcPr>
                <w:p w14:paraId="2FA6D25F">
                  <w:pPr>
                    <w:jc w:val="center"/>
                    <w:rPr>
                      <w:rFonts w:hint="default" w:ascii="Times New Roman" w:hAnsi="Times New Roman" w:cs="Times New Roman"/>
                      <w:color w:val="auto"/>
                      <w:szCs w:val="21"/>
                    </w:rPr>
                  </w:pPr>
                </w:p>
              </w:tc>
            </w:tr>
            <w:tr w14:paraId="3208C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23" w:type="dxa"/>
                  <w:tcBorders>
                    <w:tl2br w:val="nil"/>
                    <w:tr2bl w:val="nil"/>
                  </w:tcBorders>
                  <w:vAlign w:val="center"/>
                </w:tcPr>
                <w:p w14:paraId="696CD8EE">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生活污水</w:t>
                  </w:r>
                </w:p>
              </w:tc>
              <w:tc>
                <w:tcPr>
                  <w:tcW w:w="1381" w:type="dxa"/>
                  <w:tcBorders>
                    <w:tl2br w:val="nil"/>
                    <w:tr2bl w:val="nil"/>
                  </w:tcBorders>
                  <w:vAlign w:val="center"/>
                </w:tcPr>
                <w:p w14:paraId="3C0412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pH、COD、BOD</w:t>
                  </w:r>
                  <w:r>
                    <w:rPr>
                      <w:rFonts w:hint="default" w:ascii="Times New Roman" w:hAnsi="Times New Roman" w:cs="Times New Roman"/>
                      <w:color w:val="auto"/>
                      <w:szCs w:val="21"/>
                      <w:vertAlign w:val="subscript"/>
                    </w:rPr>
                    <w:t>5</w:t>
                  </w:r>
                  <w:r>
                    <w:rPr>
                      <w:rFonts w:hint="default" w:ascii="Times New Roman" w:hAnsi="Times New Roman" w:cs="Times New Roman"/>
                      <w:color w:val="auto"/>
                      <w:szCs w:val="21"/>
                    </w:rPr>
                    <w:t>、SS、NH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-N、TP</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动植物油</w:t>
                  </w:r>
                </w:p>
              </w:tc>
              <w:tc>
                <w:tcPr>
                  <w:tcW w:w="1192" w:type="dxa"/>
                  <w:tcBorders>
                    <w:tl2br w:val="nil"/>
                    <w:tr2bl w:val="nil"/>
                  </w:tcBorders>
                  <w:vAlign w:val="center"/>
                </w:tcPr>
                <w:p w14:paraId="422DA746">
                  <w:pPr>
                    <w:jc w:val="center"/>
                    <w:rPr>
                      <w:rFonts w:hint="default" w:ascii="Times New Roman" w:hAnsi="Times New Roman" w:cs="Times New Roman"/>
                      <w:color w:val="auto"/>
                      <w:szCs w:val="21"/>
                    </w:rPr>
                  </w:pPr>
                  <w:r>
                    <w:rPr>
                      <w:rFonts w:hint="default" w:ascii="Times New Roman" w:hAnsi="Times New Roman" w:cs="Times New Roman"/>
                      <w:color w:val="auto"/>
                      <w:szCs w:val="21"/>
                    </w:rPr>
                    <w:t>化粪池</w:t>
                  </w:r>
                </w:p>
              </w:tc>
              <w:tc>
                <w:tcPr>
                  <w:tcW w:w="990" w:type="dxa"/>
                  <w:tcBorders>
                    <w:tl2br w:val="nil"/>
                    <w:tr2bl w:val="nil"/>
                  </w:tcBorders>
                  <w:vAlign w:val="center"/>
                </w:tcPr>
                <w:p w14:paraId="0CC0118D">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w:t>
                  </w:r>
                </w:p>
              </w:tc>
              <w:tc>
                <w:tcPr>
                  <w:tcW w:w="1155" w:type="dxa"/>
                  <w:tcBorders>
                    <w:tl2br w:val="nil"/>
                    <w:tr2bl w:val="nil"/>
                  </w:tcBorders>
                  <w:vAlign w:val="center"/>
                </w:tcPr>
                <w:p w14:paraId="0654769D">
                  <w:pPr>
                    <w:jc w:val="center"/>
                    <w:rPr>
                      <w:rFonts w:hint="default" w:ascii="Times New Roman" w:hAnsi="Times New Roman" w:cs="Times New Roman"/>
                      <w:color w:val="auto"/>
                      <w:szCs w:val="21"/>
                    </w:rPr>
                  </w:pPr>
                  <w:r>
                    <w:rPr>
                      <w:rFonts w:hint="default" w:ascii="Times New Roman" w:hAnsi="Times New Roman" w:cs="Times New Roman"/>
                      <w:color w:val="auto"/>
                      <w:szCs w:val="21"/>
                    </w:rPr>
                    <w:t>厌氧处理</w:t>
                  </w:r>
                </w:p>
              </w:tc>
              <w:tc>
                <w:tcPr>
                  <w:tcW w:w="960" w:type="dxa"/>
                  <w:tcBorders>
                    <w:tl2br w:val="nil"/>
                    <w:tr2bl w:val="nil"/>
                  </w:tcBorders>
                  <w:vAlign w:val="center"/>
                </w:tcPr>
                <w:p w14:paraId="69B6F71B">
                  <w:pPr>
                    <w:jc w:val="center"/>
                    <w:rPr>
                      <w:rFonts w:hint="default" w:ascii="Times New Roman" w:hAnsi="Times New Roman" w:cs="Times New Roman"/>
                      <w:color w:val="auto"/>
                      <w:szCs w:val="21"/>
                    </w:rPr>
                  </w:pPr>
                  <w:r>
                    <w:rPr>
                      <w:rFonts w:hint="default" w:ascii="Times New Roman" w:hAnsi="Times New Roman" w:cs="Times New Roman"/>
                      <w:color w:val="auto"/>
                      <w:szCs w:val="21"/>
                    </w:rPr>
                    <w:t>是</w:t>
                  </w:r>
                </w:p>
              </w:tc>
              <w:tc>
                <w:tcPr>
                  <w:tcW w:w="930" w:type="dxa"/>
                  <w:tcBorders>
                    <w:tl2br w:val="nil"/>
                    <w:tr2bl w:val="nil"/>
                  </w:tcBorders>
                  <w:vAlign w:val="center"/>
                </w:tcPr>
                <w:p w14:paraId="71288C57">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不排放</w:t>
                  </w:r>
                </w:p>
              </w:tc>
              <w:tc>
                <w:tcPr>
                  <w:tcW w:w="894" w:type="dxa"/>
                  <w:tcBorders>
                    <w:tl2br w:val="nil"/>
                    <w:tr2bl w:val="nil"/>
                  </w:tcBorders>
                  <w:vAlign w:val="center"/>
                </w:tcPr>
                <w:p w14:paraId="57302B5F">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w:t>
                  </w:r>
                </w:p>
              </w:tc>
            </w:tr>
            <w:tr w14:paraId="294996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23" w:type="dxa"/>
                  <w:tcBorders>
                    <w:tl2br w:val="nil"/>
                    <w:tr2bl w:val="nil"/>
                  </w:tcBorders>
                  <w:vAlign w:val="center"/>
                </w:tcPr>
                <w:p w14:paraId="4F1A5306">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生产废水</w:t>
                  </w:r>
                </w:p>
              </w:tc>
              <w:tc>
                <w:tcPr>
                  <w:tcW w:w="1381" w:type="dxa"/>
                  <w:tcBorders>
                    <w:tl2br w:val="nil"/>
                    <w:tr2bl w:val="nil"/>
                  </w:tcBorders>
                  <w:vAlign w:val="center"/>
                </w:tcPr>
                <w:p w14:paraId="3C80EA82">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SS、</w:t>
                  </w:r>
                  <w:r>
                    <w:rPr>
                      <w:rFonts w:hint="default" w:ascii="Times New Roman" w:hAnsi="Times New Roman" w:cs="Times New Roman"/>
                      <w:color w:val="auto"/>
                      <w:szCs w:val="21"/>
                      <w:lang w:val="en-US" w:eastAsia="zh-CN"/>
                    </w:rPr>
                    <w:t>石油类</w:t>
                  </w:r>
                </w:p>
              </w:tc>
              <w:tc>
                <w:tcPr>
                  <w:tcW w:w="1192" w:type="dxa"/>
                  <w:tcBorders>
                    <w:tl2br w:val="nil"/>
                    <w:tr2bl w:val="nil"/>
                  </w:tcBorders>
                  <w:vAlign w:val="center"/>
                </w:tcPr>
                <w:p w14:paraId="2B45A9EE">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三级沉淀池</w:t>
                  </w:r>
                </w:p>
              </w:tc>
              <w:tc>
                <w:tcPr>
                  <w:tcW w:w="990" w:type="dxa"/>
                  <w:tcBorders>
                    <w:tl2br w:val="nil"/>
                    <w:tr2bl w:val="nil"/>
                  </w:tcBorders>
                  <w:vAlign w:val="center"/>
                </w:tcPr>
                <w:p w14:paraId="26566AF1">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20</w:t>
                  </w:r>
                </w:p>
              </w:tc>
              <w:tc>
                <w:tcPr>
                  <w:tcW w:w="1155" w:type="dxa"/>
                  <w:tcBorders>
                    <w:tl2br w:val="nil"/>
                    <w:tr2bl w:val="nil"/>
                  </w:tcBorders>
                  <w:vAlign w:val="center"/>
                </w:tcPr>
                <w:p w14:paraId="16148712">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沉淀</w:t>
                  </w:r>
                </w:p>
              </w:tc>
              <w:tc>
                <w:tcPr>
                  <w:tcW w:w="960" w:type="dxa"/>
                  <w:tcBorders>
                    <w:tl2br w:val="nil"/>
                    <w:tr2bl w:val="nil"/>
                  </w:tcBorders>
                  <w:vAlign w:val="center"/>
                </w:tcPr>
                <w:p w14:paraId="77DE5F8B">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是</w:t>
                  </w:r>
                </w:p>
              </w:tc>
              <w:tc>
                <w:tcPr>
                  <w:tcW w:w="930" w:type="dxa"/>
                  <w:tcBorders>
                    <w:tl2br w:val="nil"/>
                    <w:tr2bl w:val="nil"/>
                  </w:tcBorders>
                  <w:vAlign w:val="center"/>
                </w:tcPr>
                <w:p w14:paraId="2CFFCA20">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不排放</w:t>
                  </w:r>
                </w:p>
              </w:tc>
              <w:tc>
                <w:tcPr>
                  <w:tcW w:w="894" w:type="dxa"/>
                  <w:tcBorders>
                    <w:tl2br w:val="nil"/>
                    <w:tr2bl w:val="nil"/>
                  </w:tcBorders>
                  <w:vAlign w:val="center"/>
                </w:tcPr>
                <w:p w14:paraId="4E369DE2">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14:paraId="242AD3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123" w:type="dxa"/>
                  <w:tcBorders>
                    <w:tl2br w:val="nil"/>
                    <w:tr2bl w:val="nil"/>
                  </w:tcBorders>
                  <w:vAlign w:val="center"/>
                </w:tcPr>
                <w:p w14:paraId="16CEF009">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初期雨水</w:t>
                  </w:r>
                </w:p>
              </w:tc>
              <w:tc>
                <w:tcPr>
                  <w:tcW w:w="1381" w:type="dxa"/>
                  <w:tcBorders>
                    <w:tl2br w:val="nil"/>
                    <w:tr2bl w:val="nil"/>
                  </w:tcBorders>
                  <w:shd w:val="clear" w:color="auto" w:fill="auto"/>
                  <w:vAlign w:val="center"/>
                </w:tcPr>
                <w:p w14:paraId="7A2576B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SS</w:t>
                  </w:r>
                </w:p>
              </w:tc>
              <w:tc>
                <w:tcPr>
                  <w:tcW w:w="1192" w:type="dxa"/>
                  <w:tcBorders>
                    <w:tl2br w:val="nil"/>
                    <w:tr2bl w:val="nil"/>
                  </w:tcBorders>
                  <w:shd w:val="clear" w:color="auto" w:fill="auto"/>
                  <w:vAlign w:val="center"/>
                </w:tcPr>
                <w:p w14:paraId="527985B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三级沉淀池</w:t>
                  </w:r>
                </w:p>
              </w:tc>
              <w:tc>
                <w:tcPr>
                  <w:tcW w:w="990" w:type="dxa"/>
                  <w:tcBorders>
                    <w:tl2br w:val="nil"/>
                    <w:tr2bl w:val="nil"/>
                  </w:tcBorders>
                  <w:shd w:val="clear" w:color="auto" w:fill="auto"/>
                  <w:vAlign w:val="center"/>
                </w:tcPr>
                <w:p w14:paraId="7286D55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20</w:t>
                  </w:r>
                </w:p>
              </w:tc>
              <w:tc>
                <w:tcPr>
                  <w:tcW w:w="1155" w:type="dxa"/>
                  <w:tcBorders>
                    <w:tl2br w:val="nil"/>
                    <w:tr2bl w:val="nil"/>
                  </w:tcBorders>
                  <w:shd w:val="clear" w:color="auto" w:fill="auto"/>
                  <w:vAlign w:val="center"/>
                </w:tcPr>
                <w:p w14:paraId="7985211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沉淀</w:t>
                  </w:r>
                </w:p>
              </w:tc>
              <w:tc>
                <w:tcPr>
                  <w:tcW w:w="960" w:type="dxa"/>
                  <w:tcBorders>
                    <w:tl2br w:val="nil"/>
                    <w:tr2bl w:val="nil"/>
                  </w:tcBorders>
                  <w:shd w:val="clear" w:color="auto" w:fill="auto"/>
                  <w:vAlign w:val="center"/>
                </w:tcPr>
                <w:p w14:paraId="04441E1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是</w:t>
                  </w:r>
                </w:p>
              </w:tc>
              <w:tc>
                <w:tcPr>
                  <w:tcW w:w="930" w:type="dxa"/>
                  <w:tcBorders>
                    <w:tl2br w:val="nil"/>
                    <w:tr2bl w:val="nil"/>
                  </w:tcBorders>
                  <w:shd w:val="clear" w:color="auto" w:fill="auto"/>
                  <w:vAlign w:val="center"/>
                </w:tcPr>
                <w:p w14:paraId="48937C5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不排放</w:t>
                  </w:r>
                </w:p>
              </w:tc>
              <w:tc>
                <w:tcPr>
                  <w:tcW w:w="894" w:type="dxa"/>
                  <w:tcBorders>
                    <w:tl2br w:val="nil"/>
                    <w:tr2bl w:val="nil"/>
                  </w:tcBorders>
                  <w:shd w:val="clear" w:color="auto" w:fill="auto"/>
                  <w:vAlign w:val="center"/>
                </w:tcPr>
                <w:p w14:paraId="0AA0860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w:t>
                  </w:r>
                </w:p>
              </w:tc>
            </w:tr>
          </w:tbl>
          <w:p w14:paraId="4DB79074">
            <w:pPr>
              <w:spacing w:line="360" w:lineRule="auto"/>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 xml:space="preserve">表4-18 </w:t>
            </w:r>
            <w:r>
              <w:rPr>
                <w:rFonts w:hint="default" w:ascii="Times New Roman" w:hAnsi="Times New Roman" w:eastAsia="黑体" w:cs="Times New Roman"/>
                <w:b/>
                <w:bCs/>
                <w:color w:val="auto"/>
                <w:kern w:val="0"/>
                <w:sz w:val="20"/>
                <w:szCs w:val="20"/>
                <w:lang w:val="en-US" w:eastAsia="zh-CN" w:bidi="ar-SA"/>
              </w:rPr>
              <w:t>本项目废水污染物源强核算结果及相关参数一览表</w:t>
            </w:r>
          </w:p>
          <w:tbl>
            <w:tblPr>
              <w:tblStyle w:val="30"/>
              <w:tblW w:w="87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0"/>
              <w:gridCol w:w="690"/>
              <w:gridCol w:w="495"/>
              <w:gridCol w:w="767"/>
              <w:gridCol w:w="939"/>
              <w:gridCol w:w="814"/>
              <w:gridCol w:w="636"/>
              <w:gridCol w:w="624"/>
              <w:gridCol w:w="564"/>
              <w:gridCol w:w="732"/>
              <w:gridCol w:w="816"/>
              <w:gridCol w:w="660"/>
              <w:gridCol w:w="639"/>
            </w:tblGrid>
            <w:tr w14:paraId="08767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 w:type="pct"/>
                  <w:vMerge w:val="restart"/>
                  <w:tcBorders>
                    <w:tl2br w:val="nil"/>
                    <w:tr2bl w:val="nil"/>
                  </w:tcBorders>
                  <w:vAlign w:val="center"/>
                </w:tcPr>
                <w:p w14:paraId="7CD8D702">
                  <w:pPr>
                    <w:jc w:val="center"/>
                    <w:rPr>
                      <w:rFonts w:hint="default" w:ascii="Times New Roman" w:hAnsi="Times New Roman" w:eastAsia="宋体" w:cs="Times New Roman"/>
                      <w:b/>
                      <w:bCs/>
                      <w:color w:val="auto"/>
                      <w:spacing w:val="-20"/>
                      <w:w w:val="90"/>
                      <w:sz w:val="21"/>
                      <w:szCs w:val="21"/>
                      <w:lang w:eastAsia="zh-CN"/>
                    </w:rPr>
                  </w:pPr>
                  <w:r>
                    <w:rPr>
                      <w:rFonts w:hint="default" w:ascii="Times New Roman" w:hAnsi="Times New Roman" w:cs="Times New Roman"/>
                      <w:b/>
                      <w:bCs/>
                      <w:color w:val="auto"/>
                      <w:spacing w:val="-20"/>
                      <w:w w:val="90"/>
                      <w:sz w:val="21"/>
                      <w:szCs w:val="21"/>
                      <w:lang w:val="en-US" w:eastAsia="zh-CN"/>
                    </w:rPr>
                    <w:t>污染源</w:t>
                  </w:r>
                </w:p>
              </w:tc>
              <w:tc>
                <w:tcPr>
                  <w:tcW w:w="394" w:type="pct"/>
                  <w:vMerge w:val="restart"/>
                  <w:tcBorders>
                    <w:tl2br w:val="nil"/>
                    <w:tr2bl w:val="nil"/>
                  </w:tcBorders>
                  <w:vAlign w:val="center"/>
                </w:tcPr>
                <w:p w14:paraId="631C65DB">
                  <w:pPr>
                    <w:jc w:val="center"/>
                    <w:rPr>
                      <w:rFonts w:hint="default" w:ascii="Times New Roman" w:hAnsi="Times New Roman" w:eastAsia="宋体" w:cs="Times New Roman"/>
                      <w:b/>
                      <w:bCs/>
                      <w:color w:val="auto"/>
                      <w:spacing w:val="-20"/>
                      <w:w w:val="90"/>
                      <w:sz w:val="21"/>
                      <w:szCs w:val="21"/>
                      <w:lang w:val="en-US" w:eastAsia="zh-CN"/>
                    </w:rPr>
                  </w:pPr>
                  <w:r>
                    <w:rPr>
                      <w:rFonts w:hint="default" w:ascii="Times New Roman" w:hAnsi="Times New Roman" w:cs="Times New Roman"/>
                      <w:b/>
                      <w:bCs/>
                      <w:color w:val="auto"/>
                      <w:spacing w:val="-20"/>
                      <w:w w:val="90"/>
                      <w:sz w:val="21"/>
                      <w:szCs w:val="21"/>
                      <w:lang w:val="en-US" w:eastAsia="zh-CN"/>
                    </w:rPr>
                    <w:t>污染物</w:t>
                  </w:r>
                </w:p>
              </w:tc>
              <w:tc>
                <w:tcPr>
                  <w:tcW w:w="282" w:type="pct"/>
                  <w:vMerge w:val="restart"/>
                  <w:tcBorders>
                    <w:tl2br w:val="nil"/>
                    <w:tr2bl w:val="nil"/>
                  </w:tcBorders>
                  <w:vAlign w:val="center"/>
                </w:tcPr>
                <w:p w14:paraId="72A225AB">
                  <w:pPr>
                    <w:jc w:val="center"/>
                    <w:rPr>
                      <w:rFonts w:hint="default" w:ascii="Times New Roman" w:hAnsi="Times New Roman" w:eastAsia="宋体" w:cs="Times New Roman"/>
                      <w:b/>
                      <w:bCs/>
                      <w:color w:val="auto"/>
                      <w:spacing w:val="-20"/>
                      <w:w w:val="90"/>
                      <w:sz w:val="21"/>
                      <w:szCs w:val="21"/>
                      <w:lang w:val="en-US" w:eastAsia="zh-CN"/>
                    </w:rPr>
                  </w:pPr>
                  <w:r>
                    <w:rPr>
                      <w:rFonts w:hint="default" w:ascii="Times New Roman" w:hAnsi="Times New Roman" w:cs="Times New Roman"/>
                      <w:b/>
                      <w:bCs/>
                      <w:color w:val="auto"/>
                      <w:spacing w:val="-20"/>
                      <w:w w:val="90"/>
                      <w:sz w:val="21"/>
                      <w:szCs w:val="21"/>
                      <w:lang w:val="en-US" w:eastAsia="zh-CN"/>
                    </w:rPr>
                    <w:t>核算方法</w:t>
                  </w:r>
                </w:p>
              </w:tc>
              <w:tc>
                <w:tcPr>
                  <w:tcW w:w="1439" w:type="pct"/>
                  <w:gridSpan w:val="3"/>
                  <w:tcBorders>
                    <w:tl2br w:val="nil"/>
                    <w:tr2bl w:val="nil"/>
                  </w:tcBorders>
                  <w:vAlign w:val="center"/>
                </w:tcPr>
                <w:p w14:paraId="3F1C2F6E">
                  <w:pPr>
                    <w:jc w:val="center"/>
                    <w:rPr>
                      <w:rFonts w:hint="default" w:ascii="Times New Roman" w:hAnsi="Times New Roman" w:cs="Times New Roman"/>
                      <w:b/>
                      <w:bCs/>
                      <w:color w:val="auto"/>
                      <w:spacing w:val="-20"/>
                      <w:w w:val="90"/>
                      <w:sz w:val="21"/>
                      <w:szCs w:val="21"/>
                    </w:rPr>
                  </w:pPr>
                  <w:r>
                    <w:rPr>
                      <w:rFonts w:hint="default" w:ascii="Times New Roman" w:hAnsi="Times New Roman" w:cs="Times New Roman"/>
                      <w:b/>
                      <w:bCs/>
                      <w:color w:val="auto"/>
                      <w:spacing w:val="-20"/>
                      <w:w w:val="90"/>
                      <w:sz w:val="21"/>
                      <w:szCs w:val="21"/>
                      <w:lang w:val="en-US" w:eastAsia="zh-CN"/>
                    </w:rPr>
                    <w:t>污染物产生</w:t>
                  </w:r>
                </w:p>
              </w:tc>
              <w:tc>
                <w:tcPr>
                  <w:tcW w:w="719" w:type="pct"/>
                  <w:gridSpan w:val="2"/>
                  <w:tcBorders>
                    <w:tl2br w:val="nil"/>
                    <w:tr2bl w:val="nil"/>
                  </w:tcBorders>
                  <w:vAlign w:val="center"/>
                </w:tcPr>
                <w:p w14:paraId="4F360D56">
                  <w:pPr>
                    <w:jc w:val="center"/>
                    <w:rPr>
                      <w:rFonts w:hint="default" w:ascii="Times New Roman" w:hAnsi="Times New Roman" w:cs="Times New Roman"/>
                      <w:b/>
                      <w:bCs/>
                      <w:color w:val="auto"/>
                      <w:spacing w:val="-20"/>
                      <w:w w:val="90"/>
                      <w:sz w:val="21"/>
                      <w:szCs w:val="21"/>
                      <w:lang w:val="en-US"/>
                    </w:rPr>
                  </w:pPr>
                  <w:r>
                    <w:rPr>
                      <w:rFonts w:hint="default" w:ascii="Times New Roman" w:hAnsi="Times New Roman" w:cs="Times New Roman"/>
                      <w:b/>
                      <w:bCs/>
                      <w:color w:val="auto"/>
                      <w:spacing w:val="-20"/>
                      <w:w w:val="90"/>
                      <w:sz w:val="21"/>
                      <w:szCs w:val="21"/>
                      <w:lang w:val="en-US" w:eastAsia="zh-CN"/>
                    </w:rPr>
                    <w:t>治理措施</w:t>
                  </w:r>
                </w:p>
              </w:tc>
              <w:tc>
                <w:tcPr>
                  <w:tcW w:w="1582" w:type="pct"/>
                  <w:gridSpan w:val="4"/>
                  <w:tcBorders>
                    <w:tl2br w:val="nil"/>
                    <w:tr2bl w:val="nil"/>
                  </w:tcBorders>
                  <w:vAlign w:val="center"/>
                </w:tcPr>
                <w:p w14:paraId="6ABE5232">
                  <w:pPr>
                    <w:jc w:val="center"/>
                    <w:rPr>
                      <w:rFonts w:hint="default" w:ascii="Times New Roman" w:hAnsi="Times New Roman" w:eastAsia="宋体" w:cs="Times New Roman"/>
                      <w:b/>
                      <w:bCs/>
                      <w:color w:val="auto"/>
                      <w:spacing w:val="-20"/>
                      <w:w w:val="90"/>
                      <w:sz w:val="21"/>
                      <w:szCs w:val="21"/>
                      <w:lang w:val="en-US" w:eastAsia="zh-CN"/>
                    </w:rPr>
                  </w:pPr>
                  <w:r>
                    <w:rPr>
                      <w:rFonts w:hint="default" w:ascii="Times New Roman" w:hAnsi="Times New Roman" w:cs="Times New Roman"/>
                      <w:b/>
                      <w:bCs/>
                      <w:color w:val="auto"/>
                      <w:spacing w:val="-20"/>
                      <w:w w:val="90"/>
                      <w:sz w:val="21"/>
                      <w:szCs w:val="21"/>
                      <w:lang w:val="en-US" w:eastAsia="zh-CN"/>
                    </w:rPr>
                    <w:t>污染物排放</w:t>
                  </w:r>
                </w:p>
              </w:tc>
              <w:tc>
                <w:tcPr>
                  <w:tcW w:w="364" w:type="pct"/>
                  <w:vMerge w:val="restart"/>
                  <w:tcBorders>
                    <w:tl2br w:val="nil"/>
                    <w:tr2bl w:val="nil"/>
                  </w:tcBorders>
                  <w:vAlign w:val="center"/>
                </w:tcPr>
                <w:p w14:paraId="50EC4DF0">
                  <w:pPr>
                    <w:jc w:val="center"/>
                    <w:rPr>
                      <w:rFonts w:hint="default" w:ascii="Times New Roman" w:hAnsi="Times New Roman" w:cs="Times New Roman"/>
                      <w:b/>
                      <w:bCs/>
                      <w:color w:val="auto"/>
                      <w:spacing w:val="-20"/>
                      <w:w w:val="90"/>
                      <w:sz w:val="21"/>
                      <w:szCs w:val="21"/>
                      <w:lang w:val="en-US" w:eastAsia="zh-CN"/>
                    </w:rPr>
                  </w:pPr>
                  <w:r>
                    <w:rPr>
                      <w:rFonts w:hint="default" w:ascii="Times New Roman" w:hAnsi="Times New Roman" w:cs="Times New Roman"/>
                      <w:b/>
                      <w:bCs/>
                      <w:color w:val="auto"/>
                      <w:spacing w:val="-20"/>
                      <w:w w:val="90"/>
                      <w:sz w:val="21"/>
                      <w:szCs w:val="21"/>
                      <w:lang w:val="en-US" w:eastAsia="zh-CN"/>
                    </w:rPr>
                    <w:t>排放</w:t>
                  </w:r>
                </w:p>
                <w:p w14:paraId="142F947D">
                  <w:pPr>
                    <w:jc w:val="center"/>
                    <w:rPr>
                      <w:rFonts w:hint="default" w:ascii="Times New Roman" w:hAnsi="Times New Roman" w:eastAsia="宋体" w:cs="Times New Roman"/>
                      <w:b/>
                      <w:bCs/>
                      <w:color w:val="auto"/>
                      <w:spacing w:val="-20"/>
                      <w:w w:val="90"/>
                      <w:sz w:val="21"/>
                      <w:szCs w:val="21"/>
                      <w:lang w:val="en-US" w:eastAsia="zh-CN"/>
                    </w:rPr>
                  </w:pPr>
                  <w:r>
                    <w:rPr>
                      <w:rFonts w:hint="default" w:ascii="Times New Roman" w:hAnsi="Times New Roman" w:cs="Times New Roman"/>
                      <w:b/>
                      <w:bCs/>
                      <w:color w:val="auto"/>
                      <w:spacing w:val="-20"/>
                      <w:w w:val="90"/>
                      <w:sz w:val="21"/>
                      <w:szCs w:val="21"/>
                      <w:lang w:val="en-US" w:eastAsia="zh-CN"/>
                    </w:rPr>
                    <w:t>时间（d/a）</w:t>
                  </w:r>
                </w:p>
              </w:tc>
            </w:tr>
            <w:tr w14:paraId="34D68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 w:type="pct"/>
                  <w:vMerge w:val="continue"/>
                  <w:tcBorders>
                    <w:tl2br w:val="nil"/>
                    <w:tr2bl w:val="nil"/>
                  </w:tcBorders>
                  <w:vAlign w:val="center"/>
                </w:tcPr>
                <w:p w14:paraId="27EF0476">
                  <w:pPr>
                    <w:jc w:val="center"/>
                    <w:rPr>
                      <w:rFonts w:hint="default" w:ascii="Times New Roman" w:hAnsi="Times New Roman" w:cs="Times New Roman"/>
                      <w:b/>
                      <w:bCs/>
                      <w:color w:val="auto"/>
                      <w:spacing w:val="-20"/>
                      <w:w w:val="90"/>
                      <w:sz w:val="21"/>
                      <w:szCs w:val="21"/>
                    </w:rPr>
                  </w:pPr>
                </w:p>
              </w:tc>
              <w:tc>
                <w:tcPr>
                  <w:tcW w:w="394" w:type="pct"/>
                  <w:vMerge w:val="continue"/>
                  <w:tcBorders>
                    <w:tl2br w:val="nil"/>
                    <w:tr2bl w:val="nil"/>
                  </w:tcBorders>
                  <w:vAlign w:val="center"/>
                </w:tcPr>
                <w:p w14:paraId="12BC3818">
                  <w:pPr>
                    <w:jc w:val="center"/>
                    <w:rPr>
                      <w:rFonts w:hint="default" w:ascii="Times New Roman" w:hAnsi="Times New Roman" w:cs="Times New Roman"/>
                      <w:b/>
                      <w:bCs/>
                      <w:color w:val="auto"/>
                      <w:spacing w:val="-20"/>
                      <w:w w:val="90"/>
                      <w:sz w:val="21"/>
                      <w:szCs w:val="21"/>
                    </w:rPr>
                  </w:pPr>
                </w:p>
              </w:tc>
              <w:tc>
                <w:tcPr>
                  <w:tcW w:w="282" w:type="pct"/>
                  <w:vMerge w:val="continue"/>
                  <w:tcBorders>
                    <w:tl2br w:val="nil"/>
                    <w:tr2bl w:val="nil"/>
                  </w:tcBorders>
                  <w:vAlign w:val="center"/>
                </w:tcPr>
                <w:p w14:paraId="330A8625">
                  <w:pPr>
                    <w:jc w:val="center"/>
                    <w:rPr>
                      <w:rFonts w:hint="default" w:ascii="Times New Roman" w:hAnsi="Times New Roman" w:cs="Times New Roman"/>
                      <w:b/>
                      <w:bCs/>
                      <w:color w:val="auto"/>
                      <w:spacing w:val="-20"/>
                      <w:w w:val="90"/>
                      <w:sz w:val="21"/>
                      <w:szCs w:val="21"/>
                    </w:rPr>
                  </w:pPr>
                </w:p>
              </w:tc>
              <w:tc>
                <w:tcPr>
                  <w:tcW w:w="437" w:type="pct"/>
                  <w:tcBorders>
                    <w:tl2br w:val="nil"/>
                    <w:tr2bl w:val="nil"/>
                  </w:tcBorders>
                  <w:shd w:val="clear" w:color="auto" w:fill="auto"/>
                  <w:vAlign w:val="center"/>
                </w:tcPr>
                <w:p w14:paraId="4F9CB1D2">
                  <w:pPr>
                    <w:jc w:val="center"/>
                    <w:rPr>
                      <w:rFonts w:hint="default" w:ascii="Times New Roman" w:hAnsi="Times New Roman" w:eastAsia="宋体" w:cs="Times New Roman"/>
                      <w:b/>
                      <w:bCs/>
                      <w:color w:val="auto"/>
                      <w:spacing w:val="-20"/>
                      <w:w w:val="90"/>
                      <w:kern w:val="2"/>
                      <w:sz w:val="21"/>
                      <w:szCs w:val="21"/>
                      <w:lang w:val="en-US" w:eastAsia="zh-CN" w:bidi="ar-SA"/>
                    </w:rPr>
                  </w:pPr>
                  <w:r>
                    <w:rPr>
                      <w:rFonts w:hint="default" w:ascii="Times New Roman" w:hAnsi="Times New Roman" w:cs="Times New Roman"/>
                      <w:b/>
                      <w:bCs/>
                      <w:color w:val="auto"/>
                      <w:spacing w:val="-20"/>
                      <w:w w:val="90"/>
                      <w:sz w:val="21"/>
                      <w:szCs w:val="21"/>
                    </w:rPr>
                    <w:t>废水</w:t>
                  </w:r>
                  <w:r>
                    <w:rPr>
                      <w:rFonts w:hint="default" w:ascii="Times New Roman" w:hAnsi="Times New Roman" w:cs="Times New Roman"/>
                      <w:b/>
                      <w:bCs/>
                      <w:color w:val="auto"/>
                      <w:spacing w:val="-20"/>
                      <w:w w:val="90"/>
                      <w:sz w:val="21"/>
                      <w:szCs w:val="21"/>
                      <w:lang w:val="en-US" w:eastAsia="zh-CN"/>
                    </w:rPr>
                    <w:t>产生</w:t>
                  </w:r>
                  <w:r>
                    <w:rPr>
                      <w:rFonts w:hint="default" w:ascii="Times New Roman" w:hAnsi="Times New Roman" w:cs="Times New Roman"/>
                      <w:b/>
                      <w:bCs/>
                      <w:color w:val="auto"/>
                      <w:spacing w:val="-20"/>
                      <w:w w:val="90"/>
                      <w:sz w:val="21"/>
                      <w:szCs w:val="21"/>
                    </w:rPr>
                    <w:t>量（m</w:t>
                  </w:r>
                  <w:r>
                    <w:rPr>
                      <w:rFonts w:hint="default" w:ascii="Times New Roman" w:hAnsi="Times New Roman" w:cs="Times New Roman"/>
                      <w:b/>
                      <w:bCs/>
                      <w:color w:val="auto"/>
                      <w:spacing w:val="-20"/>
                      <w:w w:val="90"/>
                      <w:sz w:val="21"/>
                      <w:szCs w:val="21"/>
                      <w:vertAlign w:val="superscript"/>
                    </w:rPr>
                    <w:t>3</w:t>
                  </w:r>
                  <w:r>
                    <w:rPr>
                      <w:rFonts w:hint="default" w:ascii="Times New Roman" w:hAnsi="Times New Roman" w:cs="Times New Roman"/>
                      <w:b/>
                      <w:bCs/>
                      <w:color w:val="auto"/>
                      <w:spacing w:val="-20"/>
                      <w:w w:val="90"/>
                      <w:sz w:val="21"/>
                      <w:szCs w:val="21"/>
                    </w:rPr>
                    <w:t>/</w:t>
                  </w:r>
                  <w:r>
                    <w:rPr>
                      <w:rFonts w:hint="default" w:ascii="Times New Roman" w:hAnsi="Times New Roman" w:cs="Times New Roman"/>
                      <w:b/>
                      <w:bCs/>
                      <w:color w:val="auto"/>
                      <w:spacing w:val="-20"/>
                      <w:w w:val="90"/>
                      <w:sz w:val="21"/>
                      <w:szCs w:val="21"/>
                      <w:lang w:val="en-US" w:eastAsia="zh-CN"/>
                    </w:rPr>
                    <w:t>a</w:t>
                  </w:r>
                  <w:r>
                    <w:rPr>
                      <w:rFonts w:hint="default" w:ascii="Times New Roman" w:hAnsi="Times New Roman" w:cs="Times New Roman"/>
                      <w:b/>
                      <w:bCs/>
                      <w:color w:val="auto"/>
                      <w:spacing w:val="-20"/>
                      <w:w w:val="90"/>
                      <w:sz w:val="21"/>
                      <w:szCs w:val="21"/>
                    </w:rPr>
                    <w:t>）</w:t>
                  </w:r>
                </w:p>
              </w:tc>
              <w:tc>
                <w:tcPr>
                  <w:tcW w:w="536" w:type="pct"/>
                  <w:tcBorders>
                    <w:tl2br w:val="nil"/>
                    <w:tr2bl w:val="nil"/>
                  </w:tcBorders>
                  <w:shd w:val="clear" w:color="auto" w:fill="auto"/>
                  <w:vAlign w:val="center"/>
                </w:tcPr>
                <w:p w14:paraId="765CF1D5">
                  <w:pPr>
                    <w:jc w:val="center"/>
                    <w:rPr>
                      <w:rFonts w:hint="default" w:ascii="Times New Roman" w:hAnsi="Times New Roman" w:eastAsia="宋体" w:cs="Times New Roman"/>
                      <w:b/>
                      <w:bCs/>
                      <w:color w:val="auto"/>
                      <w:spacing w:val="-20"/>
                      <w:w w:val="90"/>
                      <w:kern w:val="2"/>
                      <w:sz w:val="21"/>
                      <w:szCs w:val="21"/>
                      <w:lang w:val="en-US" w:eastAsia="zh-CN" w:bidi="ar-SA"/>
                    </w:rPr>
                  </w:pPr>
                  <w:r>
                    <w:rPr>
                      <w:rFonts w:hint="default" w:ascii="Times New Roman" w:hAnsi="Times New Roman" w:cs="Times New Roman"/>
                      <w:b/>
                      <w:bCs/>
                      <w:color w:val="auto"/>
                      <w:spacing w:val="-20"/>
                      <w:w w:val="90"/>
                      <w:sz w:val="21"/>
                      <w:szCs w:val="21"/>
                      <w:lang w:val="en-US" w:eastAsia="zh-CN"/>
                    </w:rPr>
                    <w:t>产生浓度</w:t>
                  </w:r>
                  <w:r>
                    <w:rPr>
                      <w:rFonts w:hint="default" w:ascii="Times New Roman" w:hAnsi="Times New Roman" w:cs="Times New Roman"/>
                      <w:b/>
                      <w:bCs/>
                      <w:color w:val="auto"/>
                      <w:spacing w:val="-20"/>
                      <w:w w:val="90"/>
                      <w:sz w:val="21"/>
                      <w:szCs w:val="21"/>
                    </w:rPr>
                    <w:t>（mg/L）</w:t>
                  </w:r>
                </w:p>
              </w:tc>
              <w:tc>
                <w:tcPr>
                  <w:tcW w:w="464" w:type="pct"/>
                  <w:tcBorders>
                    <w:tl2br w:val="nil"/>
                    <w:tr2bl w:val="nil"/>
                  </w:tcBorders>
                  <w:vAlign w:val="center"/>
                </w:tcPr>
                <w:p w14:paraId="16EDFDEC">
                  <w:pPr>
                    <w:jc w:val="center"/>
                    <w:rPr>
                      <w:rFonts w:hint="default" w:ascii="Times New Roman" w:hAnsi="Times New Roman" w:cs="Times New Roman"/>
                      <w:b/>
                      <w:bCs/>
                      <w:color w:val="auto"/>
                      <w:spacing w:val="-20"/>
                      <w:w w:val="90"/>
                      <w:sz w:val="21"/>
                      <w:szCs w:val="21"/>
                    </w:rPr>
                  </w:pPr>
                  <w:r>
                    <w:rPr>
                      <w:rFonts w:hint="default" w:ascii="Times New Roman" w:hAnsi="Times New Roman" w:cs="Times New Roman"/>
                      <w:b/>
                      <w:bCs/>
                      <w:color w:val="auto"/>
                      <w:spacing w:val="-20"/>
                      <w:w w:val="90"/>
                      <w:sz w:val="21"/>
                      <w:szCs w:val="21"/>
                    </w:rPr>
                    <w:t>产生量（t/a）</w:t>
                  </w:r>
                </w:p>
              </w:tc>
              <w:tc>
                <w:tcPr>
                  <w:tcW w:w="363" w:type="pct"/>
                  <w:tcBorders>
                    <w:tl2br w:val="nil"/>
                    <w:tr2bl w:val="nil"/>
                  </w:tcBorders>
                  <w:vAlign w:val="center"/>
                </w:tcPr>
                <w:p w14:paraId="1CCEA3CF">
                  <w:pPr>
                    <w:jc w:val="center"/>
                    <w:rPr>
                      <w:rFonts w:hint="default" w:ascii="Times New Roman" w:hAnsi="Times New Roman" w:eastAsia="宋体" w:cs="Times New Roman"/>
                      <w:b/>
                      <w:bCs/>
                      <w:color w:val="auto"/>
                      <w:spacing w:val="-20"/>
                      <w:w w:val="90"/>
                      <w:sz w:val="21"/>
                      <w:szCs w:val="21"/>
                      <w:lang w:val="en-US" w:eastAsia="zh-CN"/>
                    </w:rPr>
                  </w:pPr>
                  <w:r>
                    <w:rPr>
                      <w:rFonts w:hint="default" w:ascii="Times New Roman" w:hAnsi="Times New Roman" w:cs="Times New Roman"/>
                      <w:b/>
                      <w:bCs/>
                      <w:color w:val="auto"/>
                      <w:spacing w:val="-20"/>
                      <w:w w:val="90"/>
                      <w:sz w:val="21"/>
                      <w:szCs w:val="21"/>
                      <w:lang w:val="en-US" w:eastAsia="zh-CN"/>
                    </w:rPr>
                    <w:t>工艺</w:t>
                  </w:r>
                </w:p>
              </w:tc>
              <w:tc>
                <w:tcPr>
                  <w:tcW w:w="356" w:type="pct"/>
                  <w:tcBorders>
                    <w:tl2br w:val="nil"/>
                    <w:tr2bl w:val="nil"/>
                  </w:tcBorders>
                  <w:vAlign w:val="center"/>
                </w:tcPr>
                <w:p w14:paraId="30C8561D">
                  <w:pPr>
                    <w:jc w:val="center"/>
                    <w:rPr>
                      <w:rFonts w:hint="default" w:ascii="Times New Roman" w:hAnsi="Times New Roman" w:eastAsia="宋体" w:cs="Times New Roman"/>
                      <w:b/>
                      <w:bCs/>
                      <w:color w:val="auto"/>
                      <w:spacing w:val="-20"/>
                      <w:w w:val="90"/>
                      <w:sz w:val="21"/>
                      <w:szCs w:val="21"/>
                      <w:lang w:val="en-US" w:eastAsia="zh-CN"/>
                    </w:rPr>
                  </w:pPr>
                  <w:r>
                    <w:rPr>
                      <w:rFonts w:hint="default" w:ascii="Times New Roman" w:hAnsi="Times New Roman" w:cs="Times New Roman"/>
                      <w:b/>
                      <w:bCs/>
                      <w:color w:val="auto"/>
                      <w:spacing w:val="-20"/>
                      <w:w w:val="90"/>
                      <w:sz w:val="21"/>
                      <w:szCs w:val="21"/>
                      <w:lang w:val="en-US" w:eastAsia="zh-CN"/>
                    </w:rPr>
                    <w:t>效率</w:t>
                  </w:r>
                </w:p>
              </w:tc>
              <w:tc>
                <w:tcPr>
                  <w:tcW w:w="322" w:type="pct"/>
                  <w:tcBorders>
                    <w:tl2br w:val="nil"/>
                    <w:tr2bl w:val="nil"/>
                  </w:tcBorders>
                  <w:vAlign w:val="center"/>
                </w:tcPr>
                <w:p w14:paraId="3F42A6C0">
                  <w:pPr>
                    <w:jc w:val="center"/>
                    <w:rPr>
                      <w:rFonts w:hint="default" w:ascii="Times New Roman" w:hAnsi="Times New Roman" w:eastAsia="宋体" w:cs="Times New Roman"/>
                      <w:b/>
                      <w:bCs/>
                      <w:color w:val="auto"/>
                      <w:spacing w:val="-20"/>
                      <w:w w:val="90"/>
                      <w:sz w:val="21"/>
                      <w:szCs w:val="21"/>
                      <w:lang w:val="en-US" w:eastAsia="zh-CN"/>
                    </w:rPr>
                  </w:pPr>
                  <w:r>
                    <w:rPr>
                      <w:rFonts w:hint="default" w:ascii="Times New Roman" w:hAnsi="Times New Roman" w:cs="Times New Roman"/>
                      <w:b/>
                      <w:bCs/>
                      <w:color w:val="auto"/>
                      <w:spacing w:val="-20"/>
                      <w:w w:val="90"/>
                      <w:sz w:val="21"/>
                      <w:szCs w:val="21"/>
                      <w:lang w:val="en-US" w:eastAsia="zh-CN"/>
                    </w:rPr>
                    <w:t>核算方法</w:t>
                  </w:r>
                </w:p>
              </w:tc>
              <w:tc>
                <w:tcPr>
                  <w:tcW w:w="417" w:type="pct"/>
                  <w:tcBorders>
                    <w:tl2br w:val="nil"/>
                    <w:tr2bl w:val="nil"/>
                  </w:tcBorders>
                  <w:vAlign w:val="center"/>
                </w:tcPr>
                <w:p w14:paraId="6B19F992">
                  <w:pPr>
                    <w:jc w:val="center"/>
                    <w:rPr>
                      <w:rFonts w:hint="default" w:ascii="Times New Roman" w:hAnsi="Times New Roman" w:eastAsia="宋体" w:cs="Times New Roman"/>
                      <w:b/>
                      <w:bCs/>
                      <w:color w:val="auto"/>
                      <w:spacing w:val="-20"/>
                      <w:w w:val="90"/>
                      <w:sz w:val="21"/>
                      <w:szCs w:val="21"/>
                      <w:lang w:val="en-US" w:eastAsia="zh-CN"/>
                    </w:rPr>
                  </w:pPr>
                  <w:r>
                    <w:rPr>
                      <w:rFonts w:hint="default" w:ascii="Times New Roman" w:hAnsi="Times New Roman" w:cs="Times New Roman"/>
                      <w:b/>
                      <w:bCs/>
                      <w:color w:val="auto"/>
                      <w:spacing w:val="-20"/>
                      <w:w w:val="90"/>
                      <w:sz w:val="21"/>
                      <w:szCs w:val="21"/>
                      <w:lang w:val="en-US" w:eastAsia="zh-CN"/>
                    </w:rPr>
                    <w:t>废水排放量</w:t>
                  </w:r>
                  <w:r>
                    <w:rPr>
                      <w:rFonts w:hint="default" w:ascii="Times New Roman" w:hAnsi="Times New Roman" w:cs="Times New Roman"/>
                      <w:b/>
                      <w:bCs/>
                      <w:color w:val="auto"/>
                      <w:spacing w:val="-20"/>
                      <w:w w:val="90"/>
                      <w:sz w:val="21"/>
                      <w:szCs w:val="21"/>
                    </w:rPr>
                    <w:t>（m</w:t>
                  </w:r>
                  <w:r>
                    <w:rPr>
                      <w:rFonts w:hint="default" w:ascii="Times New Roman" w:hAnsi="Times New Roman" w:cs="Times New Roman"/>
                      <w:b/>
                      <w:bCs/>
                      <w:color w:val="auto"/>
                      <w:spacing w:val="-20"/>
                      <w:w w:val="90"/>
                      <w:sz w:val="21"/>
                      <w:szCs w:val="21"/>
                      <w:vertAlign w:val="superscript"/>
                    </w:rPr>
                    <w:t>3</w:t>
                  </w:r>
                  <w:r>
                    <w:rPr>
                      <w:rFonts w:hint="default" w:ascii="Times New Roman" w:hAnsi="Times New Roman" w:cs="Times New Roman"/>
                      <w:b/>
                      <w:bCs/>
                      <w:color w:val="auto"/>
                      <w:spacing w:val="-20"/>
                      <w:w w:val="90"/>
                      <w:sz w:val="21"/>
                      <w:szCs w:val="21"/>
                    </w:rPr>
                    <w:t>/</w:t>
                  </w:r>
                  <w:r>
                    <w:rPr>
                      <w:rFonts w:hint="default" w:ascii="Times New Roman" w:hAnsi="Times New Roman" w:cs="Times New Roman"/>
                      <w:b/>
                      <w:bCs/>
                      <w:color w:val="auto"/>
                      <w:spacing w:val="-20"/>
                      <w:w w:val="90"/>
                      <w:sz w:val="21"/>
                      <w:szCs w:val="21"/>
                      <w:lang w:val="en-US" w:eastAsia="zh-CN"/>
                    </w:rPr>
                    <w:t>a</w:t>
                  </w:r>
                  <w:r>
                    <w:rPr>
                      <w:rFonts w:hint="default" w:ascii="Times New Roman" w:hAnsi="Times New Roman" w:cs="Times New Roman"/>
                      <w:b/>
                      <w:bCs/>
                      <w:color w:val="auto"/>
                      <w:spacing w:val="-20"/>
                      <w:w w:val="90"/>
                      <w:sz w:val="21"/>
                      <w:szCs w:val="21"/>
                    </w:rPr>
                    <w:t>）</w:t>
                  </w:r>
                </w:p>
              </w:tc>
              <w:tc>
                <w:tcPr>
                  <w:tcW w:w="465" w:type="pct"/>
                  <w:tcBorders>
                    <w:tl2br w:val="nil"/>
                    <w:tr2bl w:val="nil"/>
                  </w:tcBorders>
                  <w:vAlign w:val="center"/>
                </w:tcPr>
                <w:p w14:paraId="4F6D1833">
                  <w:pPr>
                    <w:jc w:val="center"/>
                    <w:rPr>
                      <w:rFonts w:hint="default" w:ascii="Times New Roman" w:hAnsi="Times New Roman" w:eastAsia="宋体" w:cs="Times New Roman"/>
                      <w:b/>
                      <w:bCs/>
                      <w:color w:val="auto"/>
                      <w:spacing w:val="-20"/>
                      <w:w w:val="90"/>
                      <w:sz w:val="21"/>
                      <w:szCs w:val="21"/>
                      <w:lang w:val="en-US" w:eastAsia="zh-CN"/>
                    </w:rPr>
                  </w:pPr>
                  <w:r>
                    <w:rPr>
                      <w:rFonts w:hint="default" w:ascii="Times New Roman" w:hAnsi="Times New Roman" w:cs="Times New Roman"/>
                      <w:b/>
                      <w:bCs/>
                      <w:color w:val="auto"/>
                      <w:spacing w:val="-20"/>
                      <w:w w:val="90"/>
                      <w:sz w:val="21"/>
                      <w:szCs w:val="21"/>
                      <w:lang w:val="en-US" w:eastAsia="zh-CN"/>
                    </w:rPr>
                    <w:t>排放浓度</w:t>
                  </w:r>
                  <w:r>
                    <w:rPr>
                      <w:rFonts w:hint="default" w:ascii="Times New Roman" w:hAnsi="Times New Roman" w:cs="Times New Roman"/>
                      <w:b/>
                      <w:bCs/>
                      <w:color w:val="auto"/>
                      <w:spacing w:val="-20"/>
                      <w:w w:val="90"/>
                      <w:sz w:val="21"/>
                      <w:szCs w:val="21"/>
                    </w:rPr>
                    <w:t>（mg/L）</w:t>
                  </w:r>
                </w:p>
              </w:tc>
              <w:tc>
                <w:tcPr>
                  <w:tcW w:w="376" w:type="pct"/>
                  <w:tcBorders>
                    <w:tl2br w:val="nil"/>
                    <w:tr2bl w:val="nil"/>
                  </w:tcBorders>
                  <w:vAlign w:val="center"/>
                </w:tcPr>
                <w:p w14:paraId="5F75D0D0">
                  <w:pPr>
                    <w:jc w:val="center"/>
                    <w:rPr>
                      <w:rFonts w:hint="default" w:ascii="Times New Roman" w:hAnsi="Times New Roman" w:eastAsia="宋体" w:cs="Times New Roman"/>
                      <w:b/>
                      <w:bCs/>
                      <w:color w:val="auto"/>
                      <w:spacing w:val="-20"/>
                      <w:w w:val="90"/>
                      <w:sz w:val="21"/>
                      <w:szCs w:val="21"/>
                      <w:lang w:val="en-US" w:eastAsia="zh-CN"/>
                    </w:rPr>
                  </w:pPr>
                  <w:r>
                    <w:rPr>
                      <w:rFonts w:hint="default" w:ascii="Times New Roman" w:hAnsi="Times New Roman" w:cs="Times New Roman"/>
                      <w:b/>
                      <w:bCs/>
                      <w:color w:val="auto"/>
                      <w:spacing w:val="-20"/>
                      <w:w w:val="90"/>
                      <w:sz w:val="21"/>
                      <w:szCs w:val="21"/>
                      <w:lang w:val="en-US" w:eastAsia="zh-CN"/>
                    </w:rPr>
                    <w:t>排放量</w:t>
                  </w:r>
                  <w:r>
                    <w:rPr>
                      <w:rFonts w:hint="default" w:ascii="Times New Roman" w:hAnsi="Times New Roman" w:cs="Times New Roman"/>
                      <w:b/>
                      <w:bCs/>
                      <w:color w:val="auto"/>
                      <w:spacing w:val="-20"/>
                      <w:w w:val="90"/>
                      <w:sz w:val="21"/>
                      <w:szCs w:val="21"/>
                    </w:rPr>
                    <w:t>（t/a）</w:t>
                  </w:r>
                </w:p>
              </w:tc>
              <w:tc>
                <w:tcPr>
                  <w:tcW w:w="364" w:type="pct"/>
                  <w:vMerge w:val="continue"/>
                  <w:tcBorders>
                    <w:tl2br w:val="nil"/>
                    <w:tr2bl w:val="nil"/>
                  </w:tcBorders>
                  <w:vAlign w:val="center"/>
                </w:tcPr>
                <w:p w14:paraId="0BF2C6C9">
                  <w:pPr>
                    <w:jc w:val="center"/>
                    <w:rPr>
                      <w:rFonts w:hint="default" w:ascii="Times New Roman" w:hAnsi="Times New Roman" w:cs="Times New Roman"/>
                      <w:b/>
                      <w:bCs/>
                      <w:color w:val="auto"/>
                      <w:sz w:val="21"/>
                      <w:szCs w:val="21"/>
                    </w:rPr>
                  </w:pPr>
                </w:p>
              </w:tc>
            </w:tr>
            <w:tr w14:paraId="0DCA2D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 w:type="pct"/>
                  <w:tcBorders>
                    <w:tl2br w:val="nil"/>
                    <w:tr2bl w:val="nil"/>
                  </w:tcBorders>
                  <w:shd w:val="clear" w:color="auto" w:fill="auto"/>
                  <w:vAlign w:val="center"/>
                </w:tcPr>
                <w:p w14:paraId="5481AE2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作业区地面冲洗废水</w:t>
                  </w:r>
                </w:p>
              </w:tc>
              <w:tc>
                <w:tcPr>
                  <w:tcW w:w="394" w:type="pct"/>
                  <w:tcBorders>
                    <w:tl2br w:val="nil"/>
                    <w:tr2bl w:val="nil"/>
                  </w:tcBorders>
                  <w:shd w:val="clear" w:color="auto" w:fill="auto"/>
                  <w:vAlign w:val="center"/>
                </w:tcPr>
                <w:p w14:paraId="7464B53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SS</w:t>
                  </w:r>
                </w:p>
              </w:tc>
              <w:tc>
                <w:tcPr>
                  <w:tcW w:w="282" w:type="pct"/>
                  <w:tcBorders>
                    <w:tl2br w:val="nil"/>
                    <w:tr2bl w:val="nil"/>
                  </w:tcBorders>
                  <w:vAlign w:val="center"/>
                </w:tcPr>
                <w:p w14:paraId="4DD17389">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系数法</w:t>
                  </w:r>
                </w:p>
              </w:tc>
              <w:tc>
                <w:tcPr>
                  <w:tcW w:w="767" w:type="dxa"/>
                  <w:tcBorders>
                    <w:tl2br w:val="nil"/>
                    <w:tr2bl w:val="nil"/>
                  </w:tcBorders>
                  <w:vAlign w:val="center"/>
                </w:tcPr>
                <w:p w14:paraId="2479D71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574.5</w:t>
                  </w:r>
                </w:p>
              </w:tc>
              <w:tc>
                <w:tcPr>
                  <w:tcW w:w="536" w:type="pct"/>
                  <w:tcBorders>
                    <w:tl2br w:val="nil"/>
                    <w:tr2bl w:val="nil"/>
                  </w:tcBorders>
                  <w:shd w:val="clear" w:color="auto" w:fill="auto"/>
                  <w:vAlign w:val="center"/>
                </w:tcPr>
                <w:p w14:paraId="6FA871D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1000</w:t>
                  </w:r>
                </w:p>
              </w:tc>
              <w:tc>
                <w:tcPr>
                  <w:tcW w:w="814" w:type="dxa"/>
                  <w:tcBorders>
                    <w:tl2br w:val="nil"/>
                    <w:tr2bl w:val="nil"/>
                  </w:tcBorders>
                  <w:shd w:val="clear" w:color="auto" w:fill="auto"/>
                  <w:vAlign w:val="center"/>
                </w:tcPr>
                <w:p w14:paraId="3ACA8CA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86.175</w:t>
                  </w:r>
                </w:p>
              </w:tc>
              <w:tc>
                <w:tcPr>
                  <w:tcW w:w="363" w:type="pct"/>
                  <w:tcBorders>
                    <w:tl2br w:val="nil"/>
                    <w:tr2bl w:val="nil"/>
                  </w:tcBorders>
                  <w:vAlign w:val="center"/>
                </w:tcPr>
                <w:p w14:paraId="38112A6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沉淀</w:t>
                  </w:r>
                </w:p>
              </w:tc>
              <w:tc>
                <w:tcPr>
                  <w:tcW w:w="356" w:type="pct"/>
                  <w:tcBorders>
                    <w:tl2br w:val="nil"/>
                    <w:tr2bl w:val="nil"/>
                  </w:tcBorders>
                  <w:vAlign w:val="center"/>
                </w:tcPr>
                <w:p w14:paraId="759E3A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322" w:type="pct"/>
                  <w:tcBorders>
                    <w:tl2br w:val="nil"/>
                    <w:tr2bl w:val="nil"/>
                  </w:tcBorders>
                  <w:vAlign w:val="center"/>
                </w:tcPr>
                <w:p w14:paraId="0D39BB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17" w:type="pct"/>
                  <w:tcBorders>
                    <w:tl2br w:val="nil"/>
                    <w:tr2bl w:val="nil"/>
                  </w:tcBorders>
                  <w:vAlign w:val="center"/>
                </w:tcPr>
                <w:p w14:paraId="6AA850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65" w:type="pct"/>
                  <w:tcBorders>
                    <w:tl2br w:val="nil"/>
                    <w:tr2bl w:val="nil"/>
                  </w:tcBorders>
                  <w:vAlign w:val="center"/>
                </w:tcPr>
                <w:p w14:paraId="7A9EFA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76" w:type="pct"/>
                  <w:tcBorders>
                    <w:tl2br w:val="nil"/>
                    <w:tr2bl w:val="nil"/>
                  </w:tcBorders>
                  <w:vAlign w:val="center"/>
                </w:tcPr>
                <w:p w14:paraId="1CD0D7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64" w:type="pct"/>
                  <w:tcBorders>
                    <w:tl2br w:val="nil"/>
                    <w:tr2bl w:val="nil"/>
                  </w:tcBorders>
                  <w:vAlign w:val="center"/>
                </w:tcPr>
                <w:p w14:paraId="1839AA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6F3F8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 w:type="pct"/>
                  <w:vMerge w:val="restart"/>
                  <w:tcBorders>
                    <w:tl2br w:val="nil"/>
                    <w:tr2bl w:val="nil"/>
                  </w:tcBorders>
                  <w:shd w:val="clear" w:color="auto" w:fill="auto"/>
                  <w:vAlign w:val="center"/>
                </w:tcPr>
                <w:p w14:paraId="02AA0CB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车辆冲洗废水</w:t>
                  </w:r>
                </w:p>
              </w:tc>
              <w:tc>
                <w:tcPr>
                  <w:tcW w:w="394" w:type="pct"/>
                  <w:tcBorders>
                    <w:tl2br w:val="nil"/>
                    <w:tr2bl w:val="nil"/>
                  </w:tcBorders>
                  <w:shd w:val="clear" w:color="auto" w:fill="auto"/>
                  <w:vAlign w:val="center"/>
                </w:tcPr>
                <w:p w14:paraId="445B226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SS</w:t>
                  </w:r>
                </w:p>
              </w:tc>
              <w:tc>
                <w:tcPr>
                  <w:tcW w:w="282" w:type="pct"/>
                  <w:vMerge w:val="restart"/>
                  <w:tcBorders>
                    <w:tl2br w:val="nil"/>
                    <w:tr2bl w:val="nil"/>
                  </w:tcBorders>
                  <w:vAlign w:val="center"/>
                </w:tcPr>
                <w:p w14:paraId="30680264">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系数法</w:t>
                  </w:r>
                </w:p>
              </w:tc>
              <w:tc>
                <w:tcPr>
                  <w:tcW w:w="767" w:type="dxa"/>
                  <w:vMerge w:val="restart"/>
                  <w:tcBorders>
                    <w:tl2br w:val="nil"/>
                    <w:tr2bl w:val="nil"/>
                  </w:tcBorders>
                  <w:vAlign w:val="center"/>
                </w:tcPr>
                <w:p w14:paraId="4D25C06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417</w:t>
                  </w:r>
                </w:p>
              </w:tc>
              <w:tc>
                <w:tcPr>
                  <w:tcW w:w="536" w:type="pct"/>
                  <w:tcBorders>
                    <w:tl2br w:val="nil"/>
                    <w:tr2bl w:val="nil"/>
                  </w:tcBorders>
                  <w:shd w:val="clear" w:color="auto" w:fill="auto"/>
                  <w:vAlign w:val="center"/>
                </w:tcPr>
                <w:p w14:paraId="7581005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200</w:t>
                  </w:r>
                </w:p>
              </w:tc>
              <w:tc>
                <w:tcPr>
                  <w:tcW w:w="814" w:type="dxa"/>
                  <w:tcBorders>
                    <w:tl2br w:val="nil"/>
                    <w:tr2bl w:val="nil"/>
                  </w:tcBorders>
                  <w:shd w:val="clear" w:color="auto" w:fill="auto"/>
                  <w:vAlign w:val="center"/>
                </w:tcPr>
                <w:p w14:paraId="53180D3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12.51</w:t>
                  </w:r>
                </w:p>
              </w:tc>
              <w:tc>
                <w:tcPr>
                  <w:tcW w:w="363" w:type="pct"/>
                  <w:tcBorders>
                    <w:tl2br w:val="nil"/>
                    <w:tr2bl w:val="nil"/>
                  </w:tcBorders>
                  <w:shd w:val="clear" w:color="auto" w:fill="auto"/>
                  <w:vAlign w:val="center"/>
                </w:tcPr>
                <w:p w14:paraId="0327CDC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沉淀</w:t>
                  </w:r>
                </w:p>
              </w:tc>
              <w:tc>
                <w:tcPr>
                  <w:tcW w:w="356" w:type="pct"/>
                  <w:tcBorders>
                    <w:tl2br w:val="nil"/>
                    <w:tr2bl w:val="nil"/>
                  </w:tcBorders>
                  <w:shd w:val="clear" w:color="auto" w:fill="auto"/>
                  <w:vAlign w:val="center"/>
                </w:tcPr>
                <w:p w14:paraId="23D1C2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c>
                <w:tcPr>
                  <w:tcW w:w="322" w:type="pct"/>
                  <w:tcBorders>
                    <w:tl2br w:val="nil"/>
                    <w:tr2bl w:val="nil"/>
                  </w:tcBorders>
                  <w:vAlign w:val="center"/>
                </w:tcPr>
                <w:p w14:paraId="026081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17" w:type="pct"/>
                  <w:tcBorders>
                    <w:tl2br w:val="nil"/>
                    <w:tr2bl w:val="nil"/>
                  </w:tcBorders>
                  <w:vAlign w:val="center"/>
                </w:tcPr>
                <w:p w14:paraId="2CCB64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65" w:type="pct"/>
                  <w:tcBorders>
                    <w:tl2br w:val="nil"/>
                    <w:tr2bl w:val="nil"/>
                  </w:tcBorders>
                  <w:vAlign w:val="center"/>
                </w:tcPr>
                <w:p w14:paraId="3763BD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76" w:type="pct"/>
                  <w:tcBorders>
                    <w:tl2br w:val="nil"/>
                    <w:tr2bl w:val="nil"/>
                  </w:tcBorders>
                  <w:vAlign w:val="center"/>
                </w:tcPr>
                <w:p w14:paraId="15FED7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64" w:type="pct"/>
                  <w:tcBorders>
                    <w:tl2br w:val="nil"/>
                    <w:tr2bl w:val="nil"/>
                  </w:tcBorders>
                  <w:vAlign w:val="center"/>
                </w:tcPr>
                <w:p w14:paraId="3213C6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24D2F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 w:type="pct"/>
                  <w:vMerge w:val="continue"/>
                  <w:tcBorders>
                    <w:tl2br w:val="nil"/>
                    <w:tr2bl w:val="nil"/>
                  </w:tcBorders>
                  <w:vAlign w:val="center"/>
                </w:tcPr>
                <w:p w14:paraId="41BAB7F0">
                  <w:pPr>
                    <w:jc w:val="center"/>
                    <w:rPr>
                      <w:rFonts w:hint="default" w:ascii="Times New Roman" w:hAnsi="Times New Roman" w:cs="Times New Roman"/>
                      <w:color w:val="auto"/>
                      <w:sz w:val="21"/>
                      <w:szCs w:val="21"/>
                    </w:rPr>
                  </w:pPr>
                </w:p>
              </w:tc>
              <w:tc>
                <w:tcPr>
                  <w:tcW w:w="394" w:type="pct"/>
                  <w:tcBorders>
                    <w:tl2br w:val="nil"/>
                    <w:tr2bl w:val="nil"/>
                  </w:tcBorders>
                  <w:shd w:val="clear" w:color="auto" w:fill="auto"/>
                  <w:vAlign w:val="center"/>
                </w:tcPr>
                <w:p w14:paraId="1C5917C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石油类</w:t>
                  </w:r>
                </w:p>
              </w:tc>
              <w:tc>
                <w:tcPr>
                  <w:tcW w:w="282" w:type="pct"/>
                  <w:vMerge w:val="continue"/>
                  <w:tcBorders>
                    <w:tl2br w:val="nil"/>
                    <w:tr2bl w:val="nil"/>
                  </w:tcBorders>
                  <w:vAlign w:val="center"/>
                </w:tcPr>
                <w:p w14:paraId="540D6567">
                  <w:pPr>
                    <w:jc w:val="center"/>
                    <w:rPr>
                      <w:rFonts w:hint="default" w:ascii="Times New Roman" w:hAnsi="Times New Roman" w:cs="Times New Roman"/>
                      <w:color w:val="auto"/>
                      <w:sz w:val="21"/>
                      <w:szCs w:val="21"/>
                    </w:rPr>
                  </w:pPr>
                </w:p>
              </w:tc>
              <w:tc>
                <w:tcPr>
                  <w:tcW w:w="437" w:type="pct"/>
                  <w:vMerge w:val="continue"/>
                  <w:tcBorders>
                    <w:tl2br w:val="nil"/>
                    <w:tr2bl w:val="nil"/>
                  </w:tcBorders>
                  <w:vAlign w:val="center"/>
                </w:tcPr>
                <w:p w14:paraId="68219BA5">
                  <w:pPr>
                    <w:jc w:val="center"/>
                    <w:rPr>
                      <w:rFonts w:hint="default" w:ascii="Times New Roman" w:hAnsi="Times New Roman" w:cs="Times New Roman"/>
                      <w:color w:val="auto"/>
                      <w:sz w:val="21"/>
                      <w:szCs w:val="21"/>
                    </w:rPr>
                  </w:pPr>
                </w:p>
              </w:tc>
              <w:tc>
                <w:tcPr>
                  <w:tcW w:w="536" w:type="pct"/>
                  <w:tcBorders>
                    <w:tl2br w:val="nil"/>
                    <w:tr2bl w:val="nil"/>
                  </w:tcBorders>
                  <w:shd w:val="clear" w:color="auto" w:fill="auto"/>
                  <w:vAlign w:val="center"/>
                </w:tcPr>
                <w:p w14:paraId="647E2B6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7.4</w:t>
                  </w:r>
                </w:p>
              </w:tc>
              <w:tc>
                <w:tcPr>
                  <w:tcW w:w="814" w:type="dxa"/>
                  <w:tcBorders>
                    <w:tl2br w:val="nil"/>
                    <w:tr2bl w:val="nil"/>
                  </w:tcBorders>
                  <w:shd w:val="clear" w:color="auto" w:fill="auto"/>
                  <w:vAlign w:val="center"/>
                </w:tcPr>
                <w:p w14:paraId="72B68BF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0.465</w:t>
                  </w:r>
                </w:p>
              </w:tc>
              <w:tc>
                <w:tcPr>
                  <w:tcW w:w="363" w:type="pct"/>
                  <w:tcBorders>
                    <w:tl2br w:val="nil"/>
                    <w:tr2bl w:val="nil"/>
                  </w:tcBorders>
                  <w:shd w:val="clear" w:color="auto" w:fill="auto"/>
                  <w:vAlign w:val="center"/>
                </w:tcPr>
                <w:p w14:paraId="692C601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沉淀</w:t>
                  </w:r>
                </w:p>
              </w:tc>
              <w:tc>
                <w:tcPr>
                  <w:tcW w:w="356" w:type="pct"/>
                  <w:tcBorders>
                    <w:tl2br w:val="nil"/>
                    <w:tr2bl w:val="nil"/>
                  </w:tcBorders>
                  <w:shd w:val="clear" w:color="auto" w:fill="auto"/>
                  <w:vAlign w:val="center"/>
                </w:tcPr>
                <w:p w14:paraId="7E784D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w:t>
                  </w:r>
                </w:p>
              </w:tc>
              <w:tc>
                <w:tcPr>
                  <w:tcW w:w="322" w:type="pct"/>
                  <w:tcBorders>
                    <w:tl2br w:val="nil"/>
                    <w:tr2bl w:val="nil"/>
                  </w:tcBorders>
                  <w:vAlign w:val="center"/>
                </w:tcPr>
                <w:p w14:paraId="41A208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17" w:type="pct"/>
                  <w:tcBorders>
                    <w:tl2br w:val="nil"/>
                    <w:tr2bl w:val="nil"/>
                  </w:tcBorders>
                  <w:vAlign w:val="center"/>
                </w:tcPr>
                <w:p w14:paraId="41A937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65" w:type="pct"/>
                  <w:tcBorders>
                    <w:tl2br w:val="nil"/>
                    <w:tr2bl w:val="nil"/>
                  </w:tcBorders>
                  <w:vAlign w:val="center"/>
                </w:tcPr>
                <w:p w14:paraId="4A9A48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76" w:type="pct"/>
                  <w:tcBorders>
                    <w:tl2br w:val="nil"/>
                    <w:tr2bl w:val="nil"/>
                  </w:tcBorders>
                  <w:vAlign w:val="center"/>
                </w:tcPr>
                <w:p w14:paraId="48B2E1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64" w:type="pct"/>
                  <w:tcBorders>
                    <w:tl2br w:val="nil"/>
                    <w:tr2bl w:val="nil"/>
                  </w:tcBorders>
                  <w:vAlign w:val="center"/>
                </w:tcPr>
                <w:p w14:paraId="372409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7D821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 w:type="pct"/>
                  <w:vMerge w:val="restart"/>
                  <w:tcBorders>
                    <w:tl2br w:val="nil"/>
                    <w:tr2bl w:val="nil"/>
                  </w:tcBorders>
                  <w:vAlign w:val="center"/>
                </w:tcPr>
                <w:p w14:paraId="2067162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生活污水</w:t>
                  </w:r>
                </w:p>
              </w:tc>
              <w:tc>
                <w:tcPr>
                  <w:tcW w:w="394" w:type="pct"/>
                  <w:tcBorders>
                    <w:tl2br w:val="nil"/>
                    <w:tr2bl w:val="nil"/>
                  </w:tcBorders>
                  <w:shd w:val="clear" w:color="auto" w:fill="auto"/>
                  <w:vAlign w:val="center"/>
                </w:tcPr>
                <w:p w14:paraId="4EF2127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COD</w:t>
                  </w:r>
                </w:p>
              </w:tc>
              <w:tc>
                <w:tcPr>
                  <w:tcW w:w="282" w:type="pct"/>
                  <w:vMerge w:val="restart"/>
                  <w:tcBorders>
                    <w:tl2br w:val="nil"/>
                    <w:tr2bl w:val="nil"/>
                  </w:tcBorders>
                  <w:vAlign w:val="center"/>
                </w:tcPr>
                <w:p w14:paraId="35FA061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系数法</w:t>
                  </w:r>
                </w:p>
              </w:tc>
              <w:tc>
                <w:tcPr>
                  <w:tcW w:w="767" w:type="dxa"/>
                  <w:vMerge w:val="restart"/>
                  <w:tcBorders>
                    <w:tl2br w:val="nil"/>
                    <w:tr2bl w:val="nil"/>
                  </w:tcBorders>
                  <w:vAlign w:val="center"/>
                </w:tcPr>
                <w:p w14:paraId="36A411B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153</w:t>
                  </w:r>
                </w:p>
              </w:tc>
              <w:tc>
                <w:tcPr>
                  <w:tcW w:w="536" w:type="pct"/>
                  <w:tcBorders>
                    <w:tl2br w:val="nil"/>
                    <w:tr2bl w:val="nil"/>
                  </w:tcBorders>
                  <w:shd w:val="clear" w:color="auto" w:fill="auto"/>
                  <w:vAlign w:val="center"/>
                </w:tcPr>
                <w:p w14:paraId="638353F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325</w:t>
                  </w:r>
                </w:p>
              </w:tc>
              <w:tc>
                <w:tcPr>
                  <w:tcW w:w="814" w:type="dxa"/>
                  <w:tcBorders>
                    <w:tl2br w:val="nil"/>
                    <w:tr2bl w:val="nil"/>
                  </w:tcBorders>
                  <w:shd w:val="clear" w:color="auto" w:fill="auto"/>
                  <w:vAlign w:val="center"/>
                </w:tcPr>
                <w:p w14:paraId="709ED79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7.455</w:t>
                  </w:r>
                </w:p>
              </w:tc>
              <w:tc>
                <w:tcPr>
                  <w:tcW w:w="363" w:type="pct"/>
                  <w:vMerge w:val="restart"/>
                  <w:tcBorders>
                    <w:tl2br w:val="nil"/>
                    <w:tr2bl w:val="nil"/>
                  </w:tcBorders>
                  <w:vAlign w:val="center"/>
                </w:tcPr>
                <w:p w14:paraId="0227F5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化粪池</w:t>
                  </w:r>
                </w:p>
              </w:tc>
              <w:tc>
                <w:tcPr>
                  <w:tcW w:w="356" w:type="pct"/>
                  <w:vMerge w:val="restart"/>
                  <w:tcBorders>
                    <w:tl2br w:val="nil"/>
                    <w:tr2bl w:val="nil"/>
                  </w:tcBorders>
                  <w:vAlign w:val="center"/>
                </w:tcPr>
                <w:p w14:paraId="407447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22" w:type="pct"/>
                  <w:vMerge w:val="restart"/>
                  <w:tcBorders>
                    <w:tl2br w:val="nil"/>
                    <w:tr2bl w:val="nil"/>
                  </w:tcBorders>
                  <w:vAlign w:val="center"/>
                </w:tcPr>
                <w:p w14:paraId="690B24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417" w:type="pct"/>
                  <w:tcBorders>
                    <w:tl2br w:val="nil"/>
                    <w:tr2bl w:val="nil"/>
                  </w:tcBorders>
                  <w:vAlign w:val="center"/>
                </w:tcPr>
                <w:p w14:paraId="54C559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65" w:type="pct"/>
                  <w:tcBorders>
                    <w:tl2br w:val="nil"/>
                    <w:tr2bl w:val="nil"/>
                  </w:tcBorders>
                  <w:vAlign w:val="center"/>
                </w:tcPr>
                <w:p w14:paraId="35719A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76" w:type="pct"/>
                  <w:tcBorders>
                    <w:tl2br w:val="nil"/>
                    <w:tr2bl w:val="nil"/>
                  </w:tcBorders>
                  <w:vAlign w:val="center"/>
                </w:tcPr>
                <w:p w14:paraId="53DEEA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64" w:type="pct"/>
                  <w:tcBorders>
                    <w:tl2br w:val="nil"/>
                    <w:tr2bl w:val="nil"/>
                  </w:tcBorders>
                  <w:vAlign w:val="center"/>
                </w:tcPr>
                <w:p w14:paraId="479786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7397D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 w:type="pct"/>
                  <w:vMerge w:val="continue"/>
                </w:tcPr>
                <w:p w14:paraId="3AE45E71">
                  <w:pPr>
                    <w:jc w:val="center"/>
                    <w:rPr>
                      <w:rFonts w:hint="default" w:ascii="Times New Roman" w:hAnsi="Times New Roman" w:eastAsia="宋体" w:cs="Times New Roman"/>
                      <w:color w:val="auto"/>
                      <w:sz w:val="21"/>
                      <w:szCs w:val="21"/>
                      <w:lang w:val="en-US" w:eastAsia="zh-CN"/>
                    </w:rPr>
                  </w:pPr>
                </w:p>
              </w:tc>
              <w:tc>
                <w:tcPr>
                  <w:tcW w:w="394" w:type="pct"/>
                  <w:shd w:val="clear" w:color="auto" w:fill="auto"/>
                  <w:vAlign w:val="center"/>
                </w:tcPr>
                <w:p w14:paraId="6B90A23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282" w:type="pct"/>
                  <w:vMerge w:val="continue"/>
                </w:tcPr>
                <w:p w14:paraId="317DF2EC">
                  <w:pPr>
                    <w:jc w:val="center"/>
                    <w:rPr>
                      <w:rFonts w:hint="default" w:ascii="Times New Roman" w:hAnsi="Times New Roman" w:cs="Times New Roman"/>
                      <w:color w:val="auto"/>
                      <w:sz w:val="21"/>
                      <w:szCs w:val="21"/>
                    </w:rPr>
                  </w:pPr>
                </w:p>
              </w:tc>
              <w:tc>
                <w:tcPr>
                  <w:tcW w:w="437" w:type="pct"/>
                  <w:vMerge w:val="continue"/>
                </w:tcPr>
                <w:p w14:paraId="1617DD84">
                  <w:pPr>
                    <w:jc w:val="center"/>
                    <w:rPr>
                      <w:rFonts w:hint="default" w:ascii="Times New Roman" w:hAnsi="Times New Roman" w:cs="Times New Roman"/>
                      <w:color w:val="auto"/>
                      <w:sz w:val="21"/>
                      <w:szCs w:val="21"/>
                    </w:rPr>
                  </w:pPr>
                </w:p>
              </w:tc>
              <w:tc>
                <w:tcPr>
                  <w:tcW w:w="536" w:type="pct"/>
                  <w:shd w:val="clear" w:color="auto" w:fill="auto"/>
                  <w:vAlign w:val="center"/>
                </w:tcPr>
                <w:p w14:paraId="6F4C03A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140</w:t>
                  </w:r>
                </w:p>
              </w:tc>
              <w:tc>
                <w:tcPr>
                  <w:tcW w:w="814" w:type="dxa"/>
                  <w:shd w:val="clear" w:color="auto" w:fill="auto"/>
                  <w:vAlign w:val="center"/>
                </w:tcPr>
                <w:p w14:paraId="65FCF49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3.21</w:t>
                  </w:r>
                </w:p>
              </w:tc>
              <w:tc>
                <w:tcPr>
                  <w:tcW w:w="363" w:type="pct"/>
                  <w:vMerge w:val="continue"/>
                </w:tcPr>
                <w:p w14:paraId="646573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56" w:type="pct"/>
                  <w:vMerge w:val="continue"/>
                </w:tcPr>
                <w:p w14:paraId="44F015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22" w:type="pct"/>
                  <w:vMerge w:val="continue"/>
                </w:tcPr>
                <w:p w14:paraId="085E07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17" w:type="pct"/>
                </w:tcPr>
                <w:p w14:paraId="59A4AE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65" w:type="pct"/>
                  <w:vAlign w:val="center"/>
                </w:tcPr>
                <w:p w14:paraId="62AF1E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76" w:type="pct"/>
                  <w:vAlign w:val="center"/>
                </w:tcPr>
                <w:p w14:paraId="19CD31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64" w:type="pct"/>
                  <w:vAlign w:val="center"/>
                </w:tcPr>
                <w:p w14:paraId="3F4698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45E383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 w:type="pct"/>
                  <w:vMerge w:val="continue"/>
                </w:tcPr>
                <w:p w14:paraId="36AA7A93">
                  <w:pPr>
                    <w:jc w:val="center"/>
                    <w:rPr>
                      <w:rFonts w:hint="default" w:ascii="Times New Roman" w:hAnsi="Times New Roman" w:eastAsia="宋体" w:cs="Times New Roman"/>
                      <w:color w:val="auto"/>
                      <w:sz w:val="21"/>
                      <w:szCs w:val="21"/>
                      <w:lang w:val="en-US" w:eastAsia="zh-CN"/>
                    </w:rPr>
                  </w:pPr>
                </w:p>
              </w:tc>
              <w:tc>
                <w:tcPr>
                  <w:tcW w:w="394" w:type="pct"/>
                  <w:shd w:val="clear" w:color="auto" w:fill="auto"/>
                  <w:vAlign w:val="center"/>
                </w:tcPr>
                <w:p w14:paraId="1FB1CF0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SS</w:t>
                  </w:r>
                </w:p>
              </w:tc>
              <w:tc>
                <w:tcPr>
                  <w:tcW w:w="282" w:type="pct"/>
                  <w:vMerge w:val="continue"/>
                </w:tcPr>
                <w:p w14:paraId="5CBEDC8C">
                  <w:pPr>
                    <w:jc w:val="center"/>
                    <w:rPr>
                      <w:rFonts w:hint="default" w:ascii="Times New Roman" w:hAnsi="Times New Roman" w:cs="Times New Roman"/>
                      <w:color w:val="auto"/>
                      <w:sz w:val="21"/>
                      <w:szCs w:val="21"/>
                    </w:rPr>
                  </w:pPr>
                </w:p>
              </w:tc>
              <w:tc>
                <w:tcPr>
                  <w:tcW w:w="437" w:type="pct"/>
                  <w:vMerge w:val="continue"/>
                </w:tcPr>
                <w:p w14:paraId="3EC8E804">
                  <w:pPr>
                    <w:jc w:val="center"/>
                    <w:rPr>
                      <w:rFonts w:hint="default" w:ascii="Times New Roman" w:hAnsi="Times New Roman" w:cs="Times New Roman"/>
                      <w:color w:val="auto"/>
                      <w:sz w:val="21"/>
                      <w:szCs w:val="21"/>
                    </w:rPr>
                  </w:pPr>
                </w:p>
              </w:tc>
              <w:tc>
                <w:tcPr>
                  <w:tcW w:w="536" w:type="pct"/>
                  <w:shd w:val="clear" w:color="auto" w:fill="auto"/>
                  <w:vAlign w:val="center"/>
                </w:tcPr>
                <w:p w14:paraId="227E542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200</w:t>
                  </w:r>
                </w:p>
              </w:tc>
              <w:tc>
                <w:tcPr>
                  <w:tcW w:w="814" w:type="dxa"/>
                  <w:shd w:val="clear" w:color="auto" w:fill="auto"/>
                  <w:vAlign w:val="center"/>
                </w:tcPr>
                <w:p w14:paraId="357C68B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4.59</w:t>
                  </w:r>
                </w:p>
              </w:tc>
              <w:tc>
                <w:tcPr>
                  <w:tcW w:w="363" w:type="pct"/>
                  <w:vMerge w:val="continue"/>
                </w:tcPr>
                <w:p w14:paraId="57865E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56" w:type="pct"/>
                  <w:vMerge w:val="continue"/>
                </w:tcPr>
                <w:p w14:paraId="30A5F8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22" w:type="pct"/>
                  <w:vMerge w:val="continue"/>
                </w:tcPr>
                <w:p w14:paraId="1AF4FD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17" w:type="pct"/>
                </w:tcPr>
                <w:p w14:paraId="79E877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65" w:type="pct"/>
                  <w:vAlign w:val="center"/>
                </w:tcPr>
                <w:p w14:paraId="63256F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76" w:type="pct"/>
                  <w:vAlign w:val="center"/>
                </w:tcPr>
                <w:p w14:paraId="56AA3C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64" w:type="pct"/>
                  <w:vAlign w:val="center"/>
                </w:tcPr>
                <w:p w14:paraId="0F3CDC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5C4BB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 w:type="pct"/>
                  <w:vMerge w:val="continue"/>
                </w:tcPr>
                <w:p w14:paraId="5B4CD397">
                  <w:pPr>
                    <w:jc w:val="center"/>
                    <w:rPr>
                      <w:rFonts w:hint="default" w:ascii="Times New Roman" w:hAnsi="Times New Roman" w:eastAsia="宋体" w:cs="Times New Roman"/>
                      <w:color w:val="auto"/>
                      <w:sz w:val="21"/>
                      <w:szCs w:val="21"/>
                      <w:lang w:val="en-US" w:eastAsia="zh-CN"/>
                    </w:rPr>
                  </w:pPr>
                </w:p>
              </w:tc>
              <w:tc>
                <w:tcPr>
                  <w:tcW w:w="394" w:type="pct"/>
                  <w:shd w:val="clear" w:color="auto" w:fill="auto"/>
                  <w:vAlign w:val="center"/>
                </w:tcPr>
                <w:p w14:paraId="29F1C4C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282" w:type="pct"/>
                  <w:vMerge w:val="continue"/>
                </w:tcPr>
                <w:p w14:paraId="00350219">
                  <w:pPr>
                    <w:jc w:val="center"/>
                    <w:rPr>
                      <w:rFonts w:hint="default" w:ascii="Times New Roman" w:hAnsi="Times New Roman" w:cs="Times New Roman"/>
                      <w:color w:val="auto"/>
                      <w:sz w:val="21"/>
                      <w:szCs w:val="21"/>
                    </w:rPr>
                  </w:pPr>
                </w:p>
              </w:tc>
              <w:tc>
                <w:tcPr>
                  <w:tcW w:w="437" w:type="pct"/>
                  <w:vMerge w:val="continue"/>
                </w:tcPr>
                <w:p w14:paraId="3514E77D">
                  <w:pPr>
                    <w:jc w:val="center"/>
                    <w:rPr>
                      <w:rFonts w:hint="default" w:ascii="Times New Roman" w:hAnsi="Times New Roman" w:cs="Times New Roman"/>
                      <w:color w:val="auto"/>
                      <w:sz w:val="21"/>
                      <w:szCs w:val="21"/>
                    </w:rPr>
                  </w:pPr>
                </w:p>
              </w:tc>
              <w:tc>
                <w:tcPr>
                  <w:tcW w:w="536" w:type="pct"/>
                  <w:shd w:val="clear" w:color="auto" w:fill="auto"/>
                  <w:vAlign w:val="center"/>
                </w:tcPr>
                <w:p w14:paraId="63375AF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37.7</w:t>
                  </w:r>
                </w:p>
              </w:tc>
              <w:tc>
                <w:tcPr>
                  <w:tcW w:w="814" w:type="dxa"/>
                  <w:shd w:val="clear" w:color="auto" w:fill="auto"/>
                  <w:vAlign w:val="center"/>
                </w:tcPr>
                <w:p w14:paraId="25E447F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0.87</w:t>
                  </w:r>
                </w:p>
              </w:tc>
              <w:tc>
                <w:tcPr>
                  <w:tcW w:w="363" w:type="pct"/>
                  <w:vMerge w:val="continue"/>
                </w:tcPr>
                <w:p w14:paraId="2D2342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56" w:type="pct"/>
                  <w:vMerge w:val="continue"/>
                </w:tcPr>
                <w:p w14:paraId="0AC4BD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22" w:type="pct"/>
                  <w:vMerge w:val="continue"/>
                </w:tcPr>
                <w:p w14:paraId="167407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17" w:type="pct"/>
                </w:tcPr>
                <w:p w14:paraId="30325E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65" w:type="pct"/>
                  <w:vAlign w:val="center"/>
                </w:tcPr>
                <w:p w14:paraId="61AE13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76" w:type="pct"/>
                  <w:vAlign w:val="center"/>
                </w:tcPr>
                <w:p w14:paraId="499428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64" w:type="pct"/>
                  <w:vAlign w:val="center"/>
                </w:tcPr>
                <w:p w14:paraId="168E5B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7BB9CE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 w:type="pct"/>
                  <w:vMerge w:val="continue"/>
                </w:tcPr>
                <w:p w14:paraId="1E365F9B">
                  <w:pPr>
                    <w:jc w:val="center"/>
                    <w:rPr>
                      <w:rFonts w:hint="default" w:ascii="Times New Roman" w:hAnsi="Times New Roman" w:eastAsia="宋体" w:cs="Times New Roman"/>
                      <w:color w:val="auto"/>
                      <w:sz w:val="21"/>
                      <w:szCs w:val="21"/>
                      <w:lang w:val="en-US" w:eastAsia="zh-CN"/>
                    </w:rPr>
                  </w:pPr>
                </w:p>
              </w:tc>
              <w:tc>
                <w:tcPr>
                  <w:tcW w:w="394" w:type="pct"/>
                  <w:shd w:val="clear" w:color="auto" w:fill="auto"/>
                  <w:vAlign w:val="center"/>
                </w:tcPr>
                <w:p w14:paraId="091CC7A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TP</w:t>
                  </w:r>
                </w:p>
              </w:tc>
              <w:tc>
                <w:tcPr>
                  <w:tcW w:w="282" w:type="pct"/>
                  <w:vMerge w:val="continue"/>
                </w:tcPr>
                <w:p w14:paraId="313B0EDE">
                  <w:pPr>
                    <w:jc w:val="center"/>
                    <w:rPr>
                      <w:rFonts w:hint="default" w:ascii="Times New Roman" w:hAnsi="Times New Roman" w:cs="Times New Roman"/>
                      <w:color w:val="auto"/>
                      <w:sz w:val="21"/>
                      <w:szCs w:val="21"/>
                    </w:rPr>
                  </w:pPr>
                </w:p>
              </w:tc>
              <w:tc>
                <w:tcPr>
                  <w:tcW w:w="437" w:type="pct"/>
                  <w:vMerge w:val="continue"/>
                </w:tcPr>
                <w:p w14:paraId="39FD56CA">
                  <w:pPr>
                    <w:jc w:val="center"/>
                    <w:rPr>
                      <w:rFonts w:hint="default" w:ascii="Times New Roman" w:hAnsi="Times New Roman" w:cs="Times New Roman"/>
                      <w:color w:val="auto"/>
                      <w:sz w:val="21"/>
                      <w:szCs w:val="21"/>
                    </w:rPr>
                  </w:pPr>
                </w:p>
              </w:tc>
              <w:tc>
                <w:tcPr>
                  <w:tcW w:w="536" w:type="pct"/>
                  <w:shd w:val="clear" w:color="auto" w:fill="auto"/>
                  <w:vAlign w:val="center"/>
                </w:tcPr>
                <w:p w14:paraId="395749B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4.28</w:t>
                  </w:r>
                </w:p>
              </w:tc>
              <w:tc>
                <w:tcPr>
                  <w:tcW w:w="814" w:type="dxa"/>
                  <w:shd w:val="clear" w:color="auto" w:fill="auto"/>
                  <w:vAlign w:val="center"/>
                </w:tcPr>
                <w:p w14:paraId="371C7A4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0.105</w:t>
                  </w:r>
                </w:p>
              </w:tc>
              <w:tc>
                <w:tcPr>
                  <w:tcW w:w="363" w:type="pct"/>
                  <w:vMerge w:val="continue"/>
                </w:tcPr>
                <w:p w14:paraId="072D69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56" w:type="pct"/>
                  <w:vMerge w:val="continue"/>
                </w:tcPr>
                <w:p w14:paraId="30394D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22" w:type="pct"/>
                  <w:vMerge w:val="continue"/>
                </w:tcPr>
                <w:p w14:paraId="395D6D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17" w:type="pct"/>
                </w:tcPr>
                <w:p w14:paraId="61B126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65" w:type="pct"/>
                  <w:vAlign w:val="center"/>
                </w:tcPr>
                <w:p w14:paraId="72147C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76" w:type="pct"/>
                  <w:vAlign w:val="center"/>
                </w:tcPr>
                <w:p w14:paraId="7095A9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64" w:type="pct"/>
                  <w:vAlign w:val="center"/>
                </w:tcPr>
                <w:p w14:paraId="5706CB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7069C8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 w:type="pct"/>
                  <w:vMerge w:val="continue"/>
                </w:tcPr>
                <w:p w14:paraId="6E93FBAB">
                  <w:pPr>
                    <w:jc w:val="center"/>
                    <w:rPr>
                      <w:rFonts w:hint="default" w:ascii="Times New Roman" w:hAnsi="Times New Roman" w:eastAsia="宋体" w:cs="Times New Roman"/>
                      <w:color w:val="auto"/>
                      <w:sz w:val="21"/>
                      <w:szCs w:val="21"/>
                      <w:lang w:val="en-US" w:eastAsia="zh-CN"/>
                    </w:rPr>
                  </w:pPr>
                </w:p>
              </w:tc>
              <w:tc>
                <w:tcPr>
                  <w:tcW w:w="394" w:type="pct"/>
                  <w:shd w:val="clear" w:color="auto" w:fill="auto"/>
                  <w:vAlign w:val="center"/>
                </w:tcPr>
                <w:p w14:paraId="6B2A772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动植物油</w:t>
                  </w:r>
                </w:p>
              </w:tc>
              <w:tc>
                <w:tcPr>
                  <w:tcW w:w="282" w:type="pct"/>
                  <w:vMerge w:val="continue"/>
                </w:tcPr>
                <w:p w14:paraId="3EEB9B7F">
                  <w:pPr>
                    <w:jc w:val="center"/>
                    <w:rPr>
                      <w:rFonts w:hint="default" w:ascii="Times New Roman" w:hAnsi="Times New Roman" w:cs="Times New Roman"/>
                      <w:color w:val="auto"/>
                      <w:sz w:val="21"/>
                      <w:szCs w:val="21"/>
                    </w:rPr>
                  </w:pPr>
                </w:p>
              </w:tc>
              <w:tc>
                <w:tcPr>
                  <w:tcW w:w="437" w:type="pct"/>
                  <w:vMerge w:val="continue"/>
                </w:tcPr>
                <w:p w14:paraId="66B83788">
                  <w:pPr>
                    <w:jc w:val="center"/>
                    <w:rPr>
                      <w:rFonts w:hint="default" w:ascii="Times New Roman" w:hAnsi="Times New Roman" w:cs="Times New Roman"/>
                      <w:color w:val="auto"/>
                      <w:sz w:val="21"/>
                      <w:szCs w:val="21"/>
                    </w:rPr>
                  </w:pPr>
                </w:p>
              </w:tc>
              <w:tc>
                <w:tcPr>
                  <w:tcW w:w="536" w:type="pct"/>
                  <w:shd w:val="clear" w:color="auto" w:fill="auto"/>
                  <w:vAlign w:val="center"/>
                </w:tcPr>
                <w:p w14:paraId="1903807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100</w:t>
                  </w:r>
                </w:p>
              </w:tc>
              <w:tc>
                <w:tcPr>
                  <w:tcW w:w="814" w:type="dxa"/>
                  <w:shd w:val="clear" w:color="auto" w:fill="auto"/>
                  <w:vAlign w:val="center"/>
                </w:tcPr>
                <w:p w14:paraId="364753C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2.295</w:t>
                  </w:r>
                </w:p>
              </w:tc>
              <w:tc>
                <w:tcPr>
                  <w:tcW w:w="363" w:type="pct"/>
                  <w:vMerge w:val="continue"/>
                </w:tcPr>
                <w:p w14:paraId="1F27DB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56" w:type="pct"/>
                  <w:vMerge w:val="continue"/>
                </w:tcPr>
                <w:p w14:paraId="143CB1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22" w:type="pct"/>
                  <w:vMerge w:val="continue"/>
                </w:tcPr>
                <w:p w14:paraId="0E01D6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17" w:type="pct"/>
                </w:tcPr>
                <w:p w14:paraId="223FA6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465" w:type="pct"/>
                  <w:vAlign w:val="center"/>
                </w:tcPr>
                <w:p w14:paraId="02E4C3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76" w:type="pct"/>
                  <w:vAlign w:val="center"/>
                </w:tcPr>
                <w:p w14:paraId="2A8B83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64" w:type="pct"/>
                  <w:vAlign w:val="center"/>
                </w:tcPr>
                <w:p w14:paraId="5DB56F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bl>
          <w:p w14:paraId="59583A8D">
            <w:pPr>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rPr>
              <w:t>废水治理措施可行性分析</w:t>
            </w:r>
          </w:p>
          <w:p w14:paraId="0EEF6BEB">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①</w:t>
            </w:r>
            <w:r>
              <w:rPr>
                <w:rFonts w:hint="default" w:ascii="Times New Roman" w:hAnsi="Times New Roman" w:cs="Times New Roman"/>
                <w:b/>
                <w:bCs/>
                <w:color w:val="auto"/>
                <w:sz w:val="24"/>
                <w:szCs w:val="24"/>
              </w:rPr>
              <w:t>化粪池可行性分析</w:t>
            </w:r>
          </w:p>
          <w:p w14:paraId="009C2752">
            <w:pPr>
              <w:spacing w:line="360" w:lineRule="auto"/>
              <w:ind w:firstLine="480" w:firstLineChars="200"/>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val="en-US" w:eastAsia="zh-CN"/>
              </w:rPr>
              <w:t>拟设置的</w:t>
            </w:r>
            <w:r>
              <w:rPr>
                <w:rFonts w:hint="default" w:ascii="Times New Roman" w:hAnsi="Times New Roman" w:cs="Times New Roman"/>
                <w:color w:val="auto"/>
                <w:sz w:val="24"/>
                <w:szCs w:val="24"/>
              </w:rPr>
              <w:t>1个容积为</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的化粪池</w:t>
            </w:r>
            <w:r>
              <w:rPr>
                <w:rFonts w:hint="default" w:ascii="Times New Roman" w:hAnsi="Times New Roman" w:cs="Times New Roman"/>
                <w:color w:val="auto"/>
                <w:sz w:val="24"/>
                <w:szCs w:val="24"/>
                <w:lang w:eastAsia="zh-CN"/>
              </w:rPr>
              <w:t>，</w:t>
            </w:r>
            <w:r>
              <w:rPr>
                <w:rFonts w:hint="default" w:ascii="Times New Roman" w:hAnsi="Times New Roman" w:cs="Times New Roman"/>
                <w:bCs/>
                <w:color w:val="auto"/>
                <w:sz w:val="24"/>
              </w:rPr>
              <w:t>废水在化粪池中停留时间按12h计，则化粪池最大接纳污水量为</w:t>
            </w:r>
            <w:r>
              <w:rPr>
                <w:rFonts w:hint="default" w:ascii="Times New Roman" w:hAnsi="Times New Roman" w:cs="Times New Roman"/>
                <w:color w:val="auto"/>
                <w:sz w:val="24"/>
                <w:lang w:val="en-US" w:eastAsia="zh-CN"/>
              </w:rPr>
              <w:t>10</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bCs/>
                <w:color w:val="auto"/>
                <w:sz w:val="24"/>
              </w:rPr>
              <w:t>。项目生活污水产生量为1.</w:t>
            </w:r>
            <w:r>
              <w:rPr>
                <w:rFonts w:hint="default" w:ascii="Times New Roman" w:hAnsi="Times New Roman" w:cs="Times New Roman"/>
                <w:bCs/>
                <w:color w:val="auto"/>
                <w:sz w:val="24"/>
                <w:lang w:val="en-US" w:eastAsia="zh-CN"/>
              </w:rPr>
              <w:t>02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bCs/>
                <w:color w:val="auto"/>
                <w:sz w:val="24"/>
              </w:rPr>
              <w:t>，远低于化粪池最大处理能力</w:t>
            </w:r>
            <w:r>
              <w:rPr>
                <w:rFonts w:hint="default" w:ascii="Times New Roman" w:hAnsi="Times New Roman" w:cs="Times New Roman"/>
                <w:color w:val="auto"/>
                <w:sz w:val="24"/>
                <w:szCs w:val="24"/>
              </w:rPr>
              <w:t>，满足环境可行性要求。</w:t>
            </w:r>
          </w:p>
          <w:p w14:paraId="237B5F7D">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rPr>
            </w:pPr>
            <w:r>
              <w:rPr>
                <w:rFonts w:hint="default" w:ascii="Times New Roman" w:hAnsi="Times New Roman" w:cs="Times New Roman"/>
                <w:b/>
                <w:bCs/>
                <w:color w:val="auto"/>
                <w:sz w:val="24"/>
                <w:szCs w:val="24"/>
                <w:lang w:val="en-US" w:eastAsia="zh-CN"/>
              </w:rPr>
              <w:t>②循环利用</w:t>
            </w:r>
            <w:r>
              <w:rPr>
                <w:rFonts w:hint="default" w:ascii="Times New Roman" w:hAnsi="Times New Roman" w:cs="Times New Roman"/>
                <w:b/>
                <w:bCs/>
                <w:color w:val="auto"/>
                <w:sz w:val="24"/>
                <w:szCs w:val="24"/>
              </w:rPr>
              <w:t>可行性分析</w:t>
            </w:r>
          </w:p>
          <w:p w14:paraId="2943B4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sz w:val="24"/>
                <w:szCs w:val="24"/>
                <w:highlight w:val="none"/>
                <w:lang w:val="en-US" w:eastAsia="zh-CN"/>
              </w:rPr>
              <w:t>生产废水：</w:t>
            </w:r>
            <w:r>
              <w:rPr>
                <w:rFonts w:hint="default" w:ascii="Times New Roman" w:hAnsi="Times New Roman" w:cs="Times New Roman"/>
                <w:b w:val="0"/>
                <w:bCs w:val="0"/>
                <w:color w:val="auto"/>
                <w:sz w:val="24"/>
                <w:szCs w:val="24"/>
                <w:highlight w:val="none"/>
                <w:lang w:val="en-US" w:eastAsia="zh-CN"/>
              </w:rPr>
              <w:t>项目生产废水主要为道路地面冲洗废水3.83</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/d</w:t>
            </w:r>
            <w:r>
              <w:rPr>
                <w:rFonts w:hint="default" w:ascii="Times New Roman" w:hAnsi="Times New Roman" w:cs="Times New Roman"/>
                <w:b w:val="0"/>
                <w:bCs w:val="0"/>
                <w:color w:val="auto"/>
                <w:sz w:val="24"/>
                <w:szCs w:val="24"/>
                <w:lang w:val="en-US" w:eastAsia="zh-CN"/>
              </w:rPr>
              <w:t>和车辆冲洗废水</w:t>
            </w:r>
            <w:r>
              <w:rPr>
                <w:rFonts w:hint="default" w:ascii="Times New Roman" w:hAnsi="Times New Roman" w:cs="Times New Roman"/>
                <w:b w:val="0"/>
                <w:bCs w:val="0"/>
                <w:color w:val="auto"/>
                <w:sz w:val="24"/>
                <w:szCs w:val="24"/>
                <w:highlight w:val="none"/>
                <w:lang w:val="en-US" w:eastAsia="zh-CN"/>
              </w:rPr>
              <w:t>2.78</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/d</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项目的道路地面冲洗用水为18</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/d</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还需要补</w:t>
            </w:r>
            <w:r>
              <w:rPr>
                <w:rFonts w:hint="default" w:ascii="Times New Roman" w:hAnsi="Times New Roman" w:cs="Times New Roman"/>
                <w:b w:val="0"/>
                <w:bCs w:val="0"/>
                <w:color w:val="auto"/>
                <w:sz w:val="24"/>
                <w:szCs w:val="24"/>
                <w:lang w:val="en-US" w:eastAsia="zh-CN"/>
              </w:rPr>
              <w:t>0.49</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/d</w:t>
            </w:r>
            <w:r>
              <w:rPr>
                <w:rFonts w:hint="default" w:ascii="Times New Roman" w:hAnsi="Times New Roman" w:eastAsia="宋体" w:cs="Times New Roman"/>
                <w:b w:val="0"/>
                <w:bCs w:val="0"/>
                <w:color w:val="auto"/>
                <w:sz w:val="24"/>
                <w:szCs w:val="24"/>
                <w:lang w:eastAsia="zh-CN"/>
              </w:rPr>
              <w:t>的</w:t>
            </w:r>
            <w:r>
              <w:rPr>
                <w:rFonts w:hint="default" w:ascii="Times New Roman" w:hAnsi="Times New Roman" w:eastAsia="宋体" w:cs="Times New Roman"/>
                <w:b w:val="0"/>
                <w:bCs w:val="0"/>
                <w:color w:val="auto"/>
                <w:sz w:val="24"/>
                <w:szCs w:val="24"/>
                <w:lang w:val="en-US" w:eastAsia="zh-CN"/>
              </w:rPr>
              <w:t>新鲜水</w:t>
            </w:r>
            <w:r>
              <w:rPr>
                <w:rFonts w:hint="default" w:ascii="Times New Roman" w:hAnsi="Times New Roman" w:cs="Times New Roman"/>
                <w:b w:val="0"/>
                <w:bCs w:val="0"/>
                <w:color w:val="auto"/>
                <w:sz w:val="24"/>
                <w:szCs w:val="24"/>
                <w:lang w:val="en-US" w:eastAsia="zh-CN"/>
              </w:rPr>
              <w:t>作为车辆冲洗水，0.67</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/d</w:t>
            </w:r>
            <w:r>
              <w:rPr>
                <w:rFonts w:hint="default" w:ascii="Times New Roman" w:hAnsi="Times New Roman" w:cs="Times New Roman"/>
                <w:b w:val="0"/>
                <w:bCs w:val="0"/>
                <w:color w:val="auto"/>
                <w:sz w:val="24"/>
                <w:szCs w:val="24"/>
                <w:lang w:val="en-US" w:eastAsia="zh-CN"/>
              </w:rPr>
              <w:t>的新鲜水作为地面冲洗用水</w:t>
            </w:r>
            <w:r>
              <w:rPr>
                <w:rFonts w:hint="default" w:ascii="Times New Roman" w:hAnsi="Times New Roman" w:cs="Times New Roman"/>
                <w:bCs/>
                <w:color w:val="auto"/>
                <w:sz w:val="24"/>
                <w:szCs w:val="24"/>
              </w:rPr>
              <w:t>。因此，废水排放量及用水量分析上来看，运营期生产废水能够实现</w:t>
            </w:r>
            <w:r>
              <w:rPr>
                <w:rFonts w:hint="default" w:ascii="Times New Roman" w:hAnsi="Times New Roman" w:cs="Times New Roman"/>
                <w:bCs/>
                <w:color w:val="auto"/>
                <w:sz w:val="24"/>
                <w:szCs w:val="24"/>
                <w:lang w:val="en-US" w:eastAsia="zh-CN"/>
              </w:rPr>
              <w:t>循环利用</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lang w:val="en-US" w:eastAsia="zh-CN"/>
              </w:rPr>
              <w:t>项目拟设置三级沉淀池（30m</w:t>
            </w:r>
            <w:r>
              <w:rPr>
                <w:rFonts w:hint="default" w:ascii="Times New Roman" w:hAnsi="Times New Roman" w:cs="Times New Roman"/>
                <w:bCs/>
                <w:color w:val="auto"/>
                <w:sz w:val="24"/>
                <w:szCs w:val="24"/>
                <w:vertAlign w:val="superscript"/>
                <w:lang w:val="en-US" w:eastAsia="zh-CN"/>
              </w:rPr>
              <w:t>3</w:t>
            </w:r>
            <w:r>
              <w:rPr>
                <w:rFonts w:hint="default" w:ascii="Times New Roman" w:hAnsi="Times New Roman" w:cs="Times New Roman"/>
                <w:bCs/>
                <w:color w:val="auto"/>
                <w:sz w:val="24"/>
                <w:szCs w:val="24"/>
                <w:lang w:val="en-US" w:eastAsia="zh-CN"/>
              </w:rPr>
              <w:t>），废水在池体停留的时间约12h，则项目污水处理的能力为40m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/d</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完全能收纳项目的生产废水</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项目的收纳初期雨水量为25.12</w:t>
            </w:r>
            <w:r>
              <w:rPr>
                <w:rFonts w:hint="default" w:ascii="Times New Roman" w:hAnsi="Times New Roman" w:cs="Times New Roman"/>
                <w:b w:val="0"/>
                <w:bCs w:val="0"/>
                <w:color w:val="auto"/>
                <w:sz w:val="24"/>
                <w:szCs w:val="24"/>
                <w:highlight w:val="none"/>
                <w:lang w:val="en-US" w:eastAsia="zh-CN"/>
              </w:rPr>
              <w:t>m</w:t>
            </w:r>
            <w:r>
              <w:rPr>
                <w:rFonts w:hint="default" w:ascii="Times New Roman" w:hAnsi="Times New Roman" w:cs="Times New Roman"/>
                <w:b w:val="0"/>
                <w:bCs w:val="0"/>
                <w:color w:val="auto"/>
                <w:sz w:val="24"/>
                <w:szCs w:val="24"/>
                <w:highlight w:val="none"/>
                <w:vertAlign w:val="superscript"/>
                <w:lang w:val="en-US" w:eastAsia="zh-CN"/>
              </w:rPr>
              <w:t>3</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项目产生的废水为</w:t>
            </w:r>
            <w:r>
              <w:rPr>
                <w:rFonts w:hint="default" w:ascii="Times New Roman" w:hAnsi="Times New Roman" w:cs="Times New Roman"/>
                <w:b w:val="0"/>
                <w:bCs w:val="0"/>
                <w:color w:val="auto"/>
                <w:sz w:val="24"/>
                <w:szCs w:val="24"/>
                <w:highlight w:val="none"/>
                <w:lang w:val="en-US" w:eastAsia="zh-CN"/>
              </w:rPr>
              <w:t>6.61m</w:t>
            </w:r>
            <w:r>
              <w:rPr>
                <w:rFonts w:hint="default" w:ascii="Times New Roman" w:hAnsi="Times New Roman"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rPr>
              <w:t>/d</w:t>
            </w:r>
            <w:r>
              <w:rPr>
                <w:rFonts w:hint="default" w:ascii="Times New Roman" w:hAnsi="Times New Roman" w:cs="Times New Roman"/>
                <w:b w:val="0"/>
                <w:bCs w:val="0"/>
                <w:color w:val="auto"/>
                <w:sz w:val="24"/>
                <w:szCs w:val="24"/>
                <w:highlight w:val="none"/>
                <w:vertAlign w:val="baseline"/>
                <w:lang w:val="en-US" w:eastAsia="zh-CN"/>
              </w:rPr>
              <w:t>，约19.82</w:t>
            </w:r>
            <w:r>
              <w:rPr>
                <w:rFonts w:hint="default" w:ascii="Times New Roman" w:hAnsi="Times New Roman" w:cs="Times New Roman"/>
                <w:b w:val="0"/>
                <w:bCs w:val="0"/>
                <w:color w:val="auto"/>
                <w:sz w:val="24"/>
                <w:szCs w:val="24"/>
                <w:highlight w:val="none"/>
                <w:lang w:val="en-US" w:eastAsia="zh-CN"/>
              </w:rPr>
              <w:t>m</w:t>
            </w:r>
            <w:r>
              <w:rPr>
                <w:rFonts w:hint="default" w:ascii="Times New Roman" w:hAnsi="Times New Roman"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rPr>
              <w:t>/d</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小于三级沉淀池的池体，故沉淀池大小合适，能收纳初期雨水</w:t>
            </w:r>
            <w:r>
              <w:rPr>
                <w:rFonts w:hint="default" w:ascii="Times New Roman" w:hAnsi="Times New Roman" w:cs="Times New Roman"/>
                <w:b w:val="0"/>
                <w:bCs w:val="0"/>
                <w:color w:val="auto"/>
                <w:sz w:val="24"/>
                <w:szCs w:val="24"/>
                <w:lang w:eastAsia="zh-CN"/>
              </w:rPr>
              <w:t>。</w:t>
            </w:r>
          </w:p>
          <w:p w14:paraId="60D9DBA1">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lang w:val="en-US" w:eastAsia="zh-CN"/>
              </w:rPr>
              <w:t>4</w:t>
            </w: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rPr>
              <w:t>废水处理系统的建设要求</w:t>
            </w:r>
          </w:p>
          <w:p w14:paraId="2626E79A">
            <w:pPr>
              <w:spacing w:line="360" w:lineRule="auto"/>
              <w:ind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①生产期间加强废水设施的管理，切实做到生产废水回用，实现零排放；同时厂界建设雨水沟，同时在收集沟末端设置外排闸阀，以便暴雨天气排放场内雨水。</w:t>
            </w:r>
          </w:p>
          <w:p w14:paraId="598B187C">
            <w:pPr>
              <w:spacing w:line="360" w:lineRule="auto"/>
              <w:ind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②废水截</w:t>
            </w:r>
            <w:r>
              <w:rPr>
                <w:rFonts w:hint="default" w:ascii="Times New Roman" w:hAnsi="Times New Roman" w:cs="Times New Roman"/>
                <w:b w:val="0"/>
                <w:bCs/>
                <w:color w:val="auto"/>
                <w:sz w:val="24"/>
                <w:szCs w:val="24"/>
                <w:lang w:val="en-US" w:eastAsia="zh-CN"/>
              </w:rPr>
              <w:t>排</w:t>
            </w:r>
            <w:r>
              <w:rPr>
                <w:rFonts w:hint="default" w:ascii="Times New Roman" w:hAnsi="Times New Roman" w:cs="Times New Roman"/>
                <w:b w:val="0"/>
                <w:bCs/>
                <w:color w:val="auto"/>
                <w:sz w:val="24"/>
                <w:szCs w:val="24"/>
              </w:rPr>
              <w:t>水沟、雨水沟应定期清掏，避免堵塞，确保场内废水不外溢。</w:t>
            </w:r>
          </w:p>
          <w:p w14:paraId="76FEE3FF">
            <w:pPr>
              <w:spacing w:line="360" w:lineRule="auto"/>
              <w:ind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③沉淀池应定期清掏，确保有足够的容积容纳每天产生的废水。</w:t>
            </w:r>
          </w:p>
          <w:p w14:paraId="58CAF92B">
            <w:pPr>
              <w:spacing w:line="360" w:lineRule="auto"/>
              <w:ind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④沉淀池应采取防渗漏处理，避免废水泄漏。</w:t>
            </w:r>
          </w:p>
          <w:p w14:paraId="21A04FA9">
            <w:pPr>
              <w:spacing w:line="360" w:lineRule="auto"/>
              <w:ind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综上分析，本项目生产废水经设施处理后能够做到循环回用不外排。生活污水产生量较少，设化粪池收集处理后</w:t>
            </w:r>
            <w:r>
              <w:rPr>
                <w:rFonts w:hint="default" w:ascii="Times New Roman" w:hAnsi="Times New Roman" w:cs="Times New Roman"/>
                <w:b w:val="0"/>
                <w:bCs/>
                <w:color w:val="auto"/>
                <w:sz w:val="24"/>
                <w:szCs w:val="24"/>
                <w:lang w:val="en-US" w:eastAsia="zh-CN"/>
              </w:rPr>
              <w:t>用作农肥</w:t>
            </w:r>
            <w:r>
              <w:rPr>
                <w:rFonts w:hint="default" w:ascii="Times New Roman" w:hAnsi="Times New Roman" w:cs="Times New Roman"/>
                <w:b w:val="0"/>
                <w:bCs/>
                <w:color w:val="auto"/>
                <w:sz w:val="24"/>
                <w:szCs w:val="24"/>
              </w:rPr>
              <w:t>，对周围水环境影响很小。</w:t>
            </w:r>
          </w:p>
          <w:p w14:paraId="0FC466AC">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lang w:val="en-US" w:eastAsia="zh-CN"/>
              </w:rPr>
              <w:t>5</w:t>
            </w: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rPr>
              <w:t>环境影响分析结论</w:t>
            </w:r>
          </w:p>
          <w:p w14:paraId="37786E34">
            <w:pPr>
              <w:spacing w:line="360" w:lineRule="auto"/>
              <w:ind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本项目营运时产生的生产废水和生活污水产生量较少</w:t>
            </w:r>
            <w:r>
              <w:rPr>
                <w:rFonts w:hint="default" w:ascii="Times New Roman" w:hAnsi="Times New Roman" w:cs="Times New Roman"/>
                <w:b w:val="0"/>
                <w:bCs/>
                <w:color w:val="auto"/>
                <w:sz w:val="24"/>
                <w:szCs w:val="24"/>
                <w:lang w:eastAsia="zh-CN"/>
              </w:rPr>
              <w:t>，</w:t>
            </w:r>
            <w:r>
              <w:rPr>
                <w:rFonts w:hint="default" w:ascii="Times New Roman" w:hAnsi="Times New Roman" w:cs="Times New Roman"/>
                <w:b w:val="0"/>
                <w:bCs/>
                <w:color w:val="auto"/>
                <w:sz w:val="24"/>
                <w:szCs w:val="24"/>
              </w:rPr>
              <w:t>生产废水均能通过自建废水处理设施处理后实现回用，生活污水定期清理</w:t>
            </w:r>
            <w:r>
              <w:rPr>
                <w:rFonts w:hint="default" w:ascii="Times New Roman" w:hAnsi="Times New Roman" w:cs="Times New Roman"/>
                <w:b w:val="0"/>
                <w:bCs/>
                <w:color w:val="auto"/>
                <w:sz w:val="24"/>
                <w:szCs w:val="24"/>
                <w:lang w:val="en-US" w:eastAsia="zh-CN"/>
              </w:rPr>
              <w:t>用作农肥</w:t>
            </w:r>
            <w:r>
              <w:rPr>
                <w:rFonts w:hint="default" w:ascii="Times New Roman" w:hAnsi="Times New Roman" w:cs="Times New Roman"/>
                <w:b w:val="0"/>
                <w:bCs/>
                <w:color w:val="auto"/>
                <w:sz w:val="24"/>
                <w:szCs w:val="24"/>
              </w:rPr>
              <w:t>，对周围水环境影响较小。</w:t>
            </w:r>
          </w:p>
          <w:p w14:paraId="7DA68BF0">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3、噪声</w:t>
            </w:r>
          </w:p>
          <w:p w14:paraId="7A938DE4">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（1）噪声源强及治理措施</w:t>
            </w:r>
          </w:p>
          <w:p w14:paraId="32547F27">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1）车辆运输噪声</w:t>
            </w:r>
          </w:p>
          <w:p w14:paraId="0DD1975A">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运营</w:t>
            </w:r>
            <w:r>
              <w:rPr>
                <w:rFonts w:hint="default" w:ascii="Times New Roman" w:hAnsi="Times New Roman" w:cs="Times New Roman"/>
                <w:color w:val="auto"/>
                <w:sz w:val="24"/>
                <w:szCs w:val="24"/>
              </w:rPr>
              <w:t>期车辆噪声主要来自运输车辆，机动车噪声值一般在80~85dB（A），为减轻对运输沿线的影响，环评要求：运输车辆进入厂区应严格限速、禁止鸣笛，减少怠速时间；运输车辆必须严格按照规定的路线行驶，运输时间应尽量避开居民休息时间，严禁超载、超速行驶。</w:t>
            </w:r>
          </w:p>
          <w:p w14:paraId="7FEAEE11">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2）设备噪声</w:t>
            </w:r>
          </w:p>
          <w:p w14:paraId="1826FEC1">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本项目主要噪声源来自</w:t>
            </w:r>
            <w:r>
              <w:rPr>
                <w:rFonts w:hint="default" w:ascii="Times New Roman" w:hAnsi="Times New Roman" w:cs="Times New Roman"/>
                <w:color w:val="auto"/>
                <w:sz w:val="24"/>
                <w:szCs w:val="24"/>
                <w:lang w:val="en-US" w:eastAsia="zh-CN"/>
              </w:rPr>
              <w:t>搅拌缸</w:t>
            </w:r>
            <w:r>
              <w:rPr>
                <w:rFonts w:hint="default" w:ascii="Times New Roman" w:hAnsi="Times New Roman" w:cs="Times New Roman"/>
                <w:color w:val="auto"/>
                <w:sz w:val="24"/>
                <w:szCs w:val="24"/>
                <w:lang w:eastAsia="zh-CN"/>
              </w:rPr>
              <w:t>、输送带、提升机、振动筛、</w:t>
            </w:r>
            <w:r>
              <w:rPr>
                <w:rFonts w:hint="default" w:ascii="Times New Roman" w:hAnsi="Times New Roman" w:cs="Times New Roman"/>
                <w:color w:val="auto"/>
                <w:sz w:val="24"/>
                <w:szCs w:val="24"/>
                <w:lang w:val="en-US" w:eastAsia="zh-CN"/>
              </w:rPr>
              <w:t>烘干筒</w:t>
            </w:r>
            <w:r>
              <w:rPr>
                <w:rFonts w:hint="default" w:ascii="Times New Roman" w:hAnsi="Times New Roman" w:cs="Times New Roman"/>
                <w:color w:val="auto"/>
                <w:sz w:val="24"/>
                <w:szCs w:val="24"/>
                <w:lang w:eastAsia="zh-CN"/>
              </w:rPr>
              <w:t>、除尘</w:t>
            </w:r>
            <w:r>
              <w:rPr>
                <w:rFonts w:hint="default" w:ascii="Times New Roman" w:hAnsi="Times New Roman" w:cs="Times New Roman"/>
                <w:color w:val="auto"/>
                <w:sz w:val="24"/>
                <w:szCs w:val="24"/>
                <w:lang w:val="en-US" w:eastAsia="zh-CN"/>
              </w:rPr>
              <w:t>系统</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提升</w:t>
            </w:r>
            <w:r>
              <w:rPr>
                <w:rFonts w:hint="default" w:ascii="Times New Roman" w:hAnsi="Times New Roman" w:cs="Times New Roman"/>
                <w:color w:val="auto"/>
                <w:sz w:val="24"/>
                <w:szCs w:val="24"/>
                <w:lang w:eastAsia="zh-CN"/>
              </w:rPr>
              <w:t>泵</w:t>
            </w:r>
            <w:r>
              <w:rPr>
                <w:rFonts w:hint="default" w:ascii="Times New Roman" w:hAnsi="Times New Roman" w:cs="Times New Roman"/>
                <w:color w:val="auto"/>
                <w:sz w:val="24"/>
                <w:szCs w:val="24"/>
              </w:rPr>
              <w:t>等生产设备运行时产生的噪声，各设备噪声源强值在70~</w:t>
            </w:r>
            <w:r>
              <w:rPr>
                <w:rFonts w:hint="default" w:ascii="Times New Roman" w:hAnsi="Times New Roman" w:cs="Times New Roman"/>
                <w:color w:val="auto"/>
                <w:sz w:val="24"/>
                <w:szCs w:val="24"/>
                <w:lang w:val="en-US" w:eastAsia="zh-CN"/>
              </w:rPr>
              <w:t>90</w:t>
            </w:r>
            <w:r>
              <w:rPr>
                <w:rFonts w:hint="default" w:ascii="Times New Roman" w:hAnsi="Times New Roman" w:cs="Times New Roman"/>
                <w:color w:val="auto"/>
                <w:sz w:val="24"/>
                <w:szCs w:val="24"/>
              </w:rPr>
              <w:t>dB（A）间。根据声源类型及源强，结合项目实际情况，本项目拟采取的噪声治理措施如下：</w:t>
            </w:r>
          </w:p>
          <w:p w14:paraId="3886A93B">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①选用符合国家标准的低噪声设备，定期进行设备检修，保证设备的正常运行。</w:t>
            </w:r>
          </w:p>
          <w:p w14:paraId="66B4100A">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②合理布置厂区平面，有效利用距离衰减，实现厂界噪声达标排放。</w:t>
            </w:r>
          </w:p>
          <w:p w14:paraId="57C80682">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③产噪设备底部采取基础减振，减少噪声源强值；对可能产生振动的管道，特别是泵出口管道，采取柔性连接的措施，以控制振动噪声。</w:t>
            </w:r>
          </w:p>
          <w:p w14:paraId="1A2CF868">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④加强日常管理，经常保养和维护机械设备避免设备在不良状态下运行</w:t>
            </w:r>
            <w:r>
              <w:rPr>
                <w:rFonts w:hint="default" w:ascii="Times New Roman" w:hAnsi="Times New Roman" w:cs="Times New Roman"/>
                <w:color w:val="auto"/>
                <w:sz w:val="24"/>
                <w:szCs w:val="24"/>
                <w:lang w:eastAsia="zh-CN"/>
              </w:rPr>
              <w:t>。</w:t>
            </w:r>
          </w:p>
          <w:p w14:paraId="73B1312F">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⑤将拌合楼单独封闭减少设备运行噪声</w:t>
            </w:r>
            <w:r>
              <w:rPr>
                <w:rFonts w:hint="default" w:ascii="Times New Roman" w:hAnsi="Times New Roman" w:cs="Times New Roman"/>
                <w:color w:val="auto"/>
                <w:sz w:val="24"/>
                <w:szCs w:val="24"/>
              </w:rPr>
              <w:t>等。</w:t>
            </w:r>
          </w:p>
          <w:p w14:paraId="5DEB6E78">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本项目噪声污染源源强核算结果及相关参数见下表：</w:t>
            </w:r>
          </w:p>
          <w:p w14:paraId="45D7A76C">
            <w:pPr>
              <w:pStyle w:val="25"/>
              <w:rPr>
                <w:rFonts w:hint="default" w:ascii="Times New Roman" w:hAnsi="Times New Roman" w:cs="Times New Roman"/>
                <w:color w:val="auto"/>
                <w:sz w:val="24"/>
                <w:szCs w:val="24"/>
              </w:rPr>
            </w:pPr>
          </w:p>
          <w:p w14:paraId="6EDB24FD">
            <w:pPr>
              <w:rPr>
                <w:rFonts w:hint="default" w:ascii="Times New Roman" w:hAnsi="Times New Roman" w:cs="Times New Roman"/>
                <w:color w:val="auto"/>
                <w:sz w:val="24"/>
                <w:szCs w:val="24"/>
              </w:rPr>
            </w:pPr>
          </w:p>
          <w:p w14:paraId="7EAFF09E">
            <w:pPr>
              <w:pStyle w:val="25"/>
              <w:rPr>
                <w:rFonts w:hint="default" w:ascii="Times New Roman" w:hAnsi="Times New Roman" w:cs="Times New Roman"/>
                <w:color w:val="auto"/>
                <w:sz w:val="24"/>
                <w:szCs w:val="24"/>
              </w:rPr>
            </w:pPr>
          </w:p>
          <w:p w14:paraId="7EE8B5F7">
            <w:pPr>
              <w:rPr>
                <w:rFonts w:hint="default" w:ascii="Times New Roman" w:hAnsi="Times New Roman" w:cs="Times New Roman"/>
                <w:color w:val="auto"/>
                <w:sz w:val="24"/>
                <w:szCs w:val="24"/>
              </w:rPr>
            </w:pPr>
          </w:p>
          <w:p w14:paraId="366FFDE4">
            <w:pPr>
              <w:pStyle w:val="25"/>
              <w:rPr>
                <w:rFonts w:hint="default" w:ascii="Times New Roman" w:hAnsi="Times New Roman" w:cs="Times New Roman"/>
                <w:color w:val="auto"/>
                <w:sz w:val="24"/>
                <w:szCs w:val="24"/>
              </w:rPr>
            </w:pPr>
          </w:p>
          <w:p w14:paraId="2E0FA23A">
            <w:pPr>
              <w:rPr>
                <w:rFonts w:hint="default" w:ascii="Times New Roman" w:hAnsi="Times New Roman" w:cs="Times New Roman"/>
                <w:color w:val="auto"/>
                <w:sz w:val="24"/>
                <w:szCs w:val="24"/>
              </w:rPr>
            </w:pPr>
          </w:p>
          <w:p w14:paraId="5B084FDA">
            <w:pPr>
              <w:pStyle w:val="25"/>
              <w:rPr>
                <w:rFonts w:hint="default" w:ascii="Times New Roman" w:hAnsi="Times New Roman" w:cs="Times New Roman"/>
                <w:color w:val="auto"/>
                <w:sz w:val="24"/>
                <w:szCs w:val="24"/>
              </w:rPr>
            </w:pPr>
          </w:p>
          <w:p w14:paraId="2A57B00B">
            <w:pPr>
              <w:rPr>
                <w:rFonts w:hint="default" w:ascii="Times New Roman" w:hAnsi="Times New Roman" w:cs="Times New Roman"/>
                <w:color w:val="auto"/>
                <w:sz w:val="24"/>
                <w:szCs w:val="24"/>
              </w:rPr>
            </w:pPr>
          </w:p>
          <w:p w14:paraId="098CE05C">
            <w:pPr>
              <w:pStyle w:val="25"/>
              <w:rPr>
                <w:rFonts w:hint="default" w:ascii="Times New Roman" w:hAnsi="Times New Roman" w:cs="Times New Roman"/>
                <w:color w:val="auto"/>
                <w:sz w:val="24"/>
                <w:szCs w:val="24"/>
              </w:rPr>
            </w:pPr>
          </w:p>
          <w:p w14:paraId="56B954CE">
            <w:pPr>
              <w:rPr>
                <w:rFonts w:hint="default" w:ascii="Times New Roman" w:hAnsi="Times New Roman" w:cs="Times New Roman"/>
                <w:color w:val="auto"/>
                <w:sz w:val="24"/>
                <w:szCs w:val="24"/>
              </w:rPr>
            </w:pPr>
          </w:p>
          <w:p w14:paraId="7436116D">
            <w:pPr>
              <w:pStyle w:val="25"/>
              <w:rPr>
                <w:rFonts w:hint="default" w:ascii="Times New Roman" w:hAnsi="Times New Roman" w:cs="Times New Roman"/>
                <w:color w:val="auto"/>
                <w:sz w:val="24"/>
                <w:szCs w:val="24"/>
              </w:rPr>
            </w:pPr>
          </w:p>
          <w:p w14:paraId="4DF70403">
            <w:pPr>
              <w:rPr>
                <w:rFonts w:hint="default" w:ascii="Times New Roman" w:hAnsi="Times New Roman" w:cs="Times New Roman"/>
                <w:color w:val="auto"/>
                <w:sz w:val="24"/>
                <w:szCs w:val="24"/>
              </w:rPr>
            </w:pPr>
          </w:p>
          <w:p w14:paraId="4ABB2AD3">
            <w:pPr>
              <w:pStyle w:val="25"/>
              <w:rPr>
                <w:rFonts w:hint="default" w:ascii="Times New Roman" w:hAnsi="Times New Roman" w:cs="Times New Roman"/>
                <w:color w:val="auto"/>
                <w:sz w:val="24"/>
                <w:szCs w:val="24"/>
              </w:rPr>
            </w:pPr>
          </w:p>
          <w:p w14:paraId="5E132791">
            <w:pPr>
              <w:rPr>
                <w:rFonts w:hint="default" w:ascii="Times New Roman" w:hAnsi="Times New Roman" w:cs="Times New Roman"/>
                <w:color w:val="auto"/>
                <w:sz w:val="24"/>
                <w:szCs w:val="24"/>
              </w:rPr>
            </w:pPr>
          </w:p>
          <w:p w14:paraId="252648C0">
            <w:pPr>
              <w:pStyle w:val="25"/>
              <w:rPr>
                <w:rFonts w:hint="default" w:ascii="Times New Roman" w:hAnsi="Times New Roman" w:cs="Times New Roman"/>
                <w:color w:val="auto"/>
                <w:sz w:val="24"/>
                <w:szCs w:val="24"/>
              </w:rPr>
            </w:pPr>
          </w:p>
          <w:p w14:paraId="245E2D3F">
            <w:pPr>
              <w:rPr>
                <w:rFonts w:hint="default" w:ascii="Times New Roman" w:hAnsi="Times New Roman" w:cs="Times New Roman"/>
                <w:color w:val="auto"/>
                <w:sz w:val="24"/>
                <w:szCs w:val="24"/>
              </w:rPr>
            </w:pPr>
          </w:p>
          <w:p w14:paraId="2560B32F">
            <w:pPr>
              <w:pStyle w:val="25"/>
              <w:rPr>
                <w:rFonts w:hint="default" w:ascii="Times New Roman" w:hAnsi="Times New Roman" w:cs="Times New Roman"/>
                <w:color w:val="auto"/>
                <w:sz w:val="24"/>
                <w:szCs w:val="24"/>
              </w:rPr>
            </w:pPr>
          </w:p>
          <w:p w14:paraId="5F13C3BC">
            <w:pPr>
              <w:rPr>
                <w:rFonts w:hint="default" w:ascii="Times New Roman" w:hAnsi="Times New Roman" w:cs="Times New Roman"/>
                <w:color w:val="auto"/>
                <w:sz w:val="24"/>
                <w:szCs w:val="24"/>
              </w:rPr>
            </w:pPr>
          </w:p>
          <w:p w14:paraId="6AC7D209">
            <w:pPr>
              <w:pStyle w:val="25"/>
              <w:rPr>
                <w:rFonts w:hint="default" w:ascii="Times New Roman" w:hAnsi="Times New Roman" w:cs="Times New Roman"/>
                <w:color w:val="auto"/>
                <w:sz w:val="24"/>
                <w:szCs w:val="24"/>
              </w:rPr>
            </w:pPr>
          </w:p>
          <w:p w14:paraId="464B2BA7">
            <w:pPr>
              <w:rPr>
                <w:rFonts w:hint="default" w:ascii="Times New Roman" w:hAnsi="Times New Roman" w:cs="Times New Roman"/>
                <w:color w:val="auto"/>
                <w:sz w:val="24"/>
                <w:szCs w:val="24"/>
              </w:rPr>
            </w:pPr>
          </w:p>
          <w:p w14:paraId="1F46F301">
            <w:pPr>
              <w:pStyle w:val="25"/>
              <w:rPr>
                <w:rFonts w:hint="default" w:ascii="Times New Roman" w:hAnsi="Times New Roman" w:cs="Times New Roman"/>
                <w:color w:val="auto"/>
                <w:sz w:val="24"/>
                <w:szCs w:val="24"/>
              </w:rPr>
            </w:pPr>
          </w:p>
          <w:p w14:paraId="12A271F2">
            <w:pPr>
              <w:rPr>
                <w:rFonts w:hint="default" w:ascii="Times New Roman" w:hAnsi="Times New Roman" w:cs="Times New Roman"/>
                <w:color w:val="auto"/>
                <w:sz w:val="24"/>
                <w:szCs w:val="24"/>
              </w:rPr>
            </w:pPr>
          </w:p>
          <w:p w14:paraId="6A792245">
            <w:pPr>
              <w:pStyle w:val="25"/>
              <w:rPr>
                <w:rFonts w:hint="default" w:ascii="Times New Roman" w:hAnsi="Times New Roman" w:cs="Times New Roman"/>
                <w:color w:val="auto"/>
                <w:sz w:val="24"/>
                <w:szCs w:val="24"/>
              </w:rPr>
            </w:pPr>
          </w:p>
          <w:p w14:paraId="601C45A2">
            <w:pPr>
              <w:rPr>
                <w:rFonts w:hint="default" w:ascii="Times New Roman" w:hAnsi="Times New Roman" w:cs="Times New Roman"/>
                <w:color w:val="auto"/>
                <w:sz w:val="24"/>
                <w:szCs w:val="24"/>
              </w:rPr>
            </w:pPr>
          </w:p>
          <w:p w14:paraId="797C2C8A">
            <w:pPr>
              <w:pStyle w:val="25"/>
              <w:rPr>
                <w:rFonts w:hint="default" w:ascii="Times New Roman" w:hAnsi="Times New Roman" w:cs="Times New Roman"/>
                <w:color w:val="auto"/>
                <w:sz w:val="24"/>
                <w:szCs w:val="24"/>
              </w:rPr>
            </w:pPr>
          </w:p>
          <w:p w14:paraId="221A3334">
            <w:pPr>
              <w:rPr>
                <w:rFonts w:hint="default" w:ascii="Times New Roman" w:hAnsi="Times New Roman" w:cs="Times New Roman"/>
                <w:color w:val="auto"/>
                <w:sz w:val="24"/>
                <w:szCs w:val="24"/>
              </w:rPr>
            </w:pPr>
          </w:p>
          <w:p w14:paraId="447A1AA5">
            <w:pPr>
              <w:pStyle w:val="25"/>
              <w:rPr>
                <w:rFonts w:hint="default" w:ascii="Times New Roman" w:hAnsi="Times New Roman" w:cs="Times New Roman"/>
                <w:color w:val="auto"/>
                <w:sz w:val="24"/>
                <w:szCs w:val="24"/>
              </w:rPr>
            </w:pPr>
          </w:p>
          <w:p w14:paraId="24AB18AD">
            <w:pPr>
              <w:rPr>
                <w:rFonts w:hint="default" w:ascii="Times New Roman" w:hAnsi="Times New Roman" w:cs="Times New Roman"/>
                <w:color w:val="auto"/>
                <w:sz w:val="24"/>
                <w:szCs w:val="24"/>
              </w:rPr>
            </w:pPr>
          </w:p>
          <w:p w14:paraId="4764710B">
            <w:pPr>
              <w:pStyle w:val="25"/>
              <w:rPr>
                <w:rFonts w:hint="default" w:ascii="Times New Roman" w:hAnsi="Times New Roman" w:cs="Times New Roman"/>
                <w:color w:val="auto"/>
                <w:sz w:val="24"/>
                <w:szCs w:val="24"/>
              </w:rPr>
            </w:pPr>
          </w:p>
          <w:p w14:paraId="7629E71D">
            <w:pPr>
              <w:rPr>
                <w:rFonts w:hint="default" w:ascii="Times New Roman" w:hAnsi="Times New Roman" w:cs="Times New Roman"/>
                <w:color w:val="auto"/>
                <w:sz w:val="24"/>
                <w:szCs w:val="24"/>
              </w:rPr>
            </w:pPr>
          </w:p>
          <w:p w14:paraId="71DB97F2">
            <w:pPr>
              <w:pStyle w:val="25"/>
              <w:rPr>
                <w:rFonts w:hint="default" w:ascii="Times New Roman" w:hAnsi="Times New Roman" w:cs="Times New Roman"/>
                <w:color w:val="auto"/>
                <w:sz w:val="24"/>
                <w:szCs w:val="24"/>
              </w:rPr>
            </w:pPr>
          </w:p>
          <w:p w14:paraId="4CA912AB">
            <w:pPr>
              <w:rPr>
                <w:rFonts w:hint="default" w:ascii="Times New Roman" w:hAnsi="Times New Roman" w:cs="Times New Roman"/>
                <w:color w:val="auto"/>
                <w:sz w:val="24"/>
                <w:szCs w:val="24"/>
              </w:rPr>
            </w:pPr>
          </w:p>
          <w:p w14:paraId="5674B790">
            <w:pPr>
              <w:pStyle w:val="25"/>
              <w:rPr>
                <w:rFonts w:hint="default" w:ascii="Times New Roman" w:hAnsi="Times New Roman" w:cs="Times New Roman"/>
                <w:color w:val="auto"/>
                <w:sz w:val="24"/>
                <w:szCs w:val="24"/>
              </w:rPr>
            </w:pPr>
          </w:p>
          <w:p w14:paraId="58F77EC9">
            <w:pPr>
              <w:rPr>
                <w:rFonts w:hint="default" w:ascii="Times New Roman" w:hAnsi="Times New Roman" w:cs="Times New Roman"/>
                <w:color w:val="auto"/>
                <w:sz w:val="24"/>
                <w:szCs w:val="24"/>
              </w:rPr>
            </w:pPr>
          </w:p>
          <w:p w14:paraId="0B926D86">
            <w:pPr>
              <w:pStyle w:val="25"/>
              <w:rPr>
                <w:rFonts w:hint="default" w:ascii="Times New Roman" w:hAnsi="Times New Roman" w:cs="Times New Roman"/>
                <w:color w:val="auto"/>
                <w:sz w:val="24"/>
                <w:szCs w:val="24"/>
              </w:rPr>
            </w:pPr>
          </w:p>
          <w:p w14:paraId="7012CB7D">
            <w:pPr>
              <w:rPr>
                <w:rFonts w:hint="default" w:ascii="Times New Roman" w:hAnsi="Times New Roman" w:cs="Times New Roman"/>
                <w:color w:val="auto"/>
                <w:sz w:val="24"/>
                <w:szCs w:val="24"/>
              </w:rPr>
            </w:pPr>
          </w:p>
          <w:p w14:paraId="3DEC7814">
            <w:pPr>
              <w:pStyle w:val="25"/>
              <w:rPr>
                <w:rFonts w:hint="default" w:ascii="Times New Roman" w:hAnsi="Times New Roman" w:cs="Times New Roman"/>
                <w:color w:val="auto"/>
                <w:sz w:val="24"/>
                <w:szCs w:val="24"/>
              </w:rPr>
            </w:pPr>
          </w:p>
          <w:p w14:paraId="702B3341">
            <w:pPr>
              <w:rPr>
                <w:rFonts w:hint="default" w:ascii="Times New Roman" w:hAnsi="Times New Roman" w:cs="Times New Roman"/>
                <w:color w:val="auto"/>
                <w:sz w:val="24"/>
                <w:szCs w:val="24"/>
              </w:rPr>
            </w:pPr>
          </w:p>
          <w:p w14:paraId="117CBD0E">
            <w:pPr>
              <w:pStyle w:val="25"/>
              <w:rPr>
                <w:rFonts w:hint="default" w:ascii="Times New Roman" w:hAnsi="Times New Roman" w:cs="Times New Roman"/>
                <w:color w:val="auto"/>
                <w:sz w:val="24"/>
                <w:szCs w:val="24"/>
              </w:rPr>
            </w:pPr>
          </w:p>
          <w:p w14:paraId="70C897F0">
            <w:pPr>
              <w:rPr>
                <w:rFonts w:hint="default" w:ascii="Times New Roman" w:hAnsi="Times New Roman" w:cs="Times New Roman"/>
                <w:color w:val="auto"/>
              </w:rPr>
            </w:pPr>
          </w:p>
        </w:tc>
      </w:tr>
    </w:tbl>
    <w:p w14:paraId="790E9C92">
      <w:pPr>
        <w:spacing w:line="276" w:lineRule="auto"/>
        <w:ind w:firstLine="420" w:firstLineChars="200"/>
        <w:rPr>
          <w:rFonts w:hint="default" w:ascii="Times New Roman" w:hAnsi="Times New Roman" w:cs="Times New Roman"/>
          <w:color w:val="auto"/>
          <w:szCs w:val="21"/>
        </w:rPr>
        <w:sectPr>
          <w:pgSz w:w="11906" w:h="16838"/>
          <w:pgMar w:top="1134" w:right="1418"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6"/>
      </w:tblGrid>
      <w:tr w14:paraId="4C00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86" w:type="dxa"/>
          </w:tcPr>
          <w:p w14:paraId="6FC0B686">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 xml:space="preserve">表4-19 </w:t>
            </w:r>
            <w:r>
              <w:rPr>
                <w:rFonts w:hint="default" w:ascii="Times New Roman" w:hAnsi="Times New Roman" w:eastAsia="黑体" w:cs="Times New Roman"/>
                <w:b/>
                <w:bCs/>
                <w:color w:val="auto"/>
                <w:kern w:val="0"/>
                <w:sz w:val="20"/>
                <w:szCs w:val="20"/>
                <w:lang w:val="en-US" w:eastAsia="zh-CN" w:bidi="ar-SA"/>
              </w:rPr>
              <w:t>工业企业噪声运营期源强调查清单（室外声源）</w:t>
            </w:r>
          </w:p>
          <w:tbl>
            <w:tblPr>
              <w:tblStyle w:val="29"/>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93"/>
              <w:gridCol w:w="1818"/>
              <w:gridCol w:w="1381"/>
              <w:gridCol w:w="932"/>
              <w:gridCol w:w="932"/>
              <w:gridCol w:w="932"/>
              <w:gridCol w:w="1975"/>
              <w:gridCol w:w="1424"/>
              <w:gridCol w:w="2007"/>
              <w:gridCol w:w="2459"/>
            </w:tblGrid>
            <w:tr w14:paraId="561BC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8" w:type="pct"/>
                  <w:vMerge w:val="restart"/>
                  <w:tcBorders>
                    <w:tl2br w:val="nil"/>
                    <w:tr2bl w:val="nil"/>
                  </w:tcBorders>
                  <w:noWrap w:val="0"/>
                  <w:vAlign w:val="center"/>
                </w:tcPr>
                <w:p w14:paraId="6552AE0C">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序号</w:t>
                  </w:r>
                </w:p>
              </w:tc>
              <w:tc>
                <w:tcPr>
                  <w:tcW w:w="624" w:type="pct"/>
                  <w:vMerge w:val="restart"/>
                  <w:tcBorders>
                    <w:tl2br w:val="nil"/>
                    <w:tr2bl w:val="nil"/>
                  </w:tcBorders>
                  <w:noWrap w:val="0"/>
                  <w:vAlign w:val="center"/>
                </w:tcPr>
                <w:p w14:paraId="0A1EA991">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声源</w:t>
                  </w:r>
                  <w:r>
                    <w:rPr>
                      <w:rFonts w:hint="default" w:ascii="Times New Roman" w:hAnsi="Times New Roman" w:cs="Times New Roman"/>
                      <w:b/>
                      <w:bCs/>
                      <w:color w:val="auto"/>
                      <w:sz w:val="21"/>
                      <w:szCs w:val="21"/>
                      <w:highlight w:val="none"/>
                      <w:lang w:val="en-US" w:eastAsia="zh-CN"/>
                    </w:rPr>
                    <w:t>名称</w:t>
                  </w:r>
                </w:p>
              </w:tc>
              <w:tc>
                <w:tcPr>
                  <w:tcW w:w="474" w:type="pct"/>
                  <w:vMerge w:val="restart"/>
                  <w:tcBorders>
                    <w:tl2br w:val="nil"/>
                    <w:tr2bl w:val="nil"/>
                  </w:tcBorders>
                  <w:noWrap w:val="0"/>
                  <w:vAlign w:val="center"/>
                </w:tcPr>
                <w:p w14:paraId="62BCC60B">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型号</w:t>
                  </w:r>
                </w:p>
              </w:tc>
              <w:tc>
                <w:tcPr>
                  <w:tcW w:w="960" w:type="pct"/>
                  <w:gridSpan w:val="3"/>
                  <w:tcBorders>
                    <w:tl2br w:val="nil"/>
                    <w:tr2bl w:val="nil"/>
                  </w:tcBorders>
                  <w:noWrap w:val="0"/>
                  <w:vAlign w:val="center"/>
                </w:tcPr>
                <w:p w14:paraId="450EC293">
                  <w:pPr>
                    <w:keepNext w:val="0"/>
                    <w:keepLines w:val="0"/>
                    <w:pageBreakBefore w:val="0"/>
                    <w:kinsoku/>
                    <w:wordWrap/>
                    <w:overflowPunct/>
                    <w:topLinePunct w:val="0"/>
                    <w:autoSpaceDE/>
                    <w:autoSpaceDN/>
                    <w:bidi w:val="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空间相对位置</w:t>
                  </w:r>
                </w:p>
              </w:tc>
              <w:tc>
                <w:tcPr>
                  <w:tcW w:w="1167" w:type="pct"/>
                  <w:gridSpan w:val="2"/>
                  <w:tcBorders>
                    <w:tl2br w:val="nil"/>
                    <w:tr2bl w:val="nil"/>
                  </w:tcBorders>
                  <w:noWrap w:val="0"/>
                  <w:vAlign w:val="center"/>
                </w:tcPr>
                <w:p w14:paraId="70C2D559">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噪声源强</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lang w:val="en-US" w:eastAsia="zh-CN"/>
                    </w:rPr>
                    <w:t>任选一种</w:t>
                  </w:r>
                  <w:r>
                    <w:rPr>
                      <w:rFonts w:hint="default" w:ascii="Times New Roman" w:hAnsi="Times New Roman" w:cs="Times New Roman"/>
                      <w:b/>
                      <w:bCs/>
                      <w:color w:val="auto"/>
                      <w:sz w:val="21"/>
                      <w:szCs w:val="21"/>
                      <w:highlight w:val="none"/>
                      <w:lang w:eastAsia="zh-CN"/>
                    </w:rPr>
                    <w:t>）</w:t>
                  </w:r>
                </w:p>
              </w:tc>
              <w:tc>
                <w:tcPr>
                  <w:tcW w:w="689" w:type="pct"/>
                  <w:vMerge w:val="restart"/>
                  <w:tcBorders>
                    <w:tl2br w:val="nil"/>
                    <w:tr2bl w:val="nil"/>
                  </w:tcBorders>
                  <w:noWrap w:val="0"/>
                  <w:vAlign w:val="center"/>
                </w:tcPr>
                <w:p w14:paraId="5348FB25">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声源控制措施</w:t>
                  </w:r>
                </w:p>
              </w:tc>
              <w:tc>
                <w:tcPr>
                  <w:tcW w:w="844" w:type="pct"/>
                  <w:vMerge w:val="restart"/>
                  <w:tcBorders>
                    <w:tl2br w:val="nil"/>
                    <w:tr2bl w:val="nil"/>
                  </w:tcBorders>
                  <w:noWrap w:val="0"/>
                  <w:vAlign w:val="center"/>
                </w:tcPr>
                <w:p w14:paraId="0831CD78">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运行时段</w:t>
                  </w:r>
                </w:p>
              </w:tc>
            </w:tr>
            <w:tr w14:paraId="77F61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8" w:type="pct"/>
                  <w:vMerge w:val="continue"/>
                  <w:tcBorders>
                    <w:tl2br w:val="nil"/>
                    <w:tr2bl w:val="nil"/>
                  </w:tcBorders>
                  <w:noWrap w:val="0"/>
                  <w:vAlign w:val="center"/>
                </w:tcPr>
                <w:p w14:paraId="41FF6ECA">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rPr>
                  </w:pPr>
                </w:p>
              </w:tc>
              <w:tc>
                <w:tcPr>
                  <w:tcW w:w="624" w:type="pct"/>
                  <w:vMerge w:val="continue"/>
                  <w:tcBorders>
                    <w:tl2br w:val="nil"/>
                    <w:tr2bl w:val="nil"/>
                  </w:tcBorders>
                  <w:noWrap w:val="0"/>
                  <w:vAlign w:val="center"/>
                </w:tcPr>
                <w:p w14:paraId="03860E8D">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rPr>
                  </w:pPr>
                </w:p>
              </w:tc>
              <w:tc>
                <w:tcPr>
                  <w:tcW w:w="474" w:type="pct"/>
                  <w:vMerge w:val="continue"/>
                  <w:tcBorders>
                    <w:tl2br w:val="nil"/>
                    <w:tr2bl w:val="nil"/>
                  </w:tcBorders>
                  <w:noWrap w:val="0"/>
                  <w:vAlign w:val="center"/>
                </w:tcPr>
                <w:p w14:paraId="656345BA">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rPr>
                  </w:pPr>
                </w:p>
              </w:tc>
              <w:tc>
                <w:tcPr>
                  <w:tcW w:w="320" w:type="pct"/>
                  <w:tcBorders>
                    <w:tl2br w:val="nil"/>
                    <w:tr2bl w:val="nil"/>
                  </w:tcBorders>
                  <w:noWrap w:val="0"/>
                  <w:vAlign w:val="center"/>
                </w:tcPr>
                <w:p w14:paraId="7C6C72D9">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lang w:val="en-US" w:eastAsia="zh-CN"/>
                    </w:rPr>
                    <w:t>X</w:t>
                  </w:r>
                </w:p>
              </w:tc>
              <w:tc>
                <w:tcPr>
                  <w:tcW w:w="320" w:type="pct"/>
                  <w:tcBorders>
                    <w:tl2br w:val="nil"/>
                    <w:tr2bl w:val="nil"/>
                  </w:tcBorders>
                  <w:noWrap w:val="0"/>
                  <w:vAlign w:val="center"/>
                </w:tcPr>
                <w:p w14:paraId="2F0E233D">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lang w:val="en-US" w:eastAsia="zh-CN"/>
                    </w:rPr>
                    <w:t>Y</w:t>
                  </w:r>
                </w:p>
              </w:tc>
              <w:tc>
                <w:tcPr>
                  <w:tcW w:w="320" w:type="pct"/>
                  <w:tcBorders>
                    <w:tl2br w:val="nil"/>
                    <w:tr2bl w:val="nil"/>
                  </w:tcBorders>
                  <w:noWrap w:val="0"/>
                  <w:vAlign w:val="center"/>
                </w:tcPr>
                <w:p w14:paraId="008F6519">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lang w:val="en-US" w:eastAsia="zh-CN"/>
                    </w:rPr>
                    <w:t>Z</w:t>
                  </w:r>
                </w:p>
              </w:tc>
              <w:tc>
                <w:tcPr>
                  <w:tcW w:w="678" w:type="pct"/>
                  <w:tcBorders>
                    <w:tl2br w:val="nil"/>
                    <w:tr2bl w:val="nil"/>
                  </w:tcBorders>
                  <w:noWrap w:val="0"/>
                  <w:vAlign w:val="center"/>
                </w:tcPr>
                <w:p w14:paraId="2F63A838">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（声压级/距声源距离）/（dB（A）/m）</w:t>
                  </w:r>
                </w:p>
              </w:tc>
              <w:tc>
                <w:tcPr>
                  <w:tcW w:w="489" w:type="pct"/>
                  <w:tcBorders>
                    <w:tl2br w:val="nil"/>
                    <w:tr2bl w:val="nil"/>
                  </w:tcBorders>
                  <w:noWrap w:val="0"/>
                  <w:vAlign w:val="center"/>
                </w:tcPr>
                <w:p w14:paraId="285C4DA6">
                  <w:pPr>
                    <w:keepNext w:val="0"/>
                    <w:keepLines w:val="0"/>
                    <w:pageBreakBefore w:val="0"/>
                    <w:kinsoku/>
                    <w:wordWrap/>
                    <w:overflowPunct/>
                    <w:topLinePunct w:val="0"/>
                    <w:autoSpaceDE/>
                    <w:autoSpaceDN/>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声功率级/</w:t>
                  </w:r>
                  <w:r>
                    <w:rPr>
                      <w:rFonts w:hint="default" w:ascii="Times New Roman" w:hAnsi="Times New Roman" w:cs="Times New Roman"/>
                      <w:b/>
                      <w:bCs/>
                      <w:color w:val="auto"/>
                      <w:sz w:val="21"/>
                      <w:szCs w:val="21"/>
                      <w:highlight w:val="none"/>
                    </w:rPr>
                    <w:t>dB</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A</w:t>
                  </w:r>
                  <w:r>
                    <w:rPr>
                      <w:rFonts w:hint="default" w:ascii="Times New Roman" w:hAnsi="Times New Roman" w:cs="Times New Roman"/>
                      <w:b/>
                      <w:bCs/>
                      <w:color w:val="auto"/>
                      <w:sz w:val="21"/>
                      <w:szCs w:val="21"/>
                      <w:highlight w:val="none"/>
                      <w:lang w:eastAsia="zh-CN"/>
                    </w:rPr>
                    <w:t>）</w:t>
                  </w:r>
                </w:p>
              </w:tc>
              <w:tc>
                <w:tcPr>
                  <w:tcW w:w="689" w:type="pct"/>
                  <w:vMerge w:val="continue"/>
                  <w:tcBorders>
                    <w:tl2br w:val="nil"/>
                    <w:tr2bl w:val="nil"/>
                  </w:tcBorders>
                  <w:noWrap w:val="0"/>
                  <w:vAlign w:val="center"/>
                </w:tcPr>
                <w:p w14:paraId="0D4719CE">
                  <w:pPr>
                    <w:keepNext w:val="0"/>
                    <w:keepLines w:val="0"/>
                    <w:pageBreakBefore w:val="0"/>
                    <w:kinsoku/>
                    <w:wordWrap/>
                    <w:overflowPunct/>
                    <w:topLinePunct w:val="0"/>
                    <w:autoSpaceDE/>
                    <w:autoSpaceDN/>
                    <w:bidi w:val="0"/>
                    <w:jc w:val="center"/>
                    <w:rPr>
                      <w:rFonts w:hint="default" w:ascii="Times New Roman" w:hAnsi="Times New Roman" w:cs="Times New Roman"/>
                      <w:b/>
                      <w:bCs/>
                      <w:color w:val="auto"/>
                      <w:sz w:val="21"/>
                      <w:szCs w:val="21"/>
                      <w:highlight w:val="none"/>
                      <w:lang w:val="en-US" w:eastAsia="zh-CN"/>
                    </w:rPr>
                  </w:pPr>
                </w:p>
              </w:tc>
              <w:tc>
                <w:tcPr>
                  <w:tcW w:w="844" w:type="pct"/>
                  <w:vMerge w:val="continue"/>
                  <w:tcBorders>
                    <w:tl2br w:val="nil"/>
                    <w:tr2bl w:val="nil"/>
                  </w:tcBorders>
                  <w:noWrap w:val="0"/>
                  <w:vAlign w:val="center"/>
                </w:tcPr>
                <w:p w14:paraId="4A58234E">
                  <w:pPr>
                    <w:keepNext w:val="0"/>
                    <w:keepLines w:val="0"/>
                    <w:pageBreakBefore w:val="0"/>
                    <w:kinsoku/>
                    <w:wordWrap/>
                    <w:overflowPunct/>
                    <w:topLinePunct w:val="0"/>
                    <w:autoSpaceDE/>
                    <w:autoSpaceDN/>
                    <w:bidi w:val="0"/>
                    <w:jc w:val="center"/>
                    <w:rPr>
                      <w:rFonts w:hint="default" w:ascii="Times New Roman" w:hAnsi="Times New Roman" w:cs="Times New Roman"/>
                      <w:b/>
                      <w:bCs/>
                      <w:color w:val="auto"/>
                      <w:sz w:val="21"/>
                      <w:szCs w:val="21"/>
                      <w:highlight w:val="none"/>
                      <w:lang w:val="en-US" w:eastAsia="zh-CN"/>
                    </w:rPr>
                  </w:pPr>
                </w:p>
              </w:tc>
            </w:tr>
            <w:tr w14:paraId="5F46B9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28" w:hRule="atLeast"/>
                <w:jc w:val="center"/>
              </w:trPr>
              <w:tc>
                <w:tcPr>
                  <w:tcW w:w="238" w:type="pct"/>
                  <w:vMerge w:val="restart"/>
                  <w:tcBorders>
                    <w:tl2br w:val="nil"/>
                    <w:tr2bl w:val="nil"/>
                  </w:tcBorders>
                  <w:noWrap w:val="0"/>
                  <w:vAlign w:val="center"/>
                </w:tcPr>
                <w:p w14:paraId="0D8C6C2F">
                  <w:pPr>
                    <w:keepLines w:val="0"/>
                    <w:widowControl w:val="0"/>
                    <w:snapToGrid/>
                    <w:spacing w:before="0" w:beforeAutospacing="0" w:after="0" w:afterAutospacing="0" w:line="240" w:lineRule="auto"/>
                    <w:jc w:val="center"/>
                    <w:textAlignment w:val="baseline"/>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1</w:t>
                  </w:r>
                </w:p>
              </w:tc>
              <w:tc>
                <w:tcPr>
                  <w:tcW w:w="624" w:type="pct"/>
                  <w:vMerge w:val="restart"/>
                  <w:tcBorders>
                    <w:tl2br w:val="nil"/>
                    <w:tr2bl w:val="nil"/>
                  </w:tcBorders>
                  <w:noWrap w:val="0"/>
                  <w:vAlign w:val="center"/>
                </w:tcPr>
                <w:p w14:paraId="7227A7C8">
                  <w:pPr>
                    <w:keepLines w:val="0"/>
                    <w:widowControl w:val="0"/>
                    <w:snapToGrid/>
                    <w:spacing w:before="0" w:beforeAutospacing="0" w:after="0" w:afterAutospacing="0" w:line="240" w:lineRule="auto"/>
                    <w:jc w:val="center"/>
                    <w:textAlignment w:val="baseline"/>
                    <w:rPr>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Fonts w:hint="default" w:ascii="Times New Roman" w:hAnsi="Times New Roman" w:cs="Times New Roman"/>
                      <w:b w:val="0"/>
                      <w:i w:val="0"/>
                      <w:caps w:val="0"/>
                      <w:color w:val="auto"/>
                      <w:spacing w:val="0"/>
                      <w:w w:val="100"/>
                      <w:kern w:val="2"/>
                      <w:sz w:val="21"/>
                      <w:szCs w:val="21"/>
                      <w:highlight w:val="none"/>
                      <w:lang w:val="en-US" w:eastAsia="zh-CN" w:bidi="ar-SA"/>
                    </w:rPr>
                    <w:t>上料斗</w:t>
                  </w:r>
                </w:p>
              </w:tc>
              <w:tc>
                <w:tcPr>
                  <w:tcW w:w="474" w:type="pct"/>
                  <w:vMerge w:val="restart"/>
                  <w:tcBorders>
                    <w:tl2br w:val="nil"/>
                    <w:tr2bl w:val="nil"/>
                  </w:tcBorders>
                  <w:noWrap w:val="0"/>
                  <w:vAlign w:val="center"/>
                </w:tcPr>
                <w:p w14:paraId="6B2CC8AA">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20" w:type="pct"/>
                  <w:vMerge w:val="restart"/>
                  <w:tcBorders>
                    <w:tl2br w:val="nil"/>
                    <w:tr2bl w:val="nil"/>
                  </w:tcBorders>
                  <w:shd w:val="clear" w:color="auto" w:fill="auto"/>
                  <w:noWrap w:val="0"/>
                  <w:vAlign w:val="center"/>
                </w:tcPr>
                <w:p w14:paraId="0EC943B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18"/>
                      <w:szCs w:val="18"/>
                      <w:u w:val="none"/>
                      <w:lang w:val="en-US" w:eastAsia="zh-CN" w:bidi="ar"/>
                    </w:rPr>
                    <w:t>41.59</w:t>
                  </w:r>
                </w:p>
              </w:tc>
              <w:tc>
                <w:tcPr>
                  <w:tcW w:w="320" w:type="pct"/>
                  <w:vMerge w:val="restart"/>
                  <w:tcBorders>
                    <w:tl2br w:val="nil"/>
                    <w:tr2bl w:val="nil"/>
                  </w:tcBorders>
                  <w:shd w:val="clear" w:color="auto" w:fill="auto"/>
                  <w:noWrap w:val="0"/>
                  <w:vAlign w:val="center"/>
                </w:tcPr>
                <w:p w14:paraId="6C3997C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18"/>
                      <w:szCs w:val="18"/>
                      <w:u w:val="none"/>
                      <w:lang w:val="en-US" w:eastAsia="zh-CN" w:bidi="ar"/>
                    </w:rPr>
                    <w:t>-8.69</w:t>
                  </w:r>
                </w:p>
              </w:tc>
              <w:tc>
                <w:tcPr>
                  <w:tcW w:w="320" w:type="pct"/>
                  <w:vMerge w:val="restart"/>
                  <w:tcBorders>
                    <w:tl2br w:val="nil"/>
                    <w:tr2bl w:val="nil"/>
                  </w:tcBorders>
                  <w:noWrap w:val="0"/>
                  <w:vAlign w:val="center"/>
                </w:tcPr>
                <w:p w14:paraId="68846A43">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678" w:type="pct"/>
                  <w:vMerge w:val="restart"/>
                  <w:tcBorders>
                    <w:tl2br w:val="nil"/>
                    <w:tr2bl w:val="nil"/>
                  </w:tcBorders>
                  <w:noWrap w:val="0"/>
                  <w:vAlign w:val="center"/>
                </w:tcPr>
                <w:p w14:paraId="75E91FD9">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489" w:type="pct"/>
                  <w:vMerge w:val="restart"/>
                  <w:tcBorders>
                    <w:tl2br w:val="nil"/>
                    <w:tr2bl w:val="nil"/>
                  </w:tcBorders>
                  <w:noWrap w:val="0"/>
                  <w:vAlign w:val="center"/>
                </w:tcPr>
                <w:p w14:paraId="4BB388B2">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75</w:t>
                  </w:r>
                </w:p>
              </w:tc>
              <w:tc>
                <w:tcPr>
                  <w:tcW w:w="689" w:type="pct"/>
                  <w:vMerge w:val="restart"/>
                  <w:tcBorders>
                    <w:tl2br w:val="nil"/>
                    <w:tr2bl w:val="nil"/>
                  </w:tcBorders>
                  <w:noWrap w:val="0"/>
                  <w:vAlign w:val="center"/>
                </w:tcPr>
                <w:p w14:paraId="374B2B81">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选用低噪声设备，合理布置设备，设备基础减振，定期加强设备维护等</w:t>
                  </w:r>
                </w:p>
              </w:tc>
              <w:tc>
                <w:tcPr>
                  <w:tcW w:w="844" w:type="pct"/>
                  <w:tcBorders>
                    <w:tl2br w:val="nil"/>
                    <w:tr2bl w:val="nil"/>
                  </w:tcBorders>
                  <w:noWrap w:val="0"/>
                  <w:vAlign w:val="center"/>
                </w:tcPr>
                <w:p w14:paraId="34AE1E99">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昼间</w:t>
                  </w:r>
                </w:p>
              </w:tc>
            </w:tr>
            <w:tr w14:paraId="087D6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04" w:hRule="atLeast"/>
                <w:jc w:val="center"/>
              </w:trPr>
              <w:tc>
                <w:tcPr>
                  <w:tcW w:w="238" w:type="pct"/>
                  <w:vMerge w:val="restart"/>
                  <w:tcBorders>
                    <w:tl2br w:val="nil"/>
                    <w:tr2bl w:val="nil"/>
                  </w:tcBorders>
                  <w:shd w:val="clear" w:color="auto" w:fill="auto"/>
                  <w:noWrap w:val="0"/>
                  <w:vAlign w:val="center"/>
                </w:tcPr>
                <w:p w14:paraId="3515B7E2">
                  <w:pPr>
                    <w:keepLines w:val="0"/>
                    <w:widowControl w:val="0"/>
                    <w:snapToGrid/>
                    <w:spacing w:before="0" w:beforeAutospacing="0" w:after="0" w:afterAutospacing="0" w:line="240" w:lineRule="auto"/>
                    <w:jc w:val="center"/>
                    <w:textAlignment w:val="baseline"/>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2</w:t>
                  </w:r>
                </w:p>
              </w:tc>
              <w:tc>
                <w:tcPr>
                  <w:tcW w:w="624" w:type="pct"/>
                  <w:vMerge w:val="restart"/>
                  <w:tcBorders>
                    <w:tl2br w:val="nil"/>
                    <w:tr2bl w:val="nil"/>
                  </w:tcBorders>
                  <w:noWrap w:val="0"/>
                  <w:vAlign w:val="center"/>
                </w:tcPr>
                <w:p w14:paraId="5489E65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输送带</w:t>
                  </w:r>
                </w:p>
              </w:tc>
              <w:tc>
                <w:tcPr>
                  <w:tcW w:w="474" w:type="pct"/>
                  <w:vMerge w:val="restart"/>
                  <w:tcBorders>
                    <w:tl2br w:val="nil"/>
                    <w:tr2bl w:val="nil"/>
                  </w:tcBorders>
                  <w:noWrap w:val="0"/>
                  <w:vAlign w:val="center"/>
                </w:tcPr>
                <w:p w14:paraId="200182D0">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20" w:type="pct"/>
                  <w:vMerge w:val="restart"/>
                  <w:tcBorders>
                    <w:tl2br w:val="nil"/>
                    <w:tr2bl w:val="nil"/>
                  </w:tcBorders>
                  <w:shd w:val="clear" w:color="auto" w:fill="auto"/>
                  <w:noWrap w:val="0"/>
                  <w:vAlign w:val="center"/>
                </w:tcPr>
                <w:p w14:paraId="2E32D78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auto"/>
                      <w:kern w:val="0"/>
                      <w:sz w:val="18"/>
                      <w:szCs w:val="18"/>
                      <w:u w:val="none"/>
                      <w:lang w:val="en-US" w:eastAsia="zh-CN" w:bidi="ar"/>
                    </w:rPr>
                    <w:t>37.44</w:t>
                  </w:r>
                </w:p>
              </w:tc>
              <w:tc>
                <w:tcPr>
                  <w:tcW w:w="320" w:type="pct"/>
                  <w:vMerge w:val="restart"/>
                  <w:tcBorders>
                    <w:tl2br w:val="nil"/>
                    <w:tr2bl w:val="nil"/>
                  </w:tcBorders>
                  <w:shd w:val="clear" w:color="auto" w:fill="auto"/>
                  <w:noWrap w:val="0"/>
                  <w:vAlign w:val="center"/>
                </w:tcPr>
                <w:p w14:paraId="20709F2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auto"/>
                      <w:kern w:val="0"/>
                      <w:sz w:val="18"/>
                      <w:szCs w:val="18"/>
                      <w:u w:val="none"/>
                      <w:lang w:val="en-US" w:eastAsia="zh-CN" w:bidi="ar"/>
                    </w:rPr>
                    <w:t>-26.23</w:t>
                  </w:r>
                </w:p>
              </w:tc>
              <w:tc>
                <w:tcPr>
                  <w:tcW w:w="320" w:type="pct"/>
                  <w:vMerge w:val="restart"/>
                  <w:tcBorders>
                    <w:tl2br w:val="nil"/>
                    <w:tr2bl w:val="nil"/>
                  </w:tcBorders>
                  <w:noWrap w:val="0"/>
                  <w:vAlign w:val="center"/>
                </w:tcPr>
                <w:p w14:paraId="40C33AE4">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lang w:val="en-US" w:eastAsia="zh-CN"/>
                    </w:rPr>
                    <w:t>3</w:t>
                  </w:r>
                </w:p>
              </w:tc>
              <w:tc>
                <w:tcPr>
                  <w:tcW w:w="678" w:type="pct"/>
                  <w:vMerge w:val="restart"/>
                  <w:tcBorders>
                    <w:tl2br w:val="nil"/>
                    <w:tr2bl w:val="nil"/>
                  </w:tcBorders>
                  <w:noWrap w:val="0"/>
                  <w:vAlign w:val="center"/>
                </w:tcPr>
                <w:p w14:paraId="4D7119BF">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489" w:type="pct"/>
                  <w:vMerge w:val="restart"/>
                  <w:tcBorders>
                    <w:tl2br w:val="nil"/>
                    <w:tr2bl w:val="nil"/>
                  </w:tcBorders>
                  <w:noWrap w:val="0"/>
                  <w:vAlign w:val="center"/>
                </w:tcPr>
                <w:p w14:paraId="111D80D3">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689" w:type="pct"/>
                  <w:vMerge w:val="continue"/>
                  <w:tcBorders>
                    <w:tl2br w:val="nil"/>
                    <w:tr2bl w:val="nil"/>
                  </w:tcBorders>
                  <w:noWrap w:val="0"/>
                  <w:vAlign w:val="center"/>
                </w:tcPr>
                <w:p w14:paraId="5F1C214B">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lang w:val="en-US" w:eastAsia="zh-CN"/>
                    </w:rPr>
                  </w:pPr>
                </w:p>
              </w:tc>
              <w:tc>
                <w:tcPr>
                  <w:tcW w:w="844" w:type="pct"/>
                  <w:tcBorders>
                    <w:tl2br w:val="nil"/>
                    <w:tr2bl w:val="nil"/>
                  </w:tcBorders>
                  <w:noWrap w:val="0"/>
                  <w:vAlign w:val="center"/>
                </w:tcPr>
                <w:p w14:paraId="79FAAD75">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r>
            <w:tr w14:paraId="137E1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04" w:hRule="atLeast"/>
                <w:jc w:val="center"/>
              </w:trPr>
              <w:tc>
                <w:tcPr>
                  <w:tcW w:w="238" w:type="pct"/>
                  <w:vMerge w:val="restart"/>
                  <w:tcBorders>
                    <w:tl2br w:val="nil"/>
                    <w:tr2bl w:val="nil"/>
                  </w:tcBorders>
                  <w:shd w:val="clear" w:color="auto" w:fill="auto"/>
                  <w:noWrap w:val="0"/>
                  <w:vAlign w:val="center"/>
                </w:tcPr>
                <w:p w14:paraId="36F1C01F">
                  <w:pPr>
                    <w:keepLines w:val="0"/>
                    <w:widowControl w:val="0"/>
                    <w:snapToGrid/>
                    <w:spacing w:before="0" w:beforeAutospacing="0" w:after="0" w:afterAutospacing="0" w:line="240" w:lineRule="auto"/>
                    <w:jc w:val="center"/>
                    <w:textAlignment w:val="baseline"/>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3</w:t>
                  </w:r>
                </w:p>
              </w:tc>
              <w:tc>
                <w:tcPr>
                  <w:tcW w:w="624" w:type="pct"/>
                  <w:vMerge w:val="restart"/>
                  <w:tcBorders>
                    <w:tl2br w:val="nil"/>
                    <w:tr2bl w:val="nil"/>
                  </w:tcBorders>
                  <w:noWrap w:val="0"/>
                  <w:vAlign w:val="center"/>
                </w:tcPr>
                <w:p w14:paraId="41B682B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提升</w:t>
                  </w:r>
                  <w:r>
                    <w:rPr>
                      <w:rFonts w:hint="default" w:ascii="Times New Roman" w:hAnsi="Times New Roman" w:cs="Times New Roman"/>
                      <w:color w:val="auto"/>
                      <w:szCs w:val="21"/>
                    </w:rPr>
                    <w:t>机</w:t>
                  </w:r>
                </w:p>
              </w:tc>
              <w:tc>
                <w:tcPr>
                  <w:tcW w:w="474" w:type="pct"/>
                  <w:vMerge w:val="restart"/>
                  <w:tcBorders>
                    <w:tl2br w:val="nil"/>
                    <w:tr2bl w:val="nil"/>
                  </w:tcBorders>
                  <w:noWrap w:val="0"/>
                  <w:vAlign w:val="center"/>
                </w:tcPr>
                <w:p w14:paraId="47FD0FDA">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20" w:type="pct"/>
                  <w:vMerge w:val="restart"/>
                  <w:tcBorders>
                    <w:tl2br w:val="nil"/>
                    <w:tr2bl w:val="nil"/>
                  </w:tcBorders>
                  <w:shd w:val="clear" w:color="auto" w:fill="auto"/>
                  <w:noWrap w:val="0"/>
                  <w:vAlign w:val="center"/>
                </w:tcPr>
                <w:p w14:paraId="3118749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auto"/>
                      <w:kern w:val="0"/>
                      <w:sz w:val="18"/>
                      <w:szCs w:val="18"/>
                      <w:u w:val="none"/>
                      <w:lang w:val="en-US" w:eastAsia="zh-CN" w:bidi="ar"/>
                    </w:rPr>
                    <w:t>34.07</w:t>
                  </w:r>
                </w:p>
              </w:tc>
              <w:tc>
                <w:tcPr>
                  <w:tcW w:w="320" w:type="pct"/>
                  <w:vMerge w:val="restart"/>
                  <w:tcBorders>
                    <w:tl2br w:val="nil"/>
                    <w:tr2bl w:val="nil"/>
                  </w:tcBorders>
                  <w:shd w:val="clear" w:color="auto" w:fill="auto"/>
                  <w:noWrap w:val="0"/>
                  <w:vAlign w:val="center"/>
                </w:tcPr>
                <w:p w14:paraId="7B35B0E5">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18"/>
                      <w:szCs w:val="18"/>
                      <w:u w:val="none"/>
                      <w:lang w:val="en-US" w:eastAsia="zh-CN" w:bidi="ar"/>
                    </w:rPr>
                    <w:t>-36.33</w:t>
                  </w:r>
                </w:p>
              </w:tc>
              <w:tc>
                <w:tcPr>
                  <w:tcW w:w="320" w:type="pct"/>
                  <w:vMerge w:val="restart"/>
                  <w:tcBorders>
                    <w:tl2br w:val="nil"/>
                    <w:tr2bl w:val="nil"/>
                  </w:tcBorders>
                  <w:noWrap w:val="0"/>
                  <w:vAlign w:val="center"/>
                </w:tcPr>
                <w:p w14:paraId="0E120097">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t>1</w:t>
                  </w:r>
                </w:p>
              </w:tc>
              <w:tc>
                <w:tcPr>
                  <w:tcW w:w="678" w:type="pct"/>
                  <w:vMerge w:val="restart"/>
                  <w:tcBorders>
                    <w:tl2br w:val="nil"/>
                    <w:tr2bl w:val="nil"/>
                  </w:tcBorders>
                  <w:noWrap w:val="0"/>
                  <w:vAlign w:val="center"/>
                </w:tcPr>
                <w:p w14:paraId="2E7A1D26">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489" w:type="pct"/>
                  <w:vMerge w:val="restart"/>
                  <w:tcBorders>
                    <w:tl2br w:val="nil"/>
                    <w:tr2bl w:val="nil"/>
                  </w:tcBorders>
                  <w:noWrap w:val="0"/>
                  <w:vAlign w:val="center"/>
                </w:tcPr>
                <w:p w14:paraId="4F2D19A5">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689" w:type="pct"/>
                  <w:vMerge w:val="continue"/>
                  <w:tcBorders>
                    <w:tl2br w:val="nil"/>
                    <w:tr2bl w:val="nil"/>
                  </w:tcBorders>
                  <w:noWrap w:val="0"/>
                  <w:vAlign w:val="center"/>
                </w:tcPr>
                <w:p w14:paraId="4E4B097D">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lang w:val="en-US" w:eastAsia="zh-CN"/>
                    </w:rPr>
                  </w:pPr>
                </w:p>
              </w:tc>
              <w:tc>
                <w:tcPr>
                  <w:tcW w:w="844" w:type="pct"/>
                  <w:tcBorders>
                    <w:tl2br w:val="nil"/>
                    <w:tr2bl w:val="nil"/>
                  </w:tcBorders>
                  <w:noWrap w:val="0"/>
                  <w:vAlign w:val="center"/>
                </w:tcPr>
                <w:p w14:paraId="79566908">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r>
            <w:tr w14:paraId="3E494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04" w:hRule="atLeast"/>
                <w:jc w:val="center"/>
              </w:trPr>
              <w:tc>
                <w:tcPr>
                  <w:tcW w:w="238" w:type="pct"/>
                  <w:vMerge w:val="restart"/>
                  <w:tcBorders>
                    <w:tl2br w:val="nil"/>
                    <w:tr2bl w:val="nil"/>
                  </w:tcBorders>
                  <w:shd w:val="clear" w:color="auto" w:fill="auto"/>
                  <w:noWrap w:val="0"/>
                  <w:vAlign w:val="center"/>
                </w:tcPr>
                <w:p w14:paraId="5F840643">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lang w:val="en-US" w:eastAsia="zh-CN"/>
                    </w:rPr>
                    <w:t>4</w:t>
                  </w:r>
                </w:p>
              </w:tc>
              <w:tc>
                <w:tcPr>
                  <w:tcW w:w="624" w:type="pct"/>
                  <w:vMerge w:val="restart"/>
                  <w:tcBorders>
                    <w:tl2br w:val="nil"/>
                    <w:tr2bl w:val="nil"/>
                  </w:tcBorders>
                  <w:shd w:val="clear" w:color="auto" w:fill="auto"/>
                  <w:noWrap w:val="0"/>
                  <w:vAlign w:val="center"/>
                </w:tcPr>
                <w:p w14:paraId="2A7CBB36">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烘干筒</w:t>
                  </w:r>
                </w:p>
              </w:tc>
              <w:tc>
                <w:tcPr>
                  <w:tcW w:w="474" w:type="pct"/>
                  <w:vMerge w:val="restart"/>
                  <w:tcBorders>
                    <w:tl2br w:val="nil"/>
                    <w:tr2bl w:val="nil"/>
                  </w:tcBorders>
                  <w:shd w:val="clear" w:color="auto" w:fill="auto"/>
                  <w:noWrap w:val="0"/>
                  <w:vAlign w:val="center"/>
                </w:tcPr>
                <w:p w14:paraId="0C559880">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 w:val="21"/>
                      <w:szCs w:val="21"/>
                      <w:highlight w:val="none"/>
                      <w:lang w:val="en-US" w:eastAsia="zh-CN"/>
                    </w:rPr>
                    <w:t>/</w:t>
                  </w:r>
                </w:p>
                <w:p w14:paraId="102CFC2D">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lang w:val="en-US" w:eastAsia="zh-CN"/>
                    </w:rPr>
                  </w:pPr>
                </w:p>
              </w:tc>
              <w:tc>
                <w:tcPr>
                  <w:tcW w:w="320" w:type="pct"/>
                  <w:vMerge w:val="restart"/>
                  <w:tcBorders>
                    <w:tl2br w:val="nil"/>
                    <w:tr2bl w:val="nil"/>
                  </w:tcBorders>
                  <w:shd w:val="clear" w:color="auto" w:fill="auto"/>
                  <w:noWrap w:val="0"/>
                  <w:vAlign w:val="center"/>
                </w:tcPr>
                <w:p w14:paraId="3F7A47FD">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29.15</w:t>
                  </w:r>
                </w:p>
              </w:tc>
              <w:tc>
                <w:tcPr>
                  <w:tcW w:w="320" w:type="pct"/>
                  <w:vMerge w:val="restart"/>
                  <w:tcBorders>
                    <w:tl2br w:val="nil"/>
                    <w:tr2bl w:val="nil"/>
                  </w:tcBorders>
                  <w:shd w:val="clear" w:color="auto" w:fill="auto"/>
                  <w:noWrap w:val="0"/>
                  <w:vAlign w:val="center"/>
                </w:tcPr>
                <w:p w14:paraId="58F1198D">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18"/>
                      <w:szCs w:val="18"/>
                      <w:u w:val="none"/>
                      <w:lang w:val="en-US" w:eastAsia="zh-CN" w:bidi="ar"/>
                    </w:rPr>
                    <w:t>-49.14</w:t>
                  </w:r>
                </w:p>
              </w:tc>
              <w:tc>
                <w:tcPr>
                  <w:tcW w:w="320" w:type="pct"/>
                  <w:vMerge w:val="restart"/>
                  <w:tcBorders>
                    <w:tl2br w:val="nil"/>
                    <w:tr2bl w:val="nil"/>
                  </w:tcBorders>
                  <w:shd w:val="clear" w:color="auto" w:fill="auto"/>
                  <w:noWrap w:val="0"/>
                  <w:vAlign w:val="center"/>
                </w:tcPr>
                <w:p w14:paraId="23478023">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lang w:val="en-US" w:eastAsia="zh-CN"/>
                    </w:rPr>
                    <w:t>5</w:t>
                  </w:r>
                </w:p>
              </w:tc>
              <w:tc>
                <w:tcPr>
                  <w:tcW w:w="678" w:type="pct"/>
                  <w:vMerge w:val="restart"/>
                  <w:tcBorders>
                    <w:tl2br w:val="nil"/>
                    <w:tr2bl w:val="nil"/>
                  </w:tcBorders>
                  <w:shd w:val="clear" w:color="auto" w:fill="auto"/>
                  <w:noWrap w:val="0"/>
                  <w:vAlign w:val="center"/>
                </w:tcPr>
                <w:p w14:paraId="2CE7D9D0">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 w:val="21"/>
                      <w:szCs w:val="21"/>
                      <w:highlight w:val="none"/>
                      <w:lang w:val="en-US" w:eastAsia="zh-CN"/>
                    </w:rPr>
                    <w:t>/</w:t>
                  </w:r>
                </w:p>
                <w:p w14:paraId="5100A7AB">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lang w:val="en-US" w:eastAsia="zh-CN"/>
                    </w:rPr>
                  </w:pPr>
                </w:p>
              </w:tc>
              <w:tc>
                <w:tcPr>
                  <w:tcW w:w="489" w:type="pct"/>
                  <w:vMerge w:val="restart"/>
                  <w:tcBorders>
                    <w:tl2br w:val="nil"/>
                    <w:tr2bl w:val="nil"/>
                  </w:tcBorders>
                  <w:shd w:val="clear" w:color="auto" w:fill="auto"/>
                  <w:noWrap w:val="0"/>
                  <w:vAlign w:val="center"/>
                </w:tcPr>
                <w:p w14:paraId="68DD20A3">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lang w:val="en-US" w:eastAsia="zh-CN"/>
                    </w:rPr>
                    <w:t>83</w:t>
                  </w:r>
                </w:p>
              </w:tc>
              <w:tc>
                <w:tcPr>
                  <w:tcW w:w="689" w:type="pct"/>
                  <w:vMerge w:val="continue"/>
                  <w:tcBorders>
                    <w:tl2br w:val="nil"/>
                    <w:tr2bl w:val="nil"/>
                  </w:tcBorders>
                  <w:noWrap w:val="0"/>
                  <w:vAlign w:val="center"/>
                </w:tcPr>
                <w:p w14:paraId="2B3B197B">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lang w:val="en-US" w:eastAsia="zh-CN"/>
                    </w:rPr>
                  </w:pPr>
                </w:p>
              </w:tc>
              <w:tc>
                <w:tcPr>
                  <w:tcW w:w="844" w:type="pct"/>
                  <w:tcBorders>
                    <w:tl2br w:val="nil"/>
                    <w:tr2bl w:val="nil"/>
                  </w:tcBorders>
                  <w:noWrap w:val="0"/>
                  <w:vAlign w:val="center"/>
                </w:tcPr>
                <w:p w14:paraId="454BA226">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r>
            <w:tr w14:paraId="63D7B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04" w:hRule="atLeast"/>
                <w:jc w:val="center"/>
              </w:trPr>
              <w:tc>
                <w:tcPr>
                  <w:tcW w:w="238" w:type="pct"/>
                  <w:vMerge w:val="restart"/>
                  <w:tcBorders>
                    <w:tl2br w:val="nil"/>
                    <w:tr2bl w:val="nil"/>
                  </w:tcBorders>
                  <w:shd w:val="clear" w:color="auto" w:fill="auto"/>
                  <w:noWrap w:val="0"/>
                  <w:vAlign w:val="center"/>
                </w:tcPr>
                <w:p w14:paraId="0EB77E5D">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w:t>
                  </w:r>
                </w:p>
              </w:tc>
              <w:tc>
                <w:tcPr>
                  <w:tcW w:w="624" w:type="pct"/>
                  <w:vMerge w:val="restart"/>
                  <w:tcBorders>
                    <w:tl2br w:val="nil"/>
                    <w:tr2bl w:val="nil"/>
                  </w:tcBorders>
                  <w:shd w:val="clear" w:color="auto" w:fill="auto"/>
                  <w:noWrap w:val="0"/>
                  <w:vAlign w:val="center"/>
                </w:tcPr>
                <w:p w14:paraId="68CBB7B9">
                  <w:pPr>
                    <w:keepNext w:val="0"/>
                    <w:keepLines w:val="0"/>
                    <w:pageBreakBefore w:val="0"/>
                    <w:kinsoku/>
                    <w:wordWrap/>
                    <w:overflowPunct/>
                    <w:topLinePunct w:val="0"/>
                    <w:autoSpaceDE/>
                    <w:autoSpaceDN/>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提升泵</w:t>
                  </w:r>
                </w:p>
              </w:tc>
              <w:tc>
                <w:tcPr>
                  <w:tcW w:w="474" w:type="pct"/>
                  <w:vMerge w:val="restart"/>
                  <w:tcBorders>
                    <w:tl2br w:val="nil"/>
                    <w:tr2bl w:val="nil"/>
                  </w:tcBorders>
                  <w:shd w:val="clear" w:color="auto" w:fill="auto"/>
                  <w:noWrap w:val="0"/>
                  <w:vAlign w:val="center"/>
                </w:tcPr>
                <w:p w14:paraId="55B568E7">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 w:val="21"/>
                      <w:szCs w:val="21"/>
                      <w:highlight w:val="none"/>
                      <w:lang w:val="en-US" w:eastAsia="zh-CN"/>
                    </w:rPr>
                    <w:t>/</w:t>
                  </w:r>
                </w:p>
                <w:p w14:paraId="27231451">
                  <w:pPr>
                    <w:keepNext w:val="0"/>
                    <w:keepLines w:val="0"/>
                    <w:pageBreakBefore w:val="0"/>
                    <w:kinsoku/>
                    <w:wordWrap/>
                    <w:overflowPunct/>
                    <w:topLinePunct w:val="0"/>
                    <w:autoSpaceDE/>
                    <w:autoSpaceDN/>
                    <w:bidi w:val="0"/>
                    <w:jc w:val="center"/>
                    <w:rPr>
                      <w:rFonts w:hint="default" w:ascii="Times New Roman" w:hAnsi="Times New Roman" w:cs="Times New Roman"/>
                      <w:color w:val="auto"/>
                    </w:rPr>
                  </w:pPr>
                </w:p>
              </w:tc>
              <w:tc>
                <w:tcPr>
                  <w:tcW w:w="320" w:type="pct"/>
                  <w:vMerge w:val="restart"/>
                  <w:tcBorders>
                    <w:tl2br w:val="nil"/>
                    <w:tr2bl w:val="nil"/>
                  </w:tcBorders>
                  <w:shd w:val="clear" w:color="auto" w:fill="auto"/>
                  <w:noWrap w:val="0"/>
                  <w:vAlign w:val="center"/>
                </w:tcPr>
                <w:p w14:paraId="400FFB71">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18"/>
                      <w:szCs w:val="18"/>
                      <w:u w:val="none"/>
                      <w:lang w:val="en-US" w:eastAsia="zh-CN" w:bidi="ar"/>
                    </w:rPr>
                    <w:t>24.55</w:t>
                  </w:r>
                </w:p>
              </w:tc>
              <w:tc>
                <w:tcPr>
                  <w:tcW w:w="320" w:type="pct"/>
                  <w:vMerge w:val="restart"/>
                  <w:tcBorders>
                    <w:tl2br w:val="nil"/>
                    <w:tr2bl w:val="nil"/>
                  </w:tcBorders>
                  <w:shd w:val="clear" w:color="auto" w:fill="auto"/>
                  <w:noWrap w:val="0"/>
                  <w:vAlign w:val="center"/>
                </w:tcPr>
                <w:p w14:paraId="050E41F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-60.8</w:t>
                  </w:r>
                </w:p>
              </w:tc>
              <w:tc>
                <w:tcPr>
                  <w:tcW w:w="320" w:type="pct"/>
                  <w:vMerge w:val="restart"/>
                  <w:tcBorders>
                    <w:tl2br w:val="nil"/>
                    <w:tr2bl w:val="nil"/>
                  </w:tcBorders>
                  <w:shd w:val="clear" w:color="auto" w:fill="auto"/>
                  <w:noWrap w:val="0"/>
                  <w:vAlign w:val="center"/>
                </w:tcPr>
                <w:p w14:paraId="5A21DB38">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c>
                <w:tcPr>
                  <w:tcW w:w="678" w:type="pct"/>
                  <w:vMerge w:val="restart"/>
                  <w:tcBorders>
                    <w:tl2br w:val="nil"/>
                    <w:tr2bl w:val="nil"/>
                  </w:tcBorders>
                  <w:shd w:val="clear" w:color="auto" w:fill="auto"/>
                  <w:noWrap w:val="0"/>
                  <w:vAlign w:val="center"/>
                </w:tcPr>
                <w:p w14:paraId="44A229FA">
                  <w:pPr>
                    <w:keepNext w:val="0"/>
                    <w:keepLines w:val="0"/>
                    <w:pageBreakBefore w:val="0"/>
                    <w:kinsoku/>
                    <w:wordWrap/>
                    <w:overflowPunct/>
                    <w:topLinePunct w:val="0"/>
                    <w:autoSpaceDE/>
                    <w:autoSpaceDN/>
                    <w:bidi w:val="0"/>
                    <w:jc w:val="center"/>
                    <w:rPr>
                      <w:rFonts w:hint="default" w:ascii="Times New Roman" w:hAnsi="Times New Roman" w:cs="Times New Roman"/>
                      <w:color w:val="auto"/>
                    </w:rPr>
                  </w:pPr>
                  <w:r>
                    <w:rPr>
                      <w:rFonts w:hint="default" w:ascii="Times New Roman" w:hAnsi="Times New Roman" w:cs="Times New Roman"/>
                      <w:color w:val="auto"/>
                      <w:sz w:val="21"/>
                      <w:szCs w:val="21"/>
                      <w:highlight w:val="none"/>
                      <w:lang w:val="en-US" w:eastAsia="zh-CN"/>
                    </w:rPr>
                    <w:t>/</w:t>
                  </w:r>
                </w:p>
              </w:tc>
              <w:tc>
                <w:tcPr>
                  <w:tcW w:w="489" w:type="pct"/>
                  <w:vMerge w:val="restart"/>
                  <w:tcBorders>
                    <w:tl2br w:val="nil"/>
                    <w:tr2bl w:val="nil"/>
                  </w:tcBorders>
                  <w:shd w:val="clear" w:color="auto" w:fill="auto"/>
                  <w:noWrap w:val="0"/>
                  <w:vAlign w:val="center"/>
                </w:tcPr>
                <w:p w14:paraId="688BE2E1">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75</w:t>
                  </w:r>
                </w:p>
              </w:tc>
              <w:tc>
                <w:tcPr>
                  <w:tcW w:w="689" w:type="pct"/>
                  <w:vMerge w:val="continue"/>
                  <w:tcBorders>
                    <w:tl2br w:val="nil"/>
                    <w:tr2bl w:val="nil"/>
                  </w:tcBorders>
                  <w:noWrap w:val="0"/>
                  <w:vAlign w:val="center"/>
                </w:tcPr>
                <w:p w14:paraId="4A191D71">
                  <w:pPr>
                    <w:keepNext w:val="0"/>
                    <w:keepLines w:val="0"/>
                    <w:pageBreakBefore w:val="0"/>
                    <w:kinsoku/>
                    <w:wordWrap/>
                    <w:overflowPunct/>
                    <w:topLinePunct w:val="0"/>
                    <w:autoSpaceDE/>
                    <w:autoSpaceDN/>
                    <w:bidi w:val="0"/>
                    <w:jc w:val="center"/>
                    <w:rPr>
                      <w:rFonts w:hint="default" w:ascii="Times New Roman" w:hAnsi="Times New Roman" w:cs="Times New Roman"/>
                      <w:color w:val="auto"/>
                    </w:rPr>
                  </w:pPr>
                </w:p>
              </w:tc>
              <w:tc>
                <w:tcPr>
                  <w:tcW w:w="844" w:type="pct"/>
                  <w:tcBorders>
                    <w:tl2br w:val="nil"/>
                    <w:tr2bl w:val="nil"/>
                  </w:tcBorders>
                  <w:noWrap w:val="0"/>
                  <w:vAlign w:val="center"/>
                </w:tcPr>
                <w:p w14:paraId="54E29623">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昼间</w:t>
                  </w:r>
                </w:p>
              </w:tc>
            </w:tr>
            <w:tr w14:paraId="6AD1D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04" w:hRule="atLeast"/>
                <w:jc w:val="center"/>
              </w:trPr>
              <w:tc>
                <w:tcPr>
                  <w:tcW w:w="238" w:type="pct"/>
                  <w:vMerge w:val="restart"/>
                  <w:tcBorders>
                    <w:tl2br w:val="nil"/>
                    <w:tr2bl w:val="nil"/>
                  </w:tcBorders>
                  <w:shd w:val="clear" w:color="auto" w:fill="auto"/>
                  <w:noWrap w:val="0"/>
                  <w:vAlign w:val="center"/>
                </w:tcPr>
                <w:p w14:paraId="73AB1096">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kern w:val="2"/>
                      <w:sz w:val="21"/>
                      <w:szCs w:val="22"/>
                      <w:lang w:val="en-US" w:eastAsia="zh-CN" w:bidi="ar-SA"/>
                    </w:rPr>
                    <w:t>6</w:t>
                  </w:r>
                </w:p>
              </w:tc>
              <w:tc>
                <w:tcPr>
                  <w:tcW w:w="624" w:type="pct"/>
                  <w:vMerge w:val="restart"/>
                  <w:tcBorders>
                    <w:tl2br w:val="nil"/>
                    <w:tr2bl w:val="nil"/>
                  </w:tcBorders>
                  <w:shd w:val="clear" w:color="auto" w:fill="auto"/>
                  <w:noWrap w:val="0"/>
                  <w:vAlign w:val="center"/>
                </w:tcPr>
                <w:p w14:paraId="18131296">
                  <w:pPr>
                    <w:keepNext w:val="0"/>
                    <w:keepLines w:val="0"/>
                    <w:pageBreakBefore w:val="0"/>
                    <w:kinsoku/>
                    <w:wordWrap/>
                    <w:overflowPunct/>
                    <w:topLinePunct w:val="0"/>
                    <w:autoSpaceDE/>
                    <w:autoSpaceDN/>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燃烧器</w:t>
                  </w:r>
                </w:p>
              </w:tc>
              <w:tc>
                <w:tcPr>
                  <w:tcW w:w="474" w:type="pct"/>
                  <w:vMerge w:val="restart"/>
                  <w:tcBorders>
                    <w:tl2br w:val="nil"/>
                    <w:tr2bl w:val="nil"/>
                  </w:tcBorders>
                  <w:shd w:val="clear" w:color="auto" w:fill="auto"/>
                  <w:noWrap w:val="0"/>
                  <w:vAlign w:val="center"/>
                </w:tcPr>
                <w:p w14:paraId="7240A6A6">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 w:val="21"/>
                      <w:szCs w:val="21"/>
                      <w:highlight w:val="none"/>
                      <w:lang w:val="en-US" w:eastAsia="zh-CN"/>
                    </w:rPr>
                    <w:t>/</w:t>
                  </w:r>
                </w:p>
                <w:p w14:paraId="14D90A87">
                  <w:pPr>
                    <w:keepNext w:val="0"/>
                    <w:keepLines w:val="0"/>
                    <w:pageBreakBefore w:val="0"/>
                    <w:kinsoku/>
                    <w:wordWrap/>
                    <w:overflowPunct/>
                    <w:topLinePunct w:val="0"/>
                    <w:autoSpaceDE/>
                    <w:autoSpaceDN/>
                    <w:bidi w:val="0"/>
                    <w:jc w:val="center"/>
                    <w:rPr>
                      <w:rFonts w:hint="default" w:ascii="Times New Roman" w:hAnsi="Times New Roman" w:cs="Times New Roman"/>
                      <w:color w:val="auto"/>
                    </w:rPr>
                  </w:pPr>
                </w:p>
              </w:tc>
              <w:tc>
                <w:tcPr>
                  <w:tcW w:w="320" w:type="pct"/>
                  <w:vMerge w:val="restart"/>
                  <w:tcBorders>
                    <w:tl2br w:val="nil"/>
                    <w:tr2bl w:val="nil"/>
                  </w:tcBorders>
                  <w:shd w:val="clear" w:color="auto" w:fill="auto"/>
                  <w:noWrap w:val="0"/>
                  <w:vAlign w:val="center"/>
                </w:tcPr>
                <w:p w14:paraId="6C488F5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24.71</w:t>
                  </w:r>
                </w:p>
              </w:tc>
              <w:tc>
                <w:tcPr>
                  <w:tcW w:w="320" w:type="pct"/>
                  <w:vMerge w:val="restart"/>
                  <w:tcBorders>
                    <w:tl2br w:val="nil"/>
                    <w:tr2bl w:val="nil"/>
                  </w:tcBorders>
                  <w:shd w:val="clear" w:color="auto" w:fill="auto"/>
                  <w:noWrap w:val="0"/>
                  <w:vAlign w:val="center"/>
                </w:tcPr>
                <w:p w14:paraId="5CA30C83">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18"/>
                      <w:szCs w:val="18"/>
                      <w:u w:val="none"/>
                      <w:lang w:val="en-US" w:eastAsia="zh-CN" w:bidi="ar"/>
                    </w:rPr>
                    <w:t>-66.05</w:t>
                  </w:r>
                </w:p>
              </w:tc>
              <w:tc>
                <w:tcPr>
                  <w:tcW w:w="320" w:type="pct"/>
                  <w:vMerge w:val="restart"/>
                  <w:tcBorders>
                    <w:tl2br w:val="nil"/>
                    <w:tr2bl w:val="nil"/>
                  </w:tcBorders>
                  <w:shd w:val="clear" w:color="auto" w:fill="auto"/>
                  <w:noWrap w:val="0"/>
                  <w:vAlign w:val="center"/>
                </w:tcPr>
                <w:p w14:paraId="127B7760">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w:t>
                  </w:r>
                </w:p>
              </w:tc>
              <w:tc>
                <w:tcPr>
                  <w:tcW w:w="678" w:type="pct"/>
                  <w:vMerge w:val="restart"/>
                  <w:tcBorders>
                    <w:tl2br w:val="nil"/>
                    <w:tr2bl w:val="nil"/>
                  </w:tcBorders>
                  <w:shd w:val="clear" w:color="auto" w:fill="auto"/>
                  <w:noWrap w:val="0"/>
                  <w:vAlign w:val="center"/>
                </w:tcPr>
                <w:p w14:paraId="458BE015">
                  <w:pPr>
                    <w:keepNext w:val="0"/>
                    <w:keepLines w:val="0"/>
                    <w:pageBreakBefore w:val="0"/>
                    <w:kinsoku/>
                    <w:wordWrap/>
                    <w:overflowPunct/>
                    <w:topLinePunct w:val="0"/>
                    <w:autoSpaceDE/>
                    <w:autoSpaceDN/>
                    <w:bidi w:val="0"/>
                    <w:jc w:val="center"/>
                    <w:rPr>
                      <w:rFonts w:hint="default" w:ascii="Times New Roman" w:hAnsi="Times New Roman" w:cs="Times New Roman"/>
                      <w:color w:val="auto"/>
                    </w:rPr>
                  </w:pPr>
                  <w:r>
                    <w:rPr>
                      <w:rFonts w:hint="default" w:ascii="Times New Roman" w:hAnsi="Times New Roman" w:cs="Times New Roman"/>
                      <w:color w:val="auto"/>
                      <w:sz w:val="21"/>
                      <w:szCs w:val="21"/>
                      <w:highlight w:val="none"/>
                      <w:lang w:val="en-US" w:eastAsia="zh-CN"/>
                    </w:rPr>
                    <w:t>/</w:t>
                  </w:r>
                </w:p>
              </w:tc>
              <w:tc>
                <w:tcPr>
                  <w:tcW w:w="489" w:type="pct"/>
                  <w:vMerge w:val="restart"/>
                  <w:tcBorders>
                    <w:tl2br w:val="nil"/>
                    <w:tr2bl w:val="nil"/>
                  </w:tcBorders>
                  <w:shd w:val="clear" w:color="auto" w:fill="auto"/>
                  <w:noWrap w:val="0"/>
                  <w:vAlign w:val="center"/>
                </w:tcPr>
                <w:p w14:paraId="3A2B5EE9">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70</w:t>
                  </w:r>
                </w:p>
              </w:tc>
              <w:tc>
                <w:tcPr>
                  <w:tcW w:w="689" w:type="pct"/>
                  <w:vMerge w:val="continue"/>
                  <w:tcBorders>
                    <w:tl2br w:val="nil"/>
                    <w:tr2bl w:val="nil"/>
                  </w:tcBorders>
                  <w:noWrap w:val="0"/>
                  <w:vAlign w:val="center"/>
                </w:tcPr>
                <w:p w14:paraId="2D6FA836">
                  <w:pPr>
                    <w:keepNext w:val="0"/>
                    <w:keepLines w:val="0"/>
                    <w:pageBreakBefore w:val="0"/>
                    <w:kinsoku/>
                    <w:wordWrap/>
                    <w:overflowPunct/>
                    <w:topLinePunct w:val="0"/>
                    <w:autoSpaceDE/>
                    <w:autoSpaceDN/>
                    <w:bidi w:val="0"/>
                    <w:jc w:val="center"/>
                    <w:rPr>
                      <w:rFonts w:hint="default" w:ascii="Times New Roman" w:hAnsi="Times New Roman" w:cs="Times New Roman"/>
                      <w:color w:val="auto"/>
                    </w:rPr>
                  </w:pPr>
                </w:p>
              </w:tc>
              <w:tc>
                <w:tcPr>
                  <w:tcW w:w="844" w:type="pct"/>
                  <w:tcBorders>
                    <w:tl2br w:val="nil"/>
                    <w:tr2bl w:val="nil"/>
                  </w:tcBorders>
                  <w:noWrap w:val="0"/>
                  <w:vAlign w:val="center"/>
                </w:tcPr>
                <w:p w14:paraId="075A989B">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昼间</w:t>
                  </w:r>
                </w:p>
              </w:tc>
            </w:tr>
            <w:tr w14:paraId="5DB17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14" w:hRule="atLeast"/>
                <w:jc w:val="center"/>
              </w:trPr>
              <w:tc>
                <w:tcPr>
                  <w:tcW w:w="238" w:type="pct"/>
                  <w:tcBorders>
                    <w:tl2br w:val="nil"/>
                    <w:tr2bl w:val="nil"/>
                  </w:tcBorders>
                  <w:noWrap w:val="0"/>
                  <w:vAlign w:val="center"/>
                </w:tcPr>
                <w:p w14:paraId="1A10067F">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w:t>
                  </w:r>
                </w:p>
              </w:tc>
              <w:tc>
                <w:tcPr>
                  <w:tcW w:w="624" w:type="pct"/>
                  <w:tcBorders>
                    <w:tl2br w:val="nil"/>
                    <w:tr2bl w:val="nil"/>
                  </w:tcBorders>
                  <w:shd w:val="clear" w:color="auto" w:fill="auto"/>
                  <w:noWrap w:val="0"/>
                  <w:vAlign w:val="center"/>
                </w:tcPr>
                <w:p w14:paraId="3BE224E8">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kern w:val="2"/>
                      <w:sz w:val="21"/>
                      <w:szCs w:val="22"/>
                      <w:lang w:val="en-US" w:eastAsia="zh-CN" w:bidi="ar-SA"/>
                    </w:rPr>
                    <w:t>除尘系统</w:t>
                  </w:r>
                </w:p>
              </w:tc>
              <w:tc>
                <w:tcPr>
                  <w:tcW w:w="474" w:type="pct"/>
                  <w:tcBorders>
                    <w:tl2br w:val="nil"/>
                    <w:tr2bl w:val="nil"/>
                  </w:tcBorders>
                  <w:shd w:val="clear" w:color="auto" w:fill="auto"/>
                  <w:noWrap w:val="0"/>
                  <w:vAlign w:val="center"/>
                </w:tcPr>
                <w:p w14:paraId="69DB4E52">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1"/>
                    </w:rPr>
                    <w:t>/</w:t>
                  </w:r>
                </w:p>
              </w:tc>
              <w:tc>
                <w:tcPr>
                  <w:tcW w:w="320" w:type="pct"/>
                  <w:tcBorders>
                    <w:tl2br w:val="nil"/>
                    <w:tr2bl w:val="nil"/>
                  </w:tcBorders>
                  <w:shd w:val="clear" w:color="auto" w:fill="auto"/>
                  <w:noWrap w:val="0"/>
                  <w:vAlign w:val="center"/>
                </w:tcPr>
                <w:p w14:paraId="74F4A8B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6.16</w:t>
                  </w:r>
                </w:p>
              </w:tc>
              <w:tc>
                <w:tcPr>
                  <w:tcW w:w="320" w:type="pct"/>
                  <w:tcBorders>
                    <w:tl2br w:val="nil"/>
                    <w:tr2bl w:val="nil"/>
                  </w:tcBorders>
                  <w:shd w:val="clear" w:color="auto" w:fill="auto"/>
                  <w:noWrap w:val="0"/>
                  <w:vAlign w:val="center"/>
                </w:tcPr>
                <w:p w14:paraId="571F558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-66.05</w:t>
                  </w:r>
                </w:p>
              </w:tc>
              <w:tc>
                <w:tcPr>
                  <w:tcW w:w="320" w:type="pct"/>
                  <w:tcBorders>
                    <w:tl2br w:val="nil"/>
                    <w:tr2bl w:val="nil"/>
                  </w:tcBorders>
                  <w:shd w:val="clear" w:color="auto" w:fill="auto"/>
                  <w:noWrap w:val="0"/>
                  <w:vAlign w:val="center"/>
                </w:tcPr>
                <w:p w14:paraId="21B0E70B">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kern w:val="2"/>
                      <w:sz w:val="21"/>
                      <w:szCs w:val="22"/>
                      <w:lang w:val="en-US" w:eastAsia="zh-CN" w:bidi="ar-SA"/>
                    </w:rPr>
                    <w:t>5</w:t>
                  </w:r>
                </w:p>
              </w:tc>
              <w:tc>
                <w:tcPr>
                  <w:tcW w:w="678" w:type="pct"/>
                  <w:tcBorders>
                    <w:tl2br w:val="nil"/>
                    <w:tr2bl w:val="nil"/>
                  </w:tcBorders>
                  <w:shd w:val="clear" w:color="auto" w:fill="auto"/>
                  <w:noWrap w:val="0"/>
                  <w:vAlign w:val="center"/>
                </w:tcPr>
                <w:p w14:paraId="03882EA6">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1"/>
                    </w:rPr>
                    <w:t>/</w:t>
                  </w:r>
                </w:p>
              </w:tc>
              <w:tc>
                <w:tcPr>
                  <w:tcW w:w="489" w:type="pct"/>
                  <w:tcBorders>
                    <w:tl2br w:val="nil"/>
                    <w:tr2bl w:val="nil"/>
                  </w:tcBorders>
                  <w:shd w:val="clear" w:color="auto" w:fill="auto"/>
                  <w:noWrap w:val="0"/>
                  <w:vAlign w:val="center"/>
                </w:tcPr>
                <w:p w14:paraId="277F0A4F">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7</w:t>
                  </w:r>
                  <w:r>
                    <w:rPr>
                      <w:rFonts w:hint="default" w:ascii="Times New Roman" w:hAnsi="Times New Roman" w:cs="Times New Roman"/>
                      <w:color w:val="auto"/>
                      <w:lang w:val="en-US" w:eastAsia="zh-CN"/>
                    </w:rPr>
                    <w:t>5</w:t>
                  </w:r>
                </w:p>
              </w:tc>
              <w:tc>
                <w:tcPr>
                  <w:tcW w:w="689" w:type="pct"/>
                  <w:vMerge w:val="continue"/>
                  <w:tcBorders>
                    <w:tl2br w:val="nil"/>
                    <w:tr2bl w:val="nil"/>
                  </w:tcBorders>
                  <w:noWrap w:val="0"/>
                  <w:vAlign w:val="center"/>
                </w:tcPr>
                <w:p w14:paraId="46EBECDA">
                  <w:pPr>
                    <w:keepNext w:val="0"/>
                    <w:keepLines w:val="0"/>
                    <w:pageBreakBefore w:val="0"/>
                    <w:kinsoku/>
                    <w:wordWrap/>
                    <w:overflowPunct/>
                    <w:topLinePunct w:val="0"/>
                    <w:autoSpaceDE/>
                    <w:autoSpaceDN/>
                    <w:bidi w:val="0"/>
                    <w:jc w:val="center"/>
                    <w:rPr>
                      <w:rFonts w:hint="default" w:ascii="Times New Roman" w:hAnsi="Times New Roman" w:cs="Times New Roman"/>
                      <w:color w:val="auto"/>
                    </w:rPr>
                  </w:pPr>
                </w:p>
              </w:tc>
              <w:tc>
                <w:tcPr>
                  <w:tcW w:w="844" w:type="pct"/>
                  <w:tcBorders>
                    <w:tl2br w:val="nil"/>
                    <w:tr2bl w:val="nil"/>
                  </w:tcBorders>
                  <w:noWrap w:val="0"/>
                  <w:vAlign w:val="center"/>
                </w:tcPr>
                <w:p w14:paraId="23E1EAE9">
                  <w:pPr>
                    <w:keepNext w:val="0"/>
                    <w:keepLines w:val="0"/>
                    <w:pageBreakBefore w:val="0"/>
                    <w:kinsoku/>
                    <w:wordWrap/>
                    <w:overflowPunct/>
                    <w:topLinePunct w:val="0"/>
                    <w:autoSpaceDE/>
                    <w:autoSpaceDN/>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昼间</w:t>
                  </w:r>
                </w:p>
              </w:tc>
            </w:tr>
          </w:tbl>
          <w:p w14:paraId="28EFF0B1">
            <w:pPr>
              <w:spacing w:line="360" w:lineRule="auto"/>
              <w:ind w:firstLine="482" w:firstLineChars="200"/>
              <w:jc w:val="center"/>
              <w:rPr>
                <w:rFonts w:hint="default" w:ascii="Times New Roman" w:hAnsi="Times New Roman" w:cs="Times New Roman"/>
                <w:b/>
                <w:color w:val="auto"/>
                <w:sz w:val="24"/>
                <w:szCs w:val="24"/>
              </w:rPr>
            </w:pPr>
          </w:p>
          <w:p w14:paraId="185BC5D0">
            <w:pPr>
              <w:spacing w:line="360" w:lineRule="auto"/>
              <w:ind w:firstLine="482" w:firstLineChars="200"/>
              <w:jc w:val="center"/>
              <w:rPr>
                <w:rFonts w:hint="default" w:ascii="Times New Roman" w:hAnsi="Times New Roman" w:cs="Times New Roman"/>
                <w:b/>
                <w:color w:val="auto"/>
                <w:sz w:val="24"/>
                <w:szCs w:val="24"/>
              </w:rPr>
            </w:pPr>
          </w:p>
          <w:p w14:paraId="4F6DFC7E">
            <w:pPr>
              <w:spacing w:line="360" w:lineRule="auto"/>
              <w:ind w:firstLine="482" w:firstLineChars="200"/>
              <w:jc w:val="center"/>
              <w:rPr>
                <w:rFonts w:hint="default" w:ascii="Times New Roman" w:hAnsi="Times New Roman" w:cs="Times New Roman"/>
                <w:b/>
                <w:color w:val="auto"/>
                <w:sz w:val="24"/>
                <w:szCs w:val="24"/>
              </w:rPr>
            </w:pPr>
          </w:p>
          <w:p w14:paraId="0F1A01B8">
            <w:pPr>
              <w:spacing w:line="360" w:lineRule="auto"/>
              <w:ind w:firstLine="482" w:firstLineChars="200"/>
              <w:jc w:val="center"/>
              <w:rPr>
                <w:rFonts w:hint="default" w:ascii="Times New Roman" w:hAnsi="Times New Roman" w:cs="Times New Roman"/>
                <w:b/>
                <w:color w:val="auto"/>
                <w:sz w:val="24"/>
                <w:szCs w:val="24"/>
              </w:rPr>
            </w:pPr>
          </w:p>
          <w:p w14:paraId="1C5E959E">
            <w:pPr>
              <w:spacing w:line="360" w:lineRule="auto"/>
              <w:ind w:firstLine="482" w:firstLineChars="200"/>
              <w:jc w:val="center"/>
              <w:rPr>
                <w:rFonts w:hint="default" w:ascii="Times New Roman" w:hAnsi="Times New Roman" w:cs="Times New Roman"/>
                <w:b/>
                <w:color w:val="auto"/>
                <w:sz w:val="24"/>
                <w:szCs w:val="24"/>
              </w:rPr>
            </w:pPr>
          </w:p>
          <w:p w14:paraId="6EECD246">
            <w:pPr>
              <w:spacing w:line="360" w:lineRule="auto"/>
              <w:ind w:firstLine="482" w:firstLineChars="200"/>
              <w:jc w:val="center"/>
              <w:rPr>
                <w:rFonts w:hint="default" w:ascii="Times New Roman" w:hAnsi="Times New Roman" w:cs="Times New Roman"/>
                <w:b/>
                <w:color w:val="auto"/>
                <w:sz w:val="24"/>
                <w:szCs w:val="24"/>
              </w:rPr>
            </w:pPr>
          </w:p>
          <w:p w14:paraId="573CC561">
            <w:pPr>
              <w:spacing w:line="360" w:lineRule="auto"/>
              <w:ind w:firstLine="482" w:firstLineChars="200"/>
              <w:jc w:val="center"/>
              <w:rPr>
                <w:rFonts w:hint="default" w:ascii="Times New Roman" w:hAnsi="Times New Roman" w:cs="Times New Roman"/>
                <w:b/>
                <w:color w:val="auto"/>
                <w:sz w:val="24"/>
                <w:szCs w:val="24"/>
              </w:rPr>
            </w:pPr>
          </w:p>
          <w:p w14:paraId="27DCB27D">
            <w:pPr>
              <w:spacing w:line="360" w:lineRule="auto"/>
              <w:ind w:firstLine="482" w:firstLineChars="20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w:t>
            </w:r>
            <w:r>
              <w:rPr>
                <w:rFonts w:hint="default" w:ascii="Times New Roman" w:hAnsi="Times New Roman" w:cs="Times New Roman"/>
                <w:b/>
                <w:color w:val="auto"/>
                <w:sz w:val="24"/>
                <w:szCs w:val="24"/>
                <w:lang w:val="en-US" w:eastAsia="zh-CN"/>
              </w:rPr>
              <w:t xml:space="preserve">4-20 </w:t>
            </w:r>
            <w:r>
              <w:rPr>
                <w:rFonts w:hint="default" w:ascii="Times New Roman" w:hAnsi="Times New Roman" w:cs="Times New Roman"/>
                <w:b/>
                <w:color w:val="auto"/>
                <w:sz w:val="24"/>
                <w:szCs w:val="24"/>
              </w:rPr>
              <w:t>工业企业噪声源强调查清单（室内声源）</w:t>
            </w:r>
          </w:p>
          <w:tbl>
            <w:tblPr>
              <w:tblStyle w:val="29"/>
              <w:tblW w:w="498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39"/>
              <w:gridCol w:w="1292"/>
              <w:gridCol w:w="717"/>
              <w:gridCol w:w="1295"/>
              <w:gridCol w:w="844"/>
              <w:gridCol w:w="1163"/>
              <w:gridCol w:w="1002"/>
              <w:gridCol w:w="1002"/>
              <w:gridCol w:w="1027"/>
              <w:gridCol w:w="837"/>
              <w:gridCol w:w="804"/>
              <w:gridCol w:w="699"/>
              <w:gridCol w:w="1455"/>
              <w:gridCol w:w="764"/>
              <w:gridCol w:w="774"/>
            </w:tblGrid>
            <w:tr w14:paraId="15E1BE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54" w:hRule="atLeast"/>
                <w:tblHeader/>
                <w:jc w:val="center"/>
              </w:trPr>
              <w:tc>
                <w:tcPr>
                  <w:tcW w:w="839" w:type="dxa"/>
                  <w:vMerge w:val="restart"/>
                  <w:tcBorders>
                    <w:tl2br w:val="nil"/>
                    <w:tr2bl w:val="nil"/>
                  </w:tcBorders>
                  <w:vAlign w:val="center"/>
                </w:tcPr>
                <w:p w14:paraId="65586D79">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1292" w:type="dxa"/>
                  <w:vMerge w:val="restart"/>
                  <w:tcBorders>
                    <w:tl2br w:val="nil"/>
                    <w:tr2bl w:val="nil"/>
                  </w:tcBorders>
                  <w:vAlign w:val="center"/>
                </w:tcPr>
                <w:p w14:paraId="74D889FB">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声源名称</w:t>
                  </w:r>
                </w:p>
              </w:tc>
              <w:tc>
                <w:tcPr>
                  <w:tcW w:w="717" w:type="dxa"/>
                  <w:vMerge w:val="restart"/>
                  <w:tcBorders>
                    <w:tl2br w:val="nil"/>
                    <w:tr2bl w:val="nil"/>
                  </w:tcBorders>
                  <w:vAlign w:val="center"/>
                </w:tcPr>
                <w:p w14:paraId="7F331410">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型号</w:t>
                  </w:r>
                </w:p>
              </w:tc>
              <w:tc>
                <w:tcPr>
                  <w:tcW w:w="2139" w:type="dxa"/>
                  <w:gridSpan w:val="2"/>
                  <w:tcBorders>
                    <w:tl2br w:val="nil"/>
                    <w:tr2bl w:val="nil"/>
                  </w:tcBorders>
                  <w:vAlign w:val="center"/>
                </w:tcPr>
                <w:p w14:paraId="0652574B">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噪声源强（任选一种）</w:t>
                  </w:r>
                </w:p>
              </w:tc>
              <w:tc>
                <w:tcPr>
                  <w:tcW w:w="1163" w:type="dxa"/>
                  <w:vMerge w:val="restart"/>
                  <w:tcBorders>
                    <w:tl2br w:val="nil"/>
                    <w:tr2bl w:val="nil"/>
                  </w:tcBorders>
                  <w:vAlign w:val="center"/>
                </w:tcPr>
                <w:p w14:paraId="06B5F77C">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声源控制措施</w:t>
                  </w:r>
                </w:p>
              </w:tc>
              <w:tc>
                <w:tcPr>
                  <w:tcW w:w="3031" w:type="dxa"/>
                  <w:gridSpan w:val="3"/>
                  <w:tcBorders>
                    <w:tl2br w:val="nil"/>
                    <w:tr2bl w:val="nil"/>
                  </w:tcBorders>
                  <w:vAlign w:val="center"/>
                </w:tcPr>
                <w:p w14:paraId="0C301C57">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空间相对位置</w:t>
                  </w:r>
                </w:p>
              </w:tc>
              <w:tc>
                <w:tcPr>
                  <w:tcW w:w="837" w:type="dxa"/>
                  <w:vMerge w:val="restart"/>
                  <w:tcBorders>
                    <w:tl2br w:val="nil"/>
                    <w:tr2bl w:val="nil"/>
                  </w:tcBorders>
                  <w:vAlign w:val="center"/>
                </w:tcPr>
                <w:p w14:paraId="2D1B8200">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距室内边界距离</w:t>
                  </w:r>
                </w:p>
              </w:tc>
              <w:tc>
                <w:tcPr>
                  <w:tcW w:w="804" w:type="dxa"/>
                  <w:vMerge w:val="restart"/>
                  <w:tcBorders>
                    <w:tl2br w:val="nil"/>
                    <w:tr2bl w:val="nil"/>
                  </w:tcBorders>
                  <w:vAlign w:val="center"/>
                </w:tcPr>
                <w:p w14:paraId="7E1CA2A1">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室内边界声级/dB(A)</w:t>
                  </w:r>
                </w:p>
              </w:tc>
              <w:tc>
                <w:tcPr>
                  <w:tcW w:w="699" w:type="dxa"/>
                  <w:vMerge w:val="restart"/>
                  <w:tcBorders>
                    <w:tl2br w:val="nil"/>
                    <w:tr2bl w:val="nil"/>
                  </w:tcBorders>
                  <w:vAlign w:val="center"/>
                </w:tcPr>
                <w:p w14:paraId="4A993F60">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运行时段</w:t>
                  </w:r>
                </w:p>
              </w:tc>
              <w:tc>
                <w:tcPr>
                  <w:tcW w:w="1455" w:type="dxa"/>
                  <w:vMerge w:val="restart"/>
                  <w:tcBorders>
                    <w:tl2br w:val="nil"/>
                    <w:tr2bl w:val="nil"/>
                  </w:tcBorders>
                  <w:vAlign w:val="center"/>
                </w:tcPr>
                <w:p w14:paraId="5B9F3933">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插入损失/dB（A）</w:t>
                  </w:r>
                </w:p>
              </w:tc>
              <w:tc>
                <w:tcPr>
                  <w:tcW w:w="1538" w:type="dxa"/>
                  <w:gridSpan w:val="2"/>
                  <w:tcBorders>
                    <w:tl2br w:val="nil"/>
                    <w:tr2bl w:val="nil"/>
                  </w:tcBorders>
                  <w:vAlign w:val="center"/>
                </w:tcPr>
                <w:p w14:paraId="79FC1ABB">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建筑物外噪声</w:t>
                  </w:r>
                </w:p>
              </w:tc>
            </w:tr>
            <w:tr w14:paraId="3A3333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507" w:hRule="atLeast"/>
                <w:tblHeader/>
                <w:jc w:val="center"/>
              </w:trPr>
              <w:tc>
                <w:tcPr>
                  <w:tcW w:w="839" w:type="dxa"/>
                  <w:vMerge w:val="continue"/>
                  <w:tcBorders>
                    <w:tl2br w:val="nil"/>
                    <w:tr2bl w:val="nil"/>
                  </w:tcBorders>
                  <w:vAlign w:val="center"/>
                </w:tcPr>
                <w:p w14:paraId="22C8CEAE">
                  <w:pPr>
                    <w:jc w:val="center"/>
                    <w:rPr>
                      <w:rFonts w:hint="default" w:ascii="Times New Roman" w:hAnsi="Times New Roman" w:cs="Times New Roman"/>
                      <w:color w:val="auto"/>
                      <w:szCs w:val="21"/>
                    </w:rPr>
                  </w:pPr>
                </w:p>
              </w:tc>
              <w:tc>
                <w:tcPr>
                  <w:tcW w:w="1292" w:type="dxa"/>
                  <w:vMerge w:val="continue"/>
                  <w:tcBorders>
                    <w:tl2br w:val="nil"/>
                    <w:tr2bl w:val="nil"/>
                  </w:tcBorders>
                  <w:vAlign w:val="center"/>
                </w:tcPr>
                <w:p w14:paraId="560FC615">
                  <w:pPr>
                    <w:jc w:val="center"/>
                    <w:rPr>
                      <w:rFonts w:hint="default" w:ascii="Times New Roman" w:hAnsi="Times New Roman" w:cs="Times New Roman"/>
                      <w:color w:val="auto"/>
                      <w:szCs w:val="21"/>
                    </w:rPr>
                  </w:pPr>
                </w:p>
              </w:tc>
              <w:tc>
                <w:tcPr>
                  <w:tcW w:w="717" w:type="dxa"/>
                  <w:vMerge w:val="continue"/>
                  <w:tcBorders>
                    <w:tl2br w:val="nil"/>
                    <w:tr2bl w:val="nil"/>
                  </w:tcBorders>
                  <w:vAlign w:val="center"/>
                </w:tcPr>
                <w:p w14:paraId="4BBE4923">
                  <w:pPr>
                    <w:jc w:val="center"/>
                    <w:rPr>
                      <w:rFonts w:hint="default" w:ascii="Times New Roman" w:hAnsi="Times New Roman" w:cs="Times New Roman"/>
                      <w:color w:val="auto"/>
                      <w:szCs w:val="21"/>
                    </w:rPr>
                  </w:pPr>
                </w:p>
              </w:tc>
              <w:tc>
                <w:tcPr>
                  <w:tcW w:w="1295" w:type="dxa"/>
                  <w:tcBorders>
                    <w:tl2br w:val="nil"/>
                    <w:tr2bl w:val="nil"/>
                  </w:tcBorders>
                  <w:vAlign w:val="center"/>
                </w:tcPr>
                <w:p w14:paraId="7B62BC2D">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（声压级/距声源距离）/（dB（A）/m）</w:t>
                  </w:r>
                </w:p>
              </w:tc>
              <w:tc>
                <w:tcPr>
                  <w:tcW w:w="844" w:type="dxa"/>
                  <w:tcBorders>
                    <w:tl2br w:val="nil"/>
                    <w:tr2bl w:val="nil"/>
                  </w:tcBorders>
                  <w:vAlign w:val="center"/>
                </w:tcPr>
                <w:p w14:paraId="4ACB7C36">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声功率级/dB（A）</w:t>
                  </w:r>
                </w:p>
              </w:tc>
              <w:tc>
                <w:tcPr>
                  <w:tcW w:w="1163" w:type="dxa"/>
                  <w:vMerge w:val="continue"/>
                  <w:tcBorders>
                    <w:tl2br w:val="nil"/>
                    <w:tr2bl w:val="nil"/>
                  </w:tcBorders>
                  <w:vAlign w:val="center"/>
                </w:tcPr>
                <w:p w14:paraId="4B79AA51">
                  <w:pPr>
                    <w:jc w:val="center"/>
                    <w:rPr>
                      <w:rFonts w:hint="default" w:ascii="Times New Roman" w:hAnsi="Times New Roman" w:cs="Times New Roman"/>
                      <w:b/>
                      <w:bCs/>
                      <w:color w:val="auto"/>
                      <w:szCs w:val="21"/>
                    </w:rPr>
                  </w:pPr>
                </w:p>
              </w:tc>
              <w:tc>
                <w:tcPr>
                  <w:tcW w:w="1002" w:type="dxa"/>
                  <w:tcBorders>
                    <w:tl2br w:val="nil"/>
                    <w:tr2bl w:val="nil"/>
                  </w:tcBorders>
                  <w:vAlign w:val="center"/>
                </w:tcPr>
                <w:p w14:paraId="39CA5D50">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X</w:t>
                  </w:r>
                </w:p>
              </w:tc>
              <w:tc>
                <w:tcPr>
                  <w:tcW w:w="1002" w:type="dxa"/>
                  <w:tcBorders>
                    <w:tl2br w:val="nil"/>
                    <w:tr2bl w:val="nil"/>
                  </w:tcBorders>
                  <w:vAlign w:val="center"/>
                </w:tcPr>
                <w:p w14:paraId="292032C3">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Y</w:t>
                  </w:r>
                </w:p>
              </w:tc>
              <w:tc>
                <w:tcPr>
                  <w:tcW w:w="1027" w:type="dxa"/>
                  <w:tcBorders>
                    <w:tl2br w:val="nil"/>
                    <w:tr2bl w:val="nil"/>
                  </w:tcBorders>
                  <w:vAlign w:val="center"/>
                </w:tcPr>
                <w:p w14:paraId="17D38BA8">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Z</w:t>
                  </w:r>
                </w:p>
              </w:tc>
              <w:tc>
                <w:tcPr>
                  <w:tcW w:w="837" w:type="dxa"/>
                  <w:vMerge w:val="continue"/>
                  <w:tcBorders>
                    <w:tl2br w:val="nil"/>
                    <w:tr2bl w:val="nil"/>
                  </w:tcBorders>
                  <w:vAlign w:val="center"/>
                </w:tcPr>
                <w:p w14:paraId="593C5E7D">
                  <w:pPr>
                    <w:jc w:val="center"/>
                    <w:rPr>
                      <w:rFonts w:hint="default" w:ascii="Times New Roman" w:hAnsi="Times New Roman" w:cs="Times New Roman"/>
                      <w:b/>
                      <w:bCs/>
                      <w:color w:val="auto"/>
                      <w:szCs w:val="21"/>
                    </w:rPr>
                  </w:pPr>
                </w:p>
              </w:tc>
              <w:tc>
                <w:tcPr>
                  <w:tcW w:w="804" w:type="dxa"/>
                  <w:vMerge w:val="continue"/>
                  <w:tcBorders>
                    <w:tl2br w:val="nil"/>
                    <w:tr2bl w:val="nil"/>
                  </w:tcBorders>
                  <w:vAlign w:val="center"/>
                </w:tcPr>
                <w:p w14:paraId="70B108B0">
                  <w:pPr>
                    <w:jc w:val="center"/>
                    <w:rPr>
                      <w:rFonts w:hint="default" w:ascii="Times New Roman" w:hAnsi="Times New Roman" w:cs="Times New Roman"/>
                      <w:b/>
                      <w:bCs/>
                      <w:color w:val="auto"/>
                      <w:szCs w:val="21"/>
                    </w:rPr>
                  </w:pPr>
                </w:p>
              </w:tc>
              <w:tc>
                <w:tcPr>
                  <w:tcW w:w="699" w:type="dxa"/>
                  <w:vMerge w:val="continue"/>
                  <w:tcBorders>
                    <w:tl2br w:val="nil"/>
                    <w:tr2bl w:val="nil"/>
                  </w:tcBorders>
                  <w:vAlign w:val="center"/>
                </w:tcPr>
                <w:p w14:paraId="11CD5D5C">
                  <w:pPr>
                    <w:jc w:val="center"/>
                    <w:rPr>
                      <w:rFonts w:hint="default" w:ascii="Times New Roman" w:hAnsi="Times New Roman" w:cs="Times New Roman"/>
                      <w:b/>
                      <w:bCs/>
                      <w:color w:val="auto"/>
                      <w:szCs w:val="21"/>
                    </w:rPr>
                  </w:pPr>
                </w:p>
              </w:tc>
              <w:tc>
                <w:tcPr>
                  <w:tcW w:w="1455" w:type="dxa"/>
                  <w:vMerge w:val="continue"/>
                  <w:tcBorders>
                    <w:tl2br w:val="nil"/>
                    <w:tr2bl w:val="nil"/>
                  </w:tcBorders>
                  <w:vAlign w:val="center"/>
                </w:tcPr>
                <w:p w14:paraId="165FA5DB">
                  <w:pPr>
                    <w:jc w:val="center"/>
                    <w:rPr>
                      <w:rFonts w:hint="default" w:ascii="Times New Roman" w:hAnsi="Times New Roman" w:cs="Times New Roman"/>
                      <w:b/>
                      <w:bCs/>
                      <w:color w:val="auto"/>
                      <w:szCs w:val="21"/>
                    </w:rPr>
                  </w:pPr>
                </w:p>
              </w:tc>
              <w:tc>
                <w:tcPr>
                  <w:tcW w:w="764" w:type="dxa"/>
                  <w:tcBorders>
                    <w:tl2br w:val="nil"/>
                    <w:tr2bl w:val="nil"/>
                  </w:tcBorders>
                  <w:vAlign w:val="center"/>
                </w:tcPr>
                <w:p w14:paraId="5ED180B8">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声压级</w:t>
                  </w:r>
                </w:p>
                <w:p w14:paraId="267324B7">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/dB(A)</w:t>
                  </w:r>
                </w:p>
              </w:tc>
              <w:tc>
                <w:tcPr>
                  <w:tcW w:w="774" w:type="dxa"/>
                  <w:tcBorders>
                    <w:tl2br w:val="nil"/>
                    <w:tr2bl w:val="nil"/>
                  </w:tcBorders>
                  <w:vAlign w:val="center"/>
                </w:tcPr>
                <w:p w14:paraId="27E19256">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建筑</w:t>
                  </w:r>
                </w:p>
                <w:p w14:paraId="6FD777F2">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物外</w:t>
                  </w:r>
                </w:p>
                <w:p w14:paraId="4D5DEBDD">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距离</w:t>
                  </w:r>
                </w:p>
              </w:tc>
            </w:tr>
            <w:tr w14:paraId="08D62B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54" w:hRule="atLeast"/>
                <w:jc w:val="center"/>
              </w:trPr>
              <w:tc>
                <w:tcPr>
                  <w:tcW w:w="839" w:type="dxa"/>
                  <w:tcBorders>
                    <w:tl2br w:val="nil"/>
                    <w:tr2bl w:val="nil"/>
                  </w:tcBorders>
                  <w:vAlign w:val="center"/>
                </w:tcPr>
                <w:p w14:paraId="27827C1C">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292" w:type="dxa"/>
                  <w:tcBorders>
                    <w:tl2br w:val="nil"/>
                    <w:tr2bl w:val="nil"/>
                  </w:tcBorders>
                  <w:vAlign w:val="center"/>
                </w:tcPr>
                <w:p w14:paraId="529D1E99">
                  <w:pPr>
                    <w:jc w:val="center"/>
                    <w:textAlignment w:val="baseline"/>
                    <w:rPr>
                      <w:rFonts w:hint="default" w:ascii="Times New Roman" w:hAnsi="Times New Roman" w:cs="Times New Roman"/>
                      <w:color w:val="auto"/>
                      <w:szCs w:val="21"/>
                    </w:rPr>
                  </w:pPr>
                  <w:r>
                    <w:rPr>
                      <w:rFonts w:hint="default" w:ascii="Times New Roman" w:hAnsi="Times New Roman" w:eastAsia="宋体" w:cs="Times New Roman"/>
                      <w:b w:val="0"/>
                      <w:i w:val="0"/>
                      <w:caps w:val="0"/>
                      <w:color w:val="auto"/>
                      <w:spacing w:val="0"/>
                      <w:w w:val="100"/>
                      <w:kern w:val="2"/>
                      <w:sz w:val="21"/>
                      <w:szCs w:val="21"/>
                      <w:highlight w:val="none"/>
                      <w:lang w:val="en-US" w:eastAsia="zh-CN" w:bidi="ar-SA"/>
                    </w:rPr>
                    <w:t>搅拌缸</w:t>
                  </w:r>
                </w:p>
              </w:tc>
              <w:tc>
                <w:tcPr>
                  <w:tcW w:w="717" w:type="dxa"/>
                  <w:tcBorders>
                    <w:tl2br w:val="nil"/>
                    <w:tr2bl w:val="nil"/>
                  </w:tcBorders>
                  <w:vAlign w:val="center"/>
                </w:tcPr>
                <w:p w14:paraId="247709F5">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95" w:type="dxa"/>
                  <w:tcBorders>
                    <w:tl2br w:val="nil"/>
                    <w:tr2bl w:val="nil"/>
                  </w:tcBorders>
                  <w:vAlign w:val="center"/>
                </w:tcPr>
                <w:p w14:paraId="53711A44">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44" w:type="dxa"/>
                  <w:tcBorders>
                    <w:tl2br w:val="nil"/>
                    <w:tr2bl w:val="nil"/>
                  </w:tcBorders>
                  <w:vAlign w:val="center"/>
                </w:tcPr>
                <w:p w14:paraId="6AFC6E66">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90</w:t>
                  </w:r>
                </w:p>
              </w:tc>
              <w:tc>
                <w:tcPr>
                  <w:tcW w:w="1163" w:type="dxa"/>
                  <w:vMerge w:val="restart"/>
                  <w:tcBorders>
                    <w:tl2br w:val="nil"/>
                    <w:tr2bl w:val="nil"/>
                  </w:tcBorders>
                  <w:vAlign w:val="center"/>
                </w:tcPr>
                <w:p w14:paraId="4463DC95">
                  <w:pPr>
                    <w:jc w:val="center"/>
                    <w:rPr>
                      <w:rFonts w:hint="default" w:ascii="Times New Roman" w:hAnsi="Times New Roman" w:cs="Times New Roman"/>
                      <w:color w:val="auto"/>
                      <w:szCs w:val="21"/>
                    </w:rPr>
                  </w:pPr>
                  <w:r>
                    <w:rPr>
                      <w:rFonts w:hint="default" w:ascii="Times New Roman" w:hAnsi="Times New Roman" w:cs="Times New Roman"/>
                      <w:color w:val="auto"/>
                      <w:szCs w:val="21"/>
                    </w:rPr>
                    <w:t>厂房隔声、选用低噪声设备、基座减震，合理布置声源位置、加强设备维护保养</w:t>
                  </w:r>
                </w:p>
              </w:tc>
              <w:tc>
                <w:tcPr>
                  <w:tcW w:w="1002" w:type="dxa"/>
                  <w:tcBorders>
                    <w:tl2br w:val="nil"/>
                    <w:tr2bl w:val="nil"/>
                  </w:tcBorders>
                  <w:vAlign w:val="center"/>
                </w:tcPr>
                <w:p w14:paraId="16BD85DC">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18"/>
                      <w:szCs w:val="18"/>
                      <w:u w:val="none"/>
                      <w:lang w:val="en-US" w:eastAsia="zh-CN" w:bidi="ar"/>
                    </w:rPr>
                    <w:t>14.72</w:t>
                  </w:r>
                </w:p>
              </w:tc>
              <w:tc>
                <w:tcPr>
                  <w:tcW w:w="1002" w:type="dxa"/>
                  <w:tcBorders>
                    <w:tl2br w:val="nil"/>
                    <w:tr2bl w:val="nil"/>
                  </w:tcBorders>
                  <w:vAlign w:val="center"/>
                </w:tcPr>
                <w:p w14:paraId="60A7F177">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18"/>
                      <w:szCs w:val="18"/>
                      <w:u w:val="none"/>
                      <w:lang w:val="en-US" w:eastAsia="zh-CN" w:bidi="ar"/>
                    </w:rPr>
                    <w:t>-65.83</w:t>
                  </w:r>
                </w:p>
              </w:tc>
              <w:tc>
                <w:tcPr>
                  <w:tcW w:w="1027" w:type="dxa"/>
                  <w:tcBorders>
                    <w:tl2br w:val="nil"/>
                    <w:tr2bl w:val="nil"/>
                  </w:tcBorders>
                  <w:vAlign w:val="center"/>
                </w:tcPr>
                <w:p w14:paraId="3C14A709">
                  <w:pPr>
                    <w:keepNext w:val="0"/>
                    <w:keepLines w:val="0"/>
                    <w:widowControl/>
                    <w:suppressLineNumbers w:val="0"/>
                    <w:jc w:val="center"/>
                    <w:textAlignment w:val="center"/>
                    <w:rPr>
                      <w:rFonts w:hint="default" w:ascii="Times New Roman" w:hAnsi="Times New Roman" w:eastAsia="宋体" w:cs="Times New Roman"/>
                      <w:color w:val="auto"/>
                      <w:lang w:eastAsia="zh-CN"/>
                    </w:rPr>
                  </w:pPr>
                  <w:r>
                    <w:rPr>
                      <w:rFonts w:hint="default" w:ascii="Times New Roman" w:hAnsi="Times New Roman" w:eastAsia="宋体" w:cs="Times New Roman"/>
                      <w:i w:val="0"/>
                      <w:iCs w:val="0"/>
                      <w:color w:val="auto"/>
                      <w:kern w:val="0"/>
                      <w:sz w:val="18"/>
                      <w:szCs w:val="18"/>
                      <w:u w:val="none"/>
                      <w:lang w:val="en-US" w:eastAsia="zh-CN" w:bidi="ar"/>
                    </w:rPr>
                    <w:t>5</w:t>
                  </w:r>
                </w:p>
              </w:tc>
              <w:tc>
                <w:tcPr>
                  <w:tcW w:w="837" w:type="dxa"/>
                  <w:tcBorders>
                    <w:tl2br w:val="nil"/>
                    <w:tr2bl w:val="nil"/>
                  </w:tcBorders>
                  <w:vAlign w:val="center"/>
                </w:tcPr>
                <w:p w14:paraId="663732BA">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18"/>
                      <w:szCs w:val="18"/>
                      <w:u w:val="none"/>
                      <w:lang w:val="en-US" w:eastAsia="zh-CN" w:bidi="ar"/>
                    </w:rPr>
                    <w:t>3.77</w:t>
                  </w:r>
                </w:p>
              </w:tc>
              <w:tc>
                <w:tcPr>
                  <w:tcW w:w="804" w:type="dxa"/>
                  <w:tcBorders>
                    <w:tl2br w:val="nil"/>
                    <w:tr2bl w:val="nil"/>
                  </w:tcBorders>
                  <w:vAlign w:val="center"/>
                </w:tcPr>
                <w:p w14:paraId="76F5F1B4">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18"/>
                      <w:szCs w:val="18"/>
                      <w:u w:val="none"/>
                      <w:lang w:val="en-US" w:eastAsia="zh-CN" w:bidi="ar"/>
                    </w:rPr>
                    <w:t>85.73</w:t>
                  </w:r>
                </w:p>
              </w:tc>
              <w:tc>
                <w:tcPr>
                  <w:tcW w:w="699" w:type="dxa"/>
                  <w:tcBorders>
                    <w:tl2br w:val="nil"/>
                    <w:tr2bl w:val="nil"/>
                  </w:tcBorders>
                  <w:vAlign w:val="center"/>
                </w:tcPr>
                <w:p w14:paraId="28309E0A">
                  <w:pPr>
                    <w:jc w:val="center"/>
                    <w:rPr>
                      <w:rFonts w:hint="default" w:ascii="Times New Roman" w:hAnsi="Times New Roman" w:cs="Times New Roman"/>
                      <w:color w:val="auto"/>
                    </w:rPr>
                  </w:pPr>
                  <w:r>
                    <w:rPr>
                      <w:rFonts w:hint="default" w:ascii="Times New Roman" w:hAnsi="Times New Roman" w:cs="Times New Roman"/>
                      <w:color w:val="auto"/>
                    </w:rPr>
                    <w:t>昼间</w:t>
                  </w:r>
                </w:p>
              </w:tc>
              <w:tc>
                <w:tcPr>
                  <w:tcW w:w="1455" w:type="dxa"/>
                  <w:tcBorders>
                    <w:tl2br w:val="nil"/>
                    <w:tr2bl w:val="nil"/>
                  </w:tcBorders>
                  <w:vAlign w:val="center"/>
                </w:tcPr>
                <w:p w14:paraId="119A66AD">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20</w:t>
                  </w:r>
                </w:p>
              </w:tc>
              <w:tc>
                <w:tcPr>
                  <w:tcW w:w="764" w:type="dxa"/>
                  <w:tcBorders>
                    <w:tl2br w:val="nil"/>
                    <w:tr2bl w:val="nil"/>
                  </w:tcBorders>
                  <w:vAlign w:val="center"/>
                </w:tcPr>
                <w:p w14:paraId="59D0D7BC">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59.73</w:t>
                  </w:r>
                </w:p>
              </w:tc>
              <w:tc>
                <w:tcPr>
                  <w:tcW w:w="774" w:type="dxa"/>
                  <w:tcBorders>
                    <w:tl2br w:val="nil"/>
                    <w:tr2bl w:val="nil"/>
                  </w:tcBorders>
                  <w:vAlign w:val="center"/>
                </w:tcPr>
                <w:p w14:paraId="5E1DA051">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r>
            <w:tr w14:paraId="5DC1E1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54" w:hRule="atLeast"/>
                <w:jc w:val="center"/>
              </w:trPr>
              <w:tc>
                <w:tcPr>
                  <w:tcW w:w="839" w:type="dxa"/>
                  <w:tcBorders>
                    <w:tl2br w:val="nil"/>
                    <w:tr2bl w:val="nil"/>
                  </w:tcBorders>
                  <w:vAlign w:val="center"/>
                </w:tcPr>
                <w:p w14:paraId="3CA2D78F">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292" w:type="dxa"/>
                  <w:tcBorders>
                    <w:tl2br w:val="nil"/>
                    <w:tr2bl w:val="nil"/>
                  </w:tcBorders>
                  <w:vAlign w:val="center"/>
                </w:tcPr>
                <w:p w14:paraId="72A80CA7">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振动筛</w:t>
                  </w:r>
                </w:p>
              </w:tc>
              <w:tc>
                <w:tcPr>
                  <w:tcW w:w="717" w:type="dxa"/>
                  <w:tcBorders>
                    <w:tl2br w:val="nil"/>
                    <w:tr2bl w:val="nil"/>
                  </w:tcBorders>
                  <w:vAlign w:val="center"/>
                </w:tcPr>
                <w:p w14:paraId="3A28C8B7">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95" w:type="dxa"/>
                  <w:tcBorders>
                    <w:tl2br w:val="nil"/>
                    <w:tr2bl w:val="nil"/>
                  </w:tcBorders>
                  <w:vAlign w:val="center"/>
                </w:tcPr>
                <w:p w14:paraId="10AEA809">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44" w:type="dxa"/>
                  <w:tcBorders>
                    <w:tl2br w:val="nil"/>
                    <w:tr2bl w:val="nil"/>
                  </w:tcBorders>
                  <w:vAlign w:val="center"/>
                </w:tcPr>
                <w:p w14:paraId="085257D9">
                  <w:pPr>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1163" w:type="dxa"/>
                  <w:vMerge w:val="continue"/>
                  <w:tcBorders>
                    <w:tl2br w:val="nil"/>
                    <w:tr2bl w:val="nil"/>
                  </w:tcBorders>
                  <w:vAlign w:val="center"/>
                </w:tcPr>
                <w:p w14:paraId="6DFCBF02">
                  <w:pPr>
                    <w:jc w:val="center"/>
                    <w:rPr>
                      <w:rFonts w:hint="default" w:ascii="Times New Roman" w:hAnsi="Times New Roman" w:cs="Times New Roman"/>
                      <w:color w:val="auto"/>
                      <w:szCs w:val="21"/>
                    </w:rPr>
                  </w:pPr>
                </w:p>
              </w:tc>
              <w:tc>
                <w:tcPr>
                  <w:tcW w:w="1002" w:type="dxa"/>
                  <w:tcBorders>
                    <w:tl2br w:val="nil"/>
                    <w:tr2bl w:val="nil"/>
                  </w:tcBorders>
                  <w:vAlign w:val="center"/>
                </w:tcPr>
                <w:p w14:paraId="042DFE2F">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18"/>
                      <w:szCs w:val="18"/>
                      <w:u w:val="none"/>
                      <w:lang w:val="en-US" w:eastAsia="zh-CN" w:bidi="ar"/>
                    </w:rPr>
                    <w:t>15.19</w:t>
                  </w:r>
                </w:p>
              </w:tc>
              <w:tc>
                <w:tcPr>
                  <w:tcW w:w="1002" w:type="dxa"/>
                  <w:tcBorders>
                    <w:tl2br w:val="nil"/>
                    <w:tr2bl w:val="nil"/>
                  </w:tcBorders>
                  <w:vAlign w:val="center"/>
                </w:tcPr>
                <w:p w14:paraId="0558981E">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18"/>
                      <w:szCs w:val="18"/>
                      <w:u w:val="none"/>
                      <w:lang w:val="en-US" w:eastAsia="zh-CN" w:bidi="ar"/>
                    </w:rPr>
                    <w:t>-70.93</w:t>
                  </w:r>
                </w:p>
              </w:tc>
              <w:tc>
                <w:tcPr>
                  <w:tcW w:w="1027" w:type="dxa"/>
                  <w:tcBorders>
                    <w:tl2br w:val="nil"/>
                    <w:tr2bl w:val="nil"/>
                  </w:tcBorders>
                  <w:vAlign w:val="center"/>
                </w:tcPr>
                <w:p w14:paraId="7D8BF5ED">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18"/>
                      <w:szCs w:val="18"/>
                      <w:u w:val="none"/>
                      <w:lang w:val="en-US" w:eastAsia="zh-CN" w:bidi="ar"/>
                    </w:rPr>
                    <w:t>4</w:t>
                  </w:r>
                </w:p>
              </w:tc>
              <w:tc>
                <w:tcPr>
                  <w:tcW w:w="837" w:type="dxa"/>
                  <w:tcBorders>
                    <w:tl2br w:val="nil"/>
                    <w:tr2bl w:val="nil"/>
                  </w:tcBorders>
                  <w:vAlign w:val="center"/>
                </w:tcPr>
                <w:p w14:paraId="62AE3596">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18"/>
                      <w:szCs w:val="18"/>
                      <w:u w:val="none"/>
                      <w:lang w:val="en-US" w:eastAsia="zh-CN" w:bidi="ar"/>
                    </w:rPr>
                    <w:t>0.50</w:t>
                  </w:r>
                </w:p>
              </w:tc>
              <w:tc>
                <w:tcPr>
                  <w:tcW w:w="804" w:type="dxa"/>
                  <w:tcBorders>
                    <w:tl2br w:val="nil"/>
                    <w:tr2bl w:val="nil"/>
                  </w:tcBorders>
                  <w:vAlign w:val="center"/>
                </w:tcPr>
                <w:p w14:paraId="6F0600A2">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18"/>
                      <w:szCs w:val="18"/>
                      <w:u w:val="none"/>
                      <w:lang w:val="en-US" w:eastAsia="zh-CN" w:bidi="ar"/>
                    </w:rPr>
                    <w:t>83.37</w:t>
                  </w:r>
                </w:p>
              </w:tc>
              <w:tc>
                <w:tcPr>
                  <w:tcW w:w="699" w:type="dxa"/>
                  <w:tcBorders>
                    <w:tl2br w:val="nil"/>
                    <w:tr2bl w:val="nil"/>
                  </w:tcBorders>
                  <w:vAlign w:val="center"/>
                </w:tcPr>
                <w:p w14:paraId="15F561D1">
                  <w:pPr>
                    <w:jc w:val="center"/>
                    <w:rPr>
                      <w:rFonts w:hint="default" w:ascii="Times New Roman" w:hAnsi="Times New Roman" w:cs="Times New Roman"/>
                      <w:color w:val="auto"/>
                    </w:rPr>
                  </w:pPr>
                  <w:r>
                    <w:rPr>
                      <w:rFonts w:hint="default" w:ascii="Times New Roman" w:hAnsi="Times New Roman" w:cs="Times New Roman"/>
                      <w:color w:val="auto"/>
                    </w:rPr>
                    <w:t>昼间</w:t>
                  </w:r>
                </w:p>
              </w:tc>
              <w:tc>
                <w:tcPr>
                  <w:tcW w:w="1455" w:type="dxa"/>
                  <w:tcBorders>
                    <w:tl2br w:val="nil"/>
                    <w:tr2bl w:val="nil"/>
                  </w:tcBorders>
                  <w:vAlign w:val="center"/>
                </w:tcPr>
                <w:p w14:paraId="4CAAA1FD">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20</w:t>
                  </w:r>
                </w:p>
              </w:tc>
              <w:tc>
                <w:tcPr>
                  <w:tcW w:w="764" w:type="dxa"/>
                  <w:tcBorders>
                    <w:tl2br w:val="nil"/>
                    <w:tr2bl w:val="nil"/>
                  </w:tcBorders>
                  <w:vAlign w:val="center"/>
                </w:tcPr>
                <w:p w14:paraId="0E8C395E">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18"/>
                      <w:szCs w:val="18"/>
                      <w:u w:val="none"/>
                      <w:lang w:val="en-US" w:eastAsia="zh-CN" w:bidi="ar"/>
                    </w:rPr>
                    <w:t>57.37</w:t>
                  </w:r>
                </w:p>
              </w:tc>
              <w:tc>
                <w:tcPr>
                  <w:tcW w:w="774" w:type="dxa"/>
                  <w:tcBorders>
                    <w:tl2br w:val="nil"/>
                    <w:tr2bl w:val="nil"/>
                  </w:tcBorders>
                  <w:vAlign w:val="center"/>
                </w:tcPr>
                <w:p w14:paraId="12BFF3C9">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r>
            <w:tr w14:paraId="60F0D0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343" w:hRule="atLeast"/>
                <w:jc w:val="center"/>
              </w:trPr>
              <w:tc>
                <w:tcPr>
                  <w:tcW w:w="839" w:type="dxa"/>
                  <w:tcBorders>
                    <w:tl2br w:val="nil"/>
                    <w:tr2bl w:val="nil"/>
                  </w:tcBorders>
                  <w:vAlign w:val="center"/>
                </w:tcPr>
                <w:p w14:paraId="3F586036">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292" w:type="dxa"/>
                  <w:tcBorders>
                    <w:tl2br w:val="nil"/>
                    <w:tr2bl w:val="nil"/>
                  </w:tcBorders>
                  <w:vAlign w:val="center"/>
                </w:tcPr>
                <w:p w14:paraId="48D8B7B6">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空压机</w:t>
                  </w:r>
                </w:p>
              </w:tc>
              <w:tc>
                <w:tcPr>
                  <w:tcW w:w="717" w:type="dxa"/>
                  <w:tcBorders>
                    <w:tl2br w:val="nil"/>
                    <w:tr2bl w:val="nil"/>
                  </w:tcBorders>
                  <w:vAlign w:val="center"/>
                </w:tcPr>
                <w:p w14:paraId="3BE84824">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95" w:type="dxa"/>
                  <w:tcBorders>
                    <w:tl2br w:val="nil"/>
                    <w:tr2bl w:val="nil"/>
                  </w:tcBorders>
                  <w:vAlign w:val="center"/>
                </w:tcPr>
                <w:p w14:paraId="6436628D">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44" w:type="dxa"/>
                  <w:tcBorders>
                    <w:tl2br w:val="nil"/>
                    <w:tr2bl w:val="nil"/>
                  </w:tcBorders>
                  <w:vAlign w:val="center"/>
                </w:tcPr>
                <w:p w14:paraId="3F81338F">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80</w:t>
                  </w:r>
                </w:p>
              </w:tc>
              <w:tc>
                <w:tcPr>
                  <w:tcW w:w="1163" w:type="dxa"/>
                  <w:vMerge w:val="continue"/>
                  <w:tcBorders>
                    <w:tl2br w:val="nil"/>
                    <w:tr2bl w:val="nil"/>
                  </w:tcBorders>
                  <w:vAlign w:val="center"/>
                </w:tcPr>
                <w:p w14:paraId="07C14711">
                  <w:pPr>
                    <w:jc w:val="center"/>
                    <w:rPr>
                      <w:rFonts w:hint="default" w:ascii="Times New Roman" w:hAnsi="Times New Roman" w:cs="Times New Roman"/>
                      <w:color w:val="auto"/>
                      <w:szCs w:val="21"/>
                    </w:rPr>
                  </w:pPr>
                </w:p>
              </w:tc>
              <w:tc>
                <w:tcPr>
                  <w:tcW w:w="1002" w:type="dxa"/>
                  <w:tcBorders>
                    <w:tl2br w:val="nil"/>
                    <w:tr2bl w:val="nil"/>
                  </w:tcBorders>
                  <w:vAlign w:val="center"/>
                </w:tcPr>
                <w:p w14:paraId="38E0E914">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18"/>
                      <w:szCs w:val="18"/>
                      <w:u w:val="none"/>
                      <w:lang w:val="en-US" w:eastAsia="zh-CN" w:bidi="ar"/>
                    </w:rPr>
                    <w:t>8.79</w:t>
                  </w:r>
                </w:p>
              </w:tc>
              <w:tc>
                <w:tcPr>
                  <w:tcW w:w="1002" w:type="dxa"/>
                  <w:tcBorders>
                    <w:tl2br w:val="nil"/>
                    <w:tr2bl w:val="nil"/>
                  </w:tcBorders>
                  <w:vAlign w:val="center"/>
                </w:tcPr>
                <w:p w14:paraId="71B47A3E">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18"/>
                      <w:szCs w:val="18"/>
                      <w:u w:val="none"/>
                      <w:lang w:val="en-US" w:eastAsia="zh-CN" w:bidi="ar"/>
                    </w:rPr>
                    <w:t>-73.78</w:t>
                  </w:r>
                </w:p>
              </w:tc>
              <w:tc>
                <w:tcPr>
                  <w:tcW w:w="1027" w:type="dxa"/>
                  <w:tcBorders>
                    <w:tl2br w:val="nil"/>
                    <w:tr2bl w:val="nil"/>
                  </w:tcBorders>
                  <w:vAlign w:val="center"/>
                </w:tcPr>
                <w:p w14:paraId="3A86A52F">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837" w:type="dxa"/>
                  <w:tcBorders>
                    <w:tl2br w:val="nil"/>
                    <w:tr2bl w:val="nil"/>
                  </w:tcBorders>
                  <w:vAlign w:val="center"/>
                </w:tcPr>
                <w:p w14:paraId="597892B2">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18"/>
                      <w:szCs w:val="18"/>
                      <w:u w:val="none"/>
                      <w:lang w:val="en-US" w:eastAsia="zh-CN" w:bidi="ar"/>
                    </w:rPr>
                    <w:t>2.41</w:t>
                  </w:r>
                </w:p>
              </w:tc>
              <w:tc>
                <w:tcPr>
                  <w:tcW w:w="804" w:type="dxa"/>
                  <w:tcBorders>
                    <w:tl2br w:val="nil"/>
                    <w:tr2bl w:val="nil"/>
                  </w:tcBorders>
                  <w:vAlign w:val="center"/>
                </w:tcPr>
                <w:p w14:paraId="59352DAE">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18"/>
                      <w:szCs w:val="18"/>
                      <w:u w:val="none"/>
                      <w:lang w:val="en-US" w:eastAsia="zh-CN" w:bidi="ar"/>
                    </w:rPr>
                    <w:t>75.82</w:t>
                  </w:r>
                </w:p>
              </w:tc>
              <w:tc>
                <w:tcPr>
                  <w:tcW w:w="699" w:type="dxa"/>
                  <w:tcBorders>
                    <w:tl2br w:val="nil"/>
                    <w:tr2bl w:val="nil"/>
                  </w:tcBorders>
                  <w:vAlign w:val="center"/>
                </w:tcPr>
                <w:p w14:paraId="25266CCB">
                  <w:pPr>
                    <w:jc w:val="center"/>
                    <w:rPr>
                      <w:rFonts w:hint="default" w:ascii="Times New Roman" w:hAnsi="Times New Roman" w:cs="Times New Roman"/>
                      <w:color w:val="auto"/>
                    </w:rPr>
                  </w:pPr>
                  <w:r>
                    <w:rPr>
                      <w:rFonts w:hint="default" w:ascii="Times New Roman" w:hAnsi="Times New Roman" w:cs="Times New Roman"/>
                      <w:color w:val="auto"/>
                    </w:rPr>
                    <w:t>昼间</w:t>
                  </w:r>
                </w:p>
              </w:tc>
              <w:tc>
                <w:tcPr>
                  <w:tcW w:w="1455" w:type="dxa"/>
                  <w:tcBorders>
                    <w:tl2br w:val="nil"/>
                    <w:tr2bl w:val="nil"/>
                  </w:tcBorders>
                  <w:vAlign w:val="center"/>
                </w:tcPr>
                <w:p w14:paraId="0DD42545">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20</w:t>
                  </w:r>
                </w:p>
              </w:tc>
              <w:tc>
                <w:tcPr>
                  <w:tcW w:w="764" w:type="dxa"/>
                  <w:tcBorders>
                    <w:tl2br w:val="nil"/>
                    <w:tr2bl w:val="nil"/>
                  </w:tcBorders>
                  <w:vAlign w:val="center"/>
                </w:tcPr>
                <w:p w14:paraId="24DCA4F6">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18"/>
                      <w:szCs w:val="18"/>
                      <w:u w:val="none"/>
                      <w:lang w:val="en-US" w:eastAsia="zh-CN" w:bidi="ar"/>
                    </w:rPr>
                    <w:t>49.82</w:t>
                  </w:r>
                </w:p>
              </w:tc>
              <w:tc>
                <w:tcPr>
                  <w:tcW w:w="774" w:type="dxa"/>
                  <w:tcBorders>
                    <w:tl2br w:val="nil"/>
                    <w:tr2bl w:val="nil"/>
                  </w:tcBorders>
                  <w:vAlign w:val="center"/>
                </w:tcPr>
                <w:p w14:paraId="519DD69C">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r>
          </w:tbl>
          <w:p w14:paraId="5C4A93ED">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green"/>
                <w:lang w:val="en-US" w:eastAsia="zh-CN" w:bidi="ar-SA"/>
              </w:rPr>
            </w:pPr>
          </w:p>
          <w:p w14:paraId="76560D4E">
            <w:pPr>
              <w:pStyle w:val="25"/>
              <w:rPr>
                <w:rFonts w:hint="default" w:ascii="Times New Roman" w:hAnsi="Times New Roman" w:eastAsia="黑体" w:cs="Times New Roman"/>
                <w:b/>
                <w:bCs/>
                <w:color w:val="auto"/>
                <w:kern w:val="0"/>
                <w:sz w:val="20"/>
                <w:szCs w:val="20"/>
                <w:highlight w:val="green"/>
                <w:lang w:val="en-US" w:eastAsia="zh-CN" w:bidi="ar-SA"/>
              </w:rPr>
            </w:pPr>
          </w:p>
          <w:p w14:paraId="05F80F24">
            <w:pPr>
              <w:rPr>
                <w:rFonts w:hint="default" w:ascii="Times New Roman" w:hAnsi="Times New Roman" w:eastAsia="黑体" w:cs="Times New Roman"/>
                <w:b/>
                <w:bCs/>
                <w:color w:val="auto"/>
                <w:kern w:val="0"/>
                <w:sz w:val="20"/>
                <w:szCs w:val="20"/>
                <w:highlight w:val="green"/>
                <w:lang w:val="en-US" w:eastAsia="zh-CN" w:bidi="ar-SA"/>
              </w:rPr>
            </w:pPr>
          </w:p>
          <w:p w14:paraId="27BC336B">
            <w:pPr>
              <w:pStyle w:val="25"/>
              <w:rPr>
                <w:rFonts w:hint="default" w:ascii="Times New Roman" w:hAnsi="Times New Roman" w:eastAsia="黑体" w:cs="Times New Roman"/>
                <w:b/>
                <w:bCs/>
                <w:color w:val="auto"/>
                <w:kern w:val="0"/>
                <w:sz w:val="20"/>
                <w:szCs w:val="20"/>
                <w:highlight w:val="green"/>
                <w:lang w:val="en-US" w:eastAsia="zh-CN" w:bidi="ar-SA"/>
              </w:rPr>
            </w:pPr>
          </w:p>
          <w:p w14:paraId="39AEF955">
            <w:pPr>
              <w:rPr>
                <w:rFonts w:hint="default" w:ascii="Times New Roman" w:hAnsi="Times New Roman" w:eastAsia="黑体" w:cs="Times New Roman"/>
                <w:b/>
                <w:bCs/>
                <w:color w:val="auto"/>
                <w:kern w:val="0"/>
                <w:sz w:val="20"/>
                <w:szCs w:val="20"/>
                <w:highlight w:val="green"/>
                <w:lang w:val="en-US" w:eastAsia="zh-CN" w:bidi="ar-SA"/>
              </w:rPr>
            </w:pPr>
          </w:p>
          <w:p w14:paraId="0B6D817B">
            <w:pPr>
              <w:pStyle w:val="25"/>
              <w:rPr>
                <w:rFonts w:hint="default" w:ascii="Times New Roman" w:hAnsi="Times New Roman" w:eastAsia="黑体" w:cs="Times New Roman"/>
                <w:b/>
                <w:bCs/>
                <w:color w:val="auto"/>
                <w:kern w:val="0"/>
                <w:sz w:val="20"/>
                <w:szCs w:val="20"/>
                <w:highlight w:val="green"/>
                <w:lang w:val="en-US" w:eastAsia="zh-CN" w:bidi="ar-SA"/>
              </w:rPr>
            </w:pPr>
          </w:p>
          <w:p w14:paraId="11DE5F15">
            <w:pPr>
              <w:rPr>
                <w:rFonts w:hint="default" w:ascii="Times New Roman" w:hAnsi="Times New Roman" w:eastAsia="黑体" w:cs="Times New Roman"/>
                <w:b/>
                <w:bCs/>
                <w:color w:val="auto"/>
                <w:kern w:val="0"/>
                <w:sz w:val="20"/>
                <w:szCs w:val="20"/>
                <w:highlight w:val="green"/>
                <w:lang w:val="en-US" w:eastAsia="zh-CN" w:bidi="ar-SA"/>
              </w:rPr>
            </w:pPr>
          </w:p>
          <w:p w14:paraId="7DEC4E24">
            <w:pPr>
              <w:pStyle w:val="25"/>
              <w:rPr>
                <w:rFonts w:hint="default" w:ascii="Times New Roman" w:hAnsi="Times New Roman" w:eastAsia="黑体" w:cs="Times New Roman"/>
                <w:b/>
                <w:bCs/>
                <w:color w:val="auto"/>
                <w:kern w:val="0"/>
                <w:sz w:val="20"/>
                <w:szCs w:val="20"/>
                <w:highlight w:val="green"/>
                <w:lang w:val="en-US" w:eastAsia="zh-CN" w:bidi="ar-SA"/>
              </w:rPr>
            </w:pPr>
          </w:p>
          <w:p w14:paraId="44D1A3AD">
            <w:pPr>
              <w:rPr>
                <w:rFonts w:hint="default" w:ascii="Times New Roman" w:hAnsi="Times New Roman" w:cs="Times New Roman"/>
                <w:color w:val="auto"/>
                <w:lang w:val="en-US" w:eastAsia="zh-CN"/>
              </w:rPr>
            </w:pPr>
          </w:p>
          <w:p w14:paraId="2EC476B4">
            <w:pPr>
              <w:spacing w:line="360" w:lineRule="auto"/>
              <w:rPr>
                <w:rFonts w:hint="default" w:ascii="Times New Roman" w:hAnsi="Times New Roman" w:cs="Times New Roman"/>
                <w:color w:val="auto"/>
                <w:sz w:val="24"/>
                <w:szCs w:val="24"/>
              </w:rPr>
            </w:pPr>
          </w:p>
        </w:tc>
      </w:tr>
    </w:tbl>
    <w:p w14:paraId="64DA0533">
      <w:pPr>
        <w:spacing w:line="360" w:lineRule="auto"/>
        <w:ind w:firstLine="482" w:firstLineChars="200"/>
        <w:jc w:val="center"/>
        <w:rPr>
          <w:rFonts w:hint="default" w:ascii="Times New Roman" w:hAnsi="Times New Roman" w:cs="Times New Roman"/>
          <w:b/>
          <w:color w:val="auto"/>
          <w:sz w:val="24"/>
          <w:szCs w:val="24"/>
        </w:rPr>
      </w:pPr>
    </w:p>
    <w:p w14:paraId="1D3B2540">
      <w:pPr>
        <w:spacing w:line="276" w:lineRule="auto"/>
        <w:ind w:firstLine="420" w:firstLineChars="200"/>
        <w:rPr>
          <w:rFonts w:hint="default" w:ascii="Times New Roman" w:hAnsi="Times New Roman" w:cs="Times New Roman"/>
          <w:color w:val="auto"/>
          <w:szCs w:val="21"/>
        </w:rPr>
        <w:sectPr>
          <w:pgSz w:w="16838" w:h="11906" w:orient="landscape"/>
          <w:pgMar w:top="1134" w:right="1134" w:bottom="1418" w:left="1134"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8935"/>
      </w:tblGrid>
      <w:tr w14:paraId="55C6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0" w:hRule="atLeast"/>
        </w:trPr>
        <w:tc>
          <w:tcPr>
            <w:tcW w:w="682" w:type="dxa"/>
          </w:tcPr>
          <w:p w14:paraId="47D1C1B0">
            <w:pPr>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b/>
            </w:r>
          </w:p>
        </w:tc>
        <w:tc>
          <w:tcPr>
            <w:tcW w:w="8888" w:type="dxa"/>
          </w:tcPr>
          <w:p w14:paraId="174E0D77">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（2）达标情况分析</w:t>
            </w:r>
          </w:p>
          <w:p w14:paraId="4576AD4E">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1）预测模式</w:t>
            </w:r>
          </w:p>
          <w:p w14:paraId="26C698F8">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本次评价采用《环境影响评价技术导则一声环境》（HJ2.4-2021）中推荐模式进行预测，用A声级计算，模式如下：</w:t>
            </w:r>
          </w:p>
          <w:p w14:paraId="62551A1F">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①室外声源</w:t>
            </w:r>
          </w:p>
          <w:p w14:paraId="37FA5754">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在预测点的声压级计算：</w:t>
            </w:r>
          </w:p>
          <w:p w14:paraId="45FA9630">
            <w:pPr>
              <w:spacing w:line="360" w:lineRule="auto"/>
              <w:ind w:firstLine="480" w:firstLineChars="20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p</w:t>
            </w:r>
            <w:r>
              <w:rPr>
                <w:rFonts w:hint="default" w:ascii="Times New Roman" w:hAnsi="Times New Roman" w:cs="Times New Roman"/>
                <w:color w:val="auto"/>
                <w:sz w:val="24"/>
                <w:szCs w:val="24"/>
              </w:rPr>
              <w:t>(r)＝L</w:t>
            </w:r>
            <w:r>
              <w:rPr>
                <w:rFonts w:hint="default" w:ascii="Times New Roman" w:hAnsi="Times New Roman" w:cs="Times New Roman"/>
                <w:color w:val="auto"/>
                <w:sz w:val="24"/>
                <w:szCs w:val="24"/>
                <w:vertAlign w:val="subscript"/>
              </w:rPr>
              <w:t>w</w:t>
            </w: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vertAlign w:val="subscript"/>
              </w:rPr>
              <w:t>C</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vertAlign w:val="subscript"/>
              </w:rPr>
              <w:t>div</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vertAlign w:val="subscript"/>
              </w:rPr>
              <w:t>atm</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vertAlign w:val="subscript"/>
              </w:rPr>
              <w:t>gr</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vertAlign w:val="subscript"/>
              </w:rPr>
              <w:t>bar</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vertAlign w:val="subscript"/>
              </w:rPr>
              <w:t>misc</w:t>
            </w:r>
            <w:r>
              <w:rPr>
                <w:rFonts w:hint="default" w:ascii="Times New Roman" w:hAnsi="Times New Roman" w:cs="Times New Roman"/>
                <w:color w:val="auto"/>
                <w:sz w:val="24"/>
                <w:szCs w:val="24"/>
              </w:rPr>
              <w:t>)</w:t>
            </w:r>
          </w:p>
          <w:p w14:paraId="5907645F">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w:t>
            </w:r>
            <w:r>
              <w:rPr>
                <w:rFonts w:hint="default" w:ascii="Times New Roman" w:hAnsi="Times New Roman" w:cs="Times New Roman"/>
                <w:color w:val="auto"/>
                <w:sz w:val="24"/>
                <w:szCs w:val="24"/>
                <w:vertAlign w:val="subscript"/>
              </w:rPr>
              <w:t>p</w:t>
            </w:r>
            <w:r>
              <w:rPr>
                <w:rFonts w:hint="default" w:ascii="Times New Roman" w:hAnsi="Times New Roman" w:cs="Times New Roman"/>
                <w:color w:val="auto"/>
                <w:sz w:val="24"/>
                <w:szCs w:val="24"/>
              </w:rPr>
              <w:t>(r)——预测点处声压级，dB；</w:t>
            </w:r>
          </w:p>
          <w:p w14:paraId="3710272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w</w:t>
            </w:r>
            <w:r>
              <w:rPr>
                <w:rFonts w:hint="default" w:ascii="Times New Roman" w:hAnsi="Times New Roman" w:cs="Times New Roman"/>
                <w:color w:val="auto"/>
                <w:sz w:val="24"/>
                <w:szCs w:val="24"/>
              </w:rPr>
              <w:t>——由点声源产生的声功率级（A计权或倍频带），dB；</w:t>
            </w:r>
          </w:p>
          <w:p w14:paraId="011E6D8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vertAlign w:val="subscript"/>
              </w:rPr>
              <w:t>C</w:t>
            </w:r>
            <w:r>
              <w:rPr>
                <w:rFonts w:hint="default" w:ascii="Times New Roman" w:hAnsi="Times New Roman" w:cs="Times New Roman"/>
                <w:color w:val="auto"/>
                <w:sz w:val="24"/>
                <w:szCs w:val="24"/>
              </w:rPr>
              <w:t>——指向性校正，它描述点声源的等效连续声压级与产生声功率级L</w:t>
            </w:r>
            <w:r>
              <w:rPr>
                <w:rFonts w:hint="default" w:ascii="Times New Roman" w:hAnsi="Times New Roman" w:cs="Times New Roman"/>
                <w:color w:val="auto"/>
                <w:sz w:val="24"/>
                <w:szCs w:val="24"/>
                <w:vertAlign w:val="subscript"/>
              </w:rPr>
              <w:t>w</w:t>
            </w:r>
            <w:r>
              <w:rPr>
                <w:rFonts w:hint="default" w:ascii="Times New Roman" w:hAnsi="Times New Roman" w:cs="Times New Roman"/>
                <w:color w:val="auto"/>
                <w:sz w:val="24"/>
                <w:szCs w:val="24"/>
              </w:rPr>
              <w:t>的全向点声源在规定方向的声级的偏差程度，dB；</w:t>
            </w:r>
          </w:p>
          <w:p w14:paraId="156E0FA3">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vertAlign w:val="subscript"/>
              </w:rPr>
              <w:t>div</w:t>
            </w:r>
            <w:r>
              <w:rPr>
                <w:rFonts w:hint="default" w:ascii="Times New Roman" w:hAnsi="Times New Roman" w:cs="Times New Roman"/>
                <w:color w:val="auto"/>
                <w:sz w:val="24"/>
                <w:szCs w:val="24"/>
              </w:rPr>
              <w:t>——几何发散引起的衰减，dB；</w:t>
            </w:r>
          </w:p>
          <w:p w14:paraId="45F4CEE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vertAlign w:val="subscript"/>
              </w:rPr>
              <w:t>atm</w:t>
            </w:r>
            <w:r>
              <w:rPr>
                <w:rFonts w:hint="default" w:ascii="Times New Roman" w:hAnsi="Times New Roman" w:cs="Times New Roman"/>
                <w:color w:val="auto"/>
                <w:sz w:val="24"/>
                <w:szCs w:val="24"/>
              </w:rPr>
              <w:t>——大气吸收引起的衰减，dB；</w:t>
            </w:r>
          </w:p>
          <w:p w14:paraId="62CF6ABE">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vertAlign w:val="subscript"/>
              </w:rPr>
              <w:t>gr</w:t>
            </w:r>
            <w:r>
              <w:rPr>
                <w:rFonts w:hint="default" w:ascii="Times New Roman" w:hAnsi="Times New Roman" w:cs="Times New Roman"/>
                <w:color w:val="auto"/>
                <w:sz w:val="24"/>
                <w:szCs w:val="24"/>
              </w:rPr>
              <w:t>——地面效应引起的衰减，dB；</w:t>
            </w:r>
          </w:p>
          <w:p w14:paraId="18C7FC2D">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vertAlign w:val="subscript"/>
              </w:rPr>
              <w:t>bar</w:t>
            </w:r>
            <w:r>
              <w:rPr>
                <w:rFonts w:hint="default" w:ascii="Times New Roman" w:hAnsi="Times New Roman" w:cs="Times New Roman"/>
                <w:color w:val="auto"/>
                <w:sz w:val="24"/>
                <w:szCs w:val="24"/>
              </w:rPr>
              <w:t>——障碍物屏蔽引起的衰减，dB；</w:t>
            </w:r>
          </w:p>
          <w:p w14:paraId="0628BD58">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vertAlign w:val="subscript"/>
              </w:rPr>
              <w:t>misc</w:t>
            </w:r>
            <w:r>
              <w:rPr>
                <w:rFonts w:hint="default" w:ascii="Times New Roman" w:hAnsi="Times New Roman" w:cs="Times New Roman"/>
                <w:color w:val="auto"/>
                <w:sz w:val="24"/>
                <w:szCs w:val="24"/>
              </w:rPr>
              <w:t>——其他多方面效应引起的衰减，dB。</w:t>
            </w:r>
          </w:p>
          <w:p w14:paraId="5505F17A">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②室内声源在预测点的声压级计算：</w:t>
            </w:r>
          </w:p>
          <w:p w14:paraId="3B4D1C82">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（一）首先计算某个室内声源在靠近围护结构处的声压级：</w:t>
            </w:r>
          </w:p>
          <w:p w14:paraId="378FA695">
            <w:pPr>
              <w:spacing w:line="360" w:lineRule="auto"/>
              <w:ind w:firstLine="480" w:firstLineChars="20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2237105" cy="525145"/>
                  <wp:effectExtent l="0" t="0" r="3175" b="8255"/>
                  <wp:docPr id="2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0"/>
                          <pic:cNvPicPr>
                            <a:picLocks noChangeAspect="1"/>
                          </pic:cNvPicPr>
                        </pic:nvPicPr>
                        <pic:blipFill>
                          <a:blip r:embed="rId27"/>
                          <a:stretch>
                            <a:fillRect/>
                          </a:stretch>
                        </pic:blipFill>
                        <pic:spPr>
                          <a:xfrm>
                            <a:off x="0" y="0"/>
                            <a:ext cx="2237105" cy="525145"/>
                          </a:xfrm>
                          <a:prstGeom prst="rect">
                            <a:avLst/>
                          </a:prstGeom>
                          <a:noFill/>
                          <a:ln>
                            <a:noFill/>
                          </a:ln>
                        </pic:spPr>
                      </pic:pic>
                    </a:graphicData>
                  </a:graphic>
                </wp:inline>
              </w:drawing>
            </w:r>
          </w:p>
          <w:p w14:paraId="00E321E9">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w:t>
            </w:r>
            <w:r>
              <w:rPr>
                <w:rFonts w:hint="default" w:ascii="Times New Roman" w:hAnsi="Times New Roman" w:cs="Times New Roman"/>
                <w:color w:val="auto"/>
                <w:sz w:val="24"/>
                <w:szCs w:val="24"/>
                <w:vertAlign w:val="subscript"/>
              </w:rPr>
              <w:t>p1</w:t>
            </w:r>
            <w:r>
              <w:rPr>
                <w:rFonts w:hint="default" w:ascii="Times New Roman" w:hAnsi="Times New Roman" w:cs="Times New Roman"/>
                <w:color w:val="auto"/>
                <w:sz w:val="24"/>
                <w:szCs w:val="24"/>
              </w:rPr>
              <w:t>——靠近开口处（或窗户）室内某倍频带的声压级或A声级，dB；</w:t>
            </w:r>
          </w:p>
          <w:p w14:paraId="6D74A09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Lw——点声源声功率级（A计权或倍频带），dB；</w:t>
            </w:r>
          </w:p>
          <w:p w14:paraId="348DDD12">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Q——指向性因数；通常对无指向性声源，当声源放在房间中心时，Q=1；当放在一面墙的中心时，Q=2；当放在两面墙夹角处时，Q=4；当放在三面墙夹角处时，Q=8；</w:t>
            </w:r>
          </w:p>
          <w:p w14:paraId="2D05DAE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R——房间常数；R=Sα/（1-α），S为房间内表面面积，m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；α为平均吸声系数；</w:t>
            </w:r>
          </w:p>
          <w:p w14:paraId="7CD06519">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r——声源到靠近围护结构某点处的距离，m。</w:t>
            </w:r>
          </w:p>
          <w:p w14:paraId="457D628B">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（二）然后计算出所有室内声源在围护结构处产生的i倍频带叠加声压级：</w:t>
            </w:r>
          </w:p>
          <w:p w14:paraId="6506DA51">
            <w:pPr>
              <w:pStyle w:val="39"/>
              <w:spacing w:line="360" w:lineRule="auto"/>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071370" cy="537210"/>
                  <wp:effectExtent l="0" t="0" r="1270" b="11430"/>
                  <wp:docPr id="3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1"/>
                          <pic:cNvPicPr>
                            <a:picLocks noChangeAspect="1"/>
                          </pic:cNvPicPr>
                        </pic:nvPicPr>
                        <pic:blipFill>
                          <a:blip r:embed="rId28"/>
                          <a:stretch>
                            <a:fillRect/>
                          </a:stretch>
                        </pic:blipFill>
                        <pic:spPr>
                          <a:xfrm>
                            <a:off x="0" y="0"/>
                            <a:ext cx="2071370" cy="537210"/>
                          </a:xfrm>
                          <a:prstGeom prst="rect">
                            <a:avLst/>
                          </a:prstGeom>
                          <a:noFill/>
                          <a:ln>
                            <a:noFill/>
                          </a:ln>
                        </pic:spPr>
                      </pic:pic>
                    </a:graphicData>
                  </a:graphic>
                </wp:inline>
              </w:drawing>
            </w:r>
          </w:p>
          <w:p w14:paraId="00198F8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w:t>
            </w:r>
          </w:p>
          <w:p w14:paraId="0E99BD6D">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pli（T）</w:t>
            </w:r>
            <w:r>
              <w:rPr>
                <w:rFonts w:hint="default" w:ascii="Times New Roman" w:hAnsi="Times New Roman" w:cs="Times New Roman"/>
                <w:color w:val="auto"/>
                <w:sz w:val="24"/>
                <w:szCs w:val="24"/>
              </w:rPr>
              <w:t>——靠近围护结构处室内N个声源i倍频带的叠加声压级，dB；</w:t>
            </w:r>
          </w:p>
          <w:p w14:paraId="11F9EA2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pli</w:t>
            </w:r>
            <w:r>
              <w:rPr>
                <w:rFonts w:hint="default" w:ascii="Times New Roman" w:hAnsi="Times New Roman" w:cs="Times New Roman"/>
                <w:color w:val="auto"/>
                <w:sz w:val="24"/>
                <w:szCs w:val="24"/>
              </w:rPr>
              <w:t>——室内j声源i倍频带的声压级，dB；</w:t>
            </w:r>
          </w:p>
          <w:p w14:paraId="72151693">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N——室内声源总数。</w:t>
            </w:r>
          </w:p>
          <w:p w14:paraId="5ACBEE4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（三）计算出室外靠近围护结构处的声压级：</w:t>
            </w:r>
          </w:p>
          <w:p w14:paraId="20F3E4FF">
            <w:pPr>
              <w:spacing w:line="360" w:lineRule="auto"/>
              <w:ind w:firstLine="480" w:firstLineChars="20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p2i</w:t>
            </w:r>
            <w:r>
              <w:rPr>
                <w:rFonts w:hint="default" w:ascii="Times New Roman" w:hAnsi="Times New Roman" w:cs="Times New Roman"/>
                <w:color w:val="auto"/>
                <w:sz w:val="24"/>
                <w:szCs w:val="24"/>
              </w:rPr>
              <w:t>（T）=L</w:t>
            </w:r>
            <w:r>
              <w:rPr>
                <w:rFonts w:hint="default" w:ascii="Times New Roman" w:hAnsi="Times New Roman" w:cs="Times New Roman"/>
                <w:color w:val="auto"/>
                <w:sz w:val="24"/>
                <w:szCs w:val="24"/>
                <w:vertAlign w:val="subscript"/>
              </w:rPr>
              <w:t>pli</w:t>
            </w:r>
            <w:r>
              <w:rPr>
                <w:rFonts w:hint="default" w:ascii="Times New Roman" w:hAnsi="Times New Roman" w:cs="Times New Roman"/>
                <w:color w:val="auto"/>
                <w:sz w:val="24"/>
                <w:szCs w:val="24"/>
              </w:rPr>
              <w:t>（T）-（TL</w:t>
            </w:r>
            <w:r>
              <w:rPr>
                <w:rFonts w:hint="default" w:ascii="Times New Roman" w:hAnsi="Times New Roman" w:cs="Times New Roman"/>
                <w:color w:val="auto"/>
                <w:sz w:val="24"/>
                <w:szCs w:val="24"/>
                <w:vertAlign w:val="subscript"/>
              </w:rPr>
              <w:t>i</w:t>
            </w:r>
            <w:r>
              <w:rPr>
                <w:rFonts w:hint="default" w:ascii="Times New Roman" w:hAnsi="Times New Roman" w:cs="Times New Roman"/>
                <w:color w:val="auto"/>
                <w:sz w:val="24"/>
                <w:szCs w:val="24"/>
              </w:rPr>
              <w:t>+6）</w:t>
            </w:r>
          </w:p>
          <w:p w14:paraId="79AE00AC">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w:t>
            </w:r>
          </w:p>
          <w:p w14:paraId="2DD38EA4">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p2i</w:t>
            </w:r>
            <w:r>
              <w:rPr>
                <w:rFonts w:hint="default" w:ascii="Times New Roman" w:hAnsi="Times New Roman" w:cs="Times New Roman"/>
                <w:color w:val="auto"/>
                <w:sz w:val="24"/>
                <w:szCs w:val="24"/>
              </w:rPr>
              <w:t>（T）——靠近围护结构处室外N个声源i倍频带的叠加声压级，dB；</w:t>
            </w:r>
          </w:p>
          <w:p w14:paraId="3AA37FAA">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pli</w:t>
            </w:r>
            <w:r>
              <w:rPr>
                <w:rFonts w:hint="default" w:ascii="Times New Roman" w:hAnsi="Times New Roman" w:cs="Times New Roman"/>
                <w:color w:val="auto"/>
                <w:sz w:val="24"/>
                <w:szCs w:val="24"/>
              </w:rPr>
              <w:t>（T）——靠近围护结构处室内N个声源i倍频带的叠加声压级，dB；</w:t>
            </w:r>
          </w:p>
          <w:p w14:paraId="5028BD8D">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TL</w:t>
            </w:r>
            <w:r>
              <w:rPr>
                <w:rFonts w:hint="default" w:ascii="Times New Roman" w:hAnsi="Times New Roman" w:cs="Times New Roman"/>
                <w:color w:val="auto"/>
                <w:sz w:val="24"/>
                <w:szCs w:val="24"/>
                <w:vertAlign w:val="subscript"/>
              </w:rPr>
              <w:t>i</w:t>
            </w:r>
            <w:r>
              <w:rPr>
                <w:rFonts w:hint="default" w:ascii="Times New Roman" w:hAnsi="Times New Roman" w:cs="Times New Roman"/>
                <w:color w:val="auto"/>
                <w:sz w:val="24"/>
                <w:szCs w:val="24"/>
              </w:rPr>
              <w:t>——围护结构i倍频带的隔声量，dB。</w:t>
            </w:r>
          </w:p>
          <w:p w14:paraId="586522C4">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（四）将室外声级和透声面积换算成等效的室外声源，计算出等效声源第i个倍频带的声功率级：</w:t>
            </w:r>
          </w:p>
          <w:p w14:paraId="05BE6716">
            <w:pPr>
              <w:spacing w:line="360" w:lineRule="auto"/>
              <w:ind w:firstLine="480" w:firstLineChars="20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w</w:t>
            </w: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p2</w:t>
            </w:r>
            <w:r>
              <w:rPr>
                <w:rFonts w:hint="default" w:ascii="Times New Roman" w:hAnsi="Times New Roman" w:cs="Times New Roman"/>
                <w:color w:val="auto"/>
                <w:sz w:val="24"/>
                <w:szCs w:val="24"/>
              </w:rPr>
              <w:t>（T）+10lgS</w:t>
            </w:r>
          </w:p>
          <w:p w14:paraId="1D3B09B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w:t>
            </w:r>
            <w:r>
              <w:rPr>
                <w:rFonts w:hint="default" w:ascii="Times New Roman" w:hAnsi="Times New Roman" w:cs="Times New Roman"/>
                <w:color w:val="auto"/>
                <w:sz w:val="24"/>
                <w:szCs w:val="24"/>
                <w:vertAlign w:val="subscript"/>
              </w:rPr>
              <w:t>w</w:t>
            </w:r>
            <w:r>
              <w:rPr>
                <w:rFonts w:hint="default" w:ascii="Times New Roman" w:hAnsi="Times New Roman" w:cs="Times New Roman"/>
                <w:color w:val="auto"/>
                <w:sz w:val="24"/>
                <w:szCs w:val="24"/>
              </w:rPr>
              <w:t>——中心位置位于透声面积（S）处的等效声源的倍频带声功率级，dB；</w:t>
            </w:r>
          </w:p>
          <w:p w14:paraId="083B29AE">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p2</w:t>
            </w:r>
            <w:r>
              <w:rPr>
                <w:rFonts w:hint="default" w:ascii="Times New Roman" w:hAnsi="Times New Roman" w:cs="Times New Roman"/>
                <w:color w:val="auto"/>
                <w:sz w:val="24"/>
                <w:szCs w:val="24"/>
              </w:rPr>
              <w:t>（T）——靠近围护结构处室外声源的声压级，dB；</w:t>
            </w:r>
          </w:p>
          <w:p w14:paraId="605F050B">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S——透声面积，m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p>
          <w:p w14:paraId="4DF9248E">
            <w:pPr>
              <w:numPr>
                <w:ilvl w:val="0"/>
                <w:numId w:val="7"/>
              </w:num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等效室外声源的位置为围护结构的位置，其声功率级为L</w:t>
            </w:r>
            <w:r>
              <w:rPr>
                <w:rFonts w:hint="default" w:ascii="Times New Roman" w:hAnsi="Times New Roman" w:cs="Times New Roman"/>
                <w:color w:val="auto"/>
                <w:sz w:val="24"/>
                <w:szCs w:val="24"/>
                <w:vertAlign w:val="subscript"/>
              </w:rPr>
              <w:t>w</w:t>
            </w:r>
            <w:r>
              <w:rPr>
                <w:rFonts w:hint="default" w:ascii="Times New Roman" w:hAnsi="Times New Roman" w:cs="Times New Roman"/>
                <w:color w:val="auto"/>
                <w:sz w:val="24"/>
                <w:szCs w:val="24"/>
              </w:rPr>
              <w:t>，由此计算等效声源在预测点产生的声级。</w:t>
            </w:r>
          </w:p>
          <w:p w14:paraId="592090FA">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③总声级的计算</w:t>
            </w:r>
          </w:p>
          <w:p w14:paraId="73229DC8">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设第i个室外声源在预测点产生的A声级为L</w:t>
            </w:r>
            <w:r>
              <w:rPr>
                <w:rFonts w:hint="default" w:ascii="Times New Roman" w:hAnsi="Times New Roman" w:cs="Times New Roman"/>
                <w:color w:val="auto"/>
                <w:sz w:val="24"/>
                <w:szCs w:val="24"/>
                <w:vertAlign w:val="subscript"/>
              </w:rPr>
              <w:t>Ai</w:t>
            </w:r>
            <w:r>
              <w:rPr>
                <w:rFonts w:hint="default" w:ascii="Times New Roman" w:hAnsi="Times New Roman" w:cs="Times New Roman"/>
                <w:color w:val="auto"/>
                <w:sz w:val="24"/>
                <w:szCs w:val="24"/>
              </w:rPr>
              <w:t>，在T时间内该声源工作时间为t</w:t>
            </w:r>
            <w:r>
              <w:rPr>
                <w:rFonts w:hint="default" w:ascii="Times New Roman" w:hAnsi="Times New Roman" w:cs="Times New Roman"/>
                <w:color w:val="auto"/>
                <w:sz w:val="24"/>
                <w:szCs w:val="24"/>
                <w:vertAlign w:val="subscript"/>
              </w:rPr>
              <w:t>i</w:t>
            </w:r>
            <w:r>
              <w:rPr>
                <w:rFonts w:hint="default" w:ascii="Times New Roman" w:hAnsi="Times New Roman" w:cs="Times New Roman"/>
                <w:color w:val="auto"/>
                <w:sz w:val="24"/>
                <w:szCs w:val="24"/>
              </w:rPr>
              <w:t>；第j个等效室外声源在预测点产生的A声级为L</w:t>
            </w:r>
            <w:r>
              <w:rPr>
                <w:rFonts w:hint="default" w:ascii="Times New Roman" w:hAnsi="Times New Roman" w:cs="Times New Roman"/>
                <w:color w:val="auto"/>
                <w:sz w:val="24"/>
                <w:szCs w:val="24"/>
                <w:vertAlign w:val="subscript"/>
              </w:rPr>
              <w:t>Aj</w:t>
            </w:r>
            <w:r>
              <w:rPr>
                <w:rFonts w:hint="default" w:ascii="Times New Roman" w:hAnsi="Times New Roman" w:cs="Times New Roman"/>
                <w:color w:val="auto"/>
                <w:sz w:val="24"/>
                <w:szCs w:val="24"/>
              </w:rPr>
              <w:t>，在T时间内该声源工作时间为t</w:t>
            </w:r>
            <w:r>
              <w:rPr>
                <w:rFonts w:hint="default" w:ascii="Times New Roman" w:hAnsi="Times New Roman" w:cs="Times New Roman"/>
                <w:color w:val="auto"/>
                <w:sz w:val="24"/>
                <w:szCs w:val="24"/>
                <w:vertAlign w:val="subscript"/>
              </w:rPr>
              <w:t>j</w:t>
            </w:r>
            <w:r>
              <w:rPr>
                <w:rFonts w:hint="default" w:ascii="Times New Roman" w:hAnsi="Times New Roman" w:cs="Times New Roman"/>
                <w:color w:val="auto"/>
                <w:sz w:val="24"/>
                <w:szCs w:val="24"/>
              </w:rPr>
              <w:t>，则拟建工程声源对预测点产生的贡献值（L</w:t>
            </w:r>
            <w:r>
              <w:rPr>
                <w:rFonts w:hint="default" w:ascii="Times New Roman" w:hAnsi="Times New Roman" w:cs="Times New Roman"/>
                <w:color w:val="auto"/>
                <w:sz w:val="24"/>
                <w:szCs w:val="24"/>
                <w:vertAlign w:val="subscript"/>
              </w:rPr>
              <w:t>eqg</w:t>
            </w:r>
            <w:r>
              <w:rPr>
                <w:rFonts w:hint="default" w:ascii="Times New Roman" w:hAnsi="Times New Roman" w:cs="Times New Roman"/>
                <w:color w:val="auto"/>
                <w:sz w:val="24"/>
                <w:szCs w:val="24"/>
              </w:rPr>
              <w:t>）为：</w:t>
            </w:r>
          </w:p>
          <w:p w14:paraId="35A49702">
            <w:pPr>
              <w:spacing w:line="360" w:lineRule="auto"/>
              <w:ind w:firstLine="480" w:firstLineChars="20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2748915" cy="572770"/>
                  <wp:effectExtent l="0" t="0" r="9525" b="635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9"/>
                          <a:stretch>
                            <a:fillRect/>
                          </a:stretch>
                        </pic:blipFill>
                        <pic:spPr>
                          <a:xfrm>
                            <a:off x="0" y="0"/>
                            <a:ext cx="2748915" cy="572770"/>
                          </a:xfrm>
                          <a:prstGeom prst="rect">
                            <a:avLst/>
                          </a:prstGeom>
                          <a:noFill/>
                          <a:ln>
                            <a:noFill/>
                          </a:ln>
                        </pic:spPr>
                      </pic:pic>
                    </a:graphicData>
                  </a:graphic>
                </wp:inline>
              </w:drawing>
            </w:r>
          </w:p>
          <w:p w14:paraId="70F2A2C9">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w:t>
            </w:r>
            <w:r>
              <w:rPr>
                <w:rFonts w:hint="default" w:ascii="Times New Roman" w:hAnsi="Times New Roman" w:cs="Times New Roman"/>
                <w:color w:val="auto"/>
                <w:sz w:val="24"/>
                <w:szCs w:val="24"/>
                <w:vertAlign w:val="subscript"/>
              </w:rPr>
              <w:t>eqg</w:t>
            </w:r>
            <w:r>
              <w:rPr>
                <w:rFonts w:hint="default" w:ascii="Times New Roman" w:hAnsi="Times New Roman" w:cs="Times New Roman"/>
                <w:color w:val="auto"/>
                <w:sz w:val="24"/>
                <w:szCs w:val="24"/>
              </w:rPr>
              <w:t>——建设项目声源在预测点产生的噪声贡献值，dB；</w:t>
            </w:r>
          </w:p>
          <w:p w14:paraId="066617FE">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T——用于计算等效声级的时间，s；</w:t>
            </w:r>
          </w:p>
          <w:p w14:paraId="24A670EA">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N——室外声源个数；</w:t>
            </w:r>
          </w:p>
          <w:p w14:paraId="79777901">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w:t>
            </w:r>
            <w:r>
              <w:rPr>
                <w:rFonts w:hint="default" w:ascii="Times New Roman" w:hAnsi="Times New Roman" w:cs="Times New Roman"/>
                <w:color w:val="auto"/>
                <w:sz w:val="24"/>
                <w:szCs w:val="24"/>
                <w:vertAlign w:val="subscript"/>
              </w:rPr>
              <w:t>i</w:t>
            </w:r>
            <w:r>
              <w:rPr>
                <w:rFonts w:hint="default" w:ascii="Times New Roman" w:hAnsi="Times New Roman" w:cs="Times New Roman"/>
                <w:color w:val="auto"/>
                <w:sz w:val="24"/>
                <w:szCs w:val="24"/>
              </w:rPr>
              <w:t>——在T时间内i声源工作时间，s；</w:t>
            </w:r>
          </w:p>
          <w:p w14:paraId="477528AC">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M——等效室外声源个数；</w:t>
            </w:r>
          </w:p>
          <w:p w14:paraId="2984A03F">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w:t>
            </w:r>
            <w:r>
              <w:rPr>
                <w:rFonts w:hint="default" w:ascii="Times New Roman" w:hAnsi="Times New Roman" w:cs="Times New Roman"/>
                <w:color w:val="auto"/>
                <w:sz w:val="24"/>
                <w:szCs w:val="24"/>
                <w:vertAlign w:val="subscript"/>
              </w:rPr>
              <w:t>j</w:t>
            </w:r>
            <w:r>
              <w:rPr>
                <w:rFonts w:hint="default" w:ascii="Times New Roman" w:hAnsi="Times New Roman" w:cs="Times New Roman"/>
                <w:color w:val="auto"/>
                <w:sz w:val="24"/>
                <w:szCs w:val="24"/>
              </w:rPr>
              <w:t>——在T时间内j声源工作时间，s。</w:t>
            </w:r>
          </w:p>
          <w:p w14:paraId="4E6DAECA">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2）参数确定</w:t>
            </w:r>
          </w:p>
          <w:p w14:paraId="15DA7FE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①声波几何发散引起的A声级衰减量：</w:t>
            </w:r>
          </w:p>
          <w:p w14:paraId="6B821D4F">
            <w:pPr>
              <w:spacing w:line="360" w:lineRule="auto"/>
              <w:ind w:firstLine="480" w:firstLineChars="20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点声源A</w:t>
            </w:r>
            <w:r>
              <w:rPr>
                <w:rFonts w:hint="default" w:ascii="Times New Roman" w:hAnsi="Times New Roman" w:cs="Times New Roman"/>
                <w:color w:val="auto"/>
                <w:sz w:val="24"/>
                <w:szCs w:val="24"/>
                <w:vertAlign w:val="subscript"/>
              </w:rPr>
              <w:t>div</w:t>
            </w:r>
            <w:r>
              <w:rPr>
                <w:rFonts w:hint="default" w:ascii="Times New Roman" w:hAnsi="Times New Roman" w:cs="Times New Roman"/>
                <w:color w:val="auto"/>
                <w:sz w:val="24"/>
                <w:szCs w:val="24"/>
              </w:rPr>
              <w:t>= 201g(r/r</w:t>
            </w:r>
            <w:r>
              <w:rPr>
                <w:rFonts w:hint="default" w:ascii="Times New Roman" w:hAnsi="Times New Roman" w:cs="Times New Roman"/>
                <w:color w:val="auto"/>
                <w:sz w:val="24"/>
                <w:szCs w:val="24"/>
                <w:vertAlign w:val="subscript"/>
              </w:rPr>
              <w:t>0</w:t>
            </w:r>
            <w:r>
              <w:rPr>
                <w:rFonts w:hint="default" w:ascii="Times New Roman" w:hAnsi="Times New Roman" w:cs="Times New Roman"/>
                <w:color w:val="auto"/>
                <w:sz w:val="24"/>
                <w:szCs w:val="24"/>
              </w:rPr>
              <w:t>)</w:t>
            </w:r>
          </w:p>
          <w:p w14:paraId="7D148813">
            <w:pPr>
              <w:spacing w:line="360" w:lineRule="auto"/>
              <w:ind w:firstLine="480" w:firstLineChars="200"/>
              <w:rPr>
                <w:rFonts w:hint="default" w:ascii="Times New Roman" w:hAnsi="Times New Roman" w:cs="Times New Roman"/>
                <w:color w:val="auto"/>
                <w:sz w:val="24"/>
                <w:szCs w:val="24"/>
                <w:vertAlign w:val="subscript"/>
              </w:rPr>
            </w:pPr>
            <w:r>
              <w:rPr>
                <w:rFonts w:hint="default" w:ascii="Times New Roman" w:hAnsi="Times New Roman" w:cs="Times New Roman"/>
                <w:color w:val="auto"/>
                <w:sz w:val="24"/>
                <w:szCs w:val="24"/>
              </w:rPr>
              <w:t>②空气吸收衰减量A</w:t>
            </w:r>
            <w:r>
              <w:rPr>
                <w:rFonts w:hint="default" w:ascii="Times New Roman" w:hAnsi="Times New Roman" w:cs="Times New Roman"/>
                <w:color w:val="auto"/>
                <w:sz w:val="24"/>
                <w:szCs w:val="24"/>
                <w:vertAlign w:val="subscript"/>
              </w:rPr>
              <w:t>atm</w:t>
            </w:r>
            <w:r>
              <w:rPr>
                <w:rFonts w:hint="default" w:ascii="Times New Roman" w:hAnsi="Times New Roman" w:cs="Times New Roman"/>
                <w:color w:val="auto"/>
                <w:sz w:val="24"/>
                <w:szCs w:val="24"/>
              </w:rPr>
              <w:t>：</w:t>
            </w:r>
          </w:p>
          <w:p w14:paraId="55F6890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拟建项目噪声以中低频为主，空气吸收性衰减</w:t>
            </w:r>
            <w:r>
              <w:rPr>
                <w:rFonts w:hint="default" w:ascii="Times New Roman" w:hAnsi="Times New Roman" w:cs="Times New Roman"/>
                <w:color w:val="auto"/>
                <w:sz w:val="24"/>
                <w:szCs w:val="24"/>
                <w:lang w:eastAsia="zh-CN"/>
              </w:rPr>
              <w:t>很小</w:t>
            </w:r>
            <w:r>
              <w:rPr>
                <w:rFonts w:hint="default" w:ascii="Times New Roman" w:hAnsi="Times New Roman" w:cs="Times New Roman"/>
                <w:color w:val="auto"/>
                <w:sz w:val="24"/>
                <w:szCs w:val="24"/>
              </w:rPr>
              <w:t>，预测时可忽略不计。</w:t>
            </w:r>
          </w:p>
          <w:p w14:paraId="6545E97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③遮挡物引起的衰减量A</w:t>
            </w:r>
            <w:r>
              <w:rPr>
                <w:rFonts w:hint="default" w:ascii="Times New Roman" w:hAnsi="Times New Roman" w:cs="Times New Roman"/>
                <w:color w:val="auto"/>
                <w:sz w:val="24"/>
                <w:szCs w:val="24"/>
                <w:vertAlign w:val="subscript"/>
              </w:rPr>
              <w:t>bar</w:t>
            </w:r>
            <w:r>
              <w:rPr>
                <w:rFonts w:hint="default" w:ascii="Times New Roman" w:hAnsi="Times New Roman" w:cs="Times New Roman"/>
                <w:color w:val="auto"/>
                <w:sz w:val="24"/>
                <w:szCs w:val="24"/>
              </w:rPr>
              <w:t>：</w:t>
            </w:r>
          </w:p>
          <w:p w14:paraId="7CA4A31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噪声在向外传播过程中将受到厂房</w:t>
            </w:r>
            <w:r>
              <w:rPr>
                <w:rFonts w:hint="default" w:ascii="Times New Roman" w:hAnsi="Times New Roman" w:cs="Times New Roman"/>
                <w:color w:val="auto"/>
                <w:sz w:val="24"/>
                <w:szCs w:val="24"/>
                <w:lang w:eastAsia="zh-CN"/>
              </w:rPr>
              <w:t>或其他</w:t>
            </w:r>
            <w:r>
              <w:rPr>
                <w:rFonts w:hint="default" w:ascii="Times New Roman" w:hAnsi="Times New Roman" w:cs="Times New Roman"/>
                <w:color w:val="auto"/>
                <w:sz w:val="24"/>
                <w:szCs w:val="24"/>
              </w:rPr>
              <w:t>车间的阻挡影响，从而引起声能量的衰减，具体衰减根据不同声级的传播途径而定，一般取0~30dB（A），本次环评取15。</w:t>
            </w:r>
          </w:p>
          <w:p w14:paraId="4A6C081E">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④地面效应引起的声级衰减量A</w:t>
            </w:r>
            <w:r>
              <w:rPr>
                <w:rFonts w:hint="default" w:ascii="Times New Roman" w:hAnsi="Times New Roman" w:cs="Times New Roman"/>
                <w:color w:val="auto"/>
                <w:sz w:val="24"/>
                <w:szCs w:val="24"/>
                <w:vertAlign w:val="subscript"/>
              </w:rPr>
              <w:t>gr</w:t>
            </w:r>
            <w:r>
              <w:rPr>
                <w:rFonts w:hint="default" w:ascii="Times New Roman" w:hAnsi="Times New Roman" w:cs="Times New Roman"/>
                <w:color w:val="auto"/>
                <w:sz w:val="24"/>
                <w:szCs w:val="24"/>
              </w:rPr>
              <w:t>：</w:t>
            </w:r>
          </w:p>
          <w:p w14:paraId="6D6C525C">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根据项目总平面布置和噪声源强及外环境状况，可以忽略本项附加衰减量。</w:t>
            </w:r>
          </w:p>
          <w:p w14:paraId="13BF446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⑤其他多方面效应引起的声级衰减量A</w:t>
            </w:r>
            <w:r>
              <w:rPr>
                <w:rFonts w:hint="default" w:ascii="Times New Roman" w:hAnsi="Times New Roman" w:cs="Times New Roman"/>
                <w:color w:val="auto"/>
                <w:sz w:val="24"/>
                <w:szCs w:val="24"/>
                <w:vertAlign w:val="subscript"/>
              </w:rPr>
              <w:t>misc</w:t>
            </w:r>
            <w:r>
              <w:rPr>
                <w:rFonts w:hint="default" w:ascii="Times New Roman" w:hAnsi="Times New Roman" w:cs="Times New Roman"/>
                <w:color w:val="auto"/>
                <w:sz w:val="24"/>
                <w:szCs w:val="24"/>
              </w:rPr>
              <w:t>：</w:t>
            </w:r>
          </w:p>
          <w:p w14:paraId="5F9C90AE">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其他衰减包括通过工业场所的衰减，通过房屋群的衰减等。一般情况下，不考虑自然条件（如风、温度梯度、雾）变化引起的附加修正。</w:t>
            </w:r>
          </w:p>
          <w:p w14:paraId="67291F15">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3）预测结果</w:t>
            </w:r>
          </w:p>
          <w:p w14:paraId="7E837A5E">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根据不同设备的噪声级、确定的预测模式以及拟采取的降噪措施计算出不同距离处的噪声值。项目厂界</w:t>
            </w:r>
            <w:r>
              <w:rPr>
                <w:rFonts w:hint="default" w:ascii="Times New Roman" w:hAnsi="Times New Roman" w:cs="Times New Roman"/>
                <w:color w:val="auto"/>
                <w:sz w:val="24"/>
                <w:szCs w:val="24"/>
                <w:lang w:eastAsia="zh-CN"/>
              </w:rPr>
              <w:t>噪声</w:t>
            </w:r>
            <w:r>
              <w:rPr>
                <w:rFonts w:hint="default" w:ascii="Times New Roman" w:hAnsi="Times New Roman" w:cs="Times New Roman"/>
                <w:color w:val="auto"/>
                <w:sz w:val="24"/>
                <w:szCs w:val="24"/>
              </w:rPr>
              <w:t>预测结果如下表所示：</w:t>
            </w:r>
          </w:p>
          <w:p w14:paraId="669F6B3C">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lang w:val="en-US" w:eastAsia="zh-CN" w:bidi="ar-SA"/>
              </w:rPr>
            </w:pPr>
            <w:r>
              <w:rPr>
                <w:rFonts w:hint="default" w:ascii="Times New Roman" w:hAnsi="Times New Roman" w:eastAsia="黑体" w:cs="Times New Roman"/>
                <w:b/>
                <w:bCs/>
                <w:color w:val="auto"/>
                <w:kern w:val="0"/>
                <w:sz w:val="21"/>
                <w:szCs w:val="21"/>
                <w:highlight w:val="none"/>
                <w:lang w:val="en-US" w:eastAsia="zh-CN" w:bidi="ar-SA"/>
              </w:rPr>
              <w:t xml:space="preserve">表4-21  </w:t>
            </w:r>
            <w:r>
              <w:rPr>
                <w:rFonts w:hint="default" w:ascii="Times New Roman" w:hAnsi="Times New Roman" w:eastAsia="黑体" w:cs="Times New Roman"/>
                <w:b/>
                <w:bCs/>
                <w:color w:val="auto"/>
                <w:kern w:val="0"/>
                <w:sz w:val="21"/>
                <w:szCs w:val="21"/>
                <w:lang w:val="en-US" w:eastAsia="zh-CN" w:bidi="ar-SA"/>
              </w:rPr>
              <w:t>运营期昼间噪声预测结果</w:t>
            </w:r>
          </w:p>
          <w:tbl>
            <w:tblPr>
              <w:tblStyle w:val="30"/>
              <w:tblW w:w="4991"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2155"/>
              <w:gridCol w:w="791"/>
              <w:gridCol w:w="868"/>
              <w:gridCol w:w="801"/>
              <w:gridCol w:w="810"/>
              <w:gridCol w:w="801"/>
              <w:gridCol w:w="812"/>
              <w:gridCol w:w="866"/>
            </w:tblGrid>
            <w:tr w14:paraId="151CF0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9" w:hRule="atLeast"/>
                <w:tblHeader/>
              </w:trPr>
              <w:tc>
                <w:tcPr>
                  <w:tcW w:w="459" w:type="pct"/>
                  <w:vMerge w:val="restart"/>
                  <w:tcBorders>
                    <w:tl2br w:val="nil"/>
                    <w:tr2bl w:val="nil"/>
                  </w:tcBorders>
                  <w:shd w:val="clear" w:color="000000" w:themeColor="text1" w:fill="auto"/>
                  <w:vAlign w:val="center"/>
                </w:tcPr>
                <w:p w14:paraId="3204A8DC">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编号</w:t>
                  </w:r>
                </w:p>
              </w:tc>
              <w:tc>
                <w:tcPr>
                  <w:tcW w:w="1237" w:type="pct"/>
                  <w:vMerge w:val="restart"/>
                  <w:tcBorders>
                    <w:tl2br w:val="nil"/>
                    <w:tr2bl w:val="nil"/>
                  </w:tcBorders>
                  <w:shd w:val="clear" w:color="000000" w:themeColor="text1" w:fill="auto"/>
                  <w:vAlign w:val="center"/>
                </w:tcPr>
                <w:p w14:paraId="11FF60CB">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预测点位置</w:t>
                  </w:r>
                </w:p>
              </w:tc>
              <w:tc>
                <w:tcPr>
                  <w:tcW w:w="952" w:type="pct"/>
                  <w:gridSpan w:val="2"/>
                  <w:tcBorders>
                    <w:tl2br w:val="nil"/>
                    <w:tr2bl w:val="nil"/>
                  </w:tcBorders>
                  <w:shd w:val="clear" w:color="000000" w:themeColor="text1" w:fill="auto"/>
                  <w:vAlign w:val="center"/>
                </w:tcPr>
                <w:p w14:paraId="0B4B8B11">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lang w:val="en-US" w:eastAsia="zh-CN"/>
                    </w:rPr>
                    <w:t>相对坐标</w:t>
                  </w:r>
                </w:p>
              </w:tc>
              <w:tc>
                <w:tcPr>
                  <w:tcW w:w="925" w:type="pct"/>
                  <w:gridSpan w:val="2"/>
                  <w:tcBorders>
                    <w:tl2br w:val="nil"/>
                    <w:tr2bl w:val="nil"/>
                  </w:tcBorders>
                  <w:shd w:val="clear" w:color="000000" w:themeColor="text1" w:fill="auto"/>
                  <w:vAlign w:val="center"/>
                </w:tcPr>
                <w:p w14:paraId="362482EC">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贡献值</w:t>
                  </w:r>
                </w:p>
                <w:p w14:paraId="0CB83C9B">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[dB（A）]</w:t>
                  </w:r>
                </w:p>
              </w:tc>
              <w:tc>
                <w:tcPr>
                  <w:tcW w:w="926" w:type="pct"/>
                  <w:gridSpan w:val="2"/>
                  <w:tcBorders>
                    <w:tl2br w:val="nil"/>
                    <w:tr2bl w:val="nil"/>
                  </w:tcBorders>
                  <w:shd w:val="clear" w:color="000000" w:themeColor="text1" w:fill="auto"/>
                  <w:vAlign w:val="center"/>
                </w:tcPr>
                <w:p w14:paraId="00963B27">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标准值</w:t>
                  </w:r>
                </w:p>
                <w:p w14:paraId="755C4544">
                  <w:pPr>
                    <w:jc w:val="center"/>
                    <w:rPr>
                      <w:rFonts w:hint="default" w:ascii="Times New Roman" w:hAnsi="Times New Roman" w:cs="Times New Roman"/>
                      <w:b/>
                      <w:bCs/>
                      <w:color w:val="auto"/>
                      <w:szCs w:val="21"/>
                    </w:rPr>
                  </w:pPr>
                  <w:r>
                    <w:rPr>
                      <w:rFonts w:hint="default" w:ascii="Times New Roman" w:hAnsi="Times New Roman" w:eastAsia="仿宋" w:cs="Times New Roman"/>
                      <w:b/>
                      <w:bCs/>
                      <w:color w:val="auto"/>
                      <w:szCs w:val="21"/>
                    </w:rPr>
                    <w:t>[</w:t>
                  </w:r>
                  <w:r>
                    <w:rPr>
                      <w:rFonts w:hint="default" w:ascii="Times New Roman" w:hAnsi="Times New Roman" w:cs="Times New Roman"/>
                      <w:b/>
                      <w:bCs/>
                      <w:color w:val="auto"/>
                      <w:szCs w:val="21"/>
                    </w:rPr>
                    <w:t>dB（A）</w:t>
                  </w:r>
                  <w:r>
                    <w:rPr>
                      <w:rFonts w:hint="default" w:ascii="Times New Roman" w:hAnsi="Times New Roman" w:eastAsia="仿宋" w:cs="Times New Roman"/>
                      <w:b/>
                      <w:bCs/>
                      <w:color w:val="auto"/>
                      <w:szCs w:val="21"/>
                    </w:rPr>
                    <w:t>]</w:t>
                  </w:r>
                </w:p>
              </w:tc>
              <w:tc>
                <w:tcPr>
                  <w:tcW w:w="497" w:type="pct"/>
                  <w:vMerge w:val="restart"/>
                  <w:tcBorders>
                    <w:tl2br w:val="nil"/>
                    <w:tr2bl w:val="nil"/>
                  </w:tcBorders>
                  <w:shd w:val="clear" w:color="000000" w:themeColor="text1" w:fill="auto"/>
                  <w:vAlign w:val="center"/>
                </w:tcPr>
                <w:p w14:paraId="57D76D07">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预测结果</w:t>
                  </w:r>
                </w:p>
              </w:tc>
            </w:tr>
            <w:tr w14:paraId="689E1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59" w:type="pct"/>
                  <w:vMerge w:val="continue"/>
                  <w:tcBorders>
                    <w:tl2br w:val="nil"/>
                    <w:tr2bl w:val="nil"/>
                  </w:tcBorders>
                  <w:vAlign w:val="center"/>
                </w:tcPr>
                <w:p w14:paraId="1E9B8F4A">
                  <w:pPr>
                    <w:jc w:val="center"/>
                    <w:rPr>
                      <w:rFonts w:hint="default" w:ascii="Times New Roman" w:hAnsi="Times New Roman" w:cs="Times New Roman"/>
                      <w:color w:val="auto"/>
                      <w:szCs w:val="21"/>
                    </w:rPr>
                  </w:pPr>
                </w:p>
              </w:tc>
              <w:tc>
                <w:tcPr>
                  <w:tcW w:w="1237" w:type="pct"/>
                  <w:vMerge w:val="continue"/>
                  <w:tcBorders>
                    <w:tl2br w:val="nil"/>
                    <w:tr2bl w:val="nil"/>
                  </w:tcBorders>
                  <w:vAlign w:val="center"/>
                </w:tcPr>
                <w:p w14:paraId="48BB3A1E">
                  <w:pPr>
                    <w:jc w:val="center"/>
                    <w:rPr>
                      <w:rFonts w:hint="default" w:ascii="Times New Roman" w:hAnsi="Times New Roman" w:cs="Times New Roman"/>
                      <w:color w:val="auto"/>
                      <w:szCs w:val="21"/>
                    </w:rPr>
                  </w:pPr>
                </w:p>
              </w:tc>
              <w:tc>
                <w:tcPr>
                  <w:tcW w:w="454" w:type="pct"/>
                  <w:tcBorders>
                    <w:tl2br w:val="nil"/>
                    <w:tr2bl w:val="nil"/>
                  </w:tcBorders>
                  <w:shd w:val="clear" w:color="000000" w:themeColor="text1" w:fill="auto"/>
                  <w:vAlign w:val="center"/>
                </w:tcPr>
                <w:p w14:paraId="701BCEE3">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X</w:t>
                  </w:r>
                </w:p>
              </w:tc>
              <w:tc>
                <w:tcPr>
                  <w:tcW w:w="498" w:type="pct"/>
                  <w:tcBorders>
                    <w:tl2br w:val="nil"/>
                    <w:tr2bl w:val="nil"/>
                  </w:tcBorders>
                  <w:shd w:val="clear" w:color="000000" w:themeColor="text1" w:fill="auto"/>
                  <w:vAlign w:val="center"/>
                </w:tcPr>
                <w:p w14:paraId="52F86A72">
                  <w:pPr>
                    <w:jc w:val="center"/>
                    <w:rPr>
                      <w:rFonts w:hint="default" w:ascii="Times New Roman" w:hAnsi="Times New Roman" w:cs="Times New Roman"/>
                      <w:color w:val="auto"/>
                    </w:rPr>
                  </w:pPr>
                  <w:r>
                    <w:rPr>
                      <w:rFonts w:hint="default" w:ascii="Times New Roman" w:hAnsi="Times New Roman" w:cs="Times New Roman"/>
                      <w:color w:val="auto"/>
                      <w:szCs w:val="21"/>
                      <w:lang w:val="en-US" w:eastAsia="zh-CN"/>
                    </w:rPr>
                    <w:t>Y</w:t>
                  </w:r>
                </w:p>
              </w:tc>
              <w:tc>
                <w:tcPr>
                  <w:tcW w:w="460" w:type="pct"/>
                  <w:tcBorders>
                    <w:tl2br w:val="nil"/>
                    <w:tr2bl w:val="nil"/>
                  </w:tcBorders>
                  <w:shd w:val="clear" w:color="000000" w:themeColor="text1" w:fill="auto"/>
                  <w:vAlign w:val="center"/>
                </w:tcPr>
                <w:p w14:paraId="576B77FE">
                  <w:pPr>
                    <w:pStyle w:val="82"/>
                    <w:snapToGrid w:val="0"/>
                    <w:spacing w:before="0" w:after="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465" w:type="pct"/>
                  <w:tcBorders>
                    <w:tl2br w:val="nil"/>
                    <w:tr2bl w:val="nil"/>
                  </w:tcBorders>
                  <w:shd w:val="clear" w:color="000000" w:themeColor="text1" w:fill="auto"/>
                  <w:vAlign w:val="center"/>
                </w:tcPr>
                <w:p w14:paraId="2365664B">
                  <w:pPr>
                    <w:pStyle w:val="82"/>
                    <w:snapToGrid w:val="0"/>
                    <w:spacing w:before="0" w:after="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c>
                <w:tcPr>
                  <w:tcW w:w="460" w:type="pct"/>
                  <w:tcBorders>
                    <w:tl2br w:val="nil"/>
                    <w:tr2bl w:val="nil"/>
                  </w:tcBorders>
                  <w:shd w:val="clear" w:color="000000" w:themeColor="text1" w:fill="auto"/>
                  <w:vAlign w:val="center"/>
                </w:tcPr>
                <w:p w14:paraId="367F6217">
                  <w:pPr>
                    <w:pStyle w:val="82"/>
                    <w:snapToGrid w:val="0"/>
                    <w:spacing w:before="0" w:after="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466" w:type="pct"/>
                  <w:tcBorders>
                    <w:tl2br w:val="nil"/>
                    <w:tr2bl w:val="nil"/>
                  </w:tcBorders>
                  <w:shd w:val="clear" w:color="000000" w:themeColor="text1" w:fill="auto"/>
                  <w:vAlign w:val="center"/>
                </w:tcPr>
                <w:p w14:paraId="56A47E23">
                  <w:pPr>
                    <w:pStyle w:val="82"/>
                    <w:snapToGrid w:val="0"/>
                    <w:spacing w:before="0" w:after="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c>
                <w:tcPr>
                  <w:tcW w:w="497" w:type="pct"/>
                  <w:vMerge w:val="continue"/>
                  <w:tcBorders>
                    <w:tl2br w:val="nil"/>
                    <w:tr2bl w:val="nil"/>
                  </w:tcBorders>
                  <w:vAlign w:val="center"/>
                </w:tcPr>
                <w:p w14:paraId="0074C752">
                  <w:pPr>
                    <w:jc w:val="center"/>
                    <w:rPr>
                      <w:rFonts w:hint="default" w:ascii="Times New Roman" w:hAnsi="Times New Roman" w:cs="Times New Roman"/>
                      <w:color w:val="auto"/>
                      <w:szCs w:val="21"/>
                    </w:rPr>
                  </w:pPr>
                </w:p>
              </w:tc>
            </w:tr>
            <w:tr w14:paraId="24F56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59" w:type="pct"/>
                  <w:tcBorders>
                    <w:tl2br w:val="nil"/>
                    <w:tr2bl w:val="nil"/>
                  </w:tcBorders>
                  <w:vAlign w:val="center"/>
                </w:tcPr>
                <w:p w14:paraId="0A4B1222">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N1</w:t>
                  </w:r>
                </w:p>
              </w:tc>
              <w:tc>
                <w:tcPr>
                  <w:tcW w:w="1237" w:type="pct"/>
                  <w:tcBorders>
                    <w:tl2br w:val="nil"/>
                    <w:tr2bl w:val="nil"/>
                  </w:tcBorders>
                  <w:vAlign w:val="center"/>
                </w:tcPr>
                <w:p w14:paraId="7A50F538">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项目北面厂界外1m</w:t>
                  </w:r>
                </w:p>
              </w:tc>
              <w:tc>
                <w:tcPr>
                  <w:tcW w:w="454" w:type="pct"/>
                  <w:tcBorders>
                    <w:tl2br w:val="nil"/>
                    <w:tr2bl w:val="nil"/>
                  </w:tcBorders>
                  <w:shd w:val="clear" w:color="auto" w:fill="auto"/>
                  <w:vAlign w:val="center"/>
                </w:tcPr>
                <w:p w14:paraId="4CF79A3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22.33</w:t>
                  </w:r>
                </w:p>
              </w:tc>
              <w:tc>
                <w:tcPr>
                  <w:tcW w:w="498" w:type="pct"/>
                  <w:tcBorders>
                    <w:tl2br w:val="nil"/>
                    <w:tr2bl w:val="nil"/>
                  </w:tcBorders>
                  <w:shd w:val="clear" w:color="auto" w:fill="auto"/>
                  <w:vAlign w:val="center"/>
                </w:tcPr>
                <w:p w14:paraId="76DDF66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112.13</w:t>
                  </w:r>
                </w:p>
              </w:tc>
              <w:tc>
                <w:tcPr>
                  <w:tcW w:w="460" w:type="pct"/>
                  <w:tcBorders>
                    <w:tl2br w:val="nil"/>
                    <w:tr2bl w:val="nil"/>
                  </w:tcBorders>
                  <w:shd w:val="clear" w:color="auto" w:fill="auto"/>
                  <w:vAlign w:val="center"/>
                </w:tcPr>
                <w:p w14:paraId="1328C37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35.24</w:t>
                  </w:r>
                </w:p>
              </w:tc>
              <w:tc>
                <w:tcPr>
                  <w:tcW w:w="465" w:type="pct"/>
                  <w:tcBorders>
                    <w:tl2br w:val="nil"/>
                    <w:tr2bl w:val="nil"/>
                  </w:tcBorders>
                  <w:shd w:val="clear" w:color="auto" w:fill="auto"/>
                  <w:vAlign w:val="center"/>
                </w:tcPr>
                <w:p w14:paraId="343C065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35.24</w:t>
                  </w:r>
                </w:p>
              </w:tc>
              <w:tc>
                <w:tcPr>
                  <w:tcW w:w="460" w:type="pct"/>
                  <w:tcBorders>
                    <w:tl2br w:val="nil"/>
                    <w:tr2bl w:val="nil"/>
                  </w:tcBorders>
                  <w:vAlign w:val="center"/>
                </w:tcPr>
                <w:p w14:paraId="0896CFC6">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0</w:t>
                  </w:r>
                </w:p>
              </w:tc>
              <w:tc>
                <w:tcPr>
                  <w:tcW w:w="466" w:type="pct"/>
                  <w:tcBorders>
                    <w:tl2br w:val="nil"/>
                    <w:tr2bl w:val="nil"/>
                  </w:tcBorders>
                  <w:vAlign w:val="center"/>
                </w:tcPr>
                <w:p w14:paraId="75AFC392">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0</w:t>
                  </w:r>
                </w:p>
              </w:tc>
              <w:tc>
                <w:tcPr>
                  <w:tcW w:w="497" w:type="pct"/>
                  <w:tcBorders>
                    <w:tl2br w:val="nil"/>
                    <w:tr2bl w:val="nil"/>
                  </w:tcBorders>
                  <w:vAlign w:val="center"/>
                </w:tcPr>
                <w:p w14:paraId="1B7DE73F">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14:paraId="10381E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59" w:type="pct"/>
                  <w:tcBorders>
                    <w:tl2br w:val="nil"/>
                    <w:tr2bl w:val="nil"/>
                  </w:tcBorders>
                  <w:vAlign w:val="center"/>
                </w:tcPr>
                <w:p w14:paraId="2A927FE5">
                  <w:pPr>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eastAsia="zh-CN"/>
                    </w:rPr>
                    <w:t>N2</w:t>
                  </w:r>
                </w:p>
              </w:tc>
              <w:tc>
                <w:tcPr>
                  <w:tcW w:w="1237" w:type="pct"/>
                  <w:tcBorders>
                    <w:tl2br w:val="nil"/>
                    <w:tr2bl w:val="nil"/>
                  </w:tcBorders>
                  <w:vAlign w:val="center"/>
                </w:tcPr>
                <w:p w14:paraId="64C1B5A6">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项目东面厂界外1m</w:t>
                  </w:r>
                </w:p>
              </w:tc>
              <w:tc>
                <w:tcPr>
                  <w:tcW w:w="454" w:type="pct"/>
                  <w:tcBorders>
                    <w:tl2br w:val="nil"/>
                    <w:tr2bl w:val="nil"/>
                  </w:tcBorders>
                  <w:shd w:val="clear" w:color="auto" w:fill="auto"/>
                  <w:vAlign w:val="center"/>
                </w:tcPr>
                <w:p w14:paraId="0870E8A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56.50</w:t>
                  </w:r>
                </w:p>
              </w:tc>
              <w:tc>
                <w:tcPr>
                  <w:tcW w:w="498" w:type="pct"/>
                  <w:tcBorders>
                    <w:tl2br w:val="nil"/>
                    <w:tr2bl w:val="nil"/>
                  </w:tcBorders>
                  <w:shd w:val="clear" w:color="auto" w:fill="auto"/>
                  <w:vAlign w:val="center"/>
                </w:tcPr>
                <w:p w14:paraId="7F97E03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-6.38</w:t>
                  </w:r>
                </w:p>
              </w:tc>
              <w:tc>
                <w:tcPr>
                  <w:tcW w:w="460" w:type="pct"/>
                  <w:tcBorders>
                    <w:tl2br w:val="nil"/>
                    <w:tr2bl w:val="nil"/>
                  </w:tcBorders>
                  <w:shd w:val="clear" w:color="auto" w:fill="auto"/>
                  <w:vAlign w:val="center"/>
                </w:tcPr>
                <w:p w14:paraId="212E79F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48.83</w:t>
                  </w:r>
                </w:p>
              </w:tc>
              <w:tc>
                <w:tcPr>
                  <w:tcW w:w="465" w:type="pct"/>
                  <w:tcBorders>
                    <w:tl2br w:val="nil"/>
                    <w:tr2bl w:val="nil"/>
                  </w:tcBorders>
                  <w:shd w:val="clear" w:color="auto" w:fill="auto"/>
                  <w:vAlign w:val="center"/>
                </w:tcPr>
                <w:p w14:paraId="25DF595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48.83</w:t>
                  </w:r>
                </w:p>
              </w:tc>
              <w:tc>
                <w:tcPr>
                  <w:tcW w:w="460" w:type="pct"/>
                  <w:tcBorders>
                    <w:tl2br w:val="nil"/>
                    <w:tr2bl w:val="nil"/>
                  </w:tcBorders>
                  <w:shd w:val="clear" w:color="auto" w:fill="auto"/>
                  <w:vAlign w:val="center"/>
                </w:tcPr>
                <w:p w14:paraId="683E9F0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0</w:t>
                  </w:r>
                </w:p>
              </w:tc>
              <w:tc>
                <w:tcPr>
                  <w:tcW w:w="466" w:type="pct"/>
                  <w:tcBorders>
                    <w:tl2br w:val="nil"/>
                    <w:tr2bl w:val="nil"/>
                  </w:tcBorders>
                  <w:shd w:val="clear" w:color="auto" w:fill="auto"/>
                  <w:vAlign w:val="center"/>
                </w:tcPr>
                <w:p w14:paraId="6E06A52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0</w:t>
                  </w:r>
                </w:p>
              </w:tc>
              <w:tc>
                <w:tcPr>
                  <w:tcW w:w="497" w:type="pct"/>
                  <w:tcBorders>
                    <w:tl2br w:val="nil"/>
                    <w:tr2bl w:val="nil"/>
                  </w:tcBorders>
                  <w:vAlign w:val="center"/>
                </w:tcPr>
                <w:p w14:paraId="1687A409">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14:paraId="53B20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59" w:type="pct"/>
                  <w:tcBorders>
                    <w:tl2br w:val="nil"/>
                    <w:tr2bl w:val="nil"/>
                  </w:tcBorders>
                  <w:vAlign w:val="center"/>
                </w:tcPr>
                <w:p w14:paraId="41158B44">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N3</w:t>
                  </w:r>
                </w:p>
              </w:tc>
              <w:tc>
                <w:tcPr>
                  <w:tcW w:w="1237" w:type="pct"/>
                  <w:tcBorders>
                    <w:tl2br w:val="nil"/>
                    <w:tr2bl w:val="nil"/>
                  </w:tcBorders>
                  <w:vAlign w:val="center"/>
                </w:tcPr>
                <w:p w14:paraId="72D00BA5">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项目南面厂界外1m</w:t>
                  </w:r>
                </w:p>
              </w:tc>
              <w:tc>
                <w:tcPr>
                  <w:tcW w:w="454" w:type="pct"/>
                  <w:tcBorders>
                    <w:tl2br w:val="nil"/>
                    <w:tr2bl w:val="nil"/>
                  </w:tcBorders>
                  <w:shd w:val="clear" w:color="auto" w:fill="auto"/>
                  <w:vAlign w:val="center"/>
                </w:tcPr>
                <w:p w14:paraId="0FCBEBF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-8.81</w:t>
                  </w:r>
                </w:p>
              </w:tc>
              <w:tc>
                <w:tcPr>
                  <w:tcW w:w="498" w:type="pct"/>
                  <w:tcBorders>
                    <w:tl2br w:val="nil"/>
                    <w:tr2bl w:val="nil"/>
                  </w:tcBorders>
                  <w:shd w:val="clear" w:color="auto" w:fill="auto"/>
                  <w:vAlign w:val="center"/>
                </w:tcPr>
                <w:p w14:paraId="2C3CD8E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-104.57</w:t>
                  </w:r>
                </w:p>
              </w:tc>
              <w:tc>
                <w:tcPr>
                  <w:tcW w:w="460" w:type="pct"/>
                  <w:tcBorders>
                    <w:tl2br w:val="nil"/>
                    <w:tr2bl w:val="nil"/>
                  </w:tcBorders>
                  <w:shd w:val="clear" w:color="auto" w:fill="auto"/>
                  <w:vAlign w:val="center"/>
                </w:tcPr>
                <w:p w14:paraId="7DB3C97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49.74</w:t>
                  </w:r>
                </w:p>
              </w:tc>
              <w:tc>
                <w:tcPr>
                  <w:tcW w:w="465" w:type="pct"/>
                  <w:tcBorders>
                    <w:tl2br w:val="nil"/>
                    <w:tr2bl w:val="nil"/>
                  </w:tcBorders>
                  <w:shd w:val="clear" w:color="auto" w:fill="auto"/>
                  <w:vAlign w:val="center"/>
                </w:tcPr>
                <w:p w14:paraId="3251B48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49.74</w:t>
                  </w:r>
                </w:p>
              </w:tc>
              <w:tc>
                <w:tcPr>
                  <w:tcW w:w="460" w:type="pct"/>
                  <w:tcBorders>
                    <w:tl2br w:val="nil"/>
                    <w:tr2bl w:val="nil"/>
                  </w:tcBorders>
                  <w:shd w:val="clear" w:color="auto" w:fill="auto"/>
                  <w:vAlign w:val="center"/>
                </w:tcPr>
                <w:p w14:paraId="36A8C23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0</w:t>
                  </w:r>
                </w:p>
              </w:tc>
              <w:tc>
                <w:tcPr>
                  <w:tcW w:w="466" w:type="pct"/>
                  <w:tcBorders>
                    <w:tl2br w:val="nil"/>
                    <w:tr2bl w:val="nil"/>
                  </w:tcBorders>
                  <w:shd w:val="clear" w:color="auto" w:fill="auto"/>
                  <w:vAlign w:val="center"/>
                </w:tcPr>
                <w:p w14:paraId="0D6DB60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0</w:t>
                  </w:r>
                </w:p>
              </w:tc>
              <w:tc>
                <w:tcPr>
                  <w:tcW w:w="497" w:type="pct"/>
                  <w:tcBorders>
                    <w:tl2br w:val="nil"/>
                    <w:tr2bl w:val="nil"/>
                  </w:tcBorders>
                  <w:vAlign w:val="center"/>
                </w:tcPr>
                <w:p w14:paraId="13FE27E9">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14:paraId="1BA7EE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59" w:type="pct"/>
                  <w:tcBorders>
                    <w:tl2br w:val="nil"/>
                    <w:tr2bl w:val="nil"/>
                  </w:tcBorders>
                  <w:vAlign w:val="center"/>
                </w:tcPr>
                <w:p w14:paraId="0F7B29CB">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N4</w:t>
                  </w:r>
                </w:p>
              </w:tc>
              <w:tc>
                <w:tcPr>
                  <w:tcW w:w="1237" w:type="pct"/>
                  <w:tcBorders>
                    <w:tl2br w:val="nil"/>
                    <w:tr2bl w:val="nil"/>
                  </w:tcBorders>
                  <w:vAlign w:val="center"/>
                </w:tcPr>
                <w:p w14:paraId="1A958744">
                  <w:pPr>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项目西面厂界外1m</w:t>
                  </w:r>
                </w:p>
              </w:tc>
              <w:tc>
                <w:tcPr>
                  <w:tcW w:w="454" w:type="pct"/>
                  <w:tcBorders>
                    <w:tl2br w:val="nil"/>
                    <w:tr2bl w:val="nil"/>
                  </w:tcBorders>
                  <w:shd w:val="clear" w:color="auto" w:fill="auto"/>
                  <w:vAlign w:val="center"/>
                </w:tcPr>
                <w:p w14:paraId="275DAA3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-36.93</w:t>
                  </w:r>
                </w:p>
              </w:tc>
              <w:tc>
                <w:tcPr>
                  <w:tcW w:w="498" w:type="pct"/>
                  <w:tcBorders>
                    <w:tl2br w:val="nil"/>
                    <w:tr2bl w:val="nil"/>
                  </w:tcBorders>
                  <w:shd w:val="clear" w:color="auto" w:fill="auto"/>
                  <w:vAlign w:val="center"/>
                </w:tcPr>
                <w:p w14:paraId="63DA925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17.84</w:t>
                  </w:r>
                </w:p>
              </w:tc>
              <w:tc>
                <w:tcPr>
                  <w:tcW w:w="460" w:type="pct"/>
                  <w:tcBorders>
                    <w:tl2br w:val="nil"/>
                    <w:tr2bl w:val="nil"/>
                  </w:tcBorders>
                  <w:shd w:val="clear" w:color="auto" w:fill="auto"/>
                  <w:vAlign w:val="center"/>
                </w:tcPr>
                <w:p w14:paraId="22CE142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41.19</w:t>
                  </w:r>
                </w:p>
              </w:tc>
              <w:tc>
                <w:tcPr>
                  <w:tcW w:w="465" w:type="pct"/>
                  <w:tcBorders>
                    <w:tl2br w:val="nil"/>
                    <w:tr2bl w:val="nil"/>
                  </w:tcBorders>
                  <w:shd w:val="clear" w:color="auto" w:fill="auto"/>
                  <w:vAlign w:val="center"/>
                </w:tcPr>
                <w:p w14:paraId="226B2FF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41.19</w:t>
                  </w:r>
                </w:p>
              </w:tc>
              <w:tc>
                <w:tcPr>
                  <w:tcW w:w="460" w:type="pct"/>
                  <w:tcBorders>
                    <w:tl2br w:val="nil"/>
                    <w:tr2bl w:val="nil"/>
                  </w:tcBorders>
                  <w:shd w:val="clear" w:color="auto" w:fill="auto"/>
                  <w:vAlign w:val="center"/>
                </w:tcPr>
                <w:p w14:paraId="18A1B6A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0</w:t>
                  </w:r>
                </w:p>
              </w:tc>
              <w:tc>
                <w:tcPr>
                  <w:tcW w:w="466" w:type="pct"/>
                  <w:tcBorders>
                    <w:tl2br w:val="nil"/>
                    <w:tr2bl w:val="nil"/>
                  </w:tcBorders>
                  <w:shd w:val="clear" w:color="auto" w:fill="auto"/>
                  <w:vAlign w:val="center"/>
                </w:tcPr>
                <w:p w14:paraId="65EB853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0</w:t>
                  </w:r>
                </w:p>
              </w:tc>
              <w:tc>
                <w:tcPr>
                  <w:tcW w:w="497" w:type="pct"/>
                  <w:tcBorders>
                    <w:tl2br w:val="nil"/>
                    <w:tr2bl w:val="nil"/>
                  </w:tcBorders>
                  <w:vAlign w:val="center"/>
                </w:tcPr>
                <w:p w14:paraId="68EB5BC5">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bl>
          <w:p w14:paraId="664E5E2E">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由预测结果可知，</w:t>
            </w:r>
            <w:r>
              <w:rPr>
                <w:rFonts w:hint="default" w:ascii="Times New Roman" w:hAnsi="Times New Roman" w:cs="Times New Roman"/>
                <w:color w:val="auto"/>
                <w:sz w:val="24"/>
                <w:szCs w:val="24"/>
                <w:lang w:eastAsia="zh-CN"/>
              </w:rPr>
              <w:t>运营期</w:t>
            </w:r>
            <w:r>
              <w:rPr>
                <w:rFonts w:hint="default" w:ascii="Times New Roman" w:hAnsi="Times New Roman" w:cs="Times New Roman"/>
                <w:color w:val="auto"/>
                <w:sz w:val="24"/>
                <w:szCs w:val="24"/>
              </w:rPr>
              <w:t>昼间和夜间厂界四周预测点噪声排放值均满足《工业企业厂界环境噪声排放标准》（GB12348-2008）</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类标准，可实现达标排放。因此，本项目噪声不会对区域声环境造成影响。</w:t>
            </w:r>
          </w:p>
          <w:p w14:paraId="226C7992">
            <w:pPr>
              <w:spacing w:line="360" w:lineRule="auto"/>
              <w:ind w:firstLine="361" w:firstLineChars="15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（3）监测要求</w:t>
            </w:r>
          </w:p>
          <w:p w14:paraId="3685C4D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本次环评根据《排污单位自行监测技术指南 总则》（HJ819-2017）提出项目生产运行阶段的污染源监测计划，详见下表：</w:t>
            </w:r>
          </w:p>
          <w:p w14:paraId="25B516F8">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lang w:val="en-US" w:eastAsia="zh-CN" w:bidi="ar-SA"/>
              </w:rPr>
            </w:pPr>
            <w:r>
              <w:rPr>
                <w:rFonts w:hint="default" w:ascii="Times New Roman" w:hAnsi="Times New Roman" w:eastAsia="黑体" w:cs="Times New Roman"/>
                <w:b/>
                <w:bCs/>
                <w:color w:val="auto"/>
                <w:kern w:val="0"/>
                <w:sz w:val="21"/>
                <w:szCs w:val="21"/>
                <w:highlight w:val="none"/>
                <w:lang w:val="en-US" w:eastAsia="zh-CN" w:bidi="ar-SA"/>
              </w:rPr>
              <w:t xml:space="preserve">表4-22  </w:t>
            </w:r>
            <w:r>
              <w:rPr>
                <w:rFonts w:hint="default" w:ascii="Times New Roman" w:hAnsi="Times New Roman" w:eastAsia="黑体" w:cs="Times New Roman"/>
                <w:b/>
                <w:bCs/>
                <w:color w:val="auto"/>
                <w:kern w:val="0"/>
                <w:sz w:val="21"/>
                <w:szCs w:val="21"/>
                <w:lang w:val="en-US" w:eastAsia="zh-CN" w:bidi="ar-SA"/>
              </w:rPr>
              <w:t>噪声监测方案</w:t>
            </w:r>
          </w:p>
          <w:tbl>
            <w:tblPr>
              <w:tblStyle w:val="29"/>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21"/>
              <w:gridCol w:w="2071"/>
              <w:gridCol w:w="1115"/>
              <w:gridCol w:w="3802"/>
            </w:tblGrid>
            <w:tr w14:paraId="0838E6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tcBorders>
                    <w:tl2br w:val="nil"/>
                    <w:tr2bl w:val="nil"/>
                  </w:tcBorders>
                  <w:shd w:val="clear" w:color="auto" w:fill="auto"/>
                  <w:vAlign w:val="center"/>
                </w:tcPr>
                <w:p w14:paraId="3C7B1A40">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监测点位</w:t>
                  </w:r>
                </w:p>
              </w:tc>
              <w:tc>
                <w:tcPr>
                  <w:tcW w:w="2060" w:type="dxa"/>
                  <w:tcBorders>
                    <w:tl2br w:val="nil"/>
                    <w:tr2bl w:val="nil"/>
                  </w:tcBorders>
                  <w:shd w:val="clear" w:color="auto" w:fill="auto"/>
                  <w:vAlign w:val="center"/>
                </w:tcPr>
                <w:p w14:paraId="2FC08058">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监测指标</w:t>
                  </w:r>
                </w:p>
              </w:tc>
              <w:tc>
                <w:tcPr>
                  <w:tcW w:w="1109" w:type="dxa"/>
                  <w:tcBorders>
                    <w:tl2br w:val="nil"/>
                    <w:tr2bl w:val="nil"/>
                  </w:tcBorders>
                  <w:shd w:val="clear" w:color="auto" w:fill="auto"/>
                  <w:vAlign w:val="center"/>
                </w:tcPr>
                <w:p w14:paraId="098AC0ED">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监测频次</w:t>
                  </w:r>
                </w:p>
              </w:tc>
              <w:tc>
                <w:tcPr>
                  <w:tcW w:w="3781" w:type="dxa"/>
                  <w:tcBorders>
                    <w:tl2br w:val="nil"/>
                    <w:tr2bl w:val="nil"/>
                  </w:tcBorders>
                </w:tcPr>
                <w:p w14:paraId="24F56AF1">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执行排放标准</w:t>
                  </w:r>
                </w:p>
              </w:tc>
            </w:tr>
            <w:tr w14:paraId="622E6A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2" w:type="dxa"/>
                  <w:tcBorders>
                    <w:tl2br w:val="nil"/>
                    <w:tr2bl w:val="nil"/>
                  </w:tcBorders>
                  <w:shd w:val="clear" w:color="auto" w:fill="auto"/>
                  <w:vAlign w:val="center"/>
                </w:tcPr>
                <w:p w14:paraId="3236406B">
                  <w:pPr>
                    <w:jc w:val="center"/>
                    <w:rPr>
                      <w:rFonts w:hint="default" w:ascii="Times New Roman" w:hAnsi="Times New Roman" w:cs="Times New Roman"/>
                      <w:color w:val="auto"/>
                      <w:szCs w:val="21"/>
                    </w:rPr>
                  </w:pPr>
                  <w:r>
                    <w:rPr>
                      <w:rFonts w:hint="default" w:ascii="Times New Roman" w:hAnsi="Times New Roman" w:cs="Times New Roman"/>
                      <w:color w:val="auto"/>
                      <w:szCs w:val="21"/>
                    </w:rPr>
                    <w:t>项目厂界四周（厂界外1m处）</w:t>
                  </w:r>
                </w:p>
              </w:tc>
              <w:tc>
                <w:tcPr>
                  <w:tcW w:w="2060" w:type="dxa"/>
                  <w:tcBorders>
                    <w:tl2br w:val="nil"/>
                    <w:tr2bl w:val="nil"/>
                  </w:tcBorders>
                  <w:shd w:val="clear" w:color="auto" w:fill="auto"/>
                  <w:vAlign w:val="center"/>
                </w:tcPr>
                <w:p w14:paraId="47497FC8">
                  <w:pPr>
                    <w:jc w:val="center"/>
                    <w:rPr>
                      <w:rFonts w:hint="default" w:ascii="Times New Roman" w:hAnsi="Times New Roman" w:cs="Times New Roman"/>
                      <w:color w:val="auto"/>
                      <w:szCs w:val="21"/>
                    </w:rPr>
                  </w:pPr>
                  <w:r>
                    <w:rPr>
                      <w:rFonts w:hint="default" w:ascii="Times New Roman" w:hAnsi="Times New Roman" w:cs="Times New Roman"/>
                      <w:color w:val="auto"/>
                      <w:szCs w:val="21"/>
                    </w:rPr>
                    <w:t>昼夜等效连续 A 声级</w:t>
                  </w:r>
                </w:p>
              </w:tc>
              <w:tc>
                <w:tcPr>
                  <w:tcW w:w="1109" w:type="dxa"/>
                  <w:tcBorders>
                    <w:tl2br w:val="nil"/>
                    <w:tr2bl w:val="nil"/>
                  </w:tcBorders>
                  <w:shd w:val="clear" w:color="auto" w:fill="auto"/>
                  <w:vAlign w:val="center"/>
                </w:tcPr>
                <w:p w14:paraId="4BBEB3D3">
                  <w:pPr>
                    <w:jc w:val="center"/>
                    <w:rPr>
                      <w:rFonts w:hint="default" w:ascii="Times New Roman" w:hAnsi="Times New Roman" w:cs="Times New Roman"/>
                      <w:color w:val="auto"/>
                      <w:szCs w:val="21"/>
                    </w:rPr>
                  </w:pPr>
                  <w:r>
                    <w:rPr>
                      <w:rFonts w:hint="default" w:ascii="Times New Roman" w:hAnsi="Times New Roman" w:cs="Times New Roman"/>
                      <w:color w:val="auto"/>
                      <w:szCs w:val="21"/>
                    </w:rPr>
                    <w:t>1季度/次</w:t>
                  </w:r>
                </w:p>
              </w:tc>
              <w:tc>
                <w:tcPr>
                  <w:tcW w:w="3781" w:type="dxa"/>
                  <w:tcBorders>
                    <w:tl2br w:val="nil"/>
                    <w:tr2bl w:val="nil"/>
                  </w:tcBorders>
                  <w:vAlign w:val="center"/>
                </w:tcPr>
                <w:p w14:paraId="54D90C75">
                  <w:pPr>
                    <w:jc w:val="center"/>
                    <w:rPr>
                      <w:rFonts w:hint="default" w:ascii="Times New Roman" w:hAnsi="Times New Roman" w:cs="Times New Roman"/>
                      <w:color w:val="auto"/>
                      <w:szCs w:val="21"/>
                    </w:rPr>
                  </w:pPr>
                  <w:r>
                    <w:rPr>
                      <w:rFonts w:hint="default" w:ascii="Times New Roman" w:hAnsi="Times New Roman" w:cs="Times New Roman"/>
                      <w:color w:val="auto"/>
                      <w:szCs w:val="21"/>
                    </w:rPr>
                    <w:t>《工业企业厂界环境噪声排放标准》（GB12348-2008）</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类标准</w:t>
                  </w:r>
                </w:p>
              </w:tc>
            </w:tr>
          </w:tbl>
          <w:p w14:paraId="2F19773A">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4、固体废物</w:t>
            </w:r>
          </w:p>
          <w:p w14:paraId="74F42B02">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本项目固体废物包含一般固体废物和危险废物。</w:t>
            </w:r>
          </w:p>
          <w:p w14:paraId="559A28ED">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一般固体废物：生活垃圾、</w:t>
            </w:r>
            <w:r>
              <w:rPr>
                <w:rFonts w:hint="default" w:ascii="Times New Roman" w:hAnsi="Times New Roman" w:cs="Times New Roman"/>
                <w:color w:val="auto"/>
                <w:sz w:val="24"/>
                <w:szCs w:val="24"/>
                <w:lang w:val="en-US" w:eastAsia="zh-CN"/>
              </w:rPr>
              <w:t>除尘器收尘、</w:t>
            </w:r>
            <w:r>
              <w:rPr>
                <w:rFonts w:hint="default" w:ascii="Times New Roman" w:hAnsi="Times New Roman" w:cs="Times New Roman"/>
                <w:color w:val="auto"/>
                <w:sz w:val="24"/>
                <w:highlight w:val="none"/>
                <w:lang w:val="en-US" w:eastAsia="zh-CN"/>
              </w:rPr>
              <w:t>振筛分选的不合格碎石、</w:t>
            </w:r>
            <w:r>
              <w:rPr>
                <w:rFonts w:hint="default" w:ascii="Times New Roman" w:hAnsi="Times New Roman" w:cs="Times New Roman"/>
                <w:b w:val="0"/>
                <w:bCs w:val="0"/>
                <w:color w:val="auto"/>
                <w:sz w:val="24"/>
                <w:highlight w:val="none"/>
                <w:lang w:val="en-US" w:eastAsia="zh-CN"/>
              </w:rPr>
              <w:t>拌和残渣、不合格产品、沉淀池沉渣。</w:t>
            </w:r>
          </w:p>
          <w:p w14:paraId="6FBA86DA">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危险废物：废机油、</w:t>
            </w:r>
            <w:r>
              <w:rPr>
                <w:rFonts w:hint="default" w:ascii="Times New Roman" w:hAnsi="Times New Roman" w:cs="Times New Roman"/>
                <w:color w:val="auto"/>
                <w:sz w:val="24"/>
                <w:szCs w:val="24"/>
                <w:lang w:val="en-US" w:eastAsia="zh-CN"/>
              </w:rPr>
              <w:t>废机油桶、废导热油</w:t>
            </w:r>
            <w:r>
              <w:rPr>
                <w:rFonts w:hint="default" w:ascii="Times New Roman" w:hAnsi="Times New Roman" w:cs="Times New Roman"/>
                <w:color w:val="auto"/>
                <w:sz w:val="24"/>
                <w:szCs w:val="24"/>
              </w:rPr>
              <w:t>。</w:t>
            </w:r>
          </w:p>
          <w:p w14:paraId="53EC939B">
            <w:pPr>
              <w:spacing w:line="360" w:lineRule="auto"/>
              <w:ind w:firstLine="361" w:firstLineChars="15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（1）一般固体废物产生及处置措施</w:t>
            </w:r>
          </w:p>
          <w:p w14:paraId="50649028">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①生活垃圾</w:t>
            </w:r>
          </w:p>
          <w:p w14:paraId="758FCD9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本项目劳动定员</w:t>
            </w:r>
            <w:r>
              <w:rPr>
                <w:rFonts w:hint="default"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人，生活垃圾产生量按 0.5kg/人·d 计，年工作</w:t>
            </w:r>
            <w:r>
              <w:rPr>
                <w:rFonts w:hint="default" w:ascii="Times New Roman" w:hAnsi="Times New Roman" w:cs="Times New Roman"/>
                <w:color w:val="auto"/>
                <w:sz w:val="24"/>
                <w:szCs w:val="24"/>
                <w:lang w:val="en-US" w:eastAsia="zh-CN"/>
              </w:rPr>
              <w:t>150</w:t>
            </w:r>
            <w:r>
              <w:rPr>
                <w:rFonts w:hint="default" w:ascii="Times New Roman" w:hAnsi="Times New Roman" w:cs="Times New Roman"/>
                <w:color w:val="auto"/>
                <w:sz w:val="24"/>
                <w:szCs w:val="24"/>
              </w:rPr>
              <w:t>天，则员工生活垃圾产生量约为</w:t>
            </w:r>
            <w:r>
              <w:rPr>
                <w:rFonts w:hint="default" w:ascii="Times New Roman" w:hAnsi="Times New Roman" w:cs="Times New Roman"/>
                <w:color w:val="auto"/>
                <w:sz w:val="24"/>
                <w:szCs w:val="24"/>
                <w:lang w:val="en-US" w:eastAsia="zh-CN"/>
              </w:rPr>
              <w:t>0.75</w:t>
            </w:r>
            <w:r>
              <w:rPr>
                <w:rFonts w:hint="default" w:ascii="Times New Roman" w:hAnsi="Times New Roman" w:cs="Times New Roman"/>
                <w:color w:val="auto"/>
                <w:sz w:val="24"/>
                <w:szCs w:val="24"/>
              </w:rPr>
              <w:t>t/a。其属于《固体废物分类与代码目录》中</w:t>
            </w:r>
            <w:r>
              <w:rPr>
                <w:rFonts w:hint="default" w:ascii="Times New Roman" w:hAnsi="Times New Roman" w:cs="Times New Roman"/>
                <w:color w:val="auto"/>
                <w:sz w:val="24"/>
                <w:szCs w:val="24"/>
                <w:lang w:eastAsia="zh-CN"/>
              </w:rPr>
              <w:t>“SW64</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lang w:eastAsia="zh-CN"/>
              </w:rPr>
              <w:t>其他垃圾</w:t>
            </w:r>
            <w:r>
              <w:rPr>
                <w:rFonts w:hint="default" w:ascii="Times New Roman" w:hAnsi="Times New Roman" w:cs="Times New Roman"/>
                <w:color w:val="auto"/>
                <w:sz w:val="24"/>
                <w:szCs w:val="24"/>
              </w:rPr>
              <w:t>，其废物代码属于：900-099-S64</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rPr>
              <w:t>以上之外的生活垃圾</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厂区内设垃圾桶</w:t>
            </w:r>
            <w:r>
              <w:rPr>
                <w:rFonts w:hint="default" w:ascii="Times New Roman" w:hAnsi="Times New Roman" w:cs="Times New Roman"/>
                <w:color w:val="auto"/>
                <w:sz w:val="24"/>
                <w:szCs w:val="24"/>
              </w:rPr>
              <w:t>集中收集后交由环卫部门</w:t>
            </w:r>
            <w:r>
              <w:rPr>
                <w:rFonts w:hint="default" w:ascii="Times New Roman" w:hAnsi="Times New Roman" w:cs="Times New Roman"/>
                <w:color w:val="auto"/>
                <w:sz w:val="24"/>
                <w:szCs w:val="24"/>
                <w:lang w:val="en-US" w:eastAsia="zh-CN"/>
              </w:rPr>
              <w:t>清运处理</w:t>
            </w:r>
            <w:r>
              <w:rPr>
                <w:rFonts w:hint="default" w:ascii="Times New Roman" w:hAnsi="Times New Roman" w:cs="Times New Roman"/>
                <w:color w:val="auto"/>
                <w:sz w:val="24"/>
                <w:szCs w:val="24"/>
              </w:rPr>
              <w:t>。</w:t>
            </w:r>
          </w:p>
          <w:p w14:paraId="6996E0B0">
            <w:pPr>
              <w:spacing w:line="360" w:lineRule="auto"/>
              <w:ind w:firstLine="482" w:firstLineChars="200"/>
              <w:rPr>
                <w:rFonts w:hint="default" w:ascii="Times New Roman" w:hAnsi="Times New Roman" w:cs="Times New Roman"/>
                <w:b/>
                <w:bCs/>
                <w:color w:val="auto"/>
                <w:sz w:val="24"/>
                <w:szCs w:val="32"/>
                <w:lang w:bidi="ar"/>
              </w:rPr>
            </w:pPr>
            <w:r>
              <w:rPr>
                <w:rFonts w:hint="default" w:ascii="Times New Roman" w:hAnsi="Times New Roman" w:cs="Times New Roman"/>
                <w:b/>
                <w:bCs/>
                <w:color w:val="auto"/>
                <w:sz w:val="24"/>
                <w:szCs w:val="24"/>
                <w:lang w:val="en-US" w:eastAsia="zh-CN"/>
              </w:rPr>
              <w:t>②除尘器收尘</w:t>
            </w:r>
          </w:p>
          <w:p w14:paraId="26D84640">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32"/>
                <w:lang w:bidi="ar"/>
              </w:rPr>
              <w:t>根据大气环境影响分析可知，本项目除尘器回收粉尘约</w:t>
            </w:r>
            <w:r>
              <w:rPr>
                <w:rFonts w:hint="default" w:ascii="Times New Roman" w:hAnsi="Times New Roman" w:cs="Times New Roman"/>
                <w:b w:val="0"/>
                <w:bCs w:val="0"/>
                <w:color w:val="auto"/>
                <w:sz w:val="24"/>
                <w:szCs w:val="32"/>
                <w:lang w:val="en-US" w:eastAsia="zh-CN" w:bidi="ar"/>
              </w:rPr>
              <w:t>28.5</w:t>
            </w:r>
            <w:r>
              <w:rPr>
                <w:rFonts w:hint="default" w:ascii="Times New Roman" w:hAnsi="Times New Roman" w:cs="Times New Roman"/>
                <w:color w:val="auto"/>
                <w:sz w:val="24"/>
                <w:szCs w:val="32"/>
                <w:lang w:bidi="ar"/>
              </w:rPr>
              <w:t>t/a，</w:t>
            </w:r>
            <w:r>
              <w:rPr>
                <w:rFonts w:hint="default" w:ascii="Times New Roman" w:hAnsi="Times New Roman" w:cs="Times New Roman"/>
                <w:color w:val="auto"/>
                <w:sz w:val="24"/>
                <w:szCs w:val="24"/>
              </w:rPr>
              <w:t>其属于《固体废物分类与代码目录》中</w:t>
            </w:r>
            <w:r>
              <w:rPr>
                <w:rFonts w:hint="default" w:ascii="Times New Roman" w:hAnsi="Times New Roman" w:cs="Times New Roman"/>
                <w:color w:val="auto"/>
                <w:sz w:val="24"/>
                <w:szCs w:val="24"/>
                <w:lang w:eastAsia="zh-CN"/>
              </w:rPr>
              <w:t>“SW17 可再生类废物</w:t>
            </w:r>
            <w:r>
              <w:rPr>
                <w:rFonts w:hint="default" w:ascii="Times New Roman" w:hAnsi="Times New Roman" w:cs="Times New Roman"/>
                <w:color w:val="auto"/>
                <w:sz w:val="24"/>
                <w:szCs w:val="24"/>
              </w:rPr>
              <w:t>，其废物代码属于：900-099-S17 其他可再生类废物。工业生产活动中产生的其他可再生类废物</w:t>
            </w:r>
            <w:r>
              <w:rPr>
                <w:rFonts w:hint="default" w:ascii="Times New Roman" w:hAnsi="Times New Roman" w:cs="Times New Roman"/>
                <w:color w:val="auto"/>
                <w:sz w:val="24"/>
                <w:szCs w:val="24"/>
                <w:lang w:eastAsia="zh-CN"/>
              </w:rPr>
              <w:t>”。集中收集暂存于搅拌楼东南角的废回收粉暂存场（面积3m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），外售至水泥厂。</w:t>
            </w:r>
          </w:p>
          <w:p w14:paraId="272E4627">
            <w:pPr>
              <w:spacing w:line="360" w:lineRule="auto"/>
              <w:ind w:firstLine="482" w:firstLineChars="20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szCs w:val="24"/>
                <w:lang w:val="en-US" w:eastAsia="zh-CN"/>
              </w:rPr>
              <w:t>③</w:t>
            </w:r>
            <w:r>
              <w:rPr>
                <w:rFonts w:hint="default" w:ascii="Times New Roman" w:hAnsi="Times New Roman" w:cs="Times New Roman"/>
                <w:b/>
                <w:bCs/>
                <w:color w:val="auto"/>
                <w:sz w:val="24"/>
                <w:highlight w:val="none"/>
                <w:lang w:val="en-US" w:eastAsia="zh-CN"/>
              </w:rPr>
              <w:t>振筛分选的不合格碎石</w:t>
            </w:r>
          </w:p>
          <w:p w14:paraId="5FB6513B">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骨料经烘干后通过提升机进入振动筛，筛分后符合产品要求的骨料进入搅拌缸内搅拌，超粒径石料从专用出口排出。振筛分选的不合格碎石，</w:t>
            </w:r>
            <w:r>
              <w:rPr>
                <w:rFonts w:hint="default" w:ascii="Times New Roman" w:hAnsi="Times New Roman" w:cs="Times New Roman"/>
                <w:color w:val="auto"/>
                <w:sz w:val="24"/>
                <w:szCs w:val="24"/>
              </w:rPr>
              <w:t>其属于《固体废物分类与代码目录》中</w:t>
            </w:r>
            <w:r>
              <w:rPr>
                <w:rFonts w:hint="default" w:ascii="Times New Roman" w:hAnsi="Times New Roman" w:cs="Times New Roman"/>
                <w:color w:val="auto"/>
                <w:sz w:val="24"/>
                <w:szCs w:val="24"/>
                <w:lang w:eastAsia="zh-CN"/>
              </w:rPr>
              <w:t>“SW17 可再生类废物</w:t>
            </w:r>
            <w:r>
              <w:rPr>
                <w:rFonts w:hint="default" w:ascii="Times New Roman" w:hAnsi="Times New Roman" w:cs="Times New Roman"/>
                <w:color w:val="auto"/>
                <w:sz w:val="24"/>
                <w:szCs w:val="24"/>
              </w:rPr>
              <w:t>，其废物代码属于：900-099-S17 其他可再生类废物。工业生产活动中产生的其他可再生类废物</w:t>
            </w:r>
            <w:r>
              <w:rPr>
                <w:rFonts w:hint="default" w:ascii="Times New Roman" w:hAnsi="Times New Roman" w:cs="Times New Roman"/>
                <w:color w:val="auto"/>
                <w:sz w:val="24"/>
                <w:szCs w:val="24"/>
                <w:lang w:eastAsia="zh-CN"/>
              </w:rPr>
              <w:t>”。</w:t>
            </w:r>
            <w:r>
              <w:rPr>
                <w:rFonts w:hint="default" w:ascii="Times New Roman" w:hAnsi="Times New Roman" w:cs="Times New Roman"/>
                <w:bCs/>
                <w:color w:val="auto"/>
                <w:sz w:val="24"/>
                <w:szCs w:val="24"/>
              </w:rPr>
              <w:t>根据</w:t>
            </w:r>
            <w:r>
              <w:rPr>
                <w:rFonts w:hint="default" w:ascii="Times New Roman" w:hAnsi="Times New Roman" w:cs="Times New Roman"/>
                <w:bCs/>
                <w:color w:val="auto"/>
                <w:sz w:val="24"/>
                <w:szCs w:val="24"/>
                <w:lang w:val="en-US" w:eastAsia="zh-CN"/>
              </w:rPr>
              <w:t>建设单位</w:t>
            </w:r>
            <w:r>
              <w:rPr>
                <w:rFonts w:hint="default" w:ascii="Times New Roman" w:hAnsi="Times New Roman" w:cs="Times New Roman"/>
                <w:bCs/>
                <w:color w:val="auto"/>
                <w:sz w:val="24"/>
                <w:szCs w:val="24"/>
              </w:rPr>
              <w:t>提供的资料，振动筛筛选出来的废石料约占石料原料用量的1‰。根据产品原辅料用量情况，沥青混凝土骨料用量为</w:t>
            </w:r>
            <w:r>
              <w:rPr>
                <w:rFonts w:hint="default" w:ascii="Times New Roman" w:hAnsi="Times New Roman" w:cs="Times New Roman"/>
                <w:bCs/>
                <w:color w:val="auto"/>
                <w:sz w:val="24"/>
                <w:szCs w:val="24"/>
                <w:lang w:val="en-US" w:eastAsia="zh-CN"/>
              </w:rPr>
              <w:t>46000</w:t>
            </w:r>
            <w:r>
              <w:rPr>
                <w:rFonts w:hint="default" w:ascii="Times New Roman" w:hAnsi="Times New Roman" w:cs="Times New Roman"/>
                <w:bCs/>
                <w:color w:val="auto"/>
                <w:sz w:val="24"/>
                <w:szCs w:val="24"/>
              </w:rPr>
              <w:t>t/a，</w:t>
            </w:r>
            <w:r>
              <w:rPr>
                <w:rFonts w:hint="default" w:ascii="Times New Roman" w:hAnsi="Times New Roman" w:cs="Times New Roman"/>
                <w:bCs/>
                <w:color w:val="auto"/>
                <w:sz w:val="24"/>
                <w:szCs w:val="24"/>
                <w:lang w:val="en-US" w:eastAsia="zh-CN"/>
              </w:rPr>
              <w:t>则</w:t>
            </w:r>
            <w:r>
              <w:rPr>
                <w:rFonts w:hint="default" w:ascii="Times New Roman" w:hAnsi="Times New Roman" w:cs="Times New Roman"/>
                <w:color w:val="auto"/>
                <w:sz w:val="24"/>
                <w:highlight w:val="none"/>
                <w:lang w:val="en-US" w:eastAsia="zh-CN"/>
              </w:rPr>
              <w:t>废石料产生量约46t/a，集中收集暂存于搅拌楼东南角的废骨料暂存场（面积2m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lang w:val="en-US" w:eastAsia="zh-CN"/>
              </w:rPr>
              <w:t>定期拉回骨料厂家回收</w:t>
            </w:r>
            <w:r>
              <w:rPr>
                <w:rFonts w:hint="default" w:ascii="Times New Roman" w:hAnsi="Times New Roman" w:cs="Times New Roman"/>
                <w:color w:val="auto"/>
                <w:sz w:val="24"/>
                <w:szCs w:val="24"/>
                <w:highlight w:val="none"/>
                <w:lang w:val="en-US" w:eastAsia="zh-CN"/>
              </w:rPr>
              <w:t>。</w:t>
            </w:r>
          </w:p>
          <w:p w14:paraId="3DDEE703">
            <w:pPr>
              <w:spacing w:line="360" w:lineRule="auto"/>
              <w:ind w:firstLine="482" w:firstLineChars="20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④拌和残渣</w:t>
            </w:r>
          </w:p>
          <w:p w14:paraId="218158F2">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产生量约为0.2t</w:t>
            </w:r>
            <w:r>
              <w:rPr>
                <w:rFonts w:hint="default" w:ascii="Times New Roman" w:hAnsi="Times New Roman" w:cs="Times New Roman"/>
                <w:color w:val="auto"/>
                <w:sz w:val="24"/>
              </w:rPr>
              <w:t>/a</w:t>
            </w:r>
            <w:r>
              <w:rPr>
                <w:rFonts w:hint="default" w:ascii="Times New Roman" w:hAnsi="Times New Roman" w:cs="Times New Roman"/>
                <w:color w:val="auto"/>
                <w:sz w:val="24"/>
                <w:szCs w:val="24"/>
              </w:rPr>
              <w:t>，其属于《固体废物分类与代码目录》中“SW17 可再生类废物，其废物代码属于：900-099-S17 其他可再生类废物。工业生产活动中产生的其他可再生类废物”。及时使用骨料覆盖回收，暂存至堆料场内，定期拉运至再生料厂</w:t>
            </w:r>
            <w:r>
              <w:rPr>
                <w:rFonts w:hint="default" w:ascii="Times New Roman" w:hAnsi="Times New Roman" w:cs="Times New Roman"/>
                <w:color w:val="auto"/>
                <w:sz w:val="24"/>
                <w:szCs w:val="24"/>
                <w:lang w:eastAsia="zh-CN"/>
              </w:rPr>
              <w:t>。</w:t>
            </w:r>
          </w:p>
          <w:p w14:paraId="0FAA8C64">
            <w:pPr>
              <w:spacing w:line="360" w:lineRule="auto"/>
              <w:ind w:firstLine="482" w:firstLineChars="20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⑤不合格产品</w:t>
            </w:r>
          </w:p>
          <w:p w14:paraId="74A4FF43">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沥青混凝土以及乳化沥青会按需生产，根据建设单位介绍，不合格产品极少，有少量产生，产生量约为5t/a。</w:t>
            </w:r>
            <w:r>
              <w:rPr>
                <w:rFonts w:hint="default" w:ascii="Times New Roman" w:hAnsi="Times New Roman" w:cs="Times New Roman"/>
                <w:color w:val="auto"/>
                <w:sz w:val="24"/>
                <w:szCs w:val="24"/>
              </w:rPr>
              <w:t>其属于《固体废物分类与代码目录》中</w:t>
            </w:r>
            <w:r>
              <w:rPr>
                <w:rFonts w:hint="default" w:ascii="Times New Roman" w:hAnsi="Times New Roman" w:cs="Times New Roman"/>
                <w:color w:val="auto"/>
                <w:sz w:val="24"/>
                <w:szCs w:val="24"/>
                <w:lang w:eastAsia="zh-CN"/>
              </w:rPr>
              <w:t>“SW17 可再生类废物</w:t>
            </w:r>
            <w:r>
              <w:rPr>
                <w:rFonts w:hint="default" w:ascii="Times New Roman" w:hAnsi="Times New Roman" w:cs="Times New Roman"/>
                <w:color w:val="auto"/>
                <w:sz w:val="24"/>
                <w:szCs w:val="24"/>
              </w:rPr>
              <w:t>，其废物代码属于：900-099-S17 其他可再生类废物。工业生产活动中产生的其他可再生类废物</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highlight w:val="none"/>
                <w:lang w:val="en-US" w:eastAsia="zh-CN"/>
              </w:rPr>
              <w:t>收集后定期拉运至再生料厂。</w:t>
            </w:r>
          </w:p>
          <w:p w14:paraId="2EDB0B2D">
            <w:pPr>
              <w:spacing w:line="360" w:lineRule="auto"/>
              <w:ind w:firstLine="482" w:firstLineChars="20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⑥沉淀池沉渣</w:t>
            </w:r>
          </w:p>
          <w:p w14:paraId="5FC262E7">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道路地面冲洗废水和车辆冲洗废水汇入沉淀池后，经沉淀处理后会产生沉渣，产生量约为10t/a，</w:t>
            </w:r>
            <w:r>
              <w:rPr>
                <w:rFonts w:hint="default" w:ascii="Times New Roman" w:hAnsi="Times New Roman" w:cs="Times New Roman"/>
                <w:color w:val="auto"/>
                <w:sz w:val="24"/>
                <w:szCs w:val="24"/>
              </w:rPr>
              <w:t>其属于《固体废物分类与代码目录》中</w:t>
            </w:r>
            <w:r>
              <w:rPr>
                <w:rFonts w:hint="default" w:ascii="Times New Roman" w:hAnsi="Times New Roman" w:cs="Times New Roman"/>
                <w:color w:val="auto"/>
                <w:sz w:val="24"/>
                <w:szCs w:val="24"/>
                <w:lang w:eastAsia="zh-CN"/>
              </w:rPr>
              <w:t>“SW07污泥</w:t>
            </w:r>
            <w:r>
              <w:rPr>
                <w:rFonts w:hint="default" w:ascii="Times New Roman" w:hAnsi="Times New Roman" w:cs="Times New Roman"/>
                <w:color w:val="auto"/>
                <w:sz w:val="24"/>
                <w:szCs w:val="24"/>
              </w:rPr>
              <w:t>，其废物代码属于：900-099-S07</w:t>
            </w:r>
            <w:r>
              <w:rPr>
                <w:rFonts w:hint="default" w:ascii="Times New Roman" w:hAnsi="Times New Roman" w:cs="Times New Roman"/>
                <w:color w:val="auto"/>
                <w:sz w:val="24"/>
                <w:szCs w:val="24"/>
                <w:lang w:val="en-US" w:eastAsia="zh-CN"/>
              </w:rPr>
              <w:t xml:space="preserve"> 其他污泥。其他行业产生的废水处理污泥。</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highlight w:val="none"/>
                <w:lang w:val="en-US" w:eastAsia="zh-CN"/>
              </w:rPr>
              <w:t>，沉淀池定期清掏，沉渣外卖至砖厂。</w:t>
            </w:r>
          </w:p>
          <w:p w14:paraId="51868DB9">
            <w:pPr>
              <w:spacing w:line="360" w:lineRule="auto"/>
              <w:ind w:firstLine="361" w:firstLineChars="15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（2）危险废物产生及处置措施</w:t>
            </w:r>
          </w:p>
          <w:p w14:paraId="17847336">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①</w:t>
            </w:r>
            <w:r>
              <w:rPr>
                <w:rFonts w:hint="default" w:ascii="Times New Roman" w:hAnsi="Times New Roman" w:eastAsia="宋体" w:cs="Times New Roman"/>
                <w:b/>
                <w:bCs/>
                <w:color w:val="auto"/>
                <w:sz w:val="24"/>
                <w:szCs w:val="24"/>
                <w:lang w:val="en-US" w:eastAsia="zh-CN"/>
              </w:rPr>
              <w:t>废机油</w:t>
            </w:r>
          </w:p>
          <w:p w14:paraId="1A677AF1">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项目在设备运行生产、维修过程中会产生废机油，废机油产生量约0.</w:t>
            </w:r>
            <w:r>
              <w:rPr>
                <w:rFonts w:hint="default" w:ascii="Times New Roman" w:hAnsi="Times New Roman" w:cs="Times New Roman"/>
                <w:color w:val="auto"/>
                <w:sz w:val="24"/>
                <w:szCs w:val="24"/>
                <w:lang w:val="en-US" w:eastAsia="zh-CN"/>
              </w:rPr>
              <w:t>02</w:t>
            </w:r>
            <w:r>
              <w:rPr>
                <w:rFonts w:hint="default" w:ascii="Times New Roman" w:hAnsi="Times New Roman" w:cs="Times New Roman"/>
                <w:color w:val="auto"/>
                <w:sz w:val="24"/>
                <w:szCs w:val="24"/>
              </w:rPr>
              <w:t>t/a。其属于《国家危险废物名录》</w:t>
            </w:r>
            <w:r>
              <w:rPr>
                <w:rFonts w:hint="default" w:ascii="Times New Roman" w:hAnsi="Times New Roman" w:eastAsia="宋体" w:cs="Times New Roman"/>
                <w:color w:val="auto"/>
                <w:sz w:val="24"/>
                <w:szCs w:val="24"/>
                <w:highlight w:val="none"/>
              </w:rPr>
              <w:t>（202</w:t>
            </w:r>
            <w:r>
              <w:rPr>
                <w:rFonts w:hint="default"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版</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rPr>
              <w:t>中</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HW08号：废矿物油与含矿物油废物，其废物代码属于：900-214-08车辆、机械维修和拆解过程中产生的废发动机油、制动器油、自动变速器油、齿轮油等废润滑油</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。项目废机油暂存于危废间，定期交由有危废</w:t>
            </w:r>
            <w:r>
              <w:rPr>
                <w:rFonts w:hint="default" w:ascii="Times New Roman" w:hAnsi="Times New Roman" w:cs="Times New Roman"/>
                <w:color w:val="auto"/>
                <w:sz w:val="24"/>
                <w:szCs w:val="24"/>
                <w:lang w:val="en-US" w:eastAsia="zh-CN"/>
              </w:rPr>
              <w:t>处理</w:t>
            </w:r>
            <w:r>
              <w:rPr>
                <w:rFonts w:hint="default" w:ascii="Times New Roman" w:hAnsi="Times New Roman" w:cs="Times New Roman"/>
                <w:color w:val="auto"/>
                <w:sz w:val="24"/>
                <w:szCs w:val="24"/>
              </w:rPr>
              <w:t>资质单位处置。</w:t>
            </w:r>
          </w:p>
          <w:p w14:paraId="52CD40B9">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②</w:t>
            </w:r>
            <w:r>
              <w:rPr>
                <w:rFonts w:hint="default" w:ascii="Times New Roman" w:hAnsi="Times New Roman" w:eastAsia="宋体" w:cs="Times New Roman"/>
                <w:b/>
                <w:bCs/>
                <w:color w:val="auto"/>
                <w:sz w:val="24"/>
                <w:szCs w:val="24"/>
                <w:lang w:val="en-US" w:eastAsia="zh-CN"/>
              </w:rPr>
              <w:t>废机油桶</w:t>
            </w:r>
          </w:p>
          <w:p w14:paraId="5EBB58A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bCs/>
                <w:color w:val="auto"/>
                <w:sz w:val="24"/>
                <w:szCs w:val="24"/>
                <w:highlight w:val="none"/>
              </w:rPr>
              <w:t>项目在设备运行生产、维修过程中会产生废机油</w:t>
            </w:r>
            <w:r>
              <w:rPr>
                <w:rFonts w:hint="default" w:ascii="Times New Roman" w:hAnsi="Times New Roman" w:eastAsia="宋体" w:cs="Times New Roman"/>
                <w:bCs/>
                <w:color w:val="auto"/>
                <w:sz w:val="24"/>
                <w:szCs w:val="24"/>
                <w:highlight w:val="none"/>
                <w:lang w:val="en-US" w:eastAsia="zh-CN"/>
              </w:rPr>
              <w:t>桶</w:t>
            </w:r>
            <w:r>
              <w:rPr>
                <w:rFonts w:hint="default" w:ascii="Times New Roman" w:hAnsi="Times New Roman" w:eastAsia="宋体" w:cs="Times New Roman"/>
                <w:bCs/>
                <w:color w:val="auto"/>
                <w:sz w:val="24"/>
                <w:szCs w:val="24"/>
                <w:highlight w:val="none"/>
              </w:rPr>
              <w:t>，废机油</w:t>
            </w:r>
            <w:r>
              <w:rPr>
                <w:rFonts w:hint="default" w:ascii="Times New Roman" w:hAnsi="Times New Roman" w:eastAsia="宋体" w:cs="Times New Roman"/>
                <w:bCs/>
                <w:color w:val="auto"/>
                <w:sz w:val="24"/>
                <w:szCs w:val="24"/>
                <w:highlight w:val="none"/>
                <w:lang w:val="en-US" w:eastAsia="zh-CN"/>
              </w:rPr>
              <w:t>桶</w:t>
            </w:r>
            <w:r>
              <w:rPr>
                <w:rFonts w:hint="default" w:ascii="Times New Roman" w:hAnsi="Times New Roman" w:eastAsia="宋体" w:cs="Times New Roman"/>
                <w:bCs/>
                <w:color w:val="auto"/>
                <w:sz w:val="24"/>
                <w:szCs w:val="24"/>
                <w:highlight w:val="none"/>
              </w:rPr>
              <w:t>产生量约0.</w:t>
            </w:r>
            <w:r>
              <w:rPr>
                <w:rFonts w:hint="default" w:ascii="Times New Roman" w:hAnsi="Times New Roman" w:cs="Times New Roman"/>
                <w:bCs/>
                <w:color w:val="auto"/>
                <w:sz w:val="24"/>
                <w:szCs w:val="24"/>
                <w:highlight w:val="none"/>
                <w:lang w:val="en-US" w:eastAsia="zh-CN"/>
              </w:rPr>
              <w:t>05</w:t>
            </w:r>
            <w:r>
              <w:rPr>
                <w:rFonts w:hint="default" w:ascii="Times New Roman" w:hAnsi="Times New Roman" w:eastAsia="宋体" w:cs="Times New Roman"/>
                <w:bCs/>
                <w:color w:val="auto"/>
                <w:sz w:val="24"/>
                <w:szCs w:val="24"/>
                <w:highlight w:val="none"/>
              </w:rPr>
              <w:t>t/a。</w:t>
            </w:r>
            <w:r>
              <w:rPr>
                <w:rFonts w:hint="default" w:ascii="Times New Roman" w:hAnsi="Times New Roman" w:cs="Times New Roman"/>
                <w:color w:val="auto"/>
                <w:sz w:val="24"/>
                <w:szCs w:val="24"/>
                <w:highlight w:val="none"/>
                <w:lang w:val="en-US" w:eastAsia="zh-CN"/>
              </w:rPr>
              <w:t>属于</w:t>
            </w:r>
            <w:r>
              <w:rPr>
                <w:rFonts w:hint="default" w:ascii="Times New Roman" w:hAnsi="Times New Roman" w:eastAsia="宋体" w:cs="Times New Roman"/>
                <w:color w:val="auto"/>
                <w:sz w:val="24"/>
                <w:szCs w:val="24"/>
                <w:highlight w:val="none"/>
              </w:rPr>
              <w:t>《国家危险废物名录》（202</w:t>
            </w:r>
            <w:r>
              <w:rPr>
                <w:rFonts w:hint="default"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版</w:t>
            </w:r>
            <w:r>
              <w:rPr>
                <w:rFonts w:hint="default" w:ascii="Times New Roman" w:hAnsi="Times New Roman" w:eastAsia="宋体" w:cs="Times New Roman"/>
                <w:color w:val="auto"/>
                <w:sz w:val="24"/>
                <w:szCs w:val="24"/>
                <w:highlight w:val="none"/>
              </w:rPr>
              <w:t>）中</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rPr>
              <w:t>HW49其他废物-非特定行业 900-041-49 含有或沾染毒性、感染性危险废物的废弃包装物、容器、过滤吸附介质</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rPr>
              <w:t>项目废机油</w:t>
            </w:r>
            <w:r>
              <w:rPr>
                <w:rFonts w:hint="default" w:ascii="Times New Roman" w:hAnsi="Times New Roman" w:cs="Times New Roman"/>
                <w:color w:val="auto"/>
                <w:sz w:val="24"/>
                <w:szCs w:val="24"/>
                <w:lang w:val="en-US" w:eastAsia="zh-CN"/>
              </w:rPr>
              <w:t>桶</w:t>
            </w:r>
            <w:r>
              <w:rPr>
                <w:rFonts w:hint="default" w:ascii="Times New Roman" w:hAnsi="Times New Roman" w:cs="Times New Roman"/>
                <w:color w:val="auto"/>
                <w:sz w:val="24"/>
                <w:szCs w:val="24"/>
              </w:rPr>
              <w:t>暂存于危废间，定期交由有危废</w:t>
            </w:r>
            <w:r>
              <w:rPr>
                <w:rFonts w:hint="default" w:ascii="Times New Roman" w:hAnsi="Times New Roman" w:cs="Times New Roman"/>
                <w:color w:val="auto"/>
                <w:sz w:val="24"/>
                <w:szCs w:val="24"/>
                <w:lang w:val="en-US" w:eastAsia="zh-CN"/>
              </w:rPr>
              <w:t>处理</w:t>
            </w:r>
            <w:r>
              <w:rPr>
                <w:rFonts w:hint="default" w:ascii="Times New Roman" w:hAnsi="Times New Roman" w:cs="Times New Roman"/>
                <w:color w:val="auto"/>
                <w:sz w:val="24"/>
                <w:szCs w:val="24"/>
              </w:rPr>
              <w:t>资质单位处置。</w:t>
            </w:r>
          </w:p>
          <w:p w14:paraId="13136F61">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③废导热油</w:t>
            </w:r>
          </w:p>
          <w:p w14:paraId="29DDF092">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导热油炉中的导热油一般生命周期为5年（导热油炉中的导热油约为1.5t，在导油管中不停循环，本项目生产周期结束后直接更换一次并清洗导油管，则折合老化导热油为1.5t/a。</w:t>
            </w:r>
            <w:r>
              <w:rPr>
                <w:rFonts w:hint="default" w:ascii="Times New Roman" w:hAnsi="Times New Roman" w:cs="Times New Roman"/>
                <w:color w:val="auto"/>
                <w:sz w:val="24"/>
                <w:szCs w:val="24"/>
              </w:rPr>
              <w:t>其属于《国家危险废物名录》</w:t>
            </w:r>
            <w:r>
              <w:rPr>
                <w:rFonts w:hint="default" w:ascii="Times New Roman" w:hAnsi="Times New Roman" w:eastAsia="宋体" w:cs="Times New Roman"/>
                <w:color w:val="auto"/>
                <w:sz w:val="24"/>
                <w:szCs w:val="24"/>
                <w:highlight w:val="none"/>
              </w:rPr>
              <w:t>（202</w:t>
            </w:r>
            <w:r>
              <w:rPr>
                <w:rFonts w:hint="default"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版</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rPr>
              <w:t>中</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rPr>
              <w:t xml:space="preserve">HW08号：废矿物油与含矿物油废物，其废物代码属于 </w:t>
            </w:r>
            <w:r>
              <w:rPr>
                <w:rFonts w:hint="default" w:ascii="Times New Roman" w:hAnsi="Times New Roman" w:cs="Times New Roman"/>
                <w:color w:val="auto"/>
                <w:sz w:val="24"/>
                <w:szCs w:val="24"/>
                <w:lang w:val="en-US" w:eastAsia="zh-CN"/>
              </w:rPr>
              <w:t>900-249-08</w:t>
            </w:r>
            <w:r>
              <w:rPr>
                <w:rFonts w:hint="default" w:ascii="Times New Roman" w:hAnsi="Times New Roman" w:cs="Times New Roman"/>
                <w:color w:val="auto"/>
                <w:sz w:val="24"/>
                <w:szCs w:val="24"/>
              </w:rPr>
              <w:t xml:space="preserve"> 其他生产、销售、使用过程中产生的废矿物油及沾染矿物油的废弃包装物</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val="en-US" w:eastAsia="zh-CN"/>
              </w:rPr>
              <w:t>，收集后</w:t>
            </w:r>
            <w:r>
              <w:rPr>
                <w:rFonts w:hint="default" w:ascii="Times New Roman" w:hAnsi="Times New Roman" w:cs="Times New Roman"/>
                <w:bCs/>
                <w:color w:val="auto"/>
                <w:sz w:val="24"/>
                <w:szCs w:val="24"/>
              </w:rPr>
              <w:t>交由有危废处理资质的单位进行转运处置</w:t>
            </w:r>
            <w:r>
              <w:rPr>
                <w:rFonts w:hint="default" w:ascii="Times New Roman" w:hAnsi="Times New Roman" w:cs="Times New Roman"/>
                <w:color w:val="auto"/>
                <w:sz w:val="24"/>
                <w:szCs w:val="24"/>
                <w:lang w:val="en-US" w:eastAsia="zh-CN"/>
              </w:rPr>
              <w:t>。</w:t>
            </w:r>
          </w:p>
          <w:p w14:paraId="2854FF09">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项目固体废物污染源强及处置措施见下表：</w:t>
            </w:r>
          </w:p>
          <w:p w14:paraId="31A8046A">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 xml:space="preserve">表4-23 </w:t>
            </w:r>
            <w:r>
              <w:rPr>
                <w:rFonts w:hint="default" w:ascii="Times New Roman" w:hAnsi="Times New Roman" w:eastAsia="黑体" w:cs="Times New Roman"/>
                <w:b/>
                <w:bCs/>
                <w:color w:val="auto"/>
                <w:kern w:val="0"/>
                <w:sz w:val="20"/>
                <w:szCs w:val="20"/>
                <w:lang w:val="en-US" w:eastAsia="zh-CN" w:bidi="ar-SA"/>
              </w:rPr>
              <w:t>固体废物污染源强及处置措施表</w:t>
            </w:r>
          </w:p>
          <w:tbl>
            <w:tblPr>
              <w:tblStyle w:val="30"/>
              <w:tblW w:w="875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36"/>
              <w:gridCol w:w="951"/>
              <w:gridCol w:w="740"/>
              <w:gridCol w:w="1260"/>
              <w:gridCol w:w="630"/>
              <w:gridCol w:w="957"/>
              <w:gridCol w:w="657"/>
              <w:gridCol w:w="991"/>
              <w:gridCol w:w="1731"/>
            </w:tblGrid>
            <w:tr w14:paraId="35957F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8" w:hRule="atLeast"/>
                <w:jc w:val="center"/>
              </w:trPr>
              <w:tc>
                <w:tcPr>
                  <w:tcW w:w="836" w:type="dxa"/>
                  <w:vMerge w:val="restart"/>
                  <w:tcBorders>
                    <w:tl2br w:val="nil"/>
                    <w:tr2bl w:val="nil"/>
                  </w:tcBorders>
                  <w:shd w:val="clear" w:color="auto" w:fill="auto"/>
                  <w:vAlign w:val="center"/>
                </w:tcPr>
                <w:p w14:paraId="73B38642">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产生源</w:t>
                  </w:r>
                </w:p>
              </w:tc>
              <w:tc>
                <w:tcPr>
                  <w:tcW w:w="951" w:type="dxa"/>
                  <w:vMerge w:val="restart"/>
                  <w:tcBorders>
                    <w:tl2br w:val="nil"/>
                    <w:tr2bl w:val="nil"/>
                  </w:tcBorders>
                  <w:shd w:val="clear" w:color="auto" w:fill="auto"/>
                  <w:vAlign w:val="center"/>
                </w:tcPr>
                <w:p w14:paraId="1E62AE32">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固体废物名称</w:t>
                  </w:r>
                </w:p>
              </w:tc>
              <w:tc>
                <w:tcPr>
                  <w:tcW w:w="740" w:type="dxa"/>
                  <w:vMerge w:val="restart"/>
                  <w:tcBorders>
                    <w:tl2br w:val="nil"/>
                    <w:tr2bl w:val="nil"/>
                  </w:tcBorders>
                  <w:shd w:val="clear" w:color="auto" w:fill="auto"/>
                  <w:vAlign w:val="center"/>
                </w:tcPr>
                <w:p w14:paraId="2DD579EF">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rPr>
                    <w:t>废物类别</w:t>
                  </w:r>
                </w:p>
              </w:tc>
              <w:tc>
                <w:tcPr>
                  <w:tcW w:w="1260" w:type="dxa"/>
                  <w:vMerge w:val="restart"/>
                  <w:tcBorders>
                    <w:tl2br w:val="nil"/>
                    <w:tr2bl w:val="nil"/>
                  </w:tcBorders>
                  <w:shd w:val="clear" w:color="auto" w:fill="auto"/>
                  <w:vAlign w:val="center"/>
                </w:tcPr>
                <w:p w14:paraId="2A7C5DED">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rPr>
                    <w:t>废物代码</w:t>
                  </w:r>
                </w:p>
              </w:tc>
              <w:tc>
                <w:tcPr>
                  <w:tcW w:w="630" w:type="dxa"/>
                  <w:vMerge w:val="restart"/>
                  <w:tcBorders>
                    <w:tl2br w:val="nil"/>
                    <w:tr2bl w:val="nil"/>
                  </w:tcBorders>
                  <w:shd w:val="clear" w:color="auto" w:fill="auto"/>
                  <w:vAlign w:val="center"/>
                </w:tcPr>
                <w:p w14:paraId="4B4CE28E">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固废属性</w:t>
                  </w:r>
                </w:p>
              </w:tc>
              <w:tc>
                <w:tcPr>
                  <w:tcW w:w="957" w:type="dxa"/>
                  <w:vMerge w:val="restart"/>
                  <w:tcBorders>
                    <w:tl2br w:val="nil"/>
                    <w:tr2bl w:val="nil"/>
                  </w:tcBorders>
                  <w:shd w:val="clear" w:color="auto" w:fill="auto"/>
                  <w:vAlign w:val="center"/>
                </w:tcPr>
                <w:p w14:paraId="198C9EFC">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产生量（t/a）</w:t>
                  </w:r>
                </w:p>
              </w:tc>
              <w:tc>
                <w:tcPr>
                  <w:tcW w:w="1648" w:type="dxa"/>
                  <w:gridSpan w:val="2"/>
                  <w:tcBorders>
                    <w:tl2br w:val="nil"/>
                    <w:tr2bl w:val="nil"/>
                  </w:tcBorders>
                  <w:shd w:val="clear" w:color="auto" w:fill="auto"/>
                  <w:vAlign w:val="center"/>
                </w:tcPr>
                <w:p w14:paraId="741EBC92">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处置措施</w:t>
                  </w:r>
                </w:p>
              </w:tc>
              <w:tc>
                <w:tcPr>
                  <w:tcW w:w="1731" w:type="dxa"/>
                  <w:vMerge w:val="restart"/>
                  <w:tcBorders>
                    <w:tl2br w:val="nil"/>
                    <w:tr2bl w:val="nil"/>
                  </w:tcBorders>
                  <w:shd w:val="clear" w:color="auto" w:fill="auto"/>
                  <w:vAlign w:val="center"/>
                </w:tcPr>
                <w:p w14:paraId="74ADD678">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最终去向</w:t>
                  </w:r>
                </w:p>
              </w:tc>
            </w:tr>
            <w:tr w14:paraId="649B48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34" w:hRule="atLeast"/>
                <w:jc w:val="center"/>
              </w:trPr>
              <w:tc>
                <w:tcPr>
                  <w:tcW w:w="836" w:type="dxa"/>
                  <w:vMerge w:val="continue"/>
                  <w:tcBorders>
                    <w:tl2br w:val="nil"/>
                    <w:tr2bl w:val="nil"/>
                  </w:tcBorders>
                  <w:shd w:val="clear" w:color="auto" w:fill="auto"/>
                  <w:vAlign w:val="center"/>
                </w:tcPr>
                <w:p w14:paraId="1A602BDC">
                  <w:pPr>
                    <w:jc w:val="center"/>
                    <w:rPr>
                      <w:rFonts w:hint="default" w:ascii="Times New Roman" w:hAnsi="Times New Roman" w:cs="Times New Roman"/>
                      <w:color w:val="auto"/>
                      <w:sz w:val="21"/>
                      <w:szCs w:val="21"/>
                    </w:rPr>
                  </w:pPr>
                </w:p>
              </w:tc>
              <w:tc>
                <w:tcPr>
                  <w:tcW w:w="951" w:type="dxa"/>
                  <w:vMerge w:val="continue"/>
                  <w:tcBorders>
                    <w:tl2br w:val="nil"/>
                    <w:tr2bl w:val="nil"/>
                  </w:tcBorders>
                  <w:shd w:val="clear" w:color="auto" w:fill="auto"/>
                  <w:vAlign w:val="center"/>
                </w:tcPr>
                <w:p w14:paraId="1297F893">
                  <w:pPr>
                    <w:jc w:val="center"/>
                    <w:rPr>
                      <w:rFonts w:hint="default" w:ascii="Times New Roman" w:hAnsi="Times New Roman" w:cs="Times New Roman"/>
                      <w:color w:val="auto"/>
                      <w:sz w:val="21"/>
                      <w:szCs w:val="21"/>
                    </w:rPr>
                  </w:pPr>
                </w:p>
              </w:tc>
              <w:tc>
                <w:tcPr>
                  <w:tcW w:w="740" w:type="dxa"/>
                  <w:vMerge w:val="continue"/>
                  <w:tcBorders>
                    <w:tl2br w:val="nil"/>
                    <w:tr2bl w:val="nil"/>
                  </w:tcBorders>
                  <w:shd w:val="clear" w:color="auto" w:fill="auto"/>
                  <w:vAlign w:val="center"/>
                </w:tcPr>
                <w:p w14:paraId="22A9DD71">
                  <w:pPr>
                    <w:jc w:val="center"/>
                    <w:rPr>
                      <w:rFonts w:hint="default" w:ascii="Times New Roman" w:hAnsi="Times New Roman" w:cs="Times New Roman"/>
                      <w:color w:val="auto"/>
                      <w:sz w:val="21"/>
                      <w:szCs w:val="21"/>
                    </w:rPr>
                  </w:pPr>
                </w:p>
              </w:tc>
              <w:tc>
                <w:tcPr>
                  <w:tcW w:w="1260" w:type="dxa"/>
                  <w:vMerge w:val="continue"/>
                  <w:tcBorders>
                    <w:tl2br w:val="nil"/>
                    <w:tr2bl w:val="nil"/>
                  </w:tcBorders>
                  <w:shd w:val="clear" w:color="auto" w:fill="auto"/>
                  <w:vAlign w:val="center"/>
                </w:tcPr>
                <w:p w14:paraId="7DCDFE5B">
                  <w:pPr>
                    <w:jc w:val="center"/>
                    <w:rPr>
                      <w:rFonts w:hint="default" w:ascii="Times New Roman" w:hAnsi="Times New Roman" w:cs="Times New Roman"/>
                      <w:color w:val="auto"/>
                      <w:sz w:val="21"/>
                      <w:szCs w:val="21"/>
                    </w:rPr>
                  </w:pPr>
                </w:p>
              </w:tc>
              <w:tc>
                <w:tcPr>
                  <w:tcW w:w="630" w:type="dxa"/>
                  <w:vMerge w:val="continue"/>
                  <w:tcBorders>
                    <w:tl2br w:val="nil"/>
                    <w:tr2bl w:val="nil"/>
                  </w:tcBorders>
                  <w:shd w:val="clear" w:color="auto" w:fill="auto"/>
                  <w:vAlign w:val="center"/>
                </w:tcPr>
                <w:p w14:paraId="5525F873">
                  <w:pPr>
                    <w:jc w:val="center"/>
                    <w:rPr>
                      <w:rFonts w:hint="default" w:ascii="Times New Roman" w:hAnsi="Times New Roman" w:cs="Times New Roman"/>
                      <w:color w:val="auto"/>
                      <w:sz w:val="21"/>
                      <w:szCs w:val="21"/>
                    </w:rPr>
                  </w:pPr>
                </w:p>
              </w:tc>
              <w:tc>
                <w:tcPr>
                  <w:tcW w:w="957" w:type="dxa"/>
                  <w:vMerge w:val="continue"/>
                  <w:tcBorders>
                    <w:tl2br w:val="nil"/>
                    <w:tr2bl w:val="nil"/>
                  </w:tcBorders>
                  <w:shd w:val="clear" w:color="auto" w:fill="auto"/>
                  <w:vAlign w:val="center"/>
                </w:tcPr>
                <w:p w14:paraId="62DB0DE3">
                  <w:pPr>
                    <w:jc w:val="center"/>
                    <w:rPr>
                      <w:rFonts w:hint="default" w:ascii="Times New Roman" w:hAnsi="Times New Roman" w:cs="Times New Roman"/>
                      <w:b/>
                      <w:bCs/>
                      <w:color w:val="auto"/>
                      <w:sz w:val="21"/>
                      <w:szCs w:val="21"/>
                    </w:rPr>
                  </w:pPr>
                </w:p>
              </w:tc>
              <w:tc>
                <w:tcPr>
                  <w:tcW w:w="657" w:type="dxa"/>
                  <w:tcBorders>
                    <w:tl2br w:val="nil"/>
                    <w:tr2bl w:val="nil"/>
                  </w:tcBorders>
                  <w:shd w:val="clear" w:color="auto" w:fill="auto"/>
                  <w:vAlign w:val="center"/>
                </w:tcPr>
                <w:p w14:paraId="3D265032">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工艺</w:t>
                  </w:r>
                </w:p>
              </w:tc>
              <w:tc>
                <w:tcPr>
                  <w:tcW w:w="991" w:type="dxa"/>
                  <w:tcBorders>
                    <w:tl2br w:val="nil"/>
                    <w:tr2bl w:val="nil"/>
                  </w:tcBorders>
                  <w:shd w:val="clear" w:color="auto" w:fill="auto"/>
                  <w:vAlign w:val="center"/>
                </w:tcPr>
                <w:p w14:paraId="04E1CFE7">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全厂处置量（t/a）</w:t>
                  </w:r>
                </w:p>
              </w:tc>
              <w:tc>
                <w:tcPr>
                  <w:tcW w:w="1731" w:type="dxa"/>
                  <w:vMerge w:val="continue"/>
                  <w:tcBorders>
                    <w:tl2br w:val="nil"/>
                    <w:tr2bl w:val="nil"/>
                  </w:tcBorders>
                  <w:vAlign w:val="center"/>
                </w:tcPr>
                <w:p w14:paraId="6252E60D">
                  <w:pPr>
                    <w:jc w:val="center"/>
                    <w:rPr>
                      <w:rFonts w:hint="default" w:ascii="Times New Roman" w:hAnsi="Times New Roman" w:cs="Times New Roman"/>
                      <w:b/>
                      <w:bCs/>
                      <w:color w:val="auto"/>
                      <w:sz w:val="21"/>
                      <w:szCs w:val="21"/>
                    </w:rPr>
                  </w:pPr>
                </w:p>
              </w:tc>
            </w:tr>
            <w:tr w14:paraId="481154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34" w:hRule="atLeast"/>
                <w:jc w:val="center"/>
              </w:trPr>
              <w:tc>
                <w:tcPr>
                  <w:tcW w:w="836" w:type="dxa"/>
                  <w:tcBorders>
                    <w:tl2br w:val="nil"/>
                    <w:tr2bl w:val="nil"/>
                  </w:tcBorders>
                  <w:vAlign w:val="center"/>
                </w:tcPr>
                <w:p w14:paraId="3121E884">
                  <w:pPr>
                    <w:autoSpaceDN w:val="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办公用房</w:t>
                  </w:r>
                </w:p>
              </w:tc>
              <w:tc>
                <w:tcPr>
                  <w:tcW w:w="951" w:type="dxa"/>
                  <w:tcBorders>
                    <w:tl2br w:val="nil"/>
                    <w:tr2bl w:val="nil"/>
                  </w:tcBorders>
                  <w:vAlign w:val="center"/>
                </w:tcPr>
                <w:p w14:paraId="2DDC3497">
                  <w:pPr>
                    <w:autoSpaceDN w:val="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740" w:type="dxa"/>
                  <w:tcBorders>
                    <w:tl2br w:val="nil"/>
                    <w:tr2bl w:val="nil"/>
                  </w:tcBorders>
                  <w:vAlign w:val="center"/>
                </w:tcPr>
                <w:p w14:paraId="0F4F2F9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SW64 </w:t>
                  </w:r>
                </w:p>
              </w:tc>
              <w:tc>
                <w:tcPr>
                  <w:tcW w:w="1260" w:type="dxa"/>
                  <w:tcBorders>
                    <w:tl2br w:val="nil"/>
                    <w:tr2bl w:val="nil"/>
                  </w:tcBorders>
                  <w:vAlign w:val="center"/>
                </w:tcPr>
                <w:p w14:paraId="37DF24B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900-099-S64 </w:t>
                  </w:r>
                </w:p>
              </w:tc>
              <w:tc>
                <w:tcPr>
                  <w:tcW w:w="630" w:type="dxa"/>
                  <w:vMerge w:val="restart"/>
                  <w:tcBorders>
                    <w:tl2br w:val="nil"/>
                    <w:tr2bl w:val="nil"/>
                  </w:tcBorders>
                  <w:vAlign w:val="center"/>
                </w:tcPr>
                <w:p w14:paraId="3F6AA77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957" w:type="dxa"/>
                  <w:tcBorders>
                    <w:tl2br w:val="nil"/>
                    <w:tr2bl w:val="nil"/>
                  </w:tcBorders>
                  <w:vAlign w:val="center"/>
                </w:tcPr>
                <w:p w14:paraId="0FE7E08E">
                  <w:pPr>
                    <w:tabs>
                      <w:tab w:val="left" w:pos="1134"/>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0.75</w:t>
                  </w:r>
                </w:p>
              </w:tc>
              <w:tc>
                <w:tcPr>
                  <w:tcW w:w="657" w:type="dxa"/>
                  <w:tcBorders>
                    <w:tl2br w:val="nil"/>
                    <w:tr2bl w:val="nil"/>
                  </w:tcBorders>
                  <w:vAlign w:val="center"/>
                </w:tcPr>
                <w:p w14:paraId="5765262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委托处置</w:t>
                  </w:r>
                </w:p>
              </w:tc>
              <w:tc>
                <w:tcPr>
                  <w:tcW w:w="991" w:type="dxa"/>
                  <w:tcBorders>
                    <w:tl2br w:val="nil"/>
                    <w:tr2bl w:val="nil"/>
                  </w:tcBorders>
                  <w:vAlign w:val="center"/>
                </w:tcPr>
                <w:p w14:paraId="2FC0C369">
                  <w:pPr>
                    <w:tabs>
                      <w:tab w:val="left" w:pos="1134"/>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0.75</w:t>
                  </w:r>
                </w:p>
              </w:tc>
              <w:tc>
                <w:tcPr>
                  <w:tcW w:w="1731" w:type="dxa"/>
                  <w:tcBorders>
                    <w:tl2br w:val="nil"/>
                    <w:tr2bl w:val="nil"/>
                  </w:tcBorders>
                  <w:vAlign w:val="center"/>
                </w:tcPr>
                <w:p w14:paraId="291EFE18">
                  <w:pPr>
                    <w:tabs>
                      <w:tab w:val="left" w:pos="1134"/>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收集交由环卫部门清运</w:t>
                  </w:r>
                </w:p>
              </w:tc>
            </w:tr>
            <w:tr w14:paraId="6C453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311" w:hRule="atLeast"/>
                <w:jc w:val="center"/>
              </w:trPr>
              <w:tc>
                <w:tcPr>
                  <w:tcW w:w="836" w:type="dxa"/>
                  <w:tcBorders>
                    <w:tl2br w:val="nil"/>
                    <w:tr2bl w:val="nil"/>
                  </w:tcBorders>
                  <w:vAlign w:val="center"/>
                </w:tcPr>
                <w:p w14:paraId="5C00BAD1">
                  <w:pPr>
                    <w:autoSpaceDN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废气处理系统</w:t>
                  </w:r>
                </w:p>
              </w:tc>
              <w:tc>
                <w:tcPr>
                  <w:tcW w:w="951" w:type="dxa"/>
                  <w:tcBorders>
                    <w:tl2br w:val="nil"/>
                    <w:tr2bl w:val="nil"/>
                  </w:tcBorders>
                  <w:vAlign w:val="center"/>
                </w:tcPr>
                <w:p w14:paraId="34BA5A0A">
                  <w:pPr>
                    <w:autoSpaceDN w:val="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除尘器收尘</w:t>
                  </w:r>
                </w:p>
              </w:tc>
              <w:tc>
                <w:tcPr>
                  <w:tcW w:w="740" w:type="dxa"/>
                  <w:tcBorders>
                    <w:tl2br w:val="nil"/>
                    <w:tr2bl w:val="nil"/>
                  </w:tcBorders>
                  <w:shd w:val="clear" w:color="auto" w:fill="auto"/>
                  <w:vAlign w:val="center"/>
                </w:tcPr>
                <w:p w14:paraId="2622592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 xml:space="preserve">SW17 </w:t>
                  </w:r>
                </w:p>
              </w:tc>
              <w:tc>
                <w:tcPr>
                  <w:tcW w:w="1260" w:type="dxa"/>
                  <w:tcBorders>
                    <w:tl2br w:val="nil"/>
                    <w:tr2bl w:val="nil"/>
                  </w:tcBorders>
                  <w:shd w:val="clear" w:color="auto" w:fill="auto"/>
                  <w:vAlign w:val="center"/>
                </w:tcPr>
                <w:p w14:paraId="096E48D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 xml:space="preserve">900-099-S17 </w:t>
                  </w:r>
                </w:p>
              </w:tc>
              <w:tc>
                <w:tcPr>
                  <w:tcW w:w="630" w:type="dxa"/>
                  <w:vMerge w:val="continue"/>
                  <w:tcBorders>
                    <w:tl2br w:val="nil"/>
                    <w:tr2bl w:val="nil"/>
                  </w:tcBorders>
                  <w:vAlign w:val="center"/>
                </w:tcPr>
                <w:p w14:paraId="1303CFFA">
                  <w:pPr>
                    <w:jc w:val="center"/>
                    <w:rPr>
                      <w:rFonts w:hint="default" w:ascii="Times New Roman" w:hAnsi="Times New Roman" w:cs="Times New Roman"/>
                      <w:color w:val="auto"/>
                      <w:sz w:val="21"/>
                      <w:szCs w:val="21"/>
                    </w:rPr>
                  </w:pPr>
                </w:p>
              </w:tc>
              <w:tc>
                <w:tcPr>
                  <w:tcW w:w="957" w:type="dxa"/>
                  <w:tcBorders>
                    <w:tl2br w:val="nil"/>
                    <w:tr2bl w:val="nil"/>
                  </w:tcBorders>
                  <w:vAlign w:val="center"/>
                </w:tcPr>
                <w:p w14:paraId="4A8DB18A">
                  <w:pPr>
                    <w:tabs>
                      <w:tab w:val="left" w:pos="1134"/>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28.5</w:t>
                  </w:r>
                </w:p>
              </w:tc>
              <w:tc>
                <w:tcPr>
                  <w:tcW w:w="657" w:type="dxa"/>
                  <w:tcBorders>
                    <w:tl2br w:val="nil"/>
                    <w:tr2bl w:val="nil"/>
                  </w:tcBorders>
                  <w:vAlign w:val="center"/>
                </w:tcPr>
                <w:p w14:paraId="2166BF3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自行处置</w:t>
                  </w:r>
                </w:p>
              </w:tc>
              <w:tc>
                <w:tcPr>
                  <w:tcW w:w="991" w:type="dxa"/>
                  <w:tcBorders>
                    <w:tl2br w:val="nil"/>
                    <w:tr2bl w:val="nil"/>
                  </w:tcBorders>
                  <w:vAlign w:val="center"/>
                </w:tcPr>
                <w:p w14:paraId="08E9E3F6">
                  <w:pPr>
                    <w:tabs>
                      <w:tab w:val="left" w:pos="1134"/>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bidi="ar"/>
                    </w:rPr>
                    <w:t>28.5</w:t>
                  </w:r>
                </w:p>
              </w:tc>
              <w:tc>
                <w:tcPr>
                  <w:tcW w:w="1731" w:type="dxa"/>
                  <w:tcBorders>
                    <w:tl2br w:val="nil"/>
                    <w:tr2bl w:val="nil"/>
                  </w:tcBorders>
                  <w:vAlign w:val="center"/>
                </w:tcPr>
                <w:p w14:paraId="62CEB67A">
                  <w:pPr>
                    <w:tabs>
                      <w:tab w:val="left" w:pos="1134"/>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集中收集暂存于搅拌楼东南角的废回收粉暂存场外售至水泥厂</w:t>
                  </w:r>
                </w:p>
              </w:tc>
            </w:tr>
            <w:tr w14:paraId="59E88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311" w:hRule="atLeast"/>
                <w:jc w:val="center"/>
              </w:trPr>
              <w:tc>
                <w:tcPr>
                  <w:tcW w:w="836" w:type="dxa"/>
                  <w:tcBorders>
                    <w:tl2br w:val="nil"/>
                    <w:tr2bl w:val="nil"/>
                  </w:tcBorders>
                  <w:vAlign w:val="center"/>
                </w:tcPr>
                <w:p w14:paraId="342B14AC">
                  <w:pPr>
                    <w:autoSpaceDN w:val="0"/>
                    <w:jc w:val="center"/>
                    <w:textAlignment w:val="bottom"/>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产品生产</w:t>
                  </w:r>
                </w:p>
              </w:tc>
              <w:tc>
                <w:tcPr>
                  <w:tcW w:w="951" w:type="dxa"/>
                  <w:tcBorders>
                    <w:tl2br w:val="nil"/>
                    <w:tr2bl w:val="nil"/>
                  </w:tcBorders>
                  <w:vAlign w:val="center"/>
                </w:tcPr>
                <w:p w14:paraId="78D1534C">
                  <w:pPr>
                    <w:autoSpaceDN w:val="0"/>
                    <w:jc w:val="center"/>
                    <w:textAlignment w:val="bottom"/>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振筛分选的不合格碎石</w:t>
                  </w:r>
                </w:p>
              </w:tc>
              <w:tc>
                <w:tcPr>
                  <w:tcW w:w="740" w:type="dxa"/>
                  <w:tcBorders>
                    <w:tl2br w:val="nil"/>
                    <w:tr2bl w:val="nil"/>
                  </w:tcBorders>
                  <w:vAlign w:val="center"/>
                </w:tcPr>
                <w:p w14:paraId="6659544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SW17 </w:t>
                  </w:r>
                </w:p>
              </w:tc>
              <w:tc>
                <w:tcPr>
                  <w:tcW w:w="1260" w:type="dxa"/>
                  <w:tcBorders>
                    <w:tl2br w:val="nil"/>
                    <w:tr2bl w:val="nil"/>
                  </w:tcBorders>
                  <w:vAlign w:val="center"/>
                </w:tcPr>
                <w:p w14:paraId="70C2B1E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900-099-S17 </w:t>
                  </w:r>
                </w:p>
              </w:tc>
              <w:tc>
                <w:tcPr>
                  <w:tcW w:w="630" w:type="dxa"/>
                  <w:vMerge w:val="continue"/>
                  <w:tcBorders>
                    <w:tl2br w:val="nil"/>
                    <w:tr2bl w:val="nil"/>
                  </w:tcBorders>
                  <w:vAlign w:val="center"/>
                </w:tcPr>
                <w:p w14:paraId="7C48F4B2">
                  <w:pPr>
                    <w:jc w:val="center"/>
                    <w:rPr>
                      <w:rFonts w:hint="default" w:ascii="Times New Roman" w:hAnsi="Times New Roman" w:cs="Times New Roman"/>
                      <w:color w:val="auto"/>
                      <w:sz w:val="21"/>
                      <w:szCs w:val="21"/>
                    </w:rPr>
                  </w:pPr>
                </w:p>
              </w:tc>
              <w:tc>
                <w:tcPr>
                  <w:tcW w:w="957" w:type="dxa"/>
                  <w:tcBorders>
                    <w:tl2br w:val="nil"/>
                    <w:tr2bl w:val="nil"/>
                  </w:tcBorders>
                  <w:vAlign w:val="center"/>
                </w:tcPr>
                <w:p w14:paraId="509E59B4">
                  <w:pPr>
                    <w:tabs>
                      <w:tab w:val="left" w:pos="1134"/>
                    </w:tabs>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46</w:t>
                  </w:r>
                </w:p>
              </w:tc>
              <w:tc>
                <w:tcPr>
                  <w:tcW w:w="657" w:type="dxa"/>
                  <w:tcBorders>
                    <w:tl2br w:val="nil"/>
                    <w:tr2bl w:val="nil"/>
                  </w:tcBorders>
                  <w:vAlign w:val="center"/>
                </w:tcPr>
                <w:p w14:paraId="0A5E0D2F">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自行处置</w:t>
                  </w:r>
                </w:p>
              </w:tc>
              <w:tc>
                <w:tcPr>
                  <w:tcW w:w="991" w:type="dxa"/>
                  <w:tcBorders>
                    <w:tl2br w:val="nil"/>
                    <w:tr2bl w:val="nil"/>
                  </w:tcBorders>
                  <w:vAlign w:val="center"/>
                </w:tcPr>
                <w:p w14:paraId="5E237E44">
                  <w:pPr>
                    <w:tabs>
                      <w:tab w:val="left" w:pos="1134"/>
                    </w:tabs>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46</w:t>
                  </w:r>
                </w:p>
              </w:tc>
              <w:tc>
                <w:tcPr>
                  <w:tcW w:w="1731" w:type="dxa"/>
                  <w:tcBorders>
                    <w:tl2br w:val="nil"/>
                    <w:tr2bl w:val="nil"/>
                  </w:tcBorders>
                  <w:vAlign w:val="center"/>
                </w:tcPr>
                <w:p w14:paraId="3FC78A09">
                  <w:pPr>
                    <w:tabs>
                      <w:tab w:val="left" w:pos="1134"/>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集中收集暂存于搅拌楼东南角的废骨料暂存场，</w:t>
                  </w:r>
                  <w:r>
                    <w:rPr>
                      <w:rFonts w:hint="default" w:ascii="Times New Roman" w:hAnsi="Times New Roman" w:cs="Times New Roman"/>
                      <w:color w:val="auto"/>
                      <w:sz w:val="21"/>
                      <w:szCs w:val="21"/>
                      <w:lang w:val="en-US" w:eastAsia="zh-CN"/>
                    </w:rPr>
                    <w:t>定期拉回骨料厂家回收</w:t>
                  </w:r>
                </w:p>
              </w:tc>
            </w:tr>
            <w:tr w14:paraId="637C0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311" w:hRule="atLeast"/>
                <w:jc w:val="center"/>
              </w:trPr>
              <w:tc>
                <w:tcPr>
                  <w:tcW w:w="836" w:type="dxa"/>
                  <w:tcBorders>
                    <w:tl2br w:val="nil"/>
                    <w:tr2bl w:val="nil"/>
                  </w:tcBorders>
                  <w:vAlign w:val="center"/>
                </w:tcPr>
                <w:p w14:paraId="22B7406C">
                  <w:pPr>
                    <w:autoSpaceDN w:val="0"/>
                    <w:jc w:val="center"/>
                    <w:textAlignment w:val="bottom"/>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产品生产</w:t>
                  </w:r>
                </w:p>
              </w:tc>
              <w:tc>
                <w:tcPr>
                  <w:tcW w:w="951" w:type="dxa"/>
                  <w:tcBorders>
                    <w:tl2br w:val="nil"/>
                    <w:tr2bl w:val="nil"/>
                  </w:tcBorders>
                  <w:vAlign w:val="center"/>
                </w:tcPr>
                <w:p w14:paraId="73509A07">
                  <w:pPr>
                    <w:autoSpaceDN w:val="0"/>
                    <w:jc w:val="center"/>
                    <w:textAlignment w:val="bottom"/>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拌和残渣</w:t>
                  </w:r>
                </w:p>
              </w:tc>
              <w:tc>
                <w:tcPr>
                  <w:tcW w:w="740" w:type="dxa"/>
                  <w:tcBorders>
                    <w:tl2br w:val="nil"/>
                    <w:tr2bl w:val="nil"/>
                  </w:tcBorders>
                  <w:shd w:val="clear" w:color="auto" w:fill="auto"/>
                  <w:vAlign w:val="center"/>
                </w:tcPr>
                <w:p w14:paraId="2997D8E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 xml:space="preserve">SW17 </w:t>
                  </w:r>
                </w:p>
              </w:tc>
              <w:tc>
                <w:tcPr>
                  <w:tcW w:w="1260" w:type="dxa"/>
                  <w:tcBorders>
                    <w:tl2br w:val="nil"/>
                    <w:tr2bl w:val="nil"/>
                  </w:tcBorders>
                  <w:shd w:val="clear" w:color="auto" w:fill="auto"/>
                  <w:vAlign w:val="center"/>
                </w:tcPr>
                <w:p w14:paraId="598975D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 xml:space="preserve">900-099-S17 </w:t>
                  </w:r>
                </w:p>
              </w:tc>
              <w:tc>
                <w:tcPr>
                  <w:tcW w:w="630" w:type="dxa"/>
                  <w:vMerge w:val="continue"/>
                  <w:tcBorders>
                    <w:tl2br w:val="nil"/>
                    <w:tr2bl w:val="nil"/>
                  </w:tcBorders>
                  <w:vAlign w:val="center"/>
                </w:tcPr>
                <w:p w14:paraId="677DA65E">
                  <w:pPr>
                    <w:jc w:val="center"/>
                    <w:rPr>
                      <w:rFonts w:hint="default" w:ascii="Times New Roman" w:hAnsi="Times New Roman" w:cs="Times New Roman"/>
                      <w:color w:val="auto"/>
                      <w:sz w:val="21"/>
                      <w:szCs w:val="21"/>
                    </w:rPr>
                  </w:pPr>
                </w:p>
              </w:tc>
              <w:tc>
                <w:tcPr>
                  <w:tcW w:w="957" w:type="dxa"/>
                  <w:tcBorders>
                    <w:tl2br w:val="nil"/>
                    <w:tr2bl w:val="nil"/>
                  </w:tcBorders>
                  <w:vAlign w:val="center"/>
                </w:tcPr>
                <w:p w14:paraId="47B5374A">
                  <w:pPr>
                    <w:tabs>
                      <w:tab w:val="left" w:pos="1134"/>
                    </w:tabs>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0.2</w:t>
                  </w:r>
                </w:p>
              </w:tc>
              <w:tc>
                <w:tcPr>
                  <w:tcW w:w="657" w:type="dxa"/>
                  <w:tcBorders>
                    <w:tl2br w:val="nil"/>
                    <w:tr2bl w:val="nil"/>
                  </w:tcBorders>
                  <w:vAlign w:val="center"/>
                </w:tcPr>
                <w:p w14:paraId="43E28E32">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自行处置</w:t>
                  </w:r>
                </w:p>
              </w:tc>
              <w:tc>
                <w:tcPr>
                  <w:tcW w:w="991" w:type="dxa"/>
                  <w:tcBorders>
                    <w:tl2br w:val="nil"/>
                    <w:tr2bl w:val="nil"/>
                  </w:tcBorders>
                  <w:vAlign w:val="center"/>
                </w:tcPr>
                <w:p w14:paraId="7033B0AE">
                  <w:pPr>
                    <w:tabs>
                      <w:tab w:val="left" w:pos="1134"/>
                    </w:tabs>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0.2</w:t>
                  </w:r>
                </w:p>
              </w:tc>
              <w:tc>
                <w:tcPr>
                  <w:tcW w:w="1731" w:type="dxa"/>
                  <w:tcBorders>
                    <w:tl2br w:val="nil"/>
                    <w:tr2bl w:val="nil"/>
                  </w:tcBorders>
                  <w:vAlign w:val="center"/>
                </w:tcPr>
                <w:p w14:paraId="06442E8A">
                  <w:pPr>
                    <w:tabs>
                      <w:tab w:val="left" w:pos="1134"/>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及时</w:t>
                  </w:r>
                  <w:r>
                    <w:rPr>
                      <w:rFonts w:hint="default" w:ascii="Times New Roman" w:hAnsi="Times New Roman" w:eastAsia="宋体" w:cs="Times New Roman"/>
                      <w:color w:val="auto"/>
                      <w:sz w:val="21"/>
                      <w:szCs w:val="21"/>
                    </w:rPr>
                    <w:t>使用骨料覆盖回收，</w:t>
                  </w:r>
                  <w:r>
                    <w:rPr>
                      <w:rFonts w:hint="default" w:ascii="Times New Roman" w:hAnsi="Times New Roman" w:cs="Times New Roman"/>
                      <w:color w:val="auto"/>
                      <w:sz w:val="21"/>
                      <w:szCs w:val="21"/>
                      <w:lang w:val="en-US" w:eastAsia="zh-CN"/>
                    </w:rPr>
                    <w:t>暂存至堆料场内，定期拉运至再生料厂</w:t>
                  </w:r>
                </w:p>
              </w:tc>
            </w:tr>
            <w:tr w14:paraId="3B8E70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34" w:hRule="atLeast"/>
                <w:jc w:val="center"/>
              </w:trPr>
              <w:tc>
                <w:tcPr>
                  <w:tcW w:w="836" w:type="dxa"/>
                  <w:tcBorders>
                    <w:tl2br w:val="nil"/>
                    <w:tr2bl w:val="nil"/>
                  </w:tcBorders>
                  <w:shd w:val="clear" w:color="auto" w:fill="auto"/>
                  <w:vAlign w:val="center"/>
                </w:tcPr>
                <w:p w14:paraId="67599706">
                  <w:pPr>
                    <w:autoSpaceDN w:val="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产品生产</w:t>
                  </w:r>
                </w:p>
              </w:tc>
              <w:tc>
                <w:tcPr>
                  <w:tcW w:w="951" w:type="dxa"/>
                  <w:tcBorders>
                    <w:tl2br w:val="nil"/>
                    <w:tr2bl w:val="nil"/>
                  </w:tcBorders>
                  <w:shd w:val="clear" w:color="auto" w:fill="auto"/>
                  <w:vAlign w:val="center"/>
                </w:tcPr>
                <w:p w14:paraId="70D2CCA6">
                  <w:pPr>
                    <w:autoSpaceDN w:val="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不合格产品</w:t>
                  </w:r>
                </w:p>
              </w:tc>
              <w:tc>
                <w:tcPr>
                  <w:tcW w:w="740" w:type="dxa"/>
                  <w:tcBorders>
                    <w:tl2br w:val="nil"/>
                    <w:tr2bl w:val="nil"/>
                  </w:tcBorders>
                  <w:shd w:val="clear" w:color="auto" w:fill="auto"/>
                  <w:vAlign w:val="center"/>
                </w:tcPr>
                <w:p w14:paraId="75F6851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 xml:space="preserve">SW17 </w:t>
                  </w:r>
                </w:p>
              </w:tc>
              <w:tc>
                <w:tcPr>
                  <w:tcW w:w="1260" w:type="dxa"/>
                  <w:tcBorders>
                    <w:tl2br w:val="nil"/>
                    <w:tr2bl w:val="nil"/>
                  </w:tcBorders>
                  <w:shd w:val="clear" w:color="auto" w:fill="auto"/>
                  <w:vAlign w:val="center"/>
                </w:tcPr>
                <w:p w14:paraId="5F7F45A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 xml:space="preserve">900-099-S17 </w:t>
                  </w:r>
                </w:p>
              </w:tc>
              <w:tc>
                <w:tcPr>
                  <w:tcW w:w="630" w:type="dxa"/>
                  <w:vMerge w:val="continue"/>
                  <w:tcBorders>
                    <w:tl2br w:val="nil"/>
                    <w:tr2bl w:val="nil"/>
                  </w:tcBorders>
                  <w:vAlign w:val="center"/>
                </w:tcPr>
                <w:p w14:paraId="3A72DEF4">
                  <w:pPr>
                    <w:jc w:val="center"/>
                    <w:rPr>
                      <w:rFonts w:hint="default" w:ascii="Times New Roman" w:hAnsi="Times New Roman" w:cs="Times New Roman"/>
                      <w:color w:val="auto"/>
                      <w:sz w:val="21"/>
                      <w:szCs w:val="21"/>
                    </w:rPr>
                  </w:pPr>
                </w:p>
              </w:tc>
              <w:tc>
                <w:tcPr>
                  <w:tcW w:w="957" w:type="dxa"/>
                  <w:tcBorders>
                    <w:tl2br w:val="nil"/>
                    <w:tr2bl w:val="nil"/>
                  </w:tcBorders>
                  <w:shd w:val="clear" w:color="auto" w:fill="auto"/>
                  <w:vAlign w:val="center"/>
                </w:tcPr>
                <w:p w14:paraId="438E13C6">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 w:val="21"/>
                      <w:szCs w:val="21"/>
                      <w:vertAlign w:val="baseline"/>
                      <w:lang w:val="en-US" w:eastAsia="zh-CN"/>
                    </w:rPr>
                    <w:t>5</w:t>
                  </w:r>
                </w:p>
              </w:tc>
              <w:tc>
                <w:tcPr>
                  <w:tcW w:w="657" w:type="dxa"/>
                  <w:tcBorders>
                    <w:tl2br w:val="nil"/>
                    <w:tr2bl w:val="nil"/>
                  </w:tcBorders>
                  <w:shd w:val="clear" w:color="auto" w:fill="auto"/>
                  <w:vAlign w:val="center"/>
                </w:tcPr>
                <w:p w14:paraId="32F7A92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自行处置</w:t>
                  </w:r>
                </w:p>
              </w:tc>
              <w:tc>
                <w:tcPr>
                  <w:tcW w:w="991" w:type="dxa"/>
                  <w:tcBorders>
                    <w:tl2br w:val="nil"/>
                    <w:tr2bl w:val="nil"/>
                  </w:tcBorders>
                  <w:shd w:val="clear" w:color="auto" w:fill="auto"/>
                  <w:vAlign w:val="center"/>
                </w:tcPr>
                <w:p w14:paraId="3522C89A">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 w:val="21"/>
                      <w:szCs w:val="21"/>
                      <w:vertAlign w:val="baseline"/>
                      <w:lang w:val="en-US" w:eastAsia="zh-CN"/>
                    </w:rPr>
                    <w:t>5</w:t>
                  </w:r>
                </w:p>
              </w:tc>
              <w:tc>
                <w:tcPr>
                  <w:tcW w:w="1731" w:type="dxa"/>
                  <w:tcBorders>
                    <w:tl2br w:val="nil"/>
                    <w:tr2bl w:val="nil"/>
                  </w:tcBorders>
                  <w:shd w:val="clear" w:color="auto" w:fill="auto"/>
                  <w:vAlign w:val="center"/>
                </w:tcPr>
                <w:p w14:paraId="01801500">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收集后</w:t>
                  </w:r>
                  <w:r>
                    <w:rPr>
                      <w:rFonts w:hint="default" w:ascii="Times New Roman" w:hAnsi="Times New Roman" w:cs="Times New Roman"/>
                      <w:color w:val="auto"/>
                      <w:sz w:val="21"/>
                      <w:szCs w:val="21"/>
                      <w:lang w:val="en-US" w:eastAsia="zh-CN"/>
                    </w:rPr>
                    <w:t>定期拉运至再生料厂</w:t>
                  </w:r>
                </w:p>
              </w:tc>
            </w:tr>
            <w:tr w14:paraId="082C8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34" w:hRule="atLeast"/>
                <w:jc w:val="center"/>
              </w:trPr>
              <w:tc>
                <w:tcPr>
                  <w:tcW w:w="836" w:type="dxa"/>
                  <w:tcBorders>
                    <w:tl2br w:val="nil"/>
                    <w:tr2bl w:val="nil"/>
                  </w:tcBorders>
                  <w:vAlign w:val="center"/>
                </w:tcPr>
                <w:p w14:paraId="46EADB15">
                  <w:pPr>
                    <w:autoSpaceDN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污水处理</w:t>
                  </w:r>
                  <w:r>
                    <w:rPr>
                      <w:rFonts w:hint="default" w:ascii="Times New Roman" w:hAnsi="Times New Roman" w:cs="Times New Roman"/>
                      <w:color w:val="auto"/>
                      <w:sz w:val="21"/>
                      <w:szCs w:val="21"/>
                      <w:lang w:val="en-US" w:eastAsia="zh-CN"/>
                    </w:rPr>
                    <w:t>系统</w:t>
                  </w:r>
                </w:p>
              </w:tc>
              <w:tc>
                <w:tcPr>
                  <w:tcW w:w="951" w:type="dxa"/>
                  <w:tcBorders>
                    <w:tl2br w:val="nil"/>
                    <w:tr2bl w:val="nil"/>
                  </w:tcBorders>
                  <w:vAlign w:val="center"/>
                </w:tcPr>
                <w:p w14:paraId="3D69B2A9">
                  <w:pPr>
                    <w:autoSpaceDN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沉淀池</w:t>
                  </w:r>
                  <w:r>
                    <w:rPr>
                      <w:rFonts w:hint="default" w:ascii="Times New Roman" w:hAnsi="Times New Roman" w:cs="Times New Roman"/>
                      <w:color w:val="auto"/>
                      <w:sz w:val="21"/>
                      <w:szCs w:val="21"/>
                      <w:lang w:val="en-US" w:eastAsia="zh-CN"/>
                    </w:rPr>
                    <w:t>沉渣</w:t>
                  </w:r>
                </w:p>
              </w:tc>
              <w:tc>
                <w:tcPr>
                  <w:tcW w:w="740" w:type="dxa"/>
                  <w:tcBorders>
                    <w:tl2br w:val="nil"/>
                    <w:tr2bl w:val="nil"/>
                  </w:tcBorders>
                  <w:vAlign w:val="center"/>
                </w:tcPr>
                <w:p w14:paraId="169FF9E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SW07 </w:t>
                  </w:r>
                </w:p>
              </w:tc>
              <w:tc>
                <w:tcPr>
                  <w:tcW w:w="1260" w:type="dxa"/>
                  <w:tcBorders>
                    <w:tl2br w:val="nil"/>
                    <w:tr2bl w:val="nil"/>
                  </w:tcBorders>
                  <w:vAlign w:val="center"/>
                </w:tcPr>
                <w:p w14:paraId="2888E19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900-099-S07 </w:t>
                  </w:r>
                </w:p>
              </w:tc>
              <w:tc>
                <w:tcPr>
                  <w:tcW w:w="630" w:type="dxa"/>
                  <w:vMerge w:val="continue"/>
                  <w:tcBorders>
                    <w:tl2br w:val="nil"/>
                    <w:tr2bl w:val="nil"/>
                  </w:tcBorders>
                  <w:vAlign w:val="center"/>
                </w:tcPr>
                <w:p w14:paraId="427929B9">
                  <w:pPr>
                    <w:jc w:val="center"/>
                    <w:rPr>
                      <w:rFonts w:hint="default" w:ascii="Times New Roman" w:hAnsi="Times New Roman" w:cs="Times New Roman"/>
                      <w:color w:val="auto"/>
                      <w:sz w:val="21"/>
                      <w:szCs w:val="21"/>
                    </w:rPr>
                  </w:pPr>
                </w:p>
              </w:tc>
              <w:tc>
                <w:tcPr>
                  <w:tcW w:w="957" w:type="dxa"/>
                  <w:tcBorders>
                    <w:tl2br w:val="nil"/>
                    <w:tr2bl w:val="nil"/>
                  </w:tcBorders>
                  <w:vAlign w:val="center"/>
                </w:tcPr>
                <w:p w14:paraId="504C1081">
                  <w:pPr>
                    <w:tabs>
                      <w:tab w:val="left" w:pos="1134"/>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657" w:type="dxa"/>
                  <w:tcBorders>
                    <w:tl2br w:val="nil"/>
                    <w:tr2bl w:val="nil"/>
                  </w:tcBorders>
                  <w:vAlign w:val="center"/>
                </w:tcPr>
                <w:p w14:paraId="71D456C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自行处置</w:t>
                  </w:r>
                </w:p>
              </w:tc>
              <w:tc>
                <w:tcPr>
                  <w:tcW w:w="991" w:type="dxa"/>
                  <w:tcBorders>
                    <w:tl2br w:val="nil"/>
                    <w:tr2bl w:val="nil"/>
                  </w:tcBorders>
                  <w:vAlign w:val="center"/>
                </w:tcPr>
                <w:p w14:paraId="5198066A">
                  <w:pPr>
                    <w:tabs>
                      <w:tab w:val="left" w:pos="1134"/>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731" w:type="dxa"/>
                  <w:tcBorders>
                    <w:tl2br w:val="nil"/>
                    <w:tr2bl w:val="nil"/>
                  </w:tcBorders>
                  <w:vAlign w:val="center"/>
                </w:tcPr>
                <w:p w14:paraId="03F9158C">
                  <w:pPr>
                    <w:tabs>
                      <w:tab w:val="left" w:pos="1134"/>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外卖至砖厂</w:t>
                  </w:r>
                </w:p>
              </w:tc>
            </w:tr>
            <w:tr w14:paraId="46C33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34" w:hRule="atLeast"/>
                <w:jc w:val="center"/>
              </w:trPr>
              <w:tc>
                <w:tcPr>
                  <w:tcW w:w="836" w:type="dxa"/>
                  <w:tcBorders>
                    <w:tl2br w:val="nil"/>
                    <w:tr2bl w:val="nil"/>
                  </w:tcBorders>
                  <w:vAlign w:val="center"/>
                </w:tcPr>
                <w:p w14:paraId="3A0A730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设备保养</w:t>
                  </w:r>
                </w:p>
              </w:tc>
              <w:tc>
                <w:tcPr>
                  <w:tcW w:w="951" w:type="dxa"/>
                  <w:tcBorders>
                    <w:tl2br w:val="nil"/>
                    <w:tr2bl w:val="nil"/>
                  </w:tcBorders>
                  <w:vAlign w:val="center"/>
                </w:tcPr>
                <w:p w14:paraId="3582559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废机油</w:t>
                  </w:r>
                </w:p>
              </w:tc>
              <w:tc>
                <w:tcPr>
                  <w:tcW w:w="740" w:type="dxa"/>
                  <w:tcBorders>
                    <w:tl2br w:val="nil"/>
                    <w:tr2bl w:val="nil"/>
                  </w:tcBorders>
                  <w:vAlign w:val="center"/>
                </w:tcPr>
                <w:p w14:paraId="025FF9BA">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HW08</w:t>
                  </w:r>
                </w:p>
              </w:tc>
              <w:tc>
                <w:tcPr>
                  <w:tcW w:w="1260" w:type="dxa"/>
                  <w:tcBorders>
                    <w:tl2br w:val="nil"/>
                    <w:tr2bl w:val="nil"/>
                  </w:tcBorders>
                  <w:vAlign w:val="center"/>
                </w:tcPr>
                <w:p w14:paraId="2AB819B4">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900-214-08</w:t>
                  </w:r>
                </w:p>
              </w:tc>
              <w:tc>
                <w:tcPr>
                  <w:tcW w:w="630" w:type="dxa"/>
                  <w:vMerge w:val="restart"/>
                  <w:tcBorders>
                    <w:tl2br w:val="nil"/>
                    <w:tr2bl w:val="nil"/>
                  </w:tcBorders>
                  <w:vAlign w:val="center"/>
                </w:tcPr>
                <w:p w14:paraId="209D410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tc>
              <w:tc>
                <w:tcPr>
                  <w:tcW w:w="957" w:type="dxa"/>
                  <w:tcBorders>
                    <w:tl2br w:val="nil"/>
                    <w:tr2bl w:val="nil"/>
                  </w:tcBorders>
                  <w:vAlign w:val="center"/>
                </w:tcPr>
                <w:p w14:paraId="28F868C4">
                  <w:pPr>
                    <w:tabs>
                      <w:tab w:val="left" w:pos="1134"/>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02</w:t>
                  </w:r>
                </w:p>
              </w:tc>
              <w:tc>
                <w:tcPr>
                  <w:tcW w:w="657" w:type="dxa"/>
                  <w:vMerge w:val="restart"/>
                  <w:tcBorders>
                    <w:tl2br w:val="nil"/>
                    <w:tr2bl w:val="nil"/>
                  </w:tcBorders>
                  <w:vAlign w:val="center"/>
                </w:tcPr>
                <w:p w14:paraId="7ECBE0E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委托处置</w:t>
                  </w:r>
                </w:p>
              </w:tc>
              <w:tc>
                <w:tcPr>
                  <w:tcW w:w="991" w:type="dxa"/>
                  <w:tcBorders>
                    <w:tl2br w:val="nil"/>
                    <w:tr2bl w:val="nil"/>
                  </w:tcBorders>
                  <w:vAlign w:val="center"/>
                </w:tcPr>
                <w:p w14:paraId="5C8B63FB">
                  <w:pPr>
                    <w:tabs>
                      <w:tab w:val="left" w:pos="1134"/>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2</w:t>
                  </w:r>
                </w:p>
              </w:tc>
              <w:tc>
                <w:tcPr>
                  <w:tcW w:w="1731" w:type="dxa"/>
                  <w:vMerge w:val="restart"/>
                  <w:tcBorders>
                    <w:tl2br w:val="nil"/>
                    <w:tr2bl w:val="nil"/>
                  </w:tcBorders>
                  <w:vAlign w:val="center"/>
                </w:tcPr>
                <w:p w14:paraId="2D2E4850">
                  <w:pPr>
                    <w:tabs>
                      <w:tab w:val="left" w:pos="1134"/>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交由有危废</w:t>
                  </w:r>
                  <w:r>
                    <w:rPr>
                      <w:rFonts w:hint="default" w:ascii="Times New Roman" w:hAnsi="Times New Roman" w:cs="Times New Roman"/>
                      <w:color w:val="auto"/>
                      <w:sz w:val="21"/>
                      <w:szCs w:val="21"/>
                      <w:lang w:val="en-US" w:eastAsia="zh-CN"/>
                    </w:rPr>
                    <w:t>处理</w:t>
                  </w:r>
                  <w:r>
                    <w:rPr>
                      <w:rFonts w:hint="default" w:ascii="Times New Roman" w:hAnsi="Times New Roman" w:cs="Times New Roman"/>
                      <w:color w:val="auto"/>
                      <w:sz w:val="21"/>
                      <w:szCs w:val="21"/>
                    </w:rPr>
                    <w:t>资质单位处置</w:t>
                  </w:r>
                </w:p>
              </w:tc>
            </w:tr>
            <w:tr w14:paraId="59CB5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34" w:hRule="atLeast"/>
                <w:jc w:val="center"/>
              </w:trPr>
              <w:tc>
                <w:tcPr>
                  <w:tcW w:w="836" w:type="dxa"/>
                  <w:tcBorders>
                    <w:tl2br w:val="nil"/>
                    <w:tr2bl w:val="nil"/>
                  </w:tcBorders>
                  <w:vAlign w:val="center"/>
                </w:tcPr>
                <w:p w14:paraId="0AEEAC8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设备保养</w:t>
                  </w:r>
                </w:p>
              </w:tc>
              <w:tc>
                <w:tcPr>
                  <w:tcW w:w="951" w:type="dxa"/>
                  <w:tcBorders>
                    <w:tl2br w:val="nil"/>
                    <w:tr2bl w:val="nil"/>
                  </w:tcBorders>
                  <w:vAlign w:val="center"/>
                </w:tcPr>
                <w:p w14:paraId="2A84316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废机油</w:t>
                  </w:r>
                  <w:r>
                    <w:rPr>
                      <w:rFonts w:hint="default" w:ascii="Times New Roman" w:hAnsi="Times New Roman" w:cs="Times New Roman"/>
                      <w:color w:val="auto"/>
                      <w:sz w:val="21"/>
                      <w:szCs w:val="21"/>
                      <w:lang w:val="en-US" w:eastAsia="zh-CN"/>
                    </w:rPr>
                    <w:t>桶</w:t>
                  </w:r>
                </w:p>
              </w:tc>
              <w:tc>
                <w:tcPr>
                  <w:tcW w:w="740" w:type="dxa"/>
                  <w:tcBorders>
                    <w:tl2br w:val="nil"/>
                    <w:tr2bl w:val="nil"/>
                  </w:tcBorders>
                  <w:vAlign w:val="center"/>
                </w:tcPr>
                <w:p w14:paraId="66AE4A8C">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HW49</w:t>
                  </w:r>
                </w:p>
              </w:tc>
              <w:tc>
                <w:tcPr>
                  <w:tcW w:w="1260" w:type="dxa"/>
                  <w:tcBorders>
                    <w:tl2br w:val="nil"/>
                    <w:tr2bl w:val="nil"/>
                  </w:tcBorders>
                  <w:vAlign w:val="center"/>
                </w:tcPr>
                <w:p w14:paraId="2332BF15">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900-041-49</w:t>
                  </w:r>
                </w:p>
              </w:tc>
              <w:tc>
                <w:tcPr>
                  <w:tcW w:w="630" w:type="dxa"/>
                  <w:vMerge w:val="continue"/>
                  <w:tcBorders>
                    <w:tl2br w:val="nil"/>
                    <w:tr2bl w:val="nil"/>
                  </w:tcBorders>
                  <w:vAlign w:val="center"/>
                </w:tcPr>
                <w:p w14:paraId="113E554A">
                  <w:pPr>
                    <w:jc w:val="center"/>
                    <w:rPr>
                      <w:rFonts w:hint="default" w:ascii="Times New Roman" w:hAnsi="Times New Roman" w:cs="Times New Roman"/>
                      <w:color w:val="auto"/>
                      <w:sz w:val="21"/>
                      <w:szCs w:val="21"/>
                    </w:rPr>
                  </w:pPr>
                </w:p>
              </w:tc>
              <w:tc>
                <w:tcPr>
                  <w:tcW w:w="957" w:type="dxa"/>
                  <w:tcBorders>
                    <w:tl2br w:val="nil"/>
                    <w:tr2bl w:val="nil"/>
                  </w:tcBorders>
                  <w:vAlign w:val="center"/>
                </w:tcPr>
                <w:p w14:paraId="0F5DE92B">
                  <w:pPr>
                    <w:tabs>
                      <w:tab w:val="left" w:pos="1134"/>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0.05</w:t>
                  </w:r>
                </w:p>
              </w:tc>
              <w:tc>
                <w:tcPr>
                  <w:tcW w:w="657" w:type="dxa"/>
                  <w:vMerge w:val="continue"/>
                  <w:tcBorders>
                    <w:tl2br w:val="nil"/>
                    <w:tr2bl w:val="nil"/>
                  </w:tcBorders>
                  <w:vAlign w:val="center"/>
                </w:tcPr>
                <w:p w14:paraId="1CE52A5A">
                  <w:pPr>
                    <w:jc w:val="center"/>
                    <w:rPr>
                      <w:rFonts w:hint="default" w:ascii="Times New Roman" w:hAnsi="Times New Roman" w:cs="Times New Roman"/>
                      <w:color w:val="auto"/>
                      <w:sz w:val="21"/>
                      <w:szCs w:val="21"/>
                    </w:rPr>
                  </w:pPr>
                </w:p>
              </w:tc>
              <w:tc>
                <w:tcPr>
                  <w:tcW w:w="991" w:type="dxa"/>
                  <w:tcBorders>
                    <w:tl2br w:val="nil"/>
                    <w:tr2bl w:val="nil"/>
                  </w:tcBorders>
                  <w:vAlign w:val="center"/>
                </w:tcPr>
                <w:p w14:paraId="767156AD">
                  <w:pPr>
                    <w:tabs>
                      <w:tab w:val="left" w:pos="1134"/>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0.05</w:t>
                  </w:r>
                </w:p>
              </w:tc>
              <w:tc>
                <w:tcPr>
                  <w:tcW w:w="1731" w:type="dxa"/>
                  <w:vMerge w:val="continue"/>
                  <w:tcBorders>
                    <w:tl2br w:val="nil"/>
                    <w:tr2bl w:val="nil"/>
                  </w:tcBorders>
                  <w:vAlign w:val="center"/>
                </w:tcPr>
                <w:p w14:paraId="27317FA1">
                  <w:pPr>
                    <w:tabs>
                      <w:tab w:val="left" w:pos="1134"/>
                    </w:tabs>
                    <w:jc w:val="center"/>
                    <w:rPr>
                      <w:rFonts w:hint="default" w:ascii="Times New Roman" w:hAnsi="Times New Roman" w:cs="Times New Roman"/>
                      <w:color w:val="auto"/>
                      <w:sz w:val="21"/>
                      <w:szCs w:val="21"/>
                    </w:rPr>
                  </w:pPr>
                </w:p>
              </w:tc>
            </w:tr>
            <w:tr w14:paraId="04275E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82" w:hRule="atLeast"/>
                <w:jc w:val="center"/>
              </w:trPr>
              <w:tc>
                <w:tcPr>
                  <w:tcW w:w="836" w:type="dxa"/>
                  <w:tcBorders>
                    <w:tl2br w:val="nil"/>
                    <w:tr2bl w:val="nil"/>
                  </w:tcBorders>
                  <w:vAlign w:val="center"/>
                </w:tcPr>
                <w:p w14:paraId="12720CE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产品生产</w:t>
                  </w:r>
                </w:p>
              </w:tc>
              <w:tc>
                <w:tcPr>
                  <w:tcW w:w="951" w:type="dxa"/>
                  <w:tcBorders>
                    <w:tl2br w:val="nil"/>
                    <w:tr2bl w:val="nil"/>
                  </w:tcBorders>
                  <w:vAlign w:val="center"/>
                </w:tcPr>
                <w:p w14:paraId="1011DB2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i w:val="0"/>
                      <w:iCs w:val="0"/>
                      <w:color w:val="auto"/>
                      <w:sz w:val="21"/>
                      <w:szCs w:val="21"/>
                      <w:lang w:val="en-US" w:eastAsia="zh-CN"/>
                    </w:rPr>
                    <w:t>老化导热油</w:t>
                  </w:r>
                </w:p>
              </w:tc>
              <w:tc>
                <w:tcPr>
                  <w:tcW w:w="740" w:type="dxa"/>
                  <w:tcBorders>
                    <w:tl2br w:val="nil"/>
                    <w:tr2bl w:val="nil"/>
                  </w:tcBorders>
                  <w:vAlign w:val="center"/>
                </w:tcPr>
                <w:p w14:paraId="37400A5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HW08</w:t>
                  </w:r>
                </w:p>
              </w:tc>
              <w:tc>
                <w:tcPr>
                  <w:tcW w:w="1260" w:type="dxa"/>
                  <w:tcBorders>
                    <w:tl2br w:val="nil"/>
                    <w:tr2bl w:val="nil"/>
                  </w:tcBorders>
                  <w:vAlign w:val="center"/>
                </w:tcPr>
                <w:p w14:paraId="1917467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900-249-08</w:t>
                  </w:r>
                </w:p>
              </w:tc>
              <w:tc>
                <w:tcPr>
                  <w:tcW w:w="630" w:type="dxa"/>
                  <w:vMerge w:val="continue"/>
                  <w:tcBorders>
                    <w:tl2br w:val="nil"/>
                    <w:tr2bl w:val="nil"/>
                  </w:tcBorders>
                  <w:vAlign w:val="center"/>
                </w:tcPr>
                <w:p w14:paraId="411D1E4B">
                  <w:pPr>
                    <w:jc w:val="center"/>
                    <w:rPr>
                      <w:rFonts w:hint="default" w:ascii="Times New Roman" w:hAnsi="Times New Roman" w:cs="Times New Roman"/>
                      <w:color w:val="auto"/>
                      <w:sz w:val="21"/>
                      <w:szCs w:val="21"/>
                    </w:rPr>
                  </w:pPr>
                </w:p>
              </w:tc>
              <w:tc>
                <w:tcPr>
                  <w:tcW w:w="957" w:type="dxa"/>
                  <w:tcBorders>
                    <w:tl2br w:val="nil"/>
                    <w:tr2bl w:val="nil"/>
                  </w:tcBorders>
                  <w:vAlign w:val="center"/>
                </w:tcPr>
                <w:p w14:paraId="27A06279">
                  <w:pPr>
                    <w:tabs>
                      <w:tab w:val="left" w:pos="1134"/>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1.5t/5年</w:t>
                  </w:r>
                </w:p>
              </w:tc>
              <w:tc>
                <w:tcPr>
                  <w:tcW w:w="657" w:type="dxa"/>
                  <w:vMerge w:val="continue"/>
                  <w:tcBorders>
                    <w:tl2br w:val="nil"/>
                    <w:tr2bl w:val="nil"/>
                  </w:tcBorders>
                  <w:vAlign w:val="center"/>
                </w:tcPr>
                <w:p w14:paraId="043DF8C4">
                  <w:pPr>
                    <w:jc w:val="center"/>
                    <w:rPr>
                      <w:rFonts w:hint="default" w:ascii="Times New Roman" w:hAnsi="Times New Roman" w:cs="Times New Roman"/>
                      <w:color w:val="auto"/>
                      <w:sz w:val="21"/>
                      <w:szCs w:val="21"/>
                    </w:rPr>
                  </w:pPr>
                </w:p>
              </w:tc>
              <w:tc>
                <w:tcPr>
                  <w:tcW w:w="991" w:type="dxa"/>
                  <w:tcBorders>
                    <w:tl2br w:val="nil"/>
                    <w:tr2bl w:val="nil"/>
                  </w:tcBorders>
                  <w:vAlign w:val="center"/>
                </w:tcPr>
                <w:p w14:paraId="53E70514">
                  <w:pPr>
                    <w:tabs>
                      <w:tab w:val="left" w:pos="1134"/>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1.5t/5年</w:t>
                  </w:r>
                </w:p>
              </w:tc>
              <w:tc>
                <w:tcPr>
                  <w:tcW w:w="1731" w:type="dxa"/>
                  <w:vMerge w:val="continue"/>
                  <w:tcBorders>
                    <w:tl2br w:val="nil"/>
                    <w:tr2bl w:val="nil"/>
                  </w:tcBorders>
                  <w:vAlign w:val="center"/>
                </w:tcPr>
                <w:p w14:paraId="209008B9">
                  <w:pPr>
                    <w:tabs>
                      <w:tab w:val="left" w:pos="1134"/>
                    </w:tabs>
                    <w:jc w:val="center"/>
                    <w:rPr>
                      <w:rFonts w:hint="default" w:ascii="Times New Roman" w:hAnsi="Times New Roman" w:cs="Times New Roman"/>
                      <w:color w:val="auto"/>
                      <w:sz w:val="21"/>
                      <w:szCs w:val="21"/>
                    </w:rPr>
                  </w:pPr>
                </w:p>
              </w:tc>
            </w:tr>
          </w:tbl>
          <w:p w14:paraId="6F75B428">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项目设置危废暂存间，进行重点防渗，并设置围堰</w:t>
            </w:r>
            <w:r>
              <w:rPr>
                <w:rFonts w:hint="default" w:ascii="Times New Roman" w:hAnsi="Times New Roman" w:cs="Times New Roman"/>
                <w:color w:val="auto"/>
                <w:sz w:val="24"/>
                <w:szCs w:val="24"/>
                <w:lang w:val="en-US" w:eastAsia="zh-CN"/>
              </w:rPr>
              <w:t>或防渗托盘</w:t>
            </w:r>
            <w:r>
              <w:rPr>
                <w:rFonts w:hint="default" w:ascii="Times New Roman" w:hAnsi="Times New Roman" w:cs="Times New Roman"/>
                <w:color w:val="auto"/>
                <w:sz w:val="24"/>
                <w:szCs w:val="24"/>
              </w:rPr>
              <w:t>，标识标牌等。综上所述，本项目危废暂存间基本情况</w:t>
            </w:r>
            <w:r>
              <w:rPr>
                <w:rFonts w:hint="default" w:ascii="Times New Roman" w:hAnsi="Times New Roman" w:cs="Times New Roman"/>
                <w:color w:val="auto"/>
                <w:sz w:val="24"/>
                <w:szCs w:val="24"/>
                <w:highlight w:val="none"/>
              </w:rPr>
              <w:t>见表4-</w:t>
            </w:r>
            <w:r>
              <w:rPr>
                <w:rFonts w:hint="default"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highlight w:val="none"/>
              </w:rPr>
              <w:t>，危险废物处置措施见表4</w:t>
            </w:r>
            <w:r>
              <w:rPr>
                <w:rFonts w:hint="default" w:ascii="Times New Roman" w:hAnsi="Times New Roman" w:cs="Times New Roman"/>
                <w:color w:val="auto"/>
                <w:sz w:val="24"/>
                <w:szCs w:val="24"/>
                <w:highlight w:val="none"/>
                <w:lang w:val="en-US" w:eastAsia="zh-CN"/>
              </w:rPr>
              <w:t>-25</w:t>
            </w:r>
            <w:r>
              <w:rPr>
                <w:rFonts w:hint="default" w:ascii="Times New Roman" w:hAnsi="Times New Roman" w:cs="Times New Roman"/>
                <w:color w:val="auto"/>
                <w:sz w:val="24"/>
                <w:szCs w:val="24"/>
                <w:highlight w:val="none"/>
              </w:rPr>
              <w:t>。</w:t>
            </w:r>
          </w:p>
          <w:p w14:paraId="064541CE">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lang w:val="en-US" w:eastAsia="zh-CN" w:bidi="ar-SA"/>
              </w:rPr>
            </w:pPr>
            <w:r>
              <w:rPr>
                <w:rFonts w:hint="default" w:ascii="Times New Roman" w:hAnsi="Times New Roman" w:eastAsia="黑体" w:cs="Times New Roman"/>
                <w:b/>
                <w:bCs/>
                <w:color w:val="auto"/>
                <w:kern w:val="0"/>
                <w:sz w:val="21"/>
                <w:szCs w:val="21"/>
                <w:highlight w:val="none"/>
                <w:lang w:val="en-US" w:eastAsia="zh-CN" w:bidi="ar-SA"/>
              </w:rPr>
              <w:t xml:space="preserve">表4-24 </w:t>
            </w:r>
            <w:r>
              <w:rPr>
                <w:rFonts w:hint="default" w:ascii="Times New Roman" w:hAnsi="Times New Roman" w:eastAsia="黑体" w:cs="Times New Roman"/>
                <w:b/>
                <w:bCs/>
                <w:color w:val="auto"/>
                <w:kern w:val="0"/>
                <w:sz w:val="21"/>
                <w:szCs w:val="21"/>
                <w:lang w:val="en-US" w:eastAsia="zh-CN" w:bidi="ar-SA"/>
              </w:rPr>
              <w:t>危险废物贮存场所基本情况表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6" w:type="dxa"/>
                <w:bottom w:w="0" w:type="dxa"/>
                <w:right w:w="6" w:type="dxa"/>
              </w:tblCellMar>
            </w:tblPr>
            <w:tblGrid>
              <w:gridCol w:w="746"/>
              <w:gridCol w:w="1490"/>
              <w:gridCol w:w="874"/>
              <w:gridCol w:w="1208"/>
              <w:gridCol w:w="702"/>
              <w:gridCol w:w="723"/>
              <w:gridCol w:w="1190"/>
              <w:gridCol w:w="856"/>
              <w:gridCol w:w="930"/>
            </w:tblGrid>
            <w:tr w14:paraId="2DFE3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743" w:type="dxa"/>
                  <w:tcBorders>
                    <w:tl2br w:val="nil"/>
                    <w:tr2bl w:val="nil"/>
                  </w:tcBorders>
                  <w:vAlign w:val="center"/>
                </w:tcPr>
                <w:p w14:paraId="43556F04">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贮存场所名称</w:t>
                  </w:r>
                </w:p>
              </w:tc>
              <w:tc>
                <w:tcPr>
                  <w:tcW w:w="1482" w:type="dxa"/>
                  <w:tcBorders>
                    <w:tl2br w:val="nil"/>
                    <w:tr2bl w:val="nil"/>
                  </w:tcBorders>
                  <w:vAlign w:val="center"/>
                </w:tcPr>
                <w:p w14:paraId="481E14C8">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危险废物名称</w:t>
                  </w:r>
                </w:p>
              </w:tc>
              <w:tc>
                <w:tcPr>
                  <w:tcW w:w="869" w:type="dxa"/>
                  <w:tcBorders>
                    <w:tl2br w:val="nil"/>
                    <w:tr2bl w:val="nil"/>
                  </w:tcBorders>
                  <w:vAlign w:val="center"/>
                </w:tcPr>
                <w:p w14:paraId="779C0CA4">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危险废物类别</w:t>
                  </w:r>
                </w:p>
              </w:tc>
              <w:tc>
                <w:tcPr>
                  <w:tcW w:w="1201" w:type="dxa"/>
                  <w:tcBorders>
                    <w:tl2br w:val="nil"/>
                    <w:tr2bl w:val="nil"/>
                  </w:tcBorders>
                  <w:vAlign w:val="center"/>
                </w:tcPr>
                <w:p w14:paraId="6BE5CD43">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危险废物</w:t>
                  </w:r>
                </w:p>
                <w:p w14:paraId="55823BF7">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代码</w:t>
                  </w:r>
                </w:p>
              </w:tc>
              <w:tc>
                <w:tcPr>
                  <w:tcW w:w="698" w:type="dxa"/>
                  <w:tcBorders>
                    <w:tl2br w:val="nil"/>
                    <w:tr2bl w:val="nil"/>
                  </w:tcBorders>
                  <w:vAlign w:val="center"/>
                </w:tcPr>
                <w:p w14:paraId="4158E664">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位置</w:t>
                  </w:r>
                </w:p>
              </w:tc>
              <w:tc>
                <w:tcPr>
                  <w:tcW w:w="719" w:type="dxa"/>
                  <w:tcBorders>
                    <w:tl2br w:val="nil"/>
                    <w:tr2bl w:val="nil"/>
                  </w:tcBorders>
                  <w:vAlign w:val="center"/>
                </w:tcPr>
                <w:p w14:paraId="48A39D33">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占地</w:t>
                  </w:r>
                </w:p>
                <w:p w14:paraId="175127DF">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面积</w:t>
                  </w:r>
                </w:p>
              </w:tc>
              <w:tc>
                <w:tcPr>
                  <w:tcW w:w="1184" w:type="dxa"/>
                  <w:tcBorders>
                    <w:tl2br w:val="nil"/>
                    <w:tr2bl w:val="nil"/>
                  </w:tcBorders>
                  <w:vAlign w:val="center"/>
                </w:tcPr>
                <w:p w14:paraId="709041E3">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贮存方式</w:t>
                  </w:r>
                </w:p>
              </w:tc>
              <w:tc>
                <w:tcPr>
                  <w:tcW w:w="851" w:type="dxa"/>
                  <w:tcBorders>
                    <w:tl2br w:val="nil"/>
                    <w:tr2bl w:val="nil"/>
                  </w:tcBorders>
                  <w:vAlign w:val="center"/>
                </w:tcPr>
                <w:p w14:paraId="60E78387">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贮存</w:t>
                  </w:r>
                </w:p>
                <w:p w14:paraId="30289BA4">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能力</w:t>
                  </w:r>
                </w:p>
              </w:tc>
              <w:tc>
                <w:tcPr>
                  <w:tcW w:w="925" w:type="dxa"/>
                  <w:tcBorders>
                    <w:tl2br w:val="nil"/>
                    <w:tr2bl w:val="nil"/>
                  </w:tcBorders>
                  <w:vAlign w:val="center"/>
                </w:tcPr>
                <w:p w14:paraId="6E3AC6A9">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贮存</w:t>
                  </w:r>
                </w:p>
                <w:p w14:paraId="2A4D8AC8">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周期</w:t>
                  </w:r>
                </w:p>
              </w:tc>
            </w:tr>
            <w:tr w14:paraId="452AEB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743" w:type="dxa"/>
                  <w:vMerge w:val="restart"/>
                  <w:tcBorders>
                    <w:tl2br w:val="nil"/>
                    <w:tr2bl w:val="nil"/>
                  </w:tcBorders>
                  <w:vAlign w:val="center"/>
                </w:tcPr>
                <w:p w14:paraId="72546C3A">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废暂存间</w:t>
                  </w:r>
                </w:p>
              </w:tc>
              <w:tc>
                <w:tcPr>
                  <w:tcW w:w="1482" w:type="dxa"/>
                  <w:tcBorders>
                    <w:tl2br w:val="nil"/>
                    <w:tr2bl w:val="nil"/>
                  </w:tcBorders>
                  <w:vAlign w:val="center"/>
                </w:tcPr>
                <w:p w14:paraId="44C490FE">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废机油</w:t>
                  </w:r>
                </w:p>
              </w:tc>
              <w:tc>
                <w:tcPr>
                  <w:tcW w:w="869" w:type="dxa"/>
                  <w:tcBorders>
                    <w:tl2br w:val="nil"/>
                    <w:tr2bl w:val="nil"/>
                  </w:tcBorders>
                  <w:vAlign w:val="center"/>
                </w:tcPr>
                <w:p w14:paraId="0D4853FF">
                  <w:pPr>
                    <w:jc w:val="center"/>
                    <w:rPr>
                      <w:rFonts w:hint="default" w:ascii="Times New Roman" w:hAnsi="Times New Roman" w:cs="Times New Roman"/>
                      <w:color w:val="auto"/>
                      <w:szCs w:val="21"/>
                    </w:rPr>
                  </w:pPr>
                  <w:r>
                    <w:rPr>
                      <w:rFonts w:hint="default" w:ascii="Times New Roman" w:hAnsi="Times New Roman" w:cs="Times New Roman"/>
                      <w:color w:val="auto"/>
                      <w:szCs w:val="21"/>
                    </w:rPr>
                    <w:t>HW08</w:t>
                  </w:r>
                </w:p>
              </w:tc>
              <w:tc>
                <w:tcPr>
                  <w:tcW w:w="1201" w:type="dxa"/>
                  <w:tcBorders>
                    <w:tl2br w:val="nil"/>
                    <w:tr2bl w:val="nil"/>
                  </w:tcBorders>
                  <w:vAlign w:val="center"/>
                </w:tcPr>
                <w:p w14:paraId="4BEC3594">
                  <w:pPr>
                    <w:jc w:val="center"/>
                    <w:rPr>
                      <w:rFonts w:hint="default" w:ascii="Times New Roman" w:hAnsi="Times New Roman" w:cs="Times New Roman"/>
                      <w:color w:val="auto"/>
                      <w:szCs w:val="21"/>
                    </w:rPr>
                  </w:pPr>
                  <w:r>
                    <w:rPr>
                      <w:rFonts w:hint="default" w:ascii="Times New Roman" w:hAnsi="Times New Roman" w:cs="Times New Roman"/>
                      <w:color w:val="auto"/>
                      <w:szCs w:val="21"/>
                    </w:rPr>
                    <w:t>900-214-08</w:t>
                  </w:r>
                </w:p>
              </w:tc>
              <w:tc>
                <w:tcPr>
                  <w:tcW w:w="698" w:type="dxa"/>
                  <w:vMerge w:val="restart"/>
                  <w:tcBorders>
                    <w:tl2br w:val="nil"/>
                    <w:tr2bl w:val="nil"/>
                  </w:tcBorders>
                  <w:vAlign w:val="center"/>
                </w:tcPr>
                <w:p w14:paraId="6D173776">
                  <w:pPr>
                    <w:jc w:val="center"/>
                    <w:rPr>
                      <w:rFonts w:hint="default" w:ascii="Times New Roman" w:hAnsi="Times New Roman" w:cs="Times New Roman"/>
                      <w:color w:val="auto"/>
                      <w:szCs w:val="21"/>
                    </w:rPr>
                  </w:pPr>
                  <w:r>
                    <w:rPr>
                      <w:rFonts w:hint="default" w:ascii="Times New Roman" w:hAnsi="Times New Roman" w:cs="Times New Roman"/>
                      <w:color w:val="auto"/>
                      <w:szCs w:val="21"/>
                      <w:lang w:bidi="ar"/>
                    </w:rPr>
                    <w:t>生产车间</w:t>
                  </w:r>
                  <w:r>
                    <w:rPr>
                      <w:rFonts w:hint="default" w:ascii="Times New Roman" w:hAnsi="Times New Roman" w:cs="Times New Roman"/>
                      <w:color w:val="auto"/>
                      <w:szCs w:val="21"/>
                      <w:lang w:val="en-US" w:eastAsia="zh-CN" w:bidi="ar"/>
                    </w:rPr>
                    <w:t>北侧</w:t>
                  </w:r>
                </w:p>
              </w:tc>
              <w:tc>
                <w:tcPr>
                  <w:tcW w:w="719" w:type="dxa"/>
                  <w:vMerge w:val="restart"/>
                  <w:tcBorders>
                    <w:tl2br w:val="nil"/>
                    <w:tr2bl w:val="nil"/>
                  </w:tcBorders>
                  <w:shd w:val="clear" w:color="auto" w:fill="auto"/>
                  <w:vAlign w:val="center"/>
                </w:tcPr>
                <w:p w14:paraId="4CFC6B5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1184" w:type="dxa"/>
                  <w:vMerge w:val="restart"/>
                  <w:tcBorders>
                    <w:tl2br w:val="nil"/>
                    <w:tr2bl w:val="nil"/>
                  </w:tcBorders>
                  <w:shd w:val="clear" w:color="auto" w:fill="auto"/>
                  <w:vAlign w:val="center"/>
                </w:tcPr>
                <w:p w14:paraId="60E5840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专用桶装</w:t>
                  </w:r>
                </w:p>
              </w:tc>
              <w:tc>
                <w:tcPr>
                  <w:tcW w:w="851" w:type="dxa"/>
                  <w:tcBorders>
                    <w:tl2br w:val="nil"/>
                    <w:tr2bl w:val="nil"/>
                  </w:tcBorders>
                  <w:vAlign w:val="center"/>
                </w:tcPr>
                <w:p w14:paraId="67CCFB94">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0.025</w:t>
                  </w:r>
                  <w:r>
                    <w:rPr>
                      <w:rFonts w:hint="default" w:ascii="Times New Roman" w:hAnsi="Times New Roman" w:cs="Times New Roman"/>
                      <w:color w:val="auto"/>
                      <w:szCs w:val="21"/>
                    </w:rPr>
                    <w:t>t</w:t>
                  </w:r>
                </w:p>
              </w:tc>
              <w:tc>
                <w:tcPr>
                  <w:tcW w:w="925" w:type="dxa"/>
                  <w:tcBorders>
                    <w:tl2br w:val="nil"/>
                    <w:tr2bl w:val="nil"/>
                  </w:tcBorders>
                  <w:vAlign w:val="center"/>
                </w:tcPr>
                <w:p w14:paraId="5D57930E">
                  <w:pPr>
                    <w:jc w:val="center"/>
                    <w:rPr>
                      <w:rFonts w:hint="default" w:ascii="Times New Roman" w:hAnsi="Times New Roman" w:cs="Times New Roman"/>
                      <w:color w:val="auto"/>
                      <w:szCs w:val="21"/>
                    </w:rPr>
                  </w:pPr>
                  <w:r>
                    <w:rPr>
                      <w:rFonts w:hint="default" w:ascii="Times New Roman" w:hAnsi="Times New Roman" w:cs="Times New Roman"/>
                      <w:color w:val="auto"/>
                      <w:szCs w:val="21"/>
                    </w:rPr>
                    <w:t>6个月</w:t>
                  </w:r>
                </w:p>
              </w:tc>
            </w:tr>
            <w:tr w14:paraId="142890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743" w:type="dxa"/>
                  <w:vMerge w:val="continue"/>
                  <w:tcBorders>
                    <w:tl2br w:val="nil"/>
                    <w:tr2bl w:val="nil"/>
                  </w:tcBorders>
                  <w:vAlign w:val="center"/>
                </w:tcPr>
                <w:p w14:paraId="3428638E">
                  <w:pPr>
                    <w:jc w:val="center"/>
                    <w:rPr>
                      <w:rFonts w:hint="default" w:ascii="Times New Roman" w:hAnsi="Times New Roman" w:cs="Times New Roman"/>
                      <w:color w:val="auto"/>
                      <w:szCs w:val="21"/>
                    </w:rPr>
                  </w:pPr>
                </w:p>
              </w:tc>
              <w:tc>
                <w:tcPr>
                  <w:tcW w:w="1482" w:type="dxa"/>
                  <w:tcBorders>
                    <w:tl2br w:val="nil"/>
                    <w:tr2bl w:val="nil"/>
                  </w:tcBorders>
                  <w:vAlign w:val="center"/>
                </w:tcPr>
                <w:p w14:paraId="0ADA7A30">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w:t>
                  </w:r>
                  <w:r>
                    <w:rPr>
                      <w:rFonts w:hint="default" w:ascii="Times New Roman" w:hAnsi="Times New Roman" w:cs="Times New Roman"/>
                      <w:color w:val="auto"/>
                      <w:szCs w:val="21"/>
                      <w:lang w:val="en-US" w:eastAsia="zh-CN"/>
                    </w:rPr>
                    <w:t>机油桶</w:t>
                  </w:r>
                </w:p>
              </w:tc>
              <w:tc>
                <w:tcPr>
                  <w:tcW w:w="869" w:type="dxa"/>
                  <w:tcBorders>
                    <w:tl2br w:val="nil"/>
                    <w:tr2bl w:val="nil"/>
                  </w:tcBorders>
                  <w:vAlign w:val="center"/>
                </w:tcPr>
                <w:p w14:paraId="6AE3DA4C">
                  <w:pPr>
                    <w:jc w:val="center"/>
                    <w:rPr>
                      <w:rFonts w:hint="default" w:ascii="Times New Roman" w:hAnsi="Times New Roman" w:cs="Times New Roman"/>
                      <w:color w:val="auto"/>
                      <w:szCs w:val="21"/>
                    </w:rPr>
                  </w:pPr>
                  <w:r>
                    <w:rPr>
                      <w:rFonts w:hint="default" w:ascii="Times New Roman" w:hAnsi="Times New Roman" w:cs="Times New Roman"/>
                      <w:color w:val="auto"/>
                      <w:szCs w:val="21"/>
                    </w:rPr>
                    <w:t>HW49</w:t>
                  </w:r>
                </w:p>
              </w:tc>
              <w:tc>
                <w:tcPr>
                  <w:tcW w:w="1201" w:type="dxa"/>
                  <w:tcBorders>
                    <w:tl2br w:val="nil"/>
                    <w:tr2bl w:val="nil"/>
                  </w:tcBorders>
                  <w:vAlign w:val="center"/>
                </w:tcPr>
                <w:p w14:paraId="1E146BF3">
                  <w:pPr>
                    <w:jc w:val="center"/>
                    <w:rPr>
                      <w:rFonts w:hint="default" w:ascii="Times New Roman" w:hAnsi="Times New Roman" w:cs="Times New Roman"/>
                      <w:color w:val="auto"/>
                      <w:szCs w:val="21"/>
                    </w:rPr>
                  </w:pPr>
                  <w:r>
                    <w:rPr>
                      <w:rFonts w:hint="default" w:ascii="Times New Roman" w:hAnsi="Times New Roman" w:cs="Times New Roman"/>
                      <w:color w:val="auto"/>
                      <w:szCs w:val="21"/>
                    </w:rPr>
                    <w:t>900-041-49</w:t>
                  </w:r>
                </w:p>
              </w:tc>
              <w:tc>
                <w:tcPr>
                  <w:tcW w:w="698" w:type="dxa"/>
                  <w:vMerge w:val="continue"/>
                  <w:tcBorders>
                    <w:tl2br w:val="nil"/>
                    <w:tr2bl w:val="nil"/>
                  </w:tcBorders>
                  <w:vAlign w:val="center"/>
                </w:tcPr>
                <w:p w14:paraId="1B7D63A1">
                  <w:pPr>
                    <w:jc w:val="center"/>
                    <w:rPr>
                      <w:rFonts w:hint="default" w:ascii="Times New Roman" w:hAnsi="Times New Roman" w:cs="Times New Roman"/>
                      <w:color w:val="auto"/>
                      <w:szCs w:val="21"/>
                    </w:rPr>
                  </w:pPr>
                </w:p>
              </w:tc>
              <w:tc>
                <w:tcPr>
                  <w:tcW w:w="719" w:type="dxa"/>
                  <w:vMerge w:val="continue"/>
                  <w:tcBorders>
                    <w:tl2br w:val="nil"/>
                    <w:tr2bl w:val="nil"/>
                  </w:tcBorders>
                  <w:vAlign w:val="center"/>
                </w:tcPr>
                <w:p w14:paraId="308E933E">
                  <w:pPr>
                    <w:jc w:val="center"/>
                    <w:rPr>
                      <w:rFonts w:hint="default" w:ascii="Times New Roman" w:hAnsi="Times New Roman" w:cs="Times New Roman"/>
                      <w:color w:val="auto"/>
                      <w:szCs w:val="21"/>
                    </w:rPr>
                  </w:pPr>
                </w:p>
              </w:tc>
              <w:tc>
                <w:tcPr>
                  <w:tcW w:w="1184" w:type="dxa"/>
                  <w:vMerge w:val="continue"/>
                  <w:tcBorders>
                    <w:tl2br w:val="nil"/>
                    <w:tr2bl w:val="nil"/>
                  </w:tcBorders>
                  <w:vAlign w:val="center"/>
                </w:tcPr>
                <w:p w14:paraId="37026B64">
                  <w:pPr>
                    <w:jc w:val="center"/>
                    <w:rPr>
                      <w:rFonts w:hint="default" w:ascii="Times New Roman" w:hAnsi="Times New Roman" w:cs="Times New Roman"/>
                      <w:color w:val="auto"/>
                      <w:szCs w:val="21"/>
                    </w:rPr>
                  </w:pPr>
                </w:p>
              </w:tc>
              <w:tc>
                <w:tcPr>
                  <w:tcW w:w="851" w:type="dxa"/>
                  <w:tcBorders>
                    <w:tl2br w:val="nil"/>
                    <w:tr2bl w:val="nil"/>
                  </w:tcBorders>
                  <w:vAlign w:val="center"/>
                </w:tcPr>
                <w:p w14:paraId="4BD1DF44">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0.01</w:t>
                  </w:r>
                  <w:r>
                    <w:rPr>
                      <w:rFonts w:hint="default" w:ascii="Times New Roman" w:hAnsi="Times New Roman" w:cs="Times New Roman"/>
                      <w:color w:val="auto"/>
                      <w:szCs w:val="21"/>
                    </w:rPr>
                    <w:t>t</w:t>
                  </w:r>
                </w:p>
              </w:tc>
              <w:tc>
                <w:tcPr>
                  <w:tcW w:w="925" w:type="dxa"/>
                  <w:tcBorders>
                    <w:tl2br w:val="nil"/>
                    <w:tr2bl w:val="nil"/>
                  </w:tcBorders>
                  <w:vAlign w:val="center"/>
                </w:tcPr>
                <w:p w14:paraId="651DC469">
                  <w:pPr>
                    <w:jc w:val="center"/>
                    <w:rPr>
                      <w:rFonts w:hint="default" w:ascii="Times New Roman" w:hAnsi="Times New Roman" w:cs="Times New Roman"/>
                      <w:color w:val="auto"/>
                      <w:szCs w:val="21"/>
                    </w:rPr>
                  </w:pPr>
                  <w:r>
                    <w:rPr>
                      <w:rFonts w:hint="default" w:ascii="Times New Roman" w:hAnsi="Times New Roman" w:cs="Times New Roman"/>
                      <w:color w:val="auto"/>
                      <w:szCs w:val="21"/>
                    </w:rPr>
                    <w:t>6个月</w:t>
                  </w:r>
                </w:p>
              </w:tc>
            </w:tr>
            <w:tr w14:paraId="705FF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743" w:type="dxa"/>
                  <w:vMerge w:val="continue"/>
                  <w:tcBorders>
                    <w:tl2br w:val="nil"/>
                    <w:tr2bl w:val="nil"/>
                  </w:tcBorders>
                  <w:vAlign w:val="center"/>
                </w:tcPr>
                <w:p w14:paraId="6122677E">
                  <w:pPr>
                    <w:jc w:val="center"/>
                    <w:rPr>
                      <w:rFonts w:hint="default" w:ascii="Times New Roman" w:hAnsi="Times New Roman" w:cs="Times New Roman"/>
                      <w:color w:val="auto"/>
                      <w:szCs w:val="21"/>
                    </w:rPr>
                  </w:pPr>
                </w:p>
              </w:tc>
              <w:tc>
                <w:tcPr>
                  <w:tcW w:w="1482" w:type="dxa"/>
                  <w:tcBorders>
                    <w:tl2br w:val="nil"/>
                    <w:tr2bl w:val="nil"/>
                  </w:tcBorders>
                  <w:vAlign w:val="center"/>
                </w:tcPr>
                <w:p w14:paraId="6BC22FC5">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废导热油</w:t>
                  </w:r>
                </w:p>
              </w:tc>
              <w:tc>
                <w:tcPr>
                  <w:tcW w:w="869" w:type="dxa"/>
                  <w:tcBorders>
                    <w:tl2br w:val="nil"/>
                    <w:tr2bl w:val="nil"/>
                  </w:tcBorders>
                  <w:vAlign w:val="center"/>
                </w:tcPr>
                <w:p w14:paraId="49383C7E">
                  <w:pPr>
                    <w:jc w:val="center"/>
                    <w:rPr>
                      <w:rFonts w:hint="default" w:ascii="Times New Roman" w:hAnsi="Times New Roman" w:cs="Times New Roman"/>
                      <w:color w:val="auto"/>
                      <w:szCs w:val="21"/>
                    </w:rPr>
                  </w:pPr>
                  <w:r>
                    <w:rPr>
                      <w:rFonts w:hint="default" w:ascii="Times New Roman" w:hAnsi="Times New Roman" w:cs="Times New Roman"/>
                      <w:color w:val="auto"/>
                      <w:szCs w:val="21"/>
                    </w:rPr>
                    <w:t>HW08</w:t>
                  </w:r>
                </w:p>
              </w:tc>
              <w:tc>
                <w:tcPr>
                  <w:tcW w:w="1201" w:type="dxa"/>
                  <w:tcBorders>
                    <w:tl2br w:val="nil"/>
                    <w:tr2bl w:val="nil"/>
                  </w:tcBorders>
                  <w:vAlign w:val="center"/>
                </w:tcPr>
                <w:p w14:paraId="45D8ABB7">
                  <w:pPr>
                    <w:jc w:val="center"/>
                    <w:rPr>
                      <w:rFonts w:hint="default" w:ascii="Times New Roman" w:hAnsi="Times New Roman" w:cs="Times New Roman"/>
                      <w:color w:val="auto"/>
                      <w:szCs w:val="21"/>
                    </w:rPr>
                  </w:pPr>
                  <w:r>
                    <w:rPr>
                      <w:rFonts w:hint="default" w:ascii="Times New Roman" w:hAnsi="Times New Roman" w:eastAsia="宋体" w:cs="Times New Roman"/>
                      <w:color w:val="auto"/>
                      <w:sz w:val="21"/>
                      <w:szCs w:val="21"/>
                    </w:rPr>
                    <w:t>900-249-08</w:t>
                  </w:r>
                </w:p>
              </w:tc>
              <w:tc>
                <w:tcPr>
                  <w:tcW w:w="698" w:type="dxa"/>
                  <w:vMerge w:val="continue"/>
                  <w:tcBorders>
                    <w:tl2br w:val="nil"/>
                    <w:tr2bl w:val="nil"/>
                  </w:tcBorders>
                  <w:vAlign w:val="center"/>
                </w:tcPr>
                <w:p w14:paraId="7E411A8C">
                  <w:pPr>
                    <w:jc w:val="center"/>
                    <w:rPr>
                      <w:rFonts w:hint="default" w:ascii="Times New Roman" w:hAnsi="Times New Roman" w:cs="Times New Roman"/>
                      <w:color w:val="auto"/>
                      <w:szCs w:val="21"/>
                    </w:rPr>
                  </w:pPr>
                </w:p>
              </w:tc>
              <w:tc>
                <w:tcPr>
                  <w:tcW w:w="719" w:type="dxa"/>
                  <w:vMerge w:val="continue"/>
                  <w:tcBorders>
                    <w:tl2br w:val="nil"/>
                    <w:tr2bl w:val="nil"/>
                  </w:tcBorders>
                  <w:vAlign w:val="center"/>
                </w:tcPr>
                <w:p w14:paraId="2DFF9D19">
                  <w:pPr>
                    <w:jc w:val="center"/>
                    <w:rPr>
                      <w:rFonts w:hint="default" w:ascii="Times New Roman" w:hAnsi="Times New Roman" w:cs="Times New Roman"/>
                      <w:color w:val="auto"/>
                      <w:szCs w:val="21"/>
                    </w:rPr>
                  </w:pPr>
                </w:p>
              </w:tc>
              <w:tc>
                <w:tcPr>
                  <w:tcW w:w="1184" w:type="dxa"/>
                  <w:vMerge w:val="continue"/>
                  <w:tcBorders>
                    <w:tl2br w:val="nil"/>
                    <w:tr2bl w:val="nil"/>
                  </w:tcBorders>
                  <w:vAlign w:val="center"/>
                </w:tcPr>
                <w:p w14:paraId="4DA44C9E">
                  <w:pPr>
                    <w:jc w:val="center"/>
                    <w:rPr>
                      <w:rFonts w:hint="default" w:ascii="Times New Roman" w:hAnsi="Times New Roman" w:cs="Times New Roman"/>
                      <w:color w:val="auto"/>
                      <w:szCs w:val="21"/>
                    </w:rPr>
                  </w:pPr>
                </w:p>
              </w:tc>
              <w:tc>
                <w:tcPr>
                  <w:tcW w:w="851" w:type="dxa"/>
                  <w:tcBorders>
                    <w:tl2br w:val="nil"/>
                    <w:tr2bl w:val="nil"/>
                  </w:tcBorders>
                  <w:vAlign w:val="center"/>
                </w:tcPr>
                <w:p w14:paraId="026F94D7">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0.005</w:t>
                  </w:r>
                  <w:r>
                    <w:rPr>
                      <w:rFonts w:hint="default" w:ascii="Times New Roman" w:hAnsi="Times New Roman" w:cs="Times New Roman"/>
                      <w:color w:val="auto"/>
                      <w:szCs w:val="21"/>
                    </w:rPr>
                    <w:t>t</w:t>
                  </w:r>
                </w:p>
              </w:tc>
              <w:tc>
                <w:tcPr>
                  <w:tcW w:w="925" w:type="dxa"/>
                  <w:tcBorders>
                    <w:tl2br w:val="nil"/>
                    <w:tr2bl w:val="nil"/>
                  </w:tcBorders>
                  <w:vAlign w:val="center"/>
                </w:tcPr>
                <w:p w14:paraId="3D57DB85">
                  <w:pPr>
                    <w:jc w:val="center"/>
                    <w:rPr>
                      <w:rFonts w:hint="default" w:ascii="Times New Roman" w:hAnsi="Times New Roman" w:cs="Times New Roman"/>
                      <w:color w:val="auto"/>
                      <w:szCs w:val="21"/>
                    </w:rPr>
                  </w:pPr>
                  <w:r>
                    <w:rPr>
                      <w:rFonts w:hint="default" w:ascii="Times New Roman" w:hAnsi="Times New Roman" w:cs="Times New Roman"/>
                      <w:color w:val="auto"/>
                      <w:szCs w:val="21"/>
                    </w:rPr>
                    <w:t>6个月</w:t>
                  </w:r>
                </w:p>
              </w:tc>
            </w:tr>
          </w:tbl>
          <w:p w14:paraId="0F956D43">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highlight w:val="none"/>
                <w:lang w:val="en-US" w:eastAsia="zh-CN" w:bidi="ar-SA"/>
              </w:rPr>
            </w:pPr>
          </w:p>
          <w:p w14:paraId="5CA0E8BB">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lang w:val="en-US" w:eastAsia="zh-CN" w:bidi="ar-SA"/>
              </w:rPr>
            </w:pPr>
            <w:r>
              <w:rPr>
                <w:rFonts w:hint="default" w:ascii="Times New Roman" w:hAnsi="Times New Roman" w:eastAsia="黑体" w:cs="Times New Roman"/>
                <w:b/>
                <w:bCs/>
                <w:color w:val="auto"/>
                <w:kern w:val="0"/>
                <w:sz w:val="21"/>
                <w:szCs w:val="21"/>
                <w:highlight w:val="none"/>
                <w:lang w:val="en-US" w:eastAsia="zh-CN" w:bidi="ar-SA"/>
              </w:rPr>
              <w:t xml:space="preserve">表4-25  </w:t>
            </w:r>
            <w:r>
              <w:rPr>
                <w:rFonts w:hint="default" w:ascii="Times New Roman" w:hAnsi="Times New Roman" w:eastAsia="黑体" w:cs="Times New Roman"/>
                <w:b/>
                <w:bCs/>
                <w:color w:val="auto"/>
                <w:kern w:val="0"/>
                <w:sz w:val="21"/>
                <w:szCs w:val="21"/>
                <w:lang w:val="en-US" w:eastAsia="zh-CN" w:bidi="ar-SA"/>
              </w:rPr>
              <w:t>危险废物治理措施一览表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80"/>
              <w:gridCol w:w="790"/>
              <w:gridCol w:w="679"/>
              <w:gridCol w:w="1130"/>
              <w:gridCol w:w="773"/>
              <w:gridCol w:w="974"/>
              <w:gridCol w:w="593"/>
              <w:gridCol w:w="675"/>
              <w:gridCol w:w="695"/>
              <w:gridCol w:w="529"/>
              <w:gridCol w:w="621"/>
              <w:gridCol w:w="880"/>
            </w:tblGrid>
            <w:tr w14:paraId="658FF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378" w:type="dxa"/>
                  <w:tcBorders>
                    <w:tl2br w:val="nil"/>
                    <w:tr2bl w:val="nil"/>
                  </w:tcBorders>
                  <w:vAlign w:val="center"/>
                </w:tcPr>
                <w:p w14:paraId="2D438F2F">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786" w:type="dxa"/>
                  <w:tcBorders>
                    <w:tl2br w:val="nil"/>
                    <w:tr2bl w:val="nil"/>
                  </w:tcBorders>
                  <w:vAlign w:val="center"/>
                </w:tcPr>
                <w:p w14:paraId="6D864BE9">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危险废物名称</w:t>
                  </w:r>
                </w:p>
              </w:tc>
              <w:tc>
                <w:tcPr>
                  <w:tcW w:w="675" w:type="dxa"/>
                  <w:tcBorders>
                    <w:tl2br w:val="nil"/>
                    <w:tr2bl w:val="nil"/>
                  </w:tcBorders>
                  <w:vAlign w:val="center"/>
                </w:tcPr>
                <w:p w14:paraId="126065A5">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危险废物类别</w:t>
                  </w:r>
                </w:p>
              </w:tc>
              <w:tc>
                <w:tcPr>
                  <w:tcW w:w="1124" w:type="dxa"/>
                  <w:tcBorders>
                    <w:tl2br w:val="nil"/>
                    <w:tr2bl w:val="nil"/>
                  </w:tcBorders>
                  <w:vAlign w:val="center"/>
                </w:tcPr>
                <w:p w14:paraId="383D54E5">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危险废物代码</w:t>
                  </w:r>
                </w:p>
              </w:tc>
              <w:tc>
                <w:tcPr>
                  <w:tcW w:w="769" w:type="dxa"/>
                  <w:tcBorders>
                    <w:tl2br w:val="nil"/>
                    <w:tr2bl w:val="nil"/>
                  </w:tcBorders>
                  <w:vAlign w:val="center"/>
                </w:tcPr>
                <w:p w14:paraId="55EE8581">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产生量</w:t>
                  </w:r>
                </w:p>
                <w:p w14:paraId="2640FA45">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（t/a）</w:t>
                  </w:r>
                </w:p>
              </w:tc>
              <w:tc>
                <w:tcPr>
                  <w:tcW w:w="969" w:type="dxa"/>
                  <w:tcBorders>
                    <w:tl2br w:val="nil"/>
                    <w:tr2bl w:val="nil"/>
                  </w:tcBorders>
                  <w:vAlign w:val="center"/>
                </w:tcPr>
                <w:p w14:paraId="1FF4DD1F">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产生工序及装置</w:t>
                  </w:r>
                </w:p>
              </w:tc>
              <w:tc>
                <w:tcPr>
                  <w:tcW w:w="590" w:type="dxa"/>
                  <w:tcBorders>
                    <w:tl2br w:val="nil"/>
                    <w:tr2bl w:val="nil"/>
                  </w:tcBorders>
                  <w:vAlign w:val="center"/>
                </w:tcPr>
                <w:p w14:paraId="5C63E8E5">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形态</w:t>
                  </w:r>
                </w:p>
              </w:tc>
              <w:tc>
                <w:tcPr>
                  <w:tcW w:w="671" w:type="dxa"/>
                  <w:tcBorders>
                    <w:tl2br w:val="nil"/>
                    <w:tr2bl w:val="nil"/>
                  </w:tcBorders>
                  <w:vAlign w:val="center"/>
                </w:tcPr>
                <w:p w14:paraId="67C3DEB2">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主要成分</w:t>
                  </w:r>
                </w:p>
              </w:tc>
              <w:tc>
                <w:tcPr>
                  <w:tcW w:w="691" w:type="dxa"/>
                  <w:tcBorders>
                    <w:tl2br w:val="nil"/>
                    <w:tr2bl w:val="nil"/>
                  </w:tcBorders>
                  <w:vAlign w:val="center"/>
                </w:tcPr>
                <w:p w14:paraId="61CE8B8A">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有害成分</w:t>
                  </w:r>
                </w:p>
              </w:tc>
              <w:tc>
                <w:tcPr>
                  <w:tcW w:w="526" w:type="dxa"/>
                  <w:tcBorders>
                    <w:tl2br w:val="nil"/>
                    <w:tr2bl w:val="nil"/>
                  </w:tcBorders>
                  <w:vAlign w:val="center"/>
                </w:tcPr>
                <w:p w14:paraId="2FE44B54">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产废周期</w:t>
                  </w:r>
                </w:p>
              </w:tc>
              <w:tc>
                <w:tcPr>
                  <w:tcW w:w="618" w:type="dxa"/>
                  <w:tcBorders>
                    <w:tl2br w:val="nil"/>
                    <w:tr2bl w:val="nil"/>
                  </w:tcBorders>
                  <w:vAlign w:val="center"/>
                </w:tcPr>
                <w:p w14:paraId="2B63B60B">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危险特性</w:t>
                  </w:r>
                </w:p>
              </w:tc>
              <w:tc>
                <w:tcPr>
                  <w:tcW w:w="875" w:type="dxa"/>
                  <w:tcBorders>
                    <w:tl2br w:val="nil"/>
                    <w:tr2bl w:val="nil"/>
                  </w:tcBorders>
                  <w:vAlign w:val="center"/>
                </w:tcPr>
                <w:p w14:paraId="324C110D">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污染物防治措施</w:t>
                  </w:r>
                </w:p>
              </w:tc>
            </w:tr>
            <w:tr w14:paraId="5748E4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78" w:type="dxa"/>
                  <w:tcBorders>
                    <w:tl2br w:val="nil"/>
                    <w:tr2bl w:val="nil"/>
                  </w:tcBorders>
                  <w:vAlign w:val="center"/>
                </w:tcPr>
                <w:p w14:paraId="02F2CBA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p>
              </w:tc>
              <w:tc>
                <w:tcPr>
                  <w:tcW w:w="786" w:type="dxa"/>
                  <w:tcBorders>
                    <w:tl2br w:val="nil"/>
                    <w:tr2bl w:val="nil"/>
                  </w:tcBorders>
                  <w:vAlign w:val="center"/>
                </w:tcPr>
                <w:p w14:paraId="581B34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废机油</w:t>
                  </w:r>
                </w:p>
              </w:tc>
              <w:tc>
                <w:tcPr>
                  <w:tcW w:w="675" w:type="dxa"/>
                  <w:tcBorders>
                    <w:tl2br w:val="nil"/>
                    <w:tr2bl w:val="nil"/>
                  </w:tcBorders>
                  <w:vAlign w:val="center"/>
                </w:tcPr>
                <w:p w14:paraId="62C1EDC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HW08</w:t>
                  </w:r>
                </w:p>
              </w:tc>
              <w:tc>
                <w:tcPr>
                  <w:tcW w:w="1124" w:type="dxa"/>
                  <w:tcBorders>
                    <w:tl2br w:val="nil"/>
                    <w:tr2bl w:val="nil"/>
                  </w:tcBorders>
                  <w:vAlign w:val="center"/>
                </w:tcPr>
                <w:p w14:paraId="112ADAE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900-214-08</w:t>
                  </w:r>
                </w:p>
              </w:tc>
              <w:tc>
                <w:tcPr>
                  <w:tcW w:w="769" w:type="dxa"/>
                  <w:tcBorders>
                    <w:tl2br w:val="nil"/>
                    <w:tr2bl w:val="nil"/>
                  </w:tcBorders>
                  <w:shd w:val="clear" w:color="auto" w:fill="auto"/>
                  <w:vAlign w:val="center"/>
                </w:tcPr>
                <w:p w14:paraId="685F1343">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02</w:t>
                  </w:r>
                </w:p>
              </w:tc>
              <w:tc>
                <w:tcPr>
                  <w:tcW w:w="969" w:type="dxa"/>
                  <w:vMerge w:val="restart"/>
                  <w:tcBorders>
                    <w:tl2br w:val="nil"/>
                    <w:tr2bl w:val="nil"/>
                  </w:tcBorders>
                  <w:vAlign w:val="center"/>
                </w:tcPr>
                <w:p w14:paraId="7D3E239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设备保养</w:t>
                  </w:r>
                </w:p>
              </w:tc>
              <w:tc>
                <w:tcPr>
                  <w:tcW w:w="590" w:type="dxa"/>
                  <w:tcBorders>
                    <w:tl2br w:val="nil"/>
                    <w:tr2bl w:val="nil"/>
                  </w:tcBorders>
                  <w:vAlign w:val="center"/>
                </w:tcPr>
                <w:p w14:paraId="37A9BD5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液态</w:t>
                  </w:r>
                </w:p>
              </w:tc>
              <w:tc>
                <w:tcPr>
                  <w:tcW w:w="671" w:type="dxa"/>
                  <w:tcBorders>
                    <w:tl2br w:val="nil"/>
                    <w:tr2bl w:val="nil"/>
                  </w:tcBorders>
                  <w:vAlign w:val="center"/>
                </w:tcPr>
                <w:p w14:paraId="2A0D1DE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矿物油</w:t>
                  </w:r>
                </w:p>
              </w:tc>
              <w:tc>
                <w:tcPr>
                  <w:tcW w:w="691" w:type="dxa"/>
                  <w:tcBorders>
                    <w:tl2br w:val="nil"/>
                    <w:tr2bl w:val="nil"/>
                  </w:tcBorders>
                  <w:vAlign w:val="center"/>
                </w:tcPr>
                <w:p w14:paraId="2E269C4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矿物油</w:t>
                  </w:r>
                </w:p>
              </w:tc>
              <w:tc>
                <w:tcPr>
                  <w:tcW w:w="526" w:type="dxa"/>
                  <w:tcBorders>
                    <w:tl2br w:val="nil"/>
                    <w:tr2bl w:val="nil"/>
                  </w:tcBorders>
                  <w:vAlign w:val="center"/>
                </w:tcPr>
                <w:p w14:paraId="314CF7F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每月</w:t>
                  </w:r>
                </w:p>
              </w:tc>
              <w:tc>
                <w:tcPr>
                  <w:tcW w:w="618" w:type="dxa"/>
                  <w:tcBorders>
                    <w:tl2br w:val="nil"/>
                    <w:tr2bl w:val="nil"/>
                  </w:tcBorders>
                  <w:vAlign w:val="center"/>
                </w:tcPr>
                <w:p w14:paraId="63BEE89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T,I</w:t>
                  </w:r>
                </w:p>
              </w:tc>
              <w:tc>
                <w:tcPr>
                  <w:tcW w:w="875" w:type="dxa"/>
                  <w:vMerge w:val="restart"/>
                  <w:tcBorders>
                    <w:tl2br w:val="nil"/>
                    <w:tr2bl w:val="nil"/>
                  </w:tcBorders>
                  <w:vAlign w:val="center"/>
                </w:tcPr>
                <w:p w14:paraId="36DB9F9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交由有危废</w:t>
                  </w:r>
                  <w:r>
                    <w:rPr>
                      <w:rFonts w:hint="default" w:ascii="Times New Roman" w:hAnsi="Times New Roman" w:cs="Times New Roman"/>
                      <w:color w:val="auto"/>
                      <w:sz w:val="21"/>
                      <w:szCs w:val="21"/>
                      <w:lang w:val="en-US" w:eastAsia="zh-CN"/>
                    </w:rPr>
                    <w:t>处理</w:t>
                  </w:r>
                  <w:r>
                    <w:rPr>
                      <w:rFonts w:hint="default" w:ascii="Times New Roman" w:hAnsi="Times New Roman" w:cs="Times New Roman"/>
                      <w:color w:val="auto"/>
                      <w:sz w:val="21"/>
                      <w:szCs w:val="21"/>
                    </w:rPr>
                    <w:t>资质单位处置</w:t>
                  </w:r>
                </w:p>
              </w:tc>
            </w:tr>
            <w:tr w14:paraId="6D467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78" w:type="dxa"/>
                  <w:tcBorders>
                    <w:tl2br w:val="nil"/>
                    <w:tr2bl w:val="nil"/>
                  </w:tcBorders>
                  <w:vAlign w:val="center"/>
                </w:tcPr>
                <w:p w14:paraId="3DBBB71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w:t>
                  </w:r>
                </w:p>
              </w:tc>
              <w:tc>
                <w:tcPr>
                  <w:tcW w:w="786" w:type="dxa"/>
                  <w:tcBorders>
                    <w:tl2br w:val="nil"/>
                    <w:tr2bl w:val="nil"/>
                  </w:tcBorders>
                  <w:vAlign w:val="center"/>
                </w:tcPr>
                <w:p w14:paraId="1BEC13C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w:t>
                  </w:r>
                  <w:r>
                    <w:rPr>
                      <w:rFonts w:hint="default" w:ascii="Times New Roman" w:hAnsi="Times New Roman" w:eastAsia="宋体" w:cs="Times New Roman"/>
                      <w:color w:val="auto"/>
                      <w:sz w:val="21"/>
                      <w:szCs w:val="21"/>
                      <w:lang w:val="en-US" w:eastAsia="zh-CN"/>
                    </w:rPr>
                    <w:t>机油桶</w:t>
                  </w:r>
                </w:p>
              </w:tc>
              <w:tc>
                <w:tcPr>
                  <w:tcW w:w="675" w:type="dxa"/>
                  <w:tcBorders>
                    <w:tl2br w:val="nil"/>
                    <w:tr2bl w:val="nil"/>
                  </w:tcBorders>
                  <w:vAlign w:val="center"/>
                </w:tcPr>
                <w:p w14:paraId="1098186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HW49</w:t>
                  </w:r>
                </w:p>
              </w:tc>
              <w:tc>
                <w:tcPr>
                  <w:tcW w:w="1124" w:type="dxa"/>
                  <w:tcBorders>
                    <w:tl2br w:val="nil"/>
                    <w:tr2bl w:val="nil"/>
                  </w:tcBorders>
                  <w:vAlign w:val="center"/>
                </w:tcPr>
                <w:p w14:paraId="4CF7516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900-041-49</w:t>
                  </w:r>
                </w:p>
              </w:tc>
              <w:tc>
                <w:tcPr>
                  <w:tcW w:w="769" w:type="dxa"/>
                  <w:tcBorders>
                    <w:tl2br w:val="nil"/>
                    <w:tr2bl w:val="nil"/>
                  </w:tcBorders>
                  <w:shd w:val="clear" w:color="auto" w:fill="auto"/>
                  <w:vAlign w:val="center"/>
                </w:tcPr>
                <w:p w14:paraId="5A1148B5">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0.05</w:t>
                  </w:r>
                </w:p>
              </w:tc>
              <w:tc>
                <w:tcPr>
                  <w:tcW w:w="969" w:type="dxa"/>
                  <w:vMerge w:val="continue"/>
                  <w:tcBorders>
                    <w:tl2br w:val="nil"/>
                    <w:tr2bl w:val="nil"/>
                  </w:tcBorders>
                  <w:vAlign w:val="center"/>
                </w:tcPr>
                <w:p w14:paraId="5AF0FCD2">
                  <w:pPr>
                    <w:jc w:val="center"/>
                    <w:rPr>
                      <w:rFonts w:hint="default" w:ascii="Times New Roman" w:hAnsi="Times New Roman" w:eastAsia="宋体" w:cs="Times New Roman"/>
                      <w:color w:val="auto"/>
                      <w:kern w:val="2"/>
                      <w:sz w:val="21"/>
                      <w:szCs w:val="21"/>
                      <w:lang w:val="en-US" w:eastAsia="zh-CN" w:bidi="ar-SA"/>
                    </w:rPr>
                  </w:pPr>
                </w:p>
              </w:tc>
              <w:tc>
                <w:tcPr>
                  <w:tcW w:w="590" w:type="dxa"/>
                  <w:tcBorders>
                    <w:tl2br w:val="nil"/>
                    <w:tr2bl w:val="nil"/>
                  </w:tcBorders>
                  <w:vAlign w:val="center"/>
                </w:tcPr>
                <w:p w14:paraId="2BCF019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固态</w:t>
                  </w:r>
                </w:p>
              </w:tc>
              <w:tc>
                <w:tcPr>
                  <w:tcW w:w="671" w:type="dxa"/>
                  <w:tcBorders>
                    <w:tl2br w:val="nil"/>
                    <w:tr2bl w:val="nil"/>
                  </w:tcBorders>
                  <w:vAlign w:val="center"/>
                </w:tcPr>
                <w:p w14:paraId="4CB76A3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有机物质</w:t>
                  </w:r>
                </w:p>
              </w:tc>
              <w:tc>
                <w:tcPr>
                  <w:tcW w:w="691" w:type="dxa"/>
                  <w:tcBorders>
                    <w:tl2br w:val="nil"/>
                    <w:tr2bl w:val="nil"/>
                  </w:tcBorders>
                  <w:vAlign w:val="center"/>
                </w:tcPr>
                <w:p w14:paraId="7903FCE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有机物质</w:t>
                  </w:r>
                </w:p>
              </w:tc>
              <w:tc>
                <w:tcPr>
                  <w:tcW w:w="526" w:type="dxa"/>
                  <w:tcBorders>
                    <w:tl2br w:val="nil"/>
                    <w:tr2bl w:val="nil"/>
                  </w:tcBorders>
                  <w:vAlign w:val="center"/>
                </w:tcPr>
                <w:p w14:paraId="277FAF4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每三个月</w:t>
                  </w:r>
                </w:p>
              </w:tc>
              <w:tc>
                <w:tcPr>
                  <w:tcW w:w="618" w:type="dxa"/>
                  <w:tcBorders>
                    <w:tl2br w:val="nil"/>
                    <w:tr2bl w:val="nil"/>
                  </w:tcBorders>
                  <w:vAlign w:val="center"/>
                </w:tcPr>
                <w:p w14:paraId="475B9DD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T,I</w:t>
                  </w:r>
                </w:p>
              </w:tc>
              <w:tc>
                <w:tcPr>
                  <w:tcW w:w="875" w:type="dxa"/>
                  <w:vMerge w:val="continue"/>
                  <w:tcBorders>
                    <w:tl2br w:val="nil"/>
                    <w:tr2bl w:val="nil"/>
                  </w:tcBorders>
                  <w:vAlign w:val="center"/>
                </w:tcPr>
                <w:p w14:paraId="3AC8ECB6">
                  <w:pPr>
                    <w:jc w:val="center"/>
                    <w:rPr>
                      <w:rFonts w:hint="default" w:ascii="Times New Roman" w:hAnsi="Times New Roman" w:eastAsia="宋体" w:cs="Times New Roman"/>
                      <w:color w:val="auto"/>
                      <w:kern w:val="2"/>
                      <w:sz w:val="21"/>
                      <w:szCs w:val="21"/>
                      <w:lang w:val="en-US" w:eastAsia="zh-CN" w:bidi="ar-SA"/>
                    </w:rPr>
                  </w:pPr>
                </w:p>
              </w:tc>
            </w:tr>
            <w:tr w14:paraId="21ADD8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78" w:type="dxa"/>
                  <w:tcBorders>
                    <w:tl2br w:val="nil"/>
                    <w:tr2bl w:val="nil"/>
                  </w:tcBorders>
                  <w:vAlign w:val="center"/>
                </w:tcPr>
                <w:p w14:paraId="30F7E391">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786" w:type="dxa"/>
                  <w:tcBorders>
                    <w:tl2br w:val="nil"/>
                    <w:tr2bl w:val="nil"/>
                  </w:tcBorders>
                  <w:vAlign w:val="center"/>
                </w:tcPr>
                <w:p w14:paraId="468808E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老化导热油</w:t>
                  </w:r>
                </w:p>
              </w:tc>
              <w:tc>
                <w:tcPr>
                  <w:tcW w:w="675" w:type="dxa"/>
                  <w:tcBorders>
                    <w:tl2br w:val="nil"/>
                    <w:tr2bl w:val="nil"/>
                  </w:tcBorders>
                  <w:vAlign w:val="center"/>
                </w:tcPr>
                <w:p w14:paraId="3051FE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HW08</w:t>
                  </w:r>
                </w:p>
              </w:tc>
              <w:tc>
                <w:tcPr>
                  <w:tcW w:w="1124" w:type="dxa"/>
                  <w:tcBorders>
                    <w:tl2br w:val="nil"/>
                    <w:tr2bl w:val="nil"/>
                  </w:tcBorders>
                  <w:vAlign w:val="center"/>
                </w:tcPr>
                <w:p w14:paraId="273CB18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900-249-08</w:t>
                  </w:r>
                </w:p>
              </w:tc>
              <w:tc>
                <w:tcPr>
                  <w:tcW w:w="769" w:type="dxa"/>
                  <w:tcBorders>
                    <w:tl2br w:val="nil"/>
                    <w:tr2bl w:val="nil"/>
                  </w:tcBorders>
                  <w:vAlign w:val="center"/>
                </w:tcPr>
                <w:p w14:paraId="5B3AED7A">
                  <w:pPr>
                    <w:tabs>
                      <w:tab w:val="left" w:pos="1134"/>
                    </w:tabs>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1.5t/5年</w:t>
                  </w:r>
                </w:p>
              </w:tc>
              <w:tc>
                <w:tcPr>
                  <w:tcW w:w="969" w:type="dxa"/>
                  <w:tcBorders>
                    <w:tl2br w:val="nil"/>
                    <w:tr2bl w:val="nil"/>
                  </w:tcBorders>
                  <w:vAlign w:val="center"/>
                </w:tcPr>
                <w:p w14:paraId="664D4C3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生产</w:t>
                  </w:r>
                </w:p>
              </w:tc>
              <w:tc>
                <w:tcPr>
                  <w:tcW w:w="590" w:type="dxa"/>
                  <w:tcBorders>
                    <w:tl2br w:val="nil"/>
                    <w:tr2bl w:val="nil"/>
                  </w:tcBorders>
                  <w:vAlign w:val="center"/>
                </w:tcPr>
                <w:p w14:paraId="23920AA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液态</w:t>
                  </w:r>
                </w:p>
              </w:tc>
              <w:tc>
                <w:tcPr>
                  <w:tcW w:w="671" w:type="dxa"/>
                  <w:tcBorders>
                    <w:tl2br w:val="nil"/>
                    <w:tr2bl w:val="nil"/>
                  </w:tcBorders>
                  <w:vAlign w:val="center"/>
                </w:tcPr>
                <w:p w14:paraId="5F82CEE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矿物油</w:t>
                  </w:r>
                </w:p>
              </w:tc>
              <w:tc>
                <w:tcPr>
                  <w:tcW w:w="691" w:type="dxa"/>
                  <w:tcBorders>
                    <w:tl2br w:val="nil"/>
                    <w:tr2bl w:val="nil"/>
                  </w:tcBorders>
                  <w:vAlign w:val="center"/>
                </w:tcPr>
                <w:p w14:paraId="5ED7B21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矿物油</w:t>
                  </w:r>
                </w:p>
              </w:tc>
              <w:tc>
                <w:tcPr>
                  <w:tcW w:w="526" w:type="dxa"/>
                  <w:tcBorders>
                    <w:tl2br w:val="nil"/>
                    <w:tr2bl w:val="nil"/>
                  </w:tcBorders>
                  <w:vAlign w:val="center"/>
                </w:tcPr>
                <w:p w14:paraId="7BA0C7D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每5年</w:t>
                  </w:r>
                </w:p>
              </w:tc>
              <w:tc>
                <w:tcPr>
                  <w:tcW w:w="618" w:type="dxa"/>
                  <w:tcBorders>
                    <w:tl2br w:val="nil"/>
                    <w:tr2bl w:val="nil"/>
                  </w:tcBorders>
                  <w:vAlign w:val="center"/>
                </w:tcPr>
                <w:p w14:paraId="47A185F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T,I</w:t>
                  </w:r>
                </w:p>
              </w:tc>
              <w:tc>
                <w:tcPr>
                  <w:tcW w:w="875" w:type="dxa"/>
                  <w:vMerge w:val="continue"/>
                  <w:tcBorders>
                    <w:tl2br w:val="nil"/>
                    <w:tr2bl w:val="nil"/>
                  </w:tcBorders>
                  <w:vAlign w:val="center"/>
                </w:tcPr>
                <w:p w14:paraId="0D6BC6F4">
                  <w:pPr>
                    <w:jc w:val="center"/>
                    <w:rPr>
                      <w:rFonts w:hint="default" w:ascii="Times New Roman" w:hAnsi="Times New Roman" w:eastAsia="宋体" w:cs="Times New Roman"/>
                      <w:color w:val="auto"/>
                      <w:sz w:val="21"/>
                      <w:szCs w:val="21"/>
                      <w:lang w:val="en-US" w:eastAsia="zh-CN"/>
                    </w:rPr>
                  </w:pPr>
                </w:p>
              </w:tc>
            </w:tr>
          </w:tbl>
          <w:p w14:paraId="61B575C6">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危险废物收集和暂存要求</w:t>
            </w:r>
          </w:p>
          <w:p w14:paraId="51A08A89">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（1）贮存要求</w:t>
            </w:r>
          </w:p>
          <w:p w14:paraId="23BBB0C4">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危险废物应分类收集储存在危废暂存间，危废暂存间应采取防风、防晒、防雨、防漏、防渗、防腐的“六防”措施，按照《危险废物识别标志设置技术规范》（HJ 1276-2022）由专人负责管理。危险废物贮存必须严格按照《危险废物贮存污染控制标准》（GB18597-2023）的要求执行：</w:t>
            </w:r>
          </w:p>
          <w:p w14:paraId="199FDAB7">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1）贮存设施污染控制要求</w:t>
            </w:r>
          </w:p>
          <w:p w14:paraId="50DA37EF">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①贮存设施应根据危险废物的形态、物理化学性质、包装形式和污染物迁移途径，采取必要的防风、防晒、防雨、防漏、防渗、防腐以及其他环境污染防治措施，不应露天堆放危险废物。</w:t>
            </w:r>
          </w:p>
          <w:p w14:paraId="71516F1F">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②贮存设施应根据危险废物的类别、数量、形态、物理化学性质和污染防治等要求设置必要的贮存分区，避免不相容的危险废物接触、混合。</w:t>
            </w:r>
          </w:p>
          <w:p w14:paraId="75CD0286">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③贮存设施或贮存分区内地面、墙面裙脚、堵截泄漏的围堰、接触危险废物的隔板和墙体等应采用坚固的材料建造，表面无裂缝。</w:t>
            </w:r>
          </w:p>
          <w:p w14:paraId="774CF7B1">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④贮存设施地面与裙脚应采取表面防渗措施；表面防渗材料应与所接触的物料或污染物相容，可采用抗渗混凝土、高密度聚乙烯膜、钠基膨润土防水毯或其他防渗性能等效的材料。</w:t>
            </w:r>
          </w:p>
          <w:p w14:paraId="04A9B3B3">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⑤同一贮存设施宜采用相同的防渗、防腐工艺（包括防渗、防腐结构或材料），防渗、防腐材料应覆盖所有可能与废物及其渗滤液、渗漏液等接触的构筑物表面；采用不同防渗、防腐工艺应分别建设贮存分区。</w:t>
            </w:r>
          </w:p>
          <w:p w14:paraId="5AED3233">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⑥贮存设施应采取技术和管理措施防止无关人员进入。</w:t>
            </w:r>
          </w:p>
          <w:p w14:paraId="623F2073">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2）容器和包装物污染控制要求</w:t>
            </w:r>
          </w:p>
          <w:p w14:paraId="1E2599DE">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①容器和包装物材质、内衬应与盛装的危险废物相容。</w:t>
            </w:r>
          </w:p>
          <w:p w14:paraId="18D54F5C">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②针对不同类别、形态、物理化学性质的危险废物，其容器和包装物应满足相应的防渗、防漏、防腐和强度等要求。</w:t>
            </w:r>
          </w:p>
          <w:p w14:paraId="57E81BBE">
            <w:pPr>
              <w:spacing w:line="360" w:lineRule="auto"/>
              <w:ind w:left="479" w:leftChars="228" w:firstLine="0" w:firstLineChars="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③硬质容器和包装物及其支护结构堆叠码放时不应有明显变形，无破损泄漏。④柔性容器和包装物堆叠码放时应封口严密，无破损泄漏。</w:t>
            </w:r>
          </w:p>
          <w:p w14:paraId="4D165B9A">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⑤使用容器盛装液态、半固态危险废物时，容器内部应留有适当的空间，以适应因温度变化等可能引发的收缩和膨胀，防止其导致容器渗漏或永久变形。</w:t>
            </w:r>
          </w:p>
          <w:p w14:paraId="49D1ABB4">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⑥容器和包装物外表面应保持清洁。</w:t>
            </w:r>
          </w:p>
          <w:p w14:paraId="0A5A365E">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3）贮存设施运行环境管理要求</w:t>
            </w:r>
          </w:p>
          <w:p w14:paraId="07FFE4DC">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①危险废物存入贮存设施前应对危险废物类别和特性与危险废物标签等危险废物识别标志的一致性进行核验，不一致的或类别、特性不明的不应存入。</w:t>
            </w:r>
          </w:p>
          <w:p w14:paraId="4575DF48">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②应定期检查危险废物的贮存状况，及时清理贮存设施地面，更换破损泄漏的危险废物贮存容器和包装物，保证堆存危险废物的防雨、防风、防扬尘等设施功能完好。</w:t>
            </w:r>
          </w:p>
          <w:p w14:paraId="71100DE6">
            <w:pPr>
              <w:spacing w:line="360" w:lineRule="auto"/>
              <w:ind w:left="479" w:leftChars="228" w:firstLine="0" w:firstLineChars="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③贮存设施运行期间，应按国家有关标准和规定建立危险废物管理台账并保存。④贮存设施所有者或运营者应建立贮存设施环境管理制度、管理人员岗位职责制度、设施运行操作制度、人员岗位培训制度等。</w:t>
            </w:r>
          </w:p>
          <w:p w14:paraId="00363B0F">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⑤贮存设施所有者或运营者应依据国家土壤和地下水污染防治的有关规定，结合贮存设施特点建立土壤和地下水污染隐患排查制度，并定期开展隐患排查；发现隐患应及时采取措施消除隐患，并建立档案。</w:t>
            </w:r>
          </w:p>
          <w:p w14:paraId="7E7B3D70">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⑥贮存设施所有者或运营者应建立贮存设施全部档案，包括设计、施工、验收、运行、监测和环境应急等，应按国家有关档案管理的法律法规进行整理和归档。</w:t>
            </w:r>
          </w:p>
          <w:p w14:paraId="4A14F878">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4）环境应急要求</w:t>
            </w:r>
          </w:p>
          <w:p w14:paraId="16D8838C">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①贮存设施所有者或运营者应按照国家有关规定编制突发环境事件应急预案，定期开展必要的培训和环境应急演练，并做好培训、演练记录。</w:t>
            </w:r>
          </w:p>
          <w:p w14:paraId="5961ABD5">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②贮存设施所有者或运营者应配备</w:t>
            </w:r>
            <w:r>
              <w:rPr>
                <w:rFonts w:hint="default" w:ascii="Times New Roman" w:hAnsi="Times New Roman" w:cs="Times New Roman"/>
                <w:bCs/>
                <w:color w:val="auto"/>
                <w:sz w:val="24"/>
                <w:szCs w:val="24"/>
                <w:lang w:eastAsia="zh-CN"/>
              </w:rPr>
              <w:t>满足</w:t>
            </w:r>
            <w:r>
              <w:rPr>
                <w:rFonts w:hint="default" w:ascii="Times New Roman" w:hAnsi="Times New Roman" w:cs="Times New Roman"/>
                <w:bCs/>
                <w:color w:val="auto"/>
                <w:sz w:val="24"/>
                <w:szCs w:val="24"/>
              </w:rPr>
              <w:t>突发环境事件应急要求的应急人员、装备和物资，并应设置应急照明系统。</w:t>
            </w:r>
          </w:p>
          <w:p w14:paraId="18B99D61">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③相关部门发布自然灾害或恶劣天气预警后，贮存设施所有者或运营者应启动相应防控措施，若有必要可将危险废物转移至其他具有防护条件的地点贮存。</w:t>
            </w:r>
          </w:p>
          <w:p w14:paraId="51E6E9B6">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综上所述，本项目</w:t>
            </w:r>
            <w:r>
              <w:rPr>
                <w:rFonts w:hint="default" w:ascii="Times New Roman" w:hAnsi="Times New Roman" w:cs="Times New Roman"/>
                <w:bCs/>
                <w:color w:val="auto"/>
                <w:sz w:val="24"/>
                <w:szCs w:val="24"/>
                <w:lang w:eastAsia="zh-CN"/>
              </w:rPr>
              <w:t>运营期</w:t>
            </w:r>
            <w:r>
              <w:rPr>
                <w:rFonts w:hint="default" w:ascii="Times New Roman" w:hAnsi="Times New Roman" w:cs="Times New Roman"/>
                <w:bCs/>
                <w:color w:val="auto"/>
                <w:sz w:val="24"/>
                <w:szCs w:val="24"/>
              </w:rPr>
              <w:t>严格落实本环评中提出的各类废物处置措施，落实危险废物储存和转运要求，可防止因处置不当出现的环境二次污染。</w:t>
            </w:r>
          </w:p>
          <w:p w14:paraId="5FEC62DB">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5、地下水、土壤污染防治措施</w:t>
            </w:r>
          </w:p>
          <w:p w14:paraId="51E231AA">
            <w:pPr>
              <w:spacing w:line="360" w:lineRule="auto"/>
              <w:ind w:firstLine="361" w:firstLineChars="15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（1）污染途径</w:t>
            </w:r>
          </w:p>
          <w:p w14:paraId="5AA0A2DE">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运营期污染物进入地下水环境的途径主要是废水泄漏通过垂直渗透进入包气带，进入包气带的污染物在物理、化学和生物作用下经吸附、转化、迁移和分解后输入地下水，运营期因渗漏可能产生的污染地下水环节为污水管网、污水处理设施发生“跑、冒、滴、漏”使污染物进入地下水环境。</w:t>
            </w:r>
          </w:p>
          <w:p w14:paraId="635C96AD">
            <w:pPr>
              <w:spacing w:line="360" w:lineRule="auto"/>
              <w:ind w:firstLine="361" w:firstLineChars="15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（2）防渗分区</w:t>
            </w:r>
          </w:p>
          <w:p w14:paraId="4A36F921">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 地下水环境》（HJ610-2016）防渗分区原则，将本项目</w:t>
            </w:r>
            <w:r>
              <w:rPr>
                <w:rFonts w:hint="default" w:ascii="Times New Roman" w:hAnsi="Times New Roman" w:cs="Times New Roman"/>
                <w:color w:val="auto"/>
                <w:sz w:val="24"/>
                <w:szCs w:val="24"/>
                <w:lang w:eastAsia="zh-CN"/>
              </w:rPr>
              <w:t>划分</w:t>
            </w:r>
            <w:r>
              <w:rPr>
                <w:rFonts w:hint="default" w:ascii="Times New Roman" w:hAnsi="Times New Roman" w:cs="Times New Roman"/>
                <w:color w:val="auto"/>
                <w:sz w:val="24"/>
                <w:szCs w:val="24"/>
              </w:rPr>
              <w:t>为重点防渗区、一般防渗区和简单防渗区，划分区域如下：</w:t>
            </w:r>
          </w:p>
          <w:p w14:paraId="496CF921">
            <w:pPr>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重点防渗区：</w:t>
            </w:r>
            <w:r>
              <w:rPr>
                <w:rFonts w:hint="default" w:ascii="Times New Roman" w:hAnsi="Times New Roman" w:cs="Times New Roman"/>
                <w:color w:val="auto"/>
                <w:sz w:val="24"/>
                <w:szCs w:val="24"/>
              </w:rPr>
              <w:t>主要为危废暂存间、</w:t>
            </w:r>
            <w:r>
              <w:rPr>
                <w:rFonts w:hint="default" w:ascii="Times New Roman" w:hAnsi="Times New Roman" w:cs="Times New Roman"/>
                <w:color w:val="auto"/>
                <w:sz w:val="24"/>
                <w:szCs w:val="24"/>
                <w:lang w:val="en-US" w:eastAsia="zh-CN"/>
              </w:rPr>
              <w:t>罐区</w:t>
            </w:r>
            <w:r>
              <w:rPr>
                <w:rFonts w:hint="default" w:ascii="Times New Roman" w:hAnsi="Times New Roman" w:cs="Times New Roman"/>
                <w:color w:val="auto"/>
                <w:sz w:val="24"/>
                <w:szCs w:val="24"/>
              </w:rPr>
              <w:t>。危废暂存间防渗技术要求为等效黏土防渗层M≥6.0m，K≤10</w:t>
            </w:r>
            <w:r>
              <w:rPr>
                <w:rFonts w:hint="default" w:ascii="Times New Roman" w:hAnsi="Times New Roman" w:cs="Times New Roman"/>
                <w:color w:val="auto"/>
                <w:sz w:val="24"/>
                <w:szCs w:val="24"/>
                <w:vertAlign w:val="superscript"/>
              </w:rPr>
              <w:t>-10</w:t>
            </w:r>
            <w:r>
              <w:rPr>
                <w:rFonts w:hint="default" w:ascii="Times New Roman" w:hAnsi="Times New Roman" w:cs="Times New Roman"/>
                <w:color w:val="auto"/>
                <w:sz w:val="24"/>
                <w:szCs w:val="24"/>
              </w:rPr>
              <w:t>cm/s的要求；</w:t>
            </w:r>
            <w:r>
              <w:rPr>
                <w:rFonts w:hint="default" w:ascii="Times New Roman" w:hAnsi="Times New Roman" w:cs="Times New Roman"/>
                <w:color w:val="auto"/>
                <w:sz w:val="24"/>
                <w:szCs w:val="24"/>
                <w:lang w:val="en-US" w:eastAsia="zh-CN"/>
              </w:rPr>
              <w:t>罐区</w:t>
            </w:r>
            <w:r>
              <w:rPr>
                <w:rFonts w:hint="default" w:ascii="Times New Roman" w:hAnsi="Times New Roman" w:cs="Times New Roman"/>
                <w:color w:val="auto"/>
                <w:sz w:val="24"/>
                <w:szCs w:val="24"/>
              </w:rPr>
              <w:t>，防渗技术要求为等效粘土防渗层Mb≥</w:t>
            </w:r>
            <w:r>
              <w:rPr>
                <w:rFonts w:hint="default" w:ascii="Times New Roman" w:hAnsi="Times New Roman" w:cs="Times New Roman"/>
                <w:color w:val="auto"/>
                <w:sz w:val="24"/>
                <w:szCs w:val="24"/>
                <w:lang w:val="en-US" w:eastAsia="zh-CN"/>
              </w:rPr>
              <w:t>6.0</w:t>
            </w:r>
            <w:r>
              <w:rPr>
                <w:rFonts w:hint="default" w:ascii="Times New Roman" w:hAnsi="Times New Roman" w:cs="Times New Roman"/>
                <w:color w:val="auto"/>
                <w:sz w:val="24"/>
                <w:szCs w:val="24"/>
              </w:rPr>
              <w:t>m，K≤10</w:t>
            </w:r>
            <w:r>
              <w:rPr>
                <w:rFonts w:hint="default" w:ascii="Times New Roman" w:hAnsi="Times New Roman" w:cs="Times New Roman"/>
                <w:color w:val="auto"/>
                <w:sz w:val="24"/>
                <w:szCs w:val="24"/>
                <w:vertAlign w:val="superscript"/>
              </w:rPr>
              <w:t>-7</w:t>
            </w:r>
            <w:r>
              <w:rPr>
                <w:rFonts w:hint="default" w:ascii="Times New Roman" w:hAnsi="Times New Roman" w:cs="Times New Roman"/>
                <w:color w:val="auto"/>
                <w:sz w:val="24"/>
                <w:szCs w:val="24"/>
              </w:rPr>
              <w:t>cm/s。</w:t>
            </w:r>
          </w:p>
          <w:p w14:paraId="7EA80ED5">
            <w:pPr>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一般防渗区：</w:t>
            </w:r>
            <w:r>
              <w:rPr>
                <w:rFonts w:hint="default" w:ascii="Times New Roman" w:hAnsi="Times New Roman" w:cs="Times New Roman"/>
                <w:b w:val="0"/>
                <w:bCs w:val="0"/>
                <w:color w:val="auto"/>
                <w:sz w:val="24"/>
                <w:szCs w:val="24"/>
                <w:lang w:val="en-US" w:eastAsia="zh-CN"/>
              </w:rPr>
              <w:t>主要为沥青</w:t>
            </w:r>
            <w:r>
              <w:rPr>
                <w:rFonts w:hint="default" w:ascii="Times New Roman" w:hAnsi="Times New Roman" w:cs="Times New Roman"/>
                <w:b w:val="0"/>
                <w:bCs w:val="0"/>
                <w:color w:val="auto"/>
                <w:sz w:val="24"/>
                <w:szCs w:val="24"/>
              </w:rPr>
              <w:t>拌合楼、</w:t>
            </w:r>
            <w:r>
              <w:rPr>
                <w:rFonts w:hint="default" w:ascii="Times New Roman" w:hAnsi="Times New Roman" w:cs="Times New Roman"/>
                <w:b w:val="0"/>
                <w:bCs w:val="0"/>
                <w:color w:val="auto"/>
                <w:sz w:val="24"/>
                <w:szCs w:val="24"/>
                <w:lang w:val="en-US" w:eastAsia="zh-CN"/>
              </w:rPr>
              <w:t>筒仓地面</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骨料堆场、</w:t>
            </w:r>
            <w:r>
              <w:rPr>
                <w:rFonts w:hint="default" w:ascii="Times New Roman" w:hAnsi="Times New Roman" w:cs="Times New Roman"/>
                <w:b w:val="0"/>
                <w:bCs w:val="0"/>
                <w:color w:val="auto"/>
                <w:sz w:val="24"/>
                <w:szCs w:val="24"/>
              </w:rPr>
              <w:t>配料区、</w:t>
            </w:r>
            <w:r>
              <w:rPr>
                <w:rFonts w:hint="default" w:ascii="Times New Roman" w:hAnsi="Times New Roman" w:cs="Times New Roman"/>
                <w:b w:val="0"/>
                <w:bCs w:val="0"/>
                <w:color w:val="auto"/>
                <w:sz w:val="24"/>
                <w:szCs w:val="24"/>
                <w:lang w:val="en-US" w:eastAsia="zh-CN"/>
              </w:rPr>
              <w:t>沉淀池、化粪池等</w:t>
            </w:r>
            <w:r>
              <w:rPr>
                <w:rFonts w:hint="default" w:ascii="Times New Roman" w:hAnsi="Times New Roman" w:cs="Times New Roman"/>
                <w:color w:val="auto"/>
                <w:sz w:val="24"/>
                <w:szCs w:val="24"/>
              </w:rPr>
              <w:t>，防渗技术要求为等效粘土防渗层Mb≥1.5m，K≤10</w:t>
            </w:r>
            <w:r>
              <w:rPr>
                <w:rFonts w:hint="default" w:ascii="Times New Roman" w:hAnsi="Times New Roman" w:cs="Times New Roman"/>
                <w:color w:val="auto"/>
                <w:sz w:val="24"/>
                <w:szCs w:val="24"/>
                <w:vertAlign w:val="superscript"/>
              </w:rPr>
              <w:t>-7</w:t>
            </w:r>
            <w:r>
              <w:rPr>
                <w:rFonts w:hint="default" w:ascii="Times New Roman" w:hAnsi="Times New Roman" w:cs="Times New Roman"/>
                <w:color w:val="auto"/>
                <w:sz w:val="24"/>
                <w:szCs w:val="24"/>
              </w:rPr>
              <w:t>cm/s。</w:t>
            </w:r>
          </w:p>
          <w:p w14:paraId="43B51EC4">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简单防渗区：</w:t>
            </w:r>
            <w:r>
              <w:rPr>
                <w:rFonts w:hint="default" w:ascii="Times New Roman" w:hAnsi="Times New Roman" w:eastAsia="宋体" w:cs="Times New Roman"/>
                <w:snapToGrid w:val="0"/>
                <w:color w:val="auto"/>
                <w:kern w:val="0"/>
                <w:sz w:val="24"/>
                <w:szCs w:val="24"/>
                <w:lang w:val="en-US" w:eastAsia="zh-CN"/>
              </w:rPr>
              <w:t>厂区道路</w:t>
            </w:r>
            <w:r>
              <w:rPr>
                <w:rFonts w:hint="default" w:ascii="Times New Roman" w:hAnsi="Times New Roman" w:cs="Times New Roman"/>
                <w:snapToGrid w:val="0"/>
                <w:color w:val="auto"/>
                <w:kern w:val="0"/>
                <w:sz w:val="24"/>
                <w:szCs w:val="24"/>
                <w:lang w:val="en-US" w:eastAsia="zh-CN"/>
              </w:rPr>
              <w:t>、办公区域、门卫室</w:t>
            </w:r>
            <w:r>
              <w:rPr>
                <w:rFonts w:hint="default" w:ascii="Times New Roman" w:hAnsi="Times New Roman" w:eastAsia="宋体" w:cs="Times New Roman"/>
                <w:snapToGrid w:val="0"/>
                <w:color w:val="auto"/>
                <w:kern w:val="0"/>
                <w:sz w:val="24"/>
                <w:szCs w:val="24"/>
                <w:lang w:val="en-US" w:eastAsia="zh-CN"/>
              </w:rPr>
              <w:t>等采取水泥地面硬化。</w:t>
            </w:r>
          </w:p>
          <w:p w14:paraId="683A8B53">
            <w:pPr>
              <w:spacing w:line="360" w:lineRule="auto"/>
              <w:ind w:firstLine="361" w:firstLineChars="15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（3）防控措施</w:t>
            </w:r>
          </w:p>
          <w:p w14:paraId="16B126A6">
            <w:pPr>
              <w:spacing w:line="360" w:lineRule="auto"/>
              <w:ind w:firstLine="480" w:firstLineChars="200"/>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本项目采取的分区防渗措施见下表。</w:t>
            </w:r>
          </w:p>
          <w:p w14:paraId="6DEB3AA8">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 xml:space="preserve">表4-26 </w:t>
            </w:r>
            <w:r>
              <w:rPr>
                <w:rFonts w:hint="default" w:ascii="Times New Roman" w:hAnsi="Times New Roman" w:eastAsia="黑体" w:cs="Times New Roman"/>
                <w:b/>
                <w:bCs/>
                <w:color w:val="auto"/>
                <w:kern w:val="0"/>
                <w:sz w:val="20"/>
                <w:szCs w:val="20"/>
                <w:lang w:val="en-US" w:eastAsia="zh-CN" w:bidi="ar-SA"/>
              </w:rPr>
              <w:t>本项目地下水防渗分区表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74"/>
              <w:gridCol w:w="2013"/>
              <w:gridCol w:w="1263"/>
              <w:gridCol w:w="2972"/>
              <w:gridCol w:w="1894"/>
            </w:tblGrid>
            <w:tr w14:paraId="562553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329" w:type="pct"/>
                  <w:tcBorders>
                    <w:tl2br w:val="nil"/>
                    <w:tr2bl w:val="nil"/>
                  </w:tcBorders>
                  <w:shd w:val="clear" w:color="000000" w:themeColor="text1" w:fill="auto"/>
                  <w:vAlign w:val="center"/>
                </w:tcPr>
                <w:p w14:paraId="632C679B">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1154" w:type="pct"/>
                  <w:tcBorders>
                    <w:tl2br w:val="nil"/>
                    <w:tr2bl w:val="nil"/>
                  </w:tcBorders>
                  <w:shd w:val="clear" w:color="000000" w:themeColor="text1" w:fill="auto"/>
                  <w:vAlign w:val="center"/>
                </w:tcPr>
                <w:p w14:paraId="787C2903">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车间名称</w:t>
                  </w:r>
                </w:p>
              </w:tc>
              <w:tc>
                <w:tcPr>
                  <w:tcW w:w="724" w:type="pct"/>
                  <w:tcBorders>
                    <w:tl2br w:val="nil"/>
                    <w:tr2bl w:val="nil"/>
                  </w:tcBorders>
                  <w:shd w:val="clear" w:color="000000" w:themeColor="text1" w:fill="auto"/>
                  <w:vAlign w:val="center"/>
                </w:tcPr>
                <w:p w14:paraId="6FFF0FA9">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分区类别</w:t>
                  </w:r>
                </w:p>
              </w:tc>
              <w:tc>
                <w:tcPr>
                  <w:tcW w:w="1704" w:type="pct"/>
                  <w:tcBorders>
                    <w:tl2br w:val="nil"/>
                    <w:tr2bl w:val="nil"/>
                  </w:tcBorders>
                  <w:shd w:val="clear" w:color="000000" w:themeColor="text1" w:fill="auto"/>
                  <w:vAlign w:val="center"/>
                </w:tcPr>
                <w:p w14:paraId="6E05D1DF">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防渗要求</w:t>
                  </w:r>
                </w:p>
              </w:tc>
              <w:tc>
                <w:tcPr>
                  <w:tcW w:w="1086" w:type="pct"/>
                  <w:tcBorders>
                    <w:tl2br w:val="nil"/>
                    <w:tr2bl w:val="nil"/>
                  </w:tcBorders>
                  <w:shd w:val="clear" w:color="000000" w:themeColor="text1" w:fill="auto"/>
                  <w:vAlign w:val="center"/>
                </w:tcPr>
                <w:p w14:paraId="3B50F35F">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采取措施</w:t>
                  </w:r>
                </w:p>
              </w:tc>
            </w:tr>
            <w:tr w14:paraId="1F672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29" w:type="pct"/>
                  <w:tcBorders>
                    <w:tl2br w:val="nil"/>
                    <w:tr2bl w:val="nil"/>
                  </w:tcBorders>
                  <w:vAlign w:val="center"/>
                </w:tcPr>
                <w:p w14:paraId="55053187">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54" w:type="pct"/>
                  <w:tcBorders>
                    <w:tl2br w:val="nil"/>
                    <w:tr2bl w:val="nil"/>
                  </w:tcBorders>
                  <w:shd w:val="clear" w:color="auto" w:fill="auto"/>
                  <w:vAlign w:val="center"/>
                </w:tcPr>
                <w:p w14:paraId="327A4E58">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危废暂存间</w:t>
                  </w:r>
                </w:p>
              </w:tc>
              <w:tc>
                <w:tcPr>
                  <w:tcW w:w="724" w:type="pct"/>
                  <w:tcBorders>
                    <w:tl2br w:val="nil"/>
                    <w:tr2bl w:val="nil"/>
                  </w:tcBorders>
                  <w:shd w:val="clear" w:color="auto" w:fill="auto"/>
                  <w:vAlign w:val="center"/>
                </w:tcPr>
                <w:p w14:paraId="12B7402C">
                  <w:pPr>
                    <w:jc w:val="center"/>
                    <w:rPr>
                      <w:rFonts w:hint="default" w:ascii="Times New Roman" w:hAnsi="Times New Roman" w:cs="Times New Roman"/>
                      <w:color w:val="auto"/>
                      <w:szCs w:val="21"/>
                    </w:rPr>
                  </w:pPr>
                  <w:r>
                    <w:rPr>
                      <w:rFonts w:hint="default" w:ascii="Times New Roman" w:hAnsi="Times New Roman" w:cs="Times New Roman"/>
                      <w:color w:val="auto"/>
                      <w:szCs w:val="21"/>
                    </w:rPr>
                    <w:t>重点防渗</w:t>
                  </w:r>
                </w:p>
              </w:tc>
              <w:tc>
                <w:tcPr>
                  <w:tcW w:w="1704" w:type="pct"/>
                  <w:tcBorders>
                    <w:tl2br w:val="nil"/>
                    <w:tr2bl w:val="nil"/>
                  </w:tcBorders>
                  <w:shd w:val="clear" w:color="auto" w:fill="auto"/>
                  <w:vAlign w:val="center"/>
                </w:tcPr>
                <w:p w14:paraId="0DE80ACC">
                  <w:pPr>
                    <w:jc w:val="center"/>
                    <w:rPr>
                      <w:rFonts w:hint="default" w:ascii="Times New Roman" w:hAnsi="Times New Roman" w:cs="Times New Roman"/>
                      <w:color w:val="auto"/>
                      <w:szCs w:val="21"/>
                    </w:rPr>
                  </w:pPr>
                  <w:r>
                    <w:rPr>
                      <w:rFonts w:hint="default" w:ascii="Times New Roman" w:hAnsi="Times New Roman" w:cs="Times New Roman"/>
                      <w:color w:val="auto"/>
                      <w:szCs w:val="21"/>
                    </w:rPr>
                    <w:t>15mm厚的防渗混凝土+高密度聚乙烯膜，达到等效黏土防渗层Mb≥6.0m，K≤10</w:t>
                  </w:r>
                  <w:r>
                    <w:rPr>
                      <w:rFonts w:hint="default" w:ascii="Times New Roman" w:hAnsi="Times New Roman" w:cs="Times New Roman"/>
                      <w:color w:val="auto"/>
                      <w:szCs w:val="21"/>
                      <w:vertAlign w:val="superscript"/>
                    </w:rPr>
                    <w:t>-10</w:t>
                  </w:r>
                  <w:r>
                    <w:rPr>
                      <w:rFonts w:hint="default" w:ascii="Times New Roman" w:hAnsi="Times New Roman" w:cs="Times New Roman"/>
                      <w:color w:val="auto"/>
                      <w:szCs w:val="21"/>
                    </w:rPr>
                    <w:t>cm/s的要求</w:t>
                  </w:r>
                </w:p>
              </w:tc>
              <w:tc>
                <w:tcPr>
                  <w:tcW w:w="1086" w:type="pct"/>
                  <w:tcBorders>
                    <w:tl2br w:val="nil"/>
                    <w:tr2bl w:val="nil"/>
                  </w:tcBorders>
                  <w:shd w:val="clear" w:color="auto" w:fill="auto"/>
                  <w:vAlign w:val="center"/>
                </w:tcPr>
                <w:p w14:paraId="2FE4F87A">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bidi="ar"/>
                    </w:rPr>
                    <w:t>25cmC30</w:t>
                  </w:r>
                  <w:r>
                    <w:rPr>
                      <w:rFonts w:hint="default" w:ascii="Times New Roman" w:hAnsi="Times New Roman" w:cs="Times New Roman"/>
                      <w:color w:val="auto"/>
                      <w:szCs w:val="21"/>
                    </w:rPr>
                    <w:t>防渗混凝土+高密度聚乙烯材料，</w:t>
                  </w:r>
                  <w:r>
                    <w:rPr>
                      <w:rFonts w:hint="default" w:ascii="Times New Roman" w:hAnsi="Times New Roman" w:cs="Times New Roman"/>
                      <w:color w:val="auto"/>
                      <w:szCs w:val="21"/>
                      <w:lang w:bidi="ar"/>
                    </w:rPr>
                    <w:t>设置围堰</w:t>
                  </w:r>
                  <w:r>
                    <w:rPr>
                      <w:rFonts w:hint="default" w:ascii="Times New Roman" w:hAnsi="Times New Roman" w:cs="Times New Roman"/>
                      <w:color w:val="auto"/>
                      <w:szCs w:val="21"/>
                      <w:lang w:val="en-US" w:eastAsia="zh-CN" w:bidi="ar"/>
                    </w:rPr>
                    <w:t>或防渗托盘</w:t>
                  </w:r>
                </w:p>
              </w:tc>
            </w:tr>
            <w:tr w14:paraId="271F4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29" w:type="pct"/>
                  <w:tcBorders>
                    <w:tl2br w:val="nil"/>
                    <w:tr2bl w:val="nil"/>
                  </w:tcBorders>
                  <w:vAlign w:val="center"/>
                </w:tcPr>
                <w:p w14:paraId="6CCFB972">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2</w:t>
                  </w:r>
                </w:p>
              </w:tc>
              <w:tc>
                <w:tcPr>
                  <w:tcW w:w="1154" w:type="pct"/>
                  <w:tcBorders>
                    <w:tl2br w:val="nil"/>
                    <w:tr2bl w:val="nil"/>
                  </w:tcBorders>
                  <w:shd w:val="clear" w:color="auto" w:fill="auto"/>
                  <w:vAlign w:val="center"/>
                </w:tcPr>
                <w:p w14:paraId="20B68C33">
                  <w:pPr>
                    <w:jc w:val="center"/>
                    <w:rPr>
                      <w:rFonts w:hint="default" w:ascii="Times New Roman" w:hAnsi="Times New Roman" w:eastAsia="宋体" w:cs="Times New Roman"/>
                      <w:color w:val="auto"/>
                      <w:szCs w:val="21"/>
                      <w:lang w:val="en-US" w:eastAsia="zh-CN" w:bidi="ar"/>
                    </w:rPr>
                  </w:pPr>
                  <w:r>
                    <w:rPr>
                      <w:rFonts w:hint="default" w:ascii="Times New Roman" w:hAnsi="Times New Roman" w:cs="Times New Roman"/>
                      <w:color w:val="auto"/>
                      <w:sz w:val="21"/>
                      <w:szCs w:val="21"/>
                      <w:lang w:val="en-US" w:eastAsia="zh-CN" w:bidi="ar"/>
                    </w:rPr>
                    <w:t>罐区</w:t>
                  </w:r>
                </w:p>
              </w:tc>
              <w:tc>
                <w:tcPr>
                  <w:tcW w:w="724" w:type="pct"/>
                  <w:tcBorders>
                    <w:tl2br w:val="nil"/>
                    <w:tr2bl w:val="nil"/>
                  </w:tcBorders>
                  <w:shd w:val="clear" w:color="auto" w:fill="auto"/>
                  <w:vAlign w:val="center"/>
                </w:tcPr>
                <w:p w14:paraId="70B96DBE">
                  <w:pPr>
                    <w:jc w:val="center"/>
                    <w:rPr>
                      <w:rFonts w:hint="default" w:ascii="Times New Roman" w:hAnsi="Times New Roman" w:cs="Times New Roman"/>
                      <w:color w:val="auto"/>
                      <w:szCs w:val="21"/>
                    </w:rPr>
                  </w:pPr>
                  <w:r>
                    <w:rPr>
                      <w:rFonts w:hint="default" w:ascii="Times New Roman" w:hAnsi="Times New Roman" w:cs="Times New Roman"/>
                      <w:color w:val="auto"/>
                      <w:szCs w:val="21"/>
                    </w:rPr>
                    <w:t>重点防渗</w:t>
                  </w:r>
                </w:p>
              </w:tc>
              <w:tc>
                <w:tcPr>
                  <w:tcW w:w="1704" w:type="pct"/>
                  <w:tcBorders>
                    <w:tl2br w:val="nil"/>
                    <w:tr2bl w:val="nil"/>
                  </w:tcBorders>
                  <w:shd w:val="clear" w:color="auto" w:fill="auto"/>
                  <w:vAlign w:val="center"/>
                </w:tcPr>
                <w:p w14:paraId="65BE92CA">
                  <w:pPr>
                    <w:jc w:val="center"/>
                    <w:rPr>
                      <w:rFonts w:hint="default" w:ascii="Times New Roman" w:hAnsi="Times New Roman" w:cs="Times New Roman"/>
                      <w:color w:val="auto"/>
                      <w:szCs w:val="21"/>
                    </w:rPr>
                  </w:pPr>
                  <w:r>
                    <w:rPr>
                      <w:rFonts w:hint="default" w:ascii="Times New Roman" w:hAnsi="Times New Roman" w:cs="Times New Roman"/>
                      <w:color w:val="auto"/>
                      <w:szCs w:val="21"/>
                    </w:rPr>
                    <w:t>等效粘土防渗层Mb≥6.0m，K≤10</w:t>
                  </w:r>
                  <w:r>
                    <w:rPr>
                      <w:rFonts w:hint="default" w:ascii="Times New Roman" w:hAnsi="Times New Roman" w:cs="Times New Roman"/>
                      <w:color w:val="auto"/>
                      <w:szCs w:val="21"/>
                      <w:vertAlign w:val="superscript"/>
                    </w:rPr>
                    <w:t>-7</w:t>
                  </w:r>
                  <w:r>
                    <w:rPr>
                      <w:rFonts w:hint="default" w:ascii="Times New Roman" w:hAnsi="Times New Roman" w:cs="Times New Roman"/>
                      <w:color w:val="auto"/>
                      <w:szCs w:val="21"/>
                    </w:rPr>
                    <w:t xml:space="preserve"> cm/s</w:t>
                  </w:r>
                </w:p>
              </w:tc>
              <w:tc>
                <w:tcPr>
                  <w:tcW w:w="1086" w:type="pct"/>
                  <w:tcBorders>
                    <w:tl2br w:val="nil"/>
                    <w:tr2bl w:val="nil"/>
                  </w:tcBorders>
                  <w:shd w:val="clear" w:color="auto" w:fill="auto"/>
                  <w:vAlign w:val="center"/>
                </w:tcPr>
                <w:p w14:paraId="6966D90A">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rPr>
                    <w:t>防渗混凝土+高密度聚乙烯材料</w:t>
                  </w:r>
                </w:p>
              </w:tc>
            </w:tr>
            <w:tr w14:paraId="00430B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29" w:type="pct"/>
                  <w:tcBorders>
                    <w:tl2br w:val="nil"/>
                    <w:tr2bl w:val="nil"/>
                  </w:tcBorders>
                  <w:vAlign w:val="center"/>
                </w:tcPr>
                <w:p w14:paraId="3C4E135E">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3</w:t>
                  </w:r>
                </w:p>
              </w:tc>
              <w:tc>
                <w:tcPr>
                  <w:tcW w:w="1154" w:type="pct"/>
                  <w:tcBorders>
                    <w:tl2br w:val="nil"/>
                    <w:tr2bl w:val="nil"/>
                  </w:tcBorders>
                  <w:shd w:val="clear" w:color="auto" w:fill="auto"/>
                  <w:vAlign w:val="center"/>
                </w:tcPr>
                <w:p w14:paraId="31A4A492">
                  <w:pPr>
                    <w:jc w:val="center"/>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color w:val="auto"/>
                      <w:szCs w:val="21"/>
                      <w:lang w:val="en-US" w:eastAsia="zh-CN" w:bidi="ar"/>
                    </w:rPr>
                    <w:t>沥青拌合楼、筒仓地面、</w:t>
                  </w:r>
                  <w:r>
                    <w:rPr>
                      <w:rFonts w:hint="default" w:ascii="Times New Roman" w:hAnsi="Times New Roman" w:cs="Times New Roman"/>
                      <w:color w:val="auto"/>
                      <w:szCs w:val="21"/>
                      <w:lang w:val="en-US" w:eastAsia="zh-CN" w:bidi="ar"/>
                    </w:rPr>
                    <w:t>骨料堆场</w:t>
                  </w:r>
                  <w:r>
                    <w:rPr>
                      <w:rFonts w:hint="default" w:ascii="Times New Roman" w:hAnsi="Times New Roman" w:eastAsia="宋体" w:cs="Times New Roman"/>
                      <w:color w:val="auto"/>
                      <w:szCs w:val="21"/>
                      <w:lang w:val="en-US" w:eastAsia="zh-CN" w:bidi="ar"/>
                    </w:rPr>
                    <w:t>、配料区、沉淀池、化粪池</w:t>
                  </w:r>
                </w:p>
              </w:tc>
              <w:tc>
                <w:tcPr>
                  <w:tcW w:w="724" w:type="pct"/>
                  <w:tcBorders>
                    <w:tl2br w:val="nil"/>
                    <w:tr2bl w:val="nil"/>
                  </w:tcBorders>
                  <w:shd w:val="clear" w:color="auto" w:fill="auto"/>
                  <w:vAlign w:val="center"/>
                </w:tcPr>
                <w:p w14:paraId="25D96722">
                  <w:pPr>
                    <w:jc w:val="center"/>
                    <w:rPr>
                      <w:rFonts w:hint="default" w:ascii="Times New Roman" w:hAnsi="Times New Roman" w:cs="Times New Roman"/>
                      <w:color w:val="auto"/>
                      <w:szCs w:val="21"/>
                    </w:rPr>
                  </w:pPr>
                  <w:r>
                    <w:rPr>
                      <w:rFonts w:hint="default" w:ascii="Times New Roman" w:hAnsi="Times New Roman" w:cs="Times New Roman"/>
                      <w:color w:val="auto"/>
                      <w:szCs w:val="21"/>
                    </w:rPr>
                    <w:t>一般防渗</w:t>
                  </w:r>
                </w:p>
              </w:tc>
              <w:tc>
                <w:tcPr>
                  <w:tcW w:w="1704" w:type="pct"/>
                  <w:tcBorders>
                    <w:tl2br w:val="nil"/>
                    <w:tr2bl w:val="nil"/>
                  </w:tcBorders>
                  <w:shd w:val="clear" w:color="auto" w:fill="auto"/>
                  <w:vAlign w:val="center"/>
                </w:tcPr>
                <w:p w14:paraId="53CDFDBD">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生产区域采用水泥砂浆防腐防渗处理，满足等效黏土防渗层Mb≥1.50m、防渗层渗透系数K≤1.0×10</w:t>
                  </w:r>
                  <w:r>
                    <w:rPr>
                      <w:rFonts w:hint="default" w:ascii="Times New Roman" w:hAnsi="Times New Roman" w:cs="Times New Roman"/>
                      <w:color w:val="auto"/>
                      <w:szCs w:val="21"/>
                      <w:vertAlign w:val="superscript"/>
                    </w:rPr>
                    <w:t>-7</w:t>
                  </w:r>
                  <w:r>
                    <w:rPr>
                      <w:rFonts w:hint="default" w:ascii="Times New Roman" w:hAnsi="Times New Roman" w:cs="Times New Roman"/>
                      <w:color w:val="auto"/>
                      <w:szCs w:val="21"/>
                    </w:rPr>
                    <w:t>cm/s的要求</w:t>
                  </w:r>
                </w:p>
              </w:tc>
              <w:tc>
                <w:tcPr>
                  <w:tcW w:w="1086" w:type="pct"/>
                  <w:tcBorders>
                    <w:tl2br w:val="nil"/>
                    <w:tr2bl w:val="nil"/>
                  </w:tcBorders>
                  <w:shd w:val="clear" w:color="auto" w:fill="auto"/>
                  <w:vAlign w:val="center"/>
                </w:tcPr>
                <w:p w14:paraId="5FCCDFFA">
                  <w:pPr>
                    <w:jc w:val="center"/>
                    <w:rPr>
                      <w:rFonts w:hint="default" w:ascii="Times New Roman" w:hAnsi="Times New Roman" w:cs="Times New Roman"/>
                      <w:color w:val="auto"/>
                      <w:szCs w:val="21"/>
                    </w:rPr>
                  </w:pPr>
                  <w:r>
                    <w:rPr>
                      <w:rFonts w:hint="default" w:ascii="Times New Roman" w:hAnsi="Times New Roman" w:cs="Times New Roman"/>
                      <w:color w:val="auto"/>
                      <w:szCs w:val="21"/>
                      <w:lang w:bidi="ar"/>
                    </w:rPr>
                    <w:t>25cmC30防渗混凝土</w:t>
                  </w:r>
                </w:p>
              </w:tc>
            </w:tr>
            <w:tr w14:paraId="0ED0B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29" w:type="pct"/>
                  <w:tcBorders>
                    <w:tl2br w:val="nil"/>
                    <w:tr2bl w:val="nil"/>
                  </w:tcBorders>
                  <w:vAlign w:val="center"/>
                </w:tcPr>
                <w:p w14:paraId="70BAA4A9">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4</w:t>
                  </w:r>
                </w:p>
              </w:tc>
              <w:tc>
                <w:tcPr>
                  <w:tcW w:w="1154" w:type="pct"/>
                  <w:tcBorders>
                    <w:tl2br w:val="nil"/>
                    <w:tr2bl w:val="nil"/>
                  </w:tcBorders>
                  <w:shd w:val="clear" w:color="auto" w:fill="auto"/>
                  <w:vAlign w:val="center"/>
                </w:tcPr>
                <w:p w14:paraId="2127C6EF">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门卫室、办公区域、厂区道路</w:t>
                  </w:r>
                </w:p>
              </w:tc>
              <w:tc>
                <w:tcPr>
                  <w:tcW w:w="724" w:type="pct"/>
                  <w:tcBorders>
                    <w:tl2br w:val="nil"/>
                    <w:tr2bl w:val="nil"/>
                  </w:tcBorders>
                  <w:shd w:val="clear" w:color="auto" w:fill="auto"/>
                  <w:vAlign w:val="center"/>
                </w:tcPr>
                <w:p w14:paraId="7DAD3C70">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简单防渗</w:t>
                  </w:r>
                </w:p>
              </w:tc>
              <w:tc>
                <w:tcPr>
                  <w:tcW w:w="1704" w:type="pct"/>
                  <w:tcBorders>
                    <w:tl2br w:val="nil"/>
                    <w:tr2bl w:val="nil"/>
                  </w:tcBorders>
                  <w:shd w:val="clear" w:color="auto" w:fill="auto"/>
                  <w:vAlign w:val="center"/>
                </w:tcPr>
                <w:p w14:paraId="20937D99">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86" w:type="pct"/>
                  <w:tcBorders>
                    <w:tl2br w:val="nil"/>
                    <w:tr2bl w:val="nil"/>
                  </w:tcBorders>
                  <w:shd w:val="clear" w:color="auto" w:fill="auto"/>
                  <w:vAlign w:val="center"/>
                </w:tcPr>
                <w:p w14:paraId="48EAB6F4">
                  <w:pPr>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val="en-US" w:eastAsia="zh-CN"/>
                    </w:rPr>
                    <w:t>水泥硬化</w:t>
                  </w:r>
                </w:p>
              </w:tc>
            </w:tr>
          </w:tbl>
          <w:p w14:paraId="212B456F">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采取上述治理措施后，本项目防渗措施基本满足《环境影响评价技术导则 地下水环境》（HJ610-2016）中防渗技术要求，可从污染源头和途径上减少因废水或物料泄漏渗、漏入地下水，不会对地下水和土壤环境造成不利影响。</w:t>
            </w:r>
          </w:p>
          <w:p w14:paraId="66AE6AC5">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6、环境风险</w:t>
            </w:r>
          </w:p>
          <w:p w14:paraId="706AB141">
            <w:pPr>
              <w:spacing w:line="360" w:lineRule="auto"/>
              <w:ind w:firstLine="361" w:firstLineChars="15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（1）风险调查</w:t>
            </w:r>
          </w:p>
          <w:p w14:paraId="6BD374A5">
            <w:pPr>
              <w:spacing w:line="360" w:lineRule="auto"/>
              <w:ind w:firstLine="480"/>
              <w:rPr>
                <w:rFonts w:hint="default" w:ascii="Times New Roman" w:hAnsi="Times New Roman" w:eastAsia="宋体" w:cs="Times New Roman"/>
                <w:b/>
                <w:bCs/>
                <w:color w:val="auto"/>
                <w:kern w:val="0"/>
                <w:sz w:val="20"/>
                <w:szCs w:val="20"/>
                <w:lang w:val="en-US" w:eastAsia="zh-CN" w:bidi="ar-SA"/>
              </w:rPr>
            </w:pPr>
            <w:r>
              <w:rPr>
                <w:rFonts w:hint="default" w:ascii="Times New Roman" w:hAnsi="Times New Roman" w:cs="Times New Roman"/>
                <w:color w:val="auto"/>
                <w:sz w:val="24"/>
                <w:szCs w:val="24"/>
              </w:rPr>
              <w:t>按照《建设项目环境风险评价技术导则》（HJ169-2018）的要求，对照附录B，根据项目原辅材料以及产品，本项目主要涉及的危险物质为</w:t>
            </w:r>
            <w:r>
              <w:rPr>
                <w:rFonts w:hint="default" w:ascii="Times New Roman" w:hAnsi="Times New Roman" w:cs="Times New Roman"/>
                <w:color w:val="auto"/>
                <w:sz w:val="24"/>
                <w:szCs w:val="24"/>
                <w:lang w:val="en-US" w:eastAsia="zh-CN"/>
              </w:rPr>
              <w:t>废机油、</w:t>
            </w:r>
            <w:r>
              <w:rPr>
                <w:rFonts w:hint="default" w:ascii="Times New Roman" w:hAnsi="Times New Roman" w:cs="Times New Roman"/>
                <w:color w:val="auto"/>
                <w:sz w:val="24"/>
                <w:szCs w:val="24"/>
              </w:rPr>
              <w:t>机油、导热油</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轻质油</w:t>
            </w:r>
            <w:r>
              <w:rPr>
                <w:rFonts w:hint="default" w:ascii="Times New Roman" w:hAnsi="Times New Roman" w:cs="Times New Roman"/>
                <w:color w:val="auto"/>
                <w:sz w:val="24"/>
                <w:szCs w:val="24"/>
              </w:rPr>
              <w:t>。其危险特性、贮存情况见下表</w:t>
            </w:r>
            <w:r>
              <w:rPr>
                <w:rFonts w:hint="default" w:ascii="Times New Roman" w:hAnsi="Times New Roman" w:cs="Times New Roman"/>
                <w:color w:val="auto"/>
                <w:sz w:val="24"/>
                <w:szCs w:val="24"/>
                <w:lang w:eastAsia="zh-CN"/>
              </w:rPr>
              <w:t>。</w:t>
            </w:r>
          </w:p>
          <w:p w14:paraId="14A4AD5A">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 xml:space="preserve">表4-27 </w:t>
            </w:r>
            <w:r>
              <w:rPr>
                <w:rFonts w:hint="default" w:ascii="Times New Roman" w:hAnsi="Times New Roman" w:eastAsia="黑体" w:cs="Times New Roman"/>
                <w:b/>
                <w:bCs/>
                <w:color w:val="auto"/>
                <w:kern w:val="0"/>
                <w:sz w:val="20"/>
                <w:szCs w:val="20"/>
                <w:lang w:val="en-US" w:eastAsia="zh-CN" w:bidi="ar-SA"/>
              </w:rPr>
              <w:t>主要危险物质储存及危险特性</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405"/>
              <w:gridCol w:w="1195"/>
              <w:gridCol w:w="1469"/>
              <w:gridCol w:w="1026"/>
              <w:gridCol w:w="1124"/>
              <w:gridCol w:w="1839"/>
            </w:tblGrid>
            <w:tr w14:paraId="402B4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58" w:type="dxa"/>
                  <w:tcBorders>
                    <w:tl2br w:val="nil"/>
                    <w:tr2bl w:val="nil"/>
                  </w:tcBorders>
                  <w:vAlign w:val="center"/>
                </w:tcPr>
                <w:p w14:paraId="06F3B89B">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1397" w:type="dxa"/>
                  <w:tcBorders>
                    <w:tl2br w:val="nil"/>
                    <w:tr2bl w:val="nil"/>
                  </w:tcBorders>
                  <w:vAlign w:val="center"/>
                </w:tcPr>
                <w:p w14:paraId="241CFAAE">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危险单元</w:t>
                  </w:r>
                </w:p>
              </w:tc>
              <w:tc>
                <w:tcPr>
                  <w:tcW w:w="1189" w:type="dxa"/>
                  <w:tcBorders>
                    <w:tl2br w:val="nil"/>
                    <w:tr2bl w:val="nil"/>
                  </w:tcBorders>
                  <w:vAlign w:val="center"/>
                </w:tcPr>
                <w:p w14:paraId="32402A28">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危险物质</w:t>
                  </w:r>
                </w:p>
              </w:tc>
              <w:tc>
                <w:tcPr>
                  <w:tcW w:w="1461" w:type="dxa"/>
                  <w:tcBorders>
                    <w:tl2br w:val="nil"/>
                    <w:tr2bl w:val="nil"/>
                  </w:tcBorders>
                  <w:vAlign w:val="center"/>
                </w:tcPr>
                <w:p w14:paraId="59C467BF">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储存量（t）</w:t>
                  </w:r>
                </w:p>
              </w:tc>
              <w:tc>
                <w:tcPr>
                  <w:tcW w:w="1020" w:type="dxa"/>
                  <w:tcBorders>
                    <w:tl2br w:val="nil"/>
                    <w:tr2bl w:val="nil"/>
                  </w:tcBorders>
                  <w:vAlign w:val="center"/>
                </w:tcPr>
                <w:p w14:paraId="3232B9FF">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形态</w:t>
                  </w:r>
                </w:p>
              </w:tc>
              <w:tc>
                <w:tcPr>
                  <w:tcW w:w="1118" w:type="dxa"/>
                  <w:tcBorders>
                    <w:tl2br w:val="nil"/>
                    <w:tr2bl w:val="nil"/>
                  </w:tcBorders>
                  <w:vAlign w:val="center"/>
                </w:tcPr>
                <w:p w14:paraId="6267539E">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储存方式</w:t>
                  </w:r>
                </w:p>
              </w:tc>
              <w:tc>
                <w:tcPr>
                  <w:tcW w:w="1829" w:type="dxa"/>
                  <w:tcBorders>
                    <w:tl2br w:val="nil"/>
                    <w:tr2bl w:val="nil"/>
                  </w:tcBorders>
                  <w:vAlign w:val="center"/>
                </w:tcPr>
                <w:p w14:paraId="1395D06D">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危险性</w:t>
                  </w:r>
                </w:p>
              </w:tc>
            </w:tr>
            <w:tr w14:paraId="6FA4B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dxa"/>
                  <w:tcBorders>
                    <w:tl2br w:val="nil"/>
                    <w:tr2bl w:val="nil"/>
                  </w:tcBorders>
                  <w:shd w:val="clear" w:color="auto" w:fill="auto"/>
                  <w:vAlign w:val="center"/>
                </w:tcPr>
                <w:p w14:paraId="625108FF">
                  <w:pPr>
                    <w:jc w:val="center"/>
                    <w:rPr>
                      <w:rFonts w:hint="default" w:ascii="Times New Roman" w:hAnsi="Times New Roman" w:eastAsia="Times New Roman" w:cs="Times New Roman"/>
                      <w:color w:val="auto"/>
                      <w:kern w:val="2"/>
                      <w:sz w:val="21"/>
                      <w:szCs w:val="22"/>
                      <w:lang w:val="en-US" w:eastAsia="zh-CN" w:bidi="ar-SA"/>
                    </w:rPr>
                  </w:pPr>
                  <w:r>
                    <w:rPr>
                      <w:rFonts w:hint="default" w:ascii="Times New Roman" w:hAnsi="Times New Roman" w:eastAsia="Times New Roman" w:cs="Times New Roman"/>
                      <w:color w:val="auto"/>
                    </w:rPr>
                    <w:t>1</w:t>
                  </w:r>
                </w:p>
              </w:tc>
              <w:tc>
                <w:tcPr>
                  <w:tcW w:w="1397" w:type="dxa"/>
                  <w:tcBorders>
                    <w:tl2br w:val="nil"/>
                    <w:tr2bl w:val="nil"/>
                  </w:tcBorders>
                  <w:shd w:val="clear" w:color="auto" w:fill="auto"/>
                  <w:vAlign w:val="center"/>
                </w:tcPr>
                <w:p w14:paraId="31E2E9A2">
                  <w:pPr>
                    <w:jc w:val="center"/>
                    <w:rPr>
                      <w:rFonts w:hint="default" w:ascii="Times New Roman" w:hAnsi="Times New Roman" w:eastAsia="Times New Roman" w:cs="Times New Roman"/>
                      <w:color w:val="auto"/>
                      <w:kern w:val="2"/>
                      <w:sz w:val="21"/>
                      <w:szCs w:val="22"/>
                      <w:lang w:val="en-US" w:eastAsia="zh-CN" w:bidi="ar-SA"/>
                    </w:rPr>
                  </w:pPr>
                  <w:r>
                    <w:rPr>
                      <w:rFonts w:hint="default" w:ascii="Times New Roman" w:hAnsi="Times New Roman" w:cs="Times New Roman"/>
                      <w:color w:val="auto"/>
                    </w:rPr>
                    <w:t>危废暂存间</w:t>
                  </w:r>
                </w:p>
              </w:tc>
              <w:tc>
                <w:tcPr>
                  <w:tcW w:w="1189" w:type="dxa"/>
                  <w:tcBorders>
                    <w:tl2br w:val="nil"/>
                    <w:tr2bl w:val="nil"/>
                  </w:tcBorders>
                  <w:shd w:val="clear" w:color="auto" w:fill="auto"/>
                  <w:vAlign w:val="center"/>
                </w:tcPr>
                <w:p w14:paraId="2E659C05">
                  <w:pPr>
                    <w:jc w:val="center"/>
                    <w:rPr>
                      <w:rFonts w:hint="default" w:ascii="Times New Roman" w:hAnsi="Times New Roman" w:eastAsia="Times New Roman" w:cs="Times New Roman"/>
                      <w:color w:val="auto"/>
                      <w:kern w:val="2"/>
                      <w:sz w:val="21"/>
                      <w:szCs w:val="22"/>
                      <w:lang w:val="en-US" w:eastAsia="zh-CN" w:bidi="ar-SA"/>
                    </w:rPr>
                  </w:pPr>
                  <w:r>
                    <w:rPr>
                      <w:rFonts w:hint="default" w:ascii="Times New Roman" w:hAnsi="Times New Roman" w:cs="Times New Roman"/>
                      <w:color w:val="auto"/>
                    </w:rPr>
                    <w:t>废油桶</w:t>
                  </w:r>
                </w:p>
              </w:tc>
              <w:tc>
                <w:tcPr>
                  <w:tcW w:w="1461" w:type="dxa"/>
                  <w:tcBorders>
                    <w:tl2br w:val="nil"/>
                    <w:tr2bl w:val="nil"/>
                  </w:tcBorders>
                  <w:shd w:val="clear" w:color="auto" w:fill="auto"/>
                  <w:vAlign w:val="center"/>
                </w:tcPr>
                <w:p w14:paraId="4D4772B9">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05</w:t>
                  </w:r>
                </w:p>
              </w:tc>
              <w:tc>
                <w:tcPr>
                  <w:tcW w:w="1020" w:type="dxa"/>
                  <w:tcBorders>
                    <w:tl2br w:val="nil"/>
                    <w:tr2bl w:val="nil"/>
                  </w:tcBorders>
                  <w:shd w:val="clear" w:color="auto" w:fill="auto"/>
                  <w:vAlign w:val="center"/>
                </w:tcPr>
                <w:p w14:paraId="23BCBE05">
                  <w:pPr>
                    <w:jc w:val="center"/>
                    <w:rPr>
                      <w:rFonts w:hint="default" w:ascii="Times New Roman" w:hAnsi="Times New Roman" w:eastAsia="Times New Roman" w:cs="Times New Roman"/>
                      <w:color w:val="auto"/>
                      <w:kern w:val="2"/>
                      <w:sz w:val="21"/>
                      <w:szCs w:val="22"/>
                      <w:lang w:val="en-US" w:eastAsia="zh-CN" w:bidi="ar-SA"/>
                    </w:rPr>
                  </w:pPr>
                  <w:r>
                    <w:rPr>
                      <w:rFonts w:hint="default" w:ascii="Times New Roman" w:hAnsi="Times New Roman" w:cs="Times New Roman"/>
                      <w:color w:val="auto"/>
                    </w:rPr>
                    <w:t>固体</w:t>
                  </w:r>
                </w:p>
              </w:tc>
              <w:tc>
                <w:tcPr>
                  <w:tcW w:w="1118" w:type="dxa"/>
                  <w:tcBorders>
                    <w:tl2br w:val="nil"/>
                    <w:tr2bl w:val="nil"/>
                  </w:tcBorders>
                  <w:shd w:val="clear" w:color="auto" w:fill="auto"/>
                  <w:vAlign w:val="center"/>
                </w:tcPr>
                <w:p w14:paraId="40D44E7B">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w:t>
                  </w:r>
                </w:p>
              </w:tc>
              <w:tc>
                <w:tcPr>
                  <w:tcW w:w="1829" w:type="dxa"/>
                  <w:tcBorders>
                    <w:tl2br w:val="nil"/>
                    <w:tr2bl w:val="nil"/>
                  </w:tcBorders>
                  <w:shd w:val="clear" w:color="auto" w:fill="auto"/>
                  <w:vAlign w:val="center"/>
                </w:tcPr>
                <w:p w14:paraId="1E0639CC">
                  <w:pPr>
                    <w:jc w:val="center"/>
                    <w:rPr>
                      <w:rFonts w:hint="default" w:ascii="Times New Roman" w:hAnsi="Times New Roman" w:eastAsia="Times New Roman" w:cs="Times New Roman"/>
                      <w:color w:val="auto"/>
                      <w:kern w:val="2"/>
                      <w:sz w:val="21"/>
                      <w:szCs w:val="22"/>
                      <w:lang w:val="en-US" w:eastAsia="zh-CN" w:bidi="ar-SA"/>
                    </w:rPr>
                  </w:pPr>
                  <w:r>
                    <w:rPr>
                      <w:rFonts w:hint="default" w:ascii="Times New Roman" w:hAnsi="Times New Roman" w:cs="Times New Roman"/>
                      <w:color w:val="auto"/>
                    </w:rPr>
                    <w:t>低毒、易燃性</w:t>
                  </w:r>
                </w:p>
              </w:tc>
            </w:tr>
            <w:tr w14:paraId="0B9AD6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dxa"/>
                  <w:tcBorders>
                    <w:tl2br w:val="nil"/>
                    <w:tr2bl w:val="nil"/>
                  </w:tcBorders>
                  <w:shd w:val="clear" w:color="auto" w:fill="auto"/>
                  <w:vAlign w:val="center"/>
                </w:tcPr>
                <w:p w14:paraId="2B0E5025">
                  <w:pPr>
                    <w:jc w:val="center"/>
                    <w:rPr>
                      <w:rFonts w:hint="default" w:ascii="Times New Roman" w:hAnsi="Times New Roman" w:eastAsia="Times New Roman" w:cs="Times New Roman"/>
                      <w:color w:val="auto"/>
                      <w:kern w:val="2"/>
                      <w:sz w:val="21"/>
                      <w:szCs w:val="22"/>
                      <w:lang w:val="en-US" w:eastAsia="zh-CN" w:bidi="ar-SA"/>
                    </w:rPr>
                  </w:pPr>
                  <w:r>
                    <w:rPr>
                      <w:rFonts w:hint="default" w:ascii="Times New Roman" w:hAnsi="Times New Roman" w:eastAsia="Times New Roman" w:cs="Times New Roman"/>
                      <w:color w:val="auto"/>
                    </w:rPr>
                    <w:t>2</w:t>
                  </w:r>
                </w:p>
              </w:tc>
              <w:tc>
                <w:tcPr>
                  <w:tcW w:w="1397" w:type="dxa"/>
                  <w:tcBorders>
                    <w:tl2br w:val="nil"/>
                    <w:tr2bl w:val="nil"/>
                  </w:tcBorders>
                  <w:shd w:val="clear" w:color="auto" w:fill="auto"/>
                  <w:vAlign w:val="center"/>
                </w:tcPr>
                <w:p w14:paraId="325C756F">
                  <w:pPr>
                    <w:jc w:val="center"/>
                    <w:rPr>
                      <w:rFonts w:hint="default" w:ascii="Times New Roman" w:hAnsi="Times New Roman" w:eastAsia="Times New Roman" w:cs="Times New Roman"/>
                      <w:color w:val="auto"/>
                      <w:kern w:val="2"/>
                      <w:sz w:val="21"/>
                      <w:szCs w:val="22"/>
                      <w:lang w:val="en-US" w:eastAsia="zh-CN" w:bidi="ar-SA"/>
                    </w:rPr>
                  </w:pPr>
                  <w:r>
                    <w:rPr>
                      <w:rFonts w:hint="default" w:ascii="Times New Roman" w:hAnsi="Times New Roman" w:cs="Times New Roman"/>
                      <w:color w:val="auto"/>
                    </w:rPr>
                    <w:t>危废暂存间</w:t>
                  </w:r>
                </w:p>
              </w:tc>
              <w:tc>
                <w:tcPr>
                  <w:tcW w:w="1189" w:type="dxa"/>
                  <w:tcBorders>
                    <w:tl2br w:val="nil"/>
                    <w:tr2bl w:val="nil"/>
                  </w:tcBorders>
                  <w:shd w:val="clear" w:color="auto" w:fill="auto"/>
                  <w:vAlign w:val="center"/>
                </w:tcPr>
                <w:p w14:paraId="5A834E79">
                  <w:pPr>
                    <w:jc w:val="center"/>
                    <w:rPr>
                      <w:rFonts w:hint="default" w:ascii="Times New Roman" w:hAnsi="Times New Roman" w:eastAsia="Times New Roman" w:cs="Times New Roman"/>
                      <w:color w:val="auto"/>
                      <w:kern w:val="2"/>
                      <w:sz w:val="21"/>
                      <w:szCs w:val="22"/>
                      <w:lang w:val="en-US" w:eastAsia="zh-CN" w:bidi="ar-SA"/>
                    </w:rPr>
                  </w:pPr>
                  <w:r>
                    <w:rPr>
                      <w:rFonts w:hint="default" w:ascii="Times New Roman" w:hAnsi="Times New Roman" w:cs="Times New Roman"/>
                      <w:color w:val="auto"/>
                    </w:rPr>
                    <w:t>废机油</w:t>
                  </w:r>
                </w:p>
              </w:tc>
              <w:tc>
                <w:tcPr>
                  <w:tcW w:w="1461" w:type="dxa"/>
                  <w:tcBorders>
                    <w:tl2br w:val="nil"/>
                    <w:tr2bl w:val="nil"/>
                  </w:tcBorders>
                  <w:shd w:val="clear" w:color="auto" w:fill="auto"/>
                  <w:vAlign w:val="center"/>
                </w:tcPr>
                <w:p w14:paraId="666BADF5">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0.02</w:t>
                  </w:r>
                </w:p>
              </w:tc>
              <w:tc>
                <w:tcPr>
                  <w:tcW w:w="1020" w:type="dxa"/>
                  <w:tcBorders>
                    <w:tl2br w:val="nil"/>
                    <w:tr2bl w:val="nil"/>
                  </w:tcBorders>
                  <w:shd w:val="clear" w:color="auto" w:fill="auto"/>
                  <w:vAlign w:val="center"/>
                </w:tcPr>
                <w:p w14:paraId="2D1B37D1">
                  <w:pPr>
                    <w:jc w:val="center"/>
                    <w:rPr>
                      <w:rFonts w:hint="default" w:ascii="Times New Roman" w:hAnsi="Times New Roman" w:eastAsia="Times New Roman" w:cs="Times New Roman"/>
                      <w:color w:val="auto"/>
                      <w:kern w:val="2"/>
                      <w:sz w:val="21"/>
                      <w:szCs w:val="22"/>
                      <w:lang w:val="en-US" w:eastAsia="zh-CN" w:bidi="ar-SA"/>
                    </w:rPr>
                  </w:pPr>
                  <w:r>
                    <w:rPr>
                      <w:rFonts w:hint="default" w:ascii="Times New Roman" w:hAnsi="Times New Roman" w:cs="Times New Roman"/>
                      <w:color w:val="auto"/>
                    </w:rPr>
                    <w:t>液体</w:t>
                  </w:r>
                </w:p>
              </w:tc>
              <w:tc>
                <w:tcPr>
                  <w:tcW w:w="1118" w:type="dxa"/>
                  <w:tcBorders>
                    <w:tl2br w:val="nil"/>
                    <w:tr2bl w:val="nil"/>
                  </w:tcBorders>
                  <w:shd w:val="clear" w:color="auto" w:fill="auto"/>
                  <w:vAlign w:val="center"/>
                </w:tcPr>
                <w:p w14:paraId="486C3882">
                  <w:pPr>
                    <w:jc w:val="center"/>
                    <w:rPr>
                      <w:rFonts w:hint="default" w:ascii="Times New Roman" w:hAnsi="Times New Roman" w:eastAsia="Times New Roman" w:cs="Times New Roman"/>
                      <w:color w:val="auto"/>
                      <w:kern w:val="2"/>
                      <w:sz w:val="21"/>
                      <w:szCs w:val="22"/>
                      <w:lang w:val="en-US" w:eastAsia="zh-CN" w:bidi="ar-SA"/>
                    </w:rPr>
                  </w:pPr>
                  <w:r>
                    <w:rPr>
                      <w:rFonts w:hint="default" w:ascii="Times New Roman" w:hAnsi="Times New Roman" w:cs="Times New Roman"/>
                      <w:color w:val="auto"/>
                    </w:rPr>
                    <w:t>桶装</w:t>
                  </w:r>
                </w:p>
              </w:tc>
              <w:tc>
                <w:tcPr>
                  <w:tcW w:w="1829" w:type="dxa"/>
                  <w:tcBorders>
                    <w:tl2br w:val="nil"/>
                    <w:tr2bl w:val="nil"/>
                  </w:tcBorders>
                  <w:shd w:val="clear" w:color="auto" w:fill="auto"/>
                  <w:vAlign w:val="center"/>
                </w:tcPr>
                <w:p w14:paraId="3F2F09CC">
                  <w:pPr>
                    <w:jc w:val="center"/>
                    <w:rPr>
                      <w:rFonts w:hint="default" w:ascii="Times New Roman" w:hAnsi="Times New Roman" w:eastAsia="Times New Roman" w:cs="Times New Roman"/>
                      <w:snapToGrid w:val="0"/>
                      <w:color w:val="auto"/>
                      <w:kern w:val="2"/>
                      <w:sz w:val="21"/>
                      <w:szCs w:val="22"/>
                      <w:lang w:val="en-US" w:eastAsia="zh-CN" w:bidi="ar-SA"/>
                    </w:rPr>
                  </w:pPr>
                  <w:r>
                    <w:rPr>
                      <w:rFonts w:hint="default" w:ascii="Times New Roman" w:hAnsi="Times New Roman" w:cs="Times New Roman"/>
                      <w:color w:val="auto"/>
                    </w:rPr>
                    <w:t>低毒、易燃性</w:t>
                  </w:r>
                </w:p>
              </w:tc>
            </w:tr>
            <w:tr w14:paraId="0F3AAF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8" w:type="dxa"/>
                  <w:tcBorders>
                    <w:tl2br w:val="nil"/>
                    <w:tr2bl w:val="nil"/>
                  </w:tcBorders>
                  <w:shd w:val="clear" w:color="auto" w:fill="auto"/>
                  <w:vAlign w:val="center"/>
                </w:tcPr>
                <w:p w14:paraId="5EB42B7D">
                  <w:pPr>
                    <w:jc w:val="center"/>
                    <w:rPr>
                      <w:rFonts w:hint="default" w:ascii="Times New Roman" w:hAnsi="Times New Roman" w:eastAsia="Times New Roman" w:cs="Times New Roman"/>
                      <w:color w:val="auto"/>
                      <w:kern w:val="2"/>
                      <w:sz w:val="21"/>
                      <w:szCs w:val="22"/>
                      <w:lang w:val="en-US" w:eastAsia="zh-CN" w:bidi="ar-SA"/>
                    </w:rPr>
                  </w:pPr>
                  <w:r>
                    <w:rPr>
                      <w:rFonts w:hint="default" w:ascii="Times New Roman" w:hAnsi="Times New Roman" w:eastAsia="Times New Roman" w:cs="Times New Roman"/>
                      <w:color w:val="auto"/>
                    </w:rPr>
                    <w:t>3</w:t>
                  </w:r>
                </w:p>
              </w:tc>
              <w:tc>
                <w:tcPr>
                  <w:tcW w:w="1397" w:type="dxa"/>
                  <w:tcBorders>
                    <w:tl2br w:val="nil"/>
                    <w:tr2bl w:val="nil"/>
                  </w:tcBorders>
                  <w:shd w:val="clear" w:color="auto" w:fill="auto"/>
                  <w:vAlign w:val="center"/>
                </w:tcPr>
                <w:p w14:paraId="05475485">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导热油</w:t>
                  </w:r>
                </w:p>
              </w:tc>
              <w:tc>
                <w:tcPr>
                  <w:tcW w:w="1189" w:type="dxa"/>
                  <w:tcBorders>
                    <w:tl2br w:val="nil"/>
                    <w:tr2bl w:val="nil"/>
                  </w:tcBorders>
                  <w:shd w:val="clear" w:color="auto" w:fill="auto"/>
                  <w:vAlign w:val="center"/>
                </w:tcPr>
                <w:p w14:paraId="4F65F91F">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储罐</w:t>
                  </w:r>
                </w:p>
              </w:tc>
              <w:tc>
                <w:tcPr>
                  <w:tcW w:w="1461" w:type="dxa"/>
                  <w:tcBorders>
                    <w:tl2br w:val="nil"/>
                    <w:tr2bl w:val="nil"/>
                  </w:tcBorders>
                  <w:shd w:val="clear" w:color="auto" w:fill="auto"/>
                  <w:vAlign w:val="center"/>
                </w:tcPr>
                <w:p w14:paraId="6C78FB93">
                  <w:pPr>
                    <w:pStyle w:val="112"/>
                    <w:overflowPunct w:val="0"/>
                    <w:spacing w:before="59"/>
                    <w:jc w:val="center"/>
                    <w:rPr>
                      <w:rFonts w:hint="default" w:ascii="Times New Roman" w:hAnsi="Times New Roman" w:eastAsia="宋体" w:cs="Times New Roman"/>
                      <w:color w:val="auto"/>
                      <w:spacing w:val="-1"/>
                      <w:kern w:val="2"/>
                      <w:sz w:val="21"/>
                      <w:szCs w:val="22"/>
                      <w:lang w:val="en-US" w:eastAsia="zh-CN" w:bidi="zh-CN"/>
                    </w:rPr>
                  </w:pPr>
                  <w:r>
                    <w:rPr>
                      <w:rFonts w:hint="default" w:ascii="Times New Roman" w:hAnsi="Times New Roman" w:cs="Times New Roman"/>
                      <w:color w:val="auto"/>
                      <w:spacing w:val="-1"/>
                      <w:sz w:val="21"/>
                      <w:lang w:val="en-US" w:eastAsia="zh-CN"/>
                    </w:rPr>
                    <w:t>1.5</w:t>
                  </w:r>
                </w:p>
              </w:tc>
              <w:tc>
                <w:tcPr>
                  <w:tcW w:w="1020" w:type="dxa"/>
                  <w:tcBorders>
                    <w:tl2br w:val="nil"/>
                    <w:tr2bl w:val="nil"/>
                  </w:tcBorders>
                  <w:shd w:val="clear" w:color="auto" w:fill="auto"/>
                  <w:vAlign w:val="center"/>
                </w:tcPr>
                <w:p w14:paraId="2428079A">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液体</w:t>
                  </w:r>
                </w:p>
              </w:tc>
              <w:tc>
                <w:tcPr>
                  <w:tcW w:w="1118" w:type="dxa"/>
                  <w:tcBorders>
                    <w:tl2br w:val="nil"/>
                    <w:tr2bl w:val="nil"/>
                  </w:tcBorders>
                  <w:shd w:val="clear" w:color="auto" w:fill="auto"/>
                  <w:vAlign w:val="center"/>
                </w:tcPr>
                <w:p w14:paraId="2592ED65">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罐装</w:t>
                  </w:r>
                </w:p>
              </w:tc>
              <w:tc>
                <w:tcPr>
                  <w:tcW w:w="1829" w:type="dxa"/>
                  <w:tcBorders>
                    <w:tl2br w:val="nil"/>
                    <w:tr2bl w:val="nil"/>
                  </w:tcBorders>
                  <w:shd w:val="clear" w:color="auto" w:fill="auto"/>
                  <w:vAlign w:val="center"/>
                </w:tcPr>
                <w:p w14:paraId="7C030624">
                  <w:pPr>
                    <w:jc w:val="center"/>
                    <w:rPr>
                      <w:rFonts w:hint="default" w:ascii="Times New Roman" w:hAnsi="Times New Roman" w:eastAsia="Times New Roman" w:cs="Times New Roman"/>
                      <w:snapToGrid w:val="0"/>
                      <w:color w:val="auto"/>
                      <w:kern w:val="2"/>
                      <w:sz w:val="21"/>
                      <w:szCs w:val="22"/>
                      <w:lang w:val="en-US" w:eastAsia="zh-CN" w:bidi="ar-SA"/>
                    </w:rPr>
                  </w:pPr>
                  <w:r>
                    <w:rPr>
                      <w:rFonts w:hint="default" w:ascii="Times New Roman" w:hAnsi="Times New Roman" w:cs="Times New Roman"/>
                      <w:color w:val="auto"/>
                    </w:rPr>
                    <w:t>低毒、易燃性</w:t>
                  </w:r>
                </w:p>
              </w:tc>
            </w:tr>
            <w:tr w14:paraId="20BF1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0266487F">
                  <w:pPr>
                    <w:jc w:val="center"/>
                    <w:rPr>
                      <w:rFonts w:hint="default" w:ascii="Times New Roman" w:hAnsi="Times New Roman" w:eastAsia="Times New Roman" w:cs="Times New Roman"/>
                      <w:color w:val="auto"/>
                      <w:kern w:val="2"/>
                      <w:sz w:val="21"/>
                      <w:szCs w:val="22"/>
                      <w:lang w:val="en-US" w:eastAsia="zh-CN" w:bidi="ar-SA"/>
                    </w:rPr>
                  </w:pPr>
                  <w:r>
                    <w:rPr>
                      <w:rFonts w:hint="default" w:ascii="Times New Roman" w:hAnsi="Times New Roman" w:eastAsia="Times New Roman" w:cs="Times New Roman"/>
                      <w:color w:val="auto"/>
                    </w:rPr>
                    <w:t>4</w:t>
                  </w:r>
                </w:p>
              </w:tc>
              <w:tc>
                <w:tcPr>
                  <w:tcW w:w="0" w:type="auto"/>
                  <w:shd w:val="clear" w:color="auto" w:fill="auto"/>
                  <w:vAlign w:val="center"/>
                </w:tcPr>
                <w:p w14:paraId="3D8CE7F0">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轻质油</w:t>
                  </w:r>
                </w:p>
              </w:tc>
              <w:tc>
                <w:tcPr>
                  <w:tcW w:w="0" w:type="auto"/>
                  <w:shd w:val="clear" w:color="auto" w:fill="auto"/>
                  <w:vAlign w:val="center"/>
                </w:tcPr>
                <w:p w14:paraId="29417596">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储罐</w:t>
                  </w:r>
                </w:p>
              </w:tc>
              <w:tc>
                <w:tcPr>
                  <w:tcW w:w="0" w:type="auto"/>
                  <w:shd w:val="clear" w:color="auto" w:fill="auto"/>
                  <w:vAlign w:val="center"/>
                </w:tcPr>
                <w:p w14:paraId="74D87A41">
                  <w:pPr>
                    <w:pStyle w:val="112"/>
                    <w:overflowPunct w:val="0"/>
                    <w:spacing w:before="59"/>
                    <w:jc w:val="center"/>
                    <w:rPr>
                      <w:rFonts w:hint="default" w:ascii="Times New Roman" w:hAnsi="Times New Roman" w:eastAsia="宋体" w:cs="Times New Roman"/>
                      <w:color w:val="auto"/>
                      <w:spacing w:val="-1"/>
                      <w:kern w:val="2"/>
                      <w:sz w:val="21"/>
                      <w:szCs w:val="22"/>
                      <w:lang w:val="en-US" w:eastAsia="zh-CN" w:bidi="zh-CN"/>
                    </w:rPr>
                  </w:pPr>
                  <w:r>
                    <w:rPr>
                      <w:rFonts w:hint="default" w:ascii="Times New Roman" w:hAnsi="Times New Roman" w:cs="Times New Roman"/>
                      <w:color w:val="auto"/>
                      <w:spacing w:val="-1"/>
                      <w:sz w:val="21"/>
                      <w:lang w:val="en-US" w:eastAsia="zh-CN"/>
                    </w:rPr>
                    <w:t>30</w:t>
                  </w:r>
                </w:p>
              </w:tc>
              <w:tc>
                <w:tcPr>
                  <w:tcW w:w="0" w:type="auto"/>
                  <w:shd w:val="clear" w:color="auto" w:fill="auto"/>
                  <w:vAlign w:val="center"/>
                </w:tcPr>
                <w:p w14:paraId="3206901D">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液体</w:t>
                  </w:r>
                </w:p>
              </w:tc>
              <w:tc>
                <w:tcPr>
                  <w:tcW w:w="0" w:type="auto"/>
                  <w:shd w:val="clear" w:color="auto" w:fill="auto"/>
                  <w:vAlign w:val="center"/>
                </w:tcPr>
                <w:p w14:paraId="4313D71D">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罐装</w:t>
                  </w:r>
                </w:p>
              </w:tc>
              <w:tc>
                <w:tcPr>
                  <w:tcW w:w="0" w:type="auto"/>
                  <w:shd w:val="clear" w:color="auto" w:fill="auto"/>
                  <w:vAlign w:val="center"/>
                </w:tcPr>
                <w:p w14:paraId="4117398D">
                  <w:pPr>
                    <w:jc w:val="center"/>
                    <w:rPr>
                      <w:rFonts w:hint="default" w:ascii="Times New Roman" w:hAnsi="Times New Roman" w:eastAsia="Times New Roman" w:cs="Times New Roman"/>
                      <w:snapToGrid w:val="0"/>
                      <w:color w:val="auto"/>
                      <w:kern w:val="2"/>
                      <w:sz w:val="21"/>
                      <w:szCs w:val="22"/>
                      <w:lang w:val="en-US" w:eastAsia="zh-CN" w:bidi="ar-SA"/>
                    </w:rPr>
                  </w:pPr>
                  <w:r>
                    <w:rPr>
                      <w:rFonts w:hint="default" w:ascii="Times New Roman" w:hAnsi="Times New Roman" w:cs="Times New Roman"/>
                      <w:color w:val="auto"/>
                    </w:rPr>
                    <w:t>低毒、易燃性</w:t>
                  </w:r>
                </w:p>
              </w:tc>
            </w:tr>
          </w:tbl>
          <w:p w14:paraId="033A6467">
            <w:pPr>
              <w:spacing w:line="360" w:lineRule="auto"/>
              <w:ind w:firstLine="361" w:firstLineChars="150"/>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（2）风险潜势初判</w:t>
            </w:r>
          </w:p>
          <w:p w14:paraId="75F2B57D">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建设项目环境风险潜势划分为I、</w:t>
            </w:r>
            <w:r>
              <w:rPr>
                <w:rFonts w:hint="default" w:ascii="Times New Roman" w:hAnsi="Times New Roman" w:cs="Times New Roman"/>
                <w:color w:val="auto"/>
                <w:sz w:val="24"/>
                <w:szCs w:val="24"/>
                <w:lang w:eastAsia="zh-CN"/>
              </w:rPr>
              <w:t>Ⅱ</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Ⅲ</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Ⅳ</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Ⅳ</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级，主要根据建设项目涉及的物质和工艺系统的危险性及其所在地的环境敏感程度，结合事故情形下环境影响途径，按照《建设项目环境风险评价技术导则》（HJ169-2018）表2进行确定，其中：危险物质数量与临界量比值（</w:t>
            </w:r>
            <w:r>
              <w:rPr>
                <w:rFonts w:hint="default" w:ascii="Times New Roman" w:hAnsi="Times New Roman" w:cs="Times New Roman"/>
                <w:i/>
                <w:color w:val="auto"/>
                <w:sz w:val="24"/>
                <w:szCs w:val="24"/>
              </w:rPr>
              <w:t>Q</w:t>
            </w:r>
            <w:r>
              <w:rPr>
                <w:rFonts w:hint="default" w:ascii="Times New Roman" w:hAnsi="Times New Roman" w:cs="Times New Roman"/>
                <w:color w:val="auto"/>
                <w:sz w:val="24"/>
                <w:szCs w:val="24"/>
              </w:rPr>
              <w:t>）为每种危险物质在厂界内的最大存在总量与其在HJ169-2018附录B中对应临界量的比值，即：</w:t>
            </w:r>
          </w:p>
          <w:p w14:paraId="49712147">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position w:val="-30"/>
                <w:sz w:val="24"/>
                <w:szCs w:val="24"/>
              </w:rPr>
              <w:object>
                <v:shape id="_x0000_i1029" o:spt="75" type="#_x0000_t75" style="height:28.3pt;width:79.5pt;" o:ole="t" filled="f" o:preferrelative="t" stroked="f" coordsize="21600,21600">
                  <v:path/>
                  <v:fill on="f" focussize="0,0"/>
                  <v:stroke on="f" joinstyle="miter"/>
                  <v:imagedata r:id="rId31" o:title=""/>
                  <o:lock v:ext="edit" aspectratio="t"/>
                  <w10:wrap type="none"/>
                  <w10:anchorlock/>
                </v:shape>
                <o:OLEObject Type="Embed" ProgID="Equation.DSMT4" ShapeID="_x0000_i1029" DrawAspect="Content" ObjectID="_1468075729" r:id="rId30">
                  <o:LockedField>false</o:LockedField>
                </o:OLEObject>
              </w:object>
            </w:r>
          </w:p>
          <w:p w14:paraId="21645BFB">
            <w:pPr>
              <w:spacing w:line="360" w:lineRule="auto"/>
              <w:ind w:firstLine="480" w:firstLineChars="200"/>
              <w:rPr>
                <w:rFonts w:hint="default" w:ascii="Times New Roman" w:hAnsi="Times New Roman" w:cs="Times New Roman"/>
                <w:i/>
                <w:color w:val="auto"/>
                <w:sz w:val="24"/>
                <w:szCs w:val="24"/>
              </w:rPr>
            </w:pPr>
            <w:r>
              <w:rPr>
                <w:rFonts w:hint="default" w:ascii="Times New Roman" w:hAnsi="Times New Roman" w:cs="Times New Roman"/>
                <w:color w:val="auto"/>
                <w:sz w:val="24"/>
                <w:szCs w:val="24"/>
              </w:rPr>
              <w:t>式中：</w:t>
            </w:r>
            <w:r>
              <w:rPr>
                <w:rFonts w:hint="default" w:ascii="Times New Roman" w:hAnsi="Times New Roman" w:cs="Times New Roman"/>
                <w:i/>
                <w:color w:val="auto"/>
                <w:sz w:val="24"/>
                <w:szCs w:val="24"/>
              </w:rPr>
              <w:t>q</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w:t>
            </w:r>
            <w:r>
              <w:rPr>
                <w:rFonts w:hint="default" w:ascii="Times New Roman" w:hAnsi="Times New Roman" w:cs="Times New Roman"/>
                <w:i/>
                <w:color w:val="auto"/>
                <w:sz w:val="24"/>
                <w:szCs w:val="24"/>
              </w:rPr>
              <w:t>q</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w:t>
            </w:r>
            <w:r>
              <w:rPr>
                <w:rFonts w:hint="default" w:ascii="Times New Roman" w:hAnsi="Times New Roman" w:cs="Times New Roman"/>
                <w:i/>
                <w:color w:val="auto"/>
                <w:sz w:val="24"/>
                <w:szCs w:val="24"/>
              </w:rPr>
              <w:t>q</w:t>
            </w:r>
            <w:r>
              <w:rPr>
                <w:rFonts w:hint="default" w:ascii="Times New Roman" w:hAnsi="Times New Roman" w:cs="Times New Roman"/>
                <w:i/>
                <w:color w:val="auto"/>
                <w:sz w:val="24"/>
                <w:szCs w:val="24"/>
                <w:vertAlign w:val="subscript"/>
              </w:rPr>
              <w:t>n</w:t>
            </w:r>
            <w:r>
              <w:rPr>
                <w:rFonts w:hint="default" w:ascii="Times New Roman" w:hAnsi="Times New Roman" w:cs="Times New Roman"/>
                <w:color w:val="auto"/>
                <w:sz w:val="24"/>
                <w:szCs w:val="24"/>
              </w:rPr>
              <w:t>——每种危险物质的最大存在总量，t；</w:t>
            </w:r>
          </w:p>
          <w:p w14:paraId="6D89353A">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w:t>
            </w:r>
            <w:r>
              <w:rPr>
                <w:rFonts w:hint="default" w:ascii="Times New Roman" w:hAnsi="Times New Roman" w:cs="Times New Roman"/>
                <w:i/>
                <w:color w:val="auto"/>
                <w:sz w:val="24"/>
                <w:szCs w:val="24"/>
              </w:rPr>
              <w:t>Q</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w:t>
            </w:r>
            <w:r>
              <w:rPr>
                <w:rFonts w:hint="default" w:ascii="Times New Roman" w:hAnsi="Times New Roman" w:cs="Times New Roman"/>
                <w:i/>
                <w:color w:val="auto"/>
                <w:sz w:val="24"/>
                <w:szCs w:val="24"/>
              </w:rPr>
              <w:t>Q</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w:t>
            </w:r>
            <w:r>
              <w:rPr>
                <w:rFonts w:hint="default" w:ascii="Times New Roman" w:hAnsi="Times New Roman" w:cs="Times New Roman"/>
                <w:i/>
                <w:color w:val="auto"/>
                <w:sz w:val="24"/>
                <w:szCs w:val="24"/>
              </w:rPr>
              <w:t>Q</w:t>
            </w:r>
            <w:r>
              <w:rPr>
                <w:rFonts w:hint="default" w:ascii="Times New Roman" w:hAnsi="Times New Roman" w:cs="Times New Roman"/>
                <w:i/>
                <w:color w:val="auto"/>
                <w:sz w:val="24"/>
                <w:szCs w:val="24"/>
                <w:vertAlign w:val="subscript"/>
              </w:rPr>
              <w:t>n</w:t>
            </w:r>
            <w:r>
              <w:rPr>
                <w:rFonts w:hint="default" w:ascii="Times New Roman" w:hAnsi="Times New Roman" w:cs="Times New Roman"/>
                <w:color w:val="auto"/>
                <w:sz w:val="24"/>
                <w:szCs w:val="24"/>
              </w:rPr>
              <w:t>——每种危险物质的临界量，t。</w:t>
            </w:r>
          </w:p>
          <w:p w14:paraId="518D298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w:t>
            </w:r>
            <w:r>
              <w:rPr>
                <w:rFonts w:hint="default" w:ascii="Times New Roman" w:hAnsi="Times New Roman" w:cs="Times New Roman"/>
                <w:i/>
                <w:color w:val="auto"/>
                <w:sz w:val="24"/>
                <w:szCs w:val="24"/>
              </w:rPr>
              <w:t>Q</w:t>
            </w:r>
            <w:r>
              <w:rPr>
                <w:rFonts w:hint="default" w:ascii="Times New Roman" w:hAnsi="Times New Roman" w:cs="Times New Roman"/>
                <w:color w:val="auto"/>
                <w:sz w:val="24"/>
                <w:szCs w:val="24"/>
              </w:rPr>
              <w:t>&lt;1时，该项目环境风险潜势为I；当</w:t>
            </w:r>
            <w:r>
              <w:rPr>
                <w:rFonts w:hint="default" w:ascii="Times New Roman" w:hAnsi="Times New Roman" w:cs="Times New Roman"/>
                <w:i/>
                <w:color w:val="auto"/>
                <w:sz w:val="24"/>
                <w:szCs w:val="24"/>
              </w:rPr>
              <w:t>Q</w:t>
            </w:r>
            <w:r>
              <w:rPr>
                <w:rFonts w:hint="default" w:ascii="Times New Roman" w:hAnsi="Times New Roman" w:cs="Times New Roman"/>
                <w:color w:val="auto"/>
                <w:sz w:val="24"/>
                <w:szCs w:val="24"/>
              </w:rPr>
              <w:t>≥1时，将</w:t>
            </w:r>
            <w:r>
              <w:rPr>
                <w:rFonts w:hint="default" w:ascii="Times New Roman" w:hAnsi="Times New Roman" w:cs="Times New Roman"/>
                <w:i/>
                <w:color w:val="auto"/>
                <w:sz w:val="24"/>
                <w:szCs w:val="24"/>
              </w:rPr>
              <w:t>Q</w:t>
            </w:r>
            <w:r>
              <w:rPr>
                <w:rFonts w:hint="default" w:ascii="Times New Roman" w:hAnsi="Times New Roman" w:cs="Times New Roman"/>
                <w:color w:val="auto"/>
                <w:sz w:val="24"/>
                <w:szCs w:val="24"/>
              </w:rPr>
              <w:t>值划分为：a.1≤</w:t>
            </w:r>
            <w:r>
              <w:rPr>
                <w:rFonts w:hint="default" w:ascii="Times New Roman" w:hAnsi="Times New Roman" w:cs="Times New Roman"/>
                <w:i/>
                <w:color w:val="auto"/>
                <w:sz w:val="24"/>
                <w:szCs w:val="24"/>
              </w:rPr>
              <w:t>Q</w:t>
            </w:r>
            <w:r>
              <w:rPr>
                <w:rFonts w:hint="default" w:ascii="Times New Roman" w:hAnsi="Times New Roman" w:cs="Times New Roman"/>
                <w:color w:val="auto"/>
                <w:sz w:val="24"/>
                <w:szCs w:val="24"/>
              </w:rPr>
              <w:t>&lt;10；b. 10≤</w:t>
            </w:r>
            <w:r>
              <w:rPr>
                <w:rFonts w:hint="default" w:ascii="Times New Roman" w:hAnsi="Times New Roman" w:cs="Times New Roman"/>
                <w:i/>
                <w:color w:val="auto"/>
                <w:sz w:val="24"/>
                <w:szCs w:val="24"/>
              </w:rPr>
              <w:t>Q</w:t>
            </w:r>
            <w:r>
              <w:rPr>
                <w:rFonts w:hint="default" w:ascii="Times New Roman" w:hAnsi="Times New Roman" w:cs="Times New Roman"/>
                <w:color w:val="auto"/>
                <w:sz w:val="24"/>
                <w:szCs w:val="24"/>
              </w:rPr>
              <w:t>&lt;100；c.</w:t>
            </w:r>
            <w:r>
              <w:rPr>
                <w:rFonts w:hint="default" w:ascii="Times New Roman" w:hAnsi="Times New Roman" w:cs="Times New Roman"/>
                <w:i/>
                <w:color w:val="auto"/>
                <w:sz w:val="24"/>
                <w:szCs w:val="24"/>
              </w:rPr>
              <w:t>Q</w:t>
            </w:r>
            <w:r>
              <w:rPr>
                <w:rFonts w:hint="default" w:ascii="Times New Roman" w:hAnsi="Times New Roman" w:cs="Times New Roman"/>
                <w:color w:val="auto"/>
                <w:sz w:val="24"/>
                <w:szCs w:val="24"/>
              </w:rPr>
              <w:t>≥100。</w:t>
            </w:r>
          </w:p>
          <w:p w14:paraId="407CFD21">
            <w:pPr>
              <w:spacing w:line="360" w:lineRule="auto"/>
              <w:ind w:firstLine="480"/>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cs="Times New Roman"/>
                <w:color w:val="auto"/>
                <w:sz w:val="24"/>
                <w:szCs w:val="24"/>
              </w:rPr>
              <w:t>根据计算，本项目危险物质数量与临界量比值见表4-</w:t>
            </w:r>
            <w:r>
              <w:rPr>
                <w:rFonts w:hint="default" w:ascii="Times New Roman" w:hAnsi="Times New Roman" w:cs="Times New Roman"/>
                <w:color w:val="auto"/>
                <w:sz w:val="24"/>
                <w:szCs w:val="24"/>
                <w:lang w:val="en-US" w:eastAsia="zh-CN"/>
              </w:rPr>
              <w:t>28</w:t>
            </w:r>
            <w:r>
              <w:rPr>
                <w:rFonts w:hint="default" w:ascii="Times New Roman" w:hAnsi="Times New Roman" w:cs="Times New Roman"/>
                <w:color w:val="auto"/>
                <w:sz w:val="24"/>
                <w:szCs w:val="24"/>
              </w:rPr>
              <w:t>。</w:t>
            </w:r>
          </w:p>
          <w:p w14:paraId="36046CA6">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 xml:space="preserve">表4-28 </w:t>
            </w:r>
            <w:r>
              <w:rPr>
                <w:rFonts w:hint="default" w:ascii="Times New Roman" w:hAnsi="Times New Roman" w:eastAsia="黑体" w:cs="Times New Roman"/>
                <w:b/>
                <w:bCs/>
                <w:color w:val="auto"/>
                <w:kern w:val="0"/>
                <w:sz w:val="20"/>
                <w:szCs w:val="20"/>
                <w:lang w:val="en-US" w:eastAsia="zh-CN" w:bidi="ar-SA"/>
              </w:rPr>
              <w:t xml:space="preserve"> 危险物质数量与临界量比值表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267"/>
              <w:gridCol w:w="1877"/>
              <w:gridCol w:w="1985"/>
              <w:gridCol w:w="1669"/>
            </w:tblGrid>
            <w:tr w14:paraId="313CE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tcBorders>
                    <w:tl2br w:val="nil"/>
                    <w:tr2bl w:val="nil"/>
                  </w:tcBorders>
                  <w:vAlign w:val="center"/>
                </w:tcPr>
                <w:p w14:paraId="1DF99019">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2255" w:type="dxa"/>
                  <w:tcBorders>
                    <w:tl2br w:val="nil"/>
                    <w:tr2bl w:val="nil"/>
                  </w:tcBorders>
                  <w:vAlign w:val="center"/>
                </w:tcPr>
                <w:p w14:paraId="0F1FEF97">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危险物质</w:t>
                  </w:r>
                </w:p>
              </w:tc>
              <w:tc>
                <w:tcPr>
                  <w:tcW w:w="1867" w:type="dxa"/>
                  <w:tcBorders>
                    <w:tl2br w:val="nil"/>
                    <w:tr2bl w:val="nil"/>
                  </w:tcBorders>
                  <w:vAlign w:val="center"/>
                </w:tcPr>
                <w:p w14:paraId="0CA8370C">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储存量（</w:t>
                  </w:r>
                  <w:r>
                    <w:rPr>
                      <w:rFonts w:hint="default" w:ascii="Times New Roman" w:hAnsi="Times New Roman" w:cs="Times New Roman"/>
                      <w:b/>
                      <w:bCs/>
                      <w:i/>
                      <w:color w:val="auto"/>
                      <w:szCs w:val="21"/>
                    </w:rPr>
                    <w:t>q</w:t>
                  </w:r>
                  <w:r>
                    <w:rPr>
                      <w:rFonts w:hint="default" w:ascii="Times New Roman" w:hAnsi="Times New Roman" w:cs="Times New Roman"/>
                      <w:b/>
                      <w:bCs/>
                      <w:color w:val="auto"/>
                      <w:szCs w:val="21"/>
                    </w:rPr>
                    <w:t>）</w:t>
                  </w:r>
                </w:p>
              </w:tc>
              <w:tc>
                <w:tcPr>
                  <w:tcW w:w="1974" w:type="dxa"/>
                  <w:tcBorders>
                    <w:tl2br w:val="nil"/>
                    <w:tr2bl w:val="nil"/>
                  </w:tcBorders>
                  <w:vAlign w:val="center"/>
                </w:tcPr>
                <w:p w14:paraId="167A14CF">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临界量（</w:t>
                  </w:r>
                  <w:r>
                    <w:rPr>
                      <w:rFonts w:hint="default" w:ascii="Times New Roman" w:hAnsi="Times New Roman" w:cs="Times New Roman"/>
                      <w:b/>
                      <w:bCs/>
                      <w:i/>
                      <w:color w:val="auto"/>
                      <w:szCs w:val="21"/>
                    </w:rPr>
                    <w:t>Q</w:t>
                  </w:r>
                  <w:r>
                    <w:rPr>
                      <w:rFonts w:hint="default" w:ascii="Times New Roman" w:hAnsi="Times New Roman" w:cs="Times New Roman"/>
                      <w:b/>
                      <w:bCs/>
                      <w:color w:val="auto"/>
                      <w:szCs w:val="21"/>
                    </w:rPr>
                    <w:t>）</w:t>
                  </w:r>
                </w:p>
              </w:tc>
              <w:tc>
                <w:tcPr>
                  <w:tcW w:w="1660" w:type="dxa"/>
                  <w:tcBorders>
                    <w:tl2br w:val="nil"/>
                    <w:tr2bl w:val="nil"/>
                  </w:tcBorders>
                  <w:vAlign w:val="center"/>
                </w:tcPr>
                <w:p w14:paraId="53A943D9">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比值（</w:t>
                  </w:r>
                  <w:r>
                    <w:rPr>
                      <w:rFonts w:hint="default" w:ascii="Times New Roman" w:hAnsi="Times New Roman" w:cs="Times New Roman"/>
                      <w:b/>
                      <w:bCs/>
                      <w:i/>
                      <w:color w:val="auto"/>
                      <w:szCs w:val="21"/>
                    </w:rPr>
                    <w:t>Q</w:t>
                  </w:r>
                  <w:r>
                    <w:rPr>
                      <w:rFonts w:hint="default" w:ascii="Times New Roman" w:hAnsi="Times New Roman" w:cs="Times New Roman"/>
                      <w:b/>
                      <w:bCs/>
                      <w:color w:val="auto"/>
                      <w:szCs w:val="21"/>
                    </w:rPr>
                    <w:t>）</w:t>
                  </w:r>
                </w:p>
              </w:tc>
            </w:tr>
            <w:tr w14:paraId="50AF84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16" w:type="dxa"/>
                  <w:tcBorders>
                    <w:tl2br w:val="nil"/>
                    <w:tr2bl w:val="nil"/>
                  </w:tcBorders>
                  <w:vAlign w:val="center"/>
                </w:tcPr>
                <w:p w14:paraId="29DF99EC">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2255" w:type="dxa"/>
                  <w:tcBorders>
                    <w:tl2br w:val="nil"/>
                    <w:tr2bl w:val="nil"/>
                  </w:tcBorders>
                  <w:shd w:val="clear" w:color="auto" w:fill="auto"/>
                  <w:vAlign w:val="center"/>
                </w:tcPr>
                <w:p w14:paraId="7A973A63">
                  <w:pPr>
                    <w:jc w:val="center"/>
                    <w:rPr>
                      <w:rFonts w:hint="default" w:ascii="Times New Roman" w:hAnsi="Times New Roman" w:eastAsia="Times New Roman" w:cs="Times New Roman"/>
                      <w:color w:val="auto"/>
                      <w:kern w:val="2"/>
                      <w:sz w:val="21"/>
                      <w:szCs w:val="22"/>
                      <w:lang w:val="en-US" w:eastAsia="zh-CN" w:bidi="ar-SA"/>
                    </w:rPr>
                  </w:pPr>
                  <w:r>
                    <w:rPr>
                      <w:rFonts w:hint="default" w:ascii="Times New Roman" w:hAnsi="Times New Roman" w:cs="Times New Roman"/>
                      <w:color w:val="auto"/>
                    </w:rPr>
                    <w:t>废油桶</w:t>
                  </w:r>
                </w:p>
              </w:tc>
              <w:tc>
                <w:tcPr>
                  <w:tcW w:w="1867" w:type="dxa"/>
                  <w:tcBorders>
                    <w:tl2br w:val="nil"/>
                    <w:tr2bl w:val="nil"/>
                  </w:tcBorders>
                  <w:shd w:val="clear" w:color="auto" w:fill="auto"/>
                  <w:vAlign w:val="center"/>
                </w:tcPr>
                <w:p w14:paraId="2D3375D1">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05</w:t>
                  </w:r>
                  <w:r>
                    <w:rPr>
                      <w:rFonts w:hint="default" w:ascii="Times New Roman" w:hAnsi="Times New Roman" w:eastAsia="Times New Roman" w:cs="Times New Roman"/>
                      <w:color w:val="auto"/>
                    </w:rPr>
                    <w:t>t</w:t>
                  </w:r>
                </w:p>
              </w:tc>
              <w:tc>
                <w:tcPr>
                  <w:tcW w:w="1974" w:type="dxa"/>
                  <w:tcBorders>
                    <w:tl2br w:val="nil"/>
                    <w:tr2bl w:val="nil"/>
                  </w:tcBorders>
                  <w:shd w:val="clear" w:color="auto" w:fill="auto"/>
                  <w:vAlign w:val="center"/>
                </w:tcPr>
                <w:p w14:paraId="6F1DE846">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w:t>
                  </w:r>
                </w:p>
              </w:tc>
              <w:tc>
                <w:tcPr>
                  <w:tcW w:w="1660" w:type="dxa"/>
                  <w:tcBorders>
                    <w:tl2br w:val="nil"/>
                    <w:tr2bl w:val="nil"/>
                  </w:tcBorders>
                  <w:vAlign w:val="center"/>
                </w:tcPr>
                <w:p w14:paraId="066FED80">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14:paraId="06438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16" w:type="dxa"/>
                  <w:tcBorders>
                    <w:tl2br w:val="nil"/>
                    <w:tr2bl w:val="nil"/>
                  </w:tcBorders>
                  <w:vAlign w:val="center"/>
                </w:tcPr>
                <w:p w14:paraId="0CB2489F">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2</w:t>
                  </w:r>
                </w:p>
              </w:tc>
              <w:tc>
                <w:tcPr>
                  <w:tcW w:w="2255" w:type="dxa"/>
                  <w:tcBorders>
                    <w:tl2br w:val="nil"/>
                    <w:tr2bl w:val="nil"/>
                  </w:tcBorders>
                  <w:shd w:val="clear" w:color="auto" w:fill="auto"/>
                  <w:vAlign w:val="center"/>
                </w:tcPr>
                <w:p w14:paraId="51B58720">
                  <w:pPr>
                    <w:jc w:val="center"/>
                    <w:rPr>
                      <w:rFonts w:hint="default" w:ascii="Times New Roman" w:hAnsi="Times New Roman" w:eastAsia="Times New Roman" w:cs="Times New Roman"/>
                      <w:snapToGrid w:val="0"/>
                      <w:color w:val="auto"/>
                      <w:kern w:val="2"/>
                      <w:sz w:val="21"/>
                      <w:szCs w:val="22"/>
                      <w:lang w:val="en-US" w:eastAsia="zh-CN" w:bidi="ar-SA"/>
                    </w:rPr>
                  </w:pPr>
                  <w:r>
                    <w:rPr>
                      <w:rFonts w:hint="default" w:ascii="Times New Roman" w:hAnsi="Times New Roman" w:cs="Times New Roman"/>
                      <w:color w:val="auto"/>
                    </w:rPr>
                    <w:t>废机油</w:t>
                  </w:r>
                </w:p>
              </w:tc>
              <w:tc>
                <w:tcPr>
                  <w:tcW w:w="1867" w:type="dxa"/>
                  <w:tcBorders>
                    <w:tl2br w:val="nil"/>
                    <w:tr2bl w:val="nil"/>
                  </w:tcBorders>
                  <w:shd w:val="clear" w:color="auto" w:fill="auto"/>
                  <w:vAlign w:val="center"/>
                </w:tcPr>
                <w:p w14:paraId="617BE913">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0.02</w:t>
                  </w:r>
                  <w:r>
                    <w:rPr>
                      <w:rFonts w:hint="default" w:ascii="Times New Roman" w:hAnsi="Times New Roman" w:eastAsia="Times New Roman" w:cs="Times New Roman"/>
                      <w:color w:val="auto"/>
                    </w:rPr>
                    <w:t>t</w:t>
                  </w:r>
                </w:p>
              </w:tc>
              <w:tc>
                <w:tcPr>
                  <w:tcW w:w="1974" w:type="dxa"/>
                  <w:tcBorders>
                    <w:tl2br w:val="nil"/>
                    <w:tr2bl w:val="nil"/>
                  </w:tcBorders>
                  <w:shd w:val="clear" w:color="auto" w:fill="auto"/>
                  <w:vAlign w:val="center"/>
                </w:tcPr>
                <w:p w14:paraId="59388125">
                  <w:pPr>
                    <w:jc w:val="center"/>
                    <w:rPr>
                      <w:rFonts w:hint="default" w:ascii="Times New Roman" w:hAnsi="Times New Roman" w:eastAsia="Times New Roman" w:cs="Times New Roman"/>
                      <w:snapToGrid w:val="0"/>
                      <w:color w:val="auto"/>
                      <w:kern w:val="2"/>
                      <w:sz w:val="21"/>
                      <w:szCs w:val="22"/>
                      <w:lang w:val="en-US" w:eastAsia="zh-CN" w:bidi="ar-SA"/>
                    </w:rPr>
                  </w:pPr>
                  <w:r>
                    <w:rPr>
                      <w:rFonts w:hint="default" w:ascii="Times New Roman" w:hAnsi="Times New Roman" w:eastAsia="Times New Roman" w:cs="Times New Roman"/>
                      <w:color w:val="auto"/>
                    </w:rPr>
                    <w:t>2500t</w:t>
                  </w:r>
                </w:p>
              </w:tc>
              <w:tc>
                <w:tcPr>
                  <w:tcW w:w="1660" w:type="dxa"/>
                  <w:tcBorders>
                    <w:tl2br w:val="nil"/>
                    <w:tr2bl w:val="nil"/>
                  </w:tcBorders>
                  <w:vAlign w:val="center"/>
                </w:tcPr>
                <w:p w14:paraId="51E1F37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0.000008</w:t>
                  </w:r>
                </w:p>
              </w:tc>
            </w:tr>
            <w:tr w14:paraId="345EB7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16" w:type="dxa"/>
                  <w:tcBorders>
                    <w:tl2br w:val="nil"/>
                    <w:tr2bl w:val="nil"/>
                  </w:tcBorders>
                  <w:vAlign w:val="center"/>
                </w:tcPr>
                <w:p w14:paraId="40B2A122">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2255" w:type="dxa"/>
                  <w:tcBorders>
                    <w:tl2br w:val="nil"/>
                    <w:tr2bl w:val="nil"/>
                  </w:tcBorders>
                  <w:shd w:val="clear" w:color="auto" w:fill="auto"/>
                  <w:vAlign w:val="center"/>
                </w:tcPr>
                <w:p w14:paraId="6E5988C8">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导热油</w:t>
                  </w:r>
                </w:p>
              </w:tc>
              <w:tc>
                <w:tcPr>
                  <w:tcW w:w="1867" w:type="dxa"/>
                  <w:tcBorders>
                    <w:tl2br w:val="nil"/>
                    <w:tr2bl w:val="nil"/>
                  </w:tcBorders>
                  <w:shd w:val="clear" w:color="auto" w:fill="auto"/>
                  <w:vAlign w:val="center"/>
                </w:tcPr>
                <w:p w14:paraId="1E640DE4">
                  <w:pPr>
                    <w:pStyle w:val="112"/>
                    <w:overflowPunct w:val="0"/>
                    <w:spacing w:before="59"/>
                    <w:jc w:val="center"/>
                    <w:rPr>
                      <w:rFonts w:hint="default" w:ascii="Times New Roman" w:hAnsi="Times New Roman" w:eastAsia="宋体" w:cs="Times New Roman"/>
                      <w:color w:val="auto"/>
                      <w:spacing w:val="-1"/>
                      <w:kern w:val="2"/>
                      <w:sz w:val="21"/>
                      <w:szCs w:val="22"/>
                      <w:lang w:val="en-US" w:eastAsia="zh-CN" w:bidi="zh-CN"/>
                    </w:rPr>
                  </w:pPr>
                  <w:r>
                    <w:rPr>
                      <w:rFonts w:hint="default" w:ascii="Times New Roman" w:hAnsi="Times New Roman" w:cs="Times New Roman"/>
                      <w:color w:val="auto"/>
                      <w:spacing w:val="-1"/>
                      <w:sz w:val="21"/>
                      <w:lang w:val="en-US" w:eastAsia="zh-CN"/>
                    </w:rPr>
                    <w:t>1.5</w:t>
                  </w:r>
                  <w:r>
                    <w:rPr>
                      <w:rFonts w:hint="default" w:ascii="Times New Roman" w:hAnsi="Times New Roman" w:eastAsia="Times New Roman" w:cs="Times New Roman"/>
                      <w:color w:val="auto"/>
                    </w:rPr>
                    <w:t>t</w:t>
                  </w:r>
                </w:p>
              </w:tc>
              <w:tc>
                <w:tcPr>
                  <w:tcW w:w="1974" w:type="dxa"/>
                  <w:tcBorders>
                    <w:tl2br w:val="nil"/>
                    <w:tr2bl w:val="nil"/>
                  </w:tcBorders>
                  <w:shd w:val="clear" w:color="auto" w:fill="auto"/>
                  <w:vAlign w:val="center"/>
                </w:tcPr>
                <w:p w14:paraId="5EFBB883">
                  <w:pPr>
                    <w:jc w:val="center"/>
                    <w:rPr>
                      <w:rFonts w:hint="default" w:ascii="Times New Roman" w:hAnsi="Times New Roman" w:eastAsia="Times New Roman" w:cs="Times New Roman"/>
                      <w:color w:val="auto"/>
                      <w:kern w:val="2"/>
                      <w:sz w:val="21"/>
                      <w:szCs w:val="22"/>
                      <w:lang w:val="en-US" w:eastAsia="zh-CN" w:bidi="ar-SA"/>
                    </w:rPr>
                  </w:pPr>
                  <w:r>
                    <w:rPr>
                      <w:rFonts w:hint="default" w:ascii="Times New Roman" w:hAnsi="Times New Roman" w:eastAsia="Times New Roman" w:cs="Times New Roman"/>
                      <w:color w:val="auto"/>
                    </w:rPr>
                    <w:t>2500t</w:t>
                  </w:r>
                </w:p>
              </w:tc>
              <w:tc>
                <w:tcPr>
                  <w:tcW w:w="1660" w:type="dxa"/>
                  <w:tcBorders>
                    <w:tl2br w:val="nil"/>
                    <w:tr2bl w:val="nil"/>
                  </w:tcBorders>
                  <w:vAlign w:val="center"/>
                </w:tcPr>
                <w:p w14:paraId="5825D9B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0.0006</w:t>
                  </w:r>
                </w:p>
              </w:tc>
            </w:tr>
            <w:tr w14:paraId="4EDE90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16" w:type="dxa"/>
                  <w:tcBorders>
                    <w:tl2br w:val="nil"/>
                    <w:tr2bl w:val="nil"/>
                  </w:tcBorders>
                  <w:vAlign w:val="center"/>
                </w:tcPr>
                <w:p w14:paraId="40127DD4">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w:t>
                  </w:r>
                </w:p>
              </w:tc>
              <w:tc>
                <w:tcPr>
                  <w:tcW w:w="2255" w:type="dxa"/>
                  <w:tcBorders>
                    <w:tl2br w:val="nil"/>
                    <w:tr2bl w:val="nil"/>
                  </w:tcBorders>
                  <w:shd w:val="clear" w:color="auto" w:fill="auto"/>
                  <w:vAlign w:val="center"/>
                </w:tcPr>
                <w:p w14:paraId="05680141">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轻质油</w:t>
                  </w:r>
                </w:p>
              </w:tc>
              <w:tc>
                <w:tcPr>
                  <w:tcW w:w="1867" w:type="dxa"/>
                  <w:tcBorders>
                    <w:tl2br w:val="nil"/>
                    <w:tr2bl w:val="nil"/>
                  </w:tcBorders>
                  <w:shd w:val="clear" w:color="auto" w:fill="auto"/>
                  <w:vAlign w:val="center"/>
                </w:tcPr>
                <w:p w14:paraId="2E199FE3">
                  <w:pPr>
                    <w:pStyle w:val="112"/>
                    <w:overflowPunct w:val="0"/>
                    <w:spacing w:before="59"/>
                    <w:jc w:val="center"/>
                    <w:rPr>
                      <w:rFonts w:hint="default" w:ascii="Times New Roman" w:hAnsi="Times New Roman" w:eastAsia="宋体" w:cs="Times New Roman"/>
                      <w:color w:val="auto"/>
                      <w:spacing w:val="-1"/>
                      <w:kern w:val="2"/>
                      <w:sz w:val="21"/>
                      <w:szCs w:val="22"/>
                      <w:lang w:val="en-US" w:eastAsia="zh-CN" w:bidi="zh-CN"/>
                    </w:rPr>
                  </w:pPr>
                  <w:r>
                    <w:rPr>
                      <w:rFonts w:hint="default" w:ascii="Times New Roman" w:hAnsi="Times New Roman" w:cs="Times New Roman"/>
                      <w:color w:val="auto"/>
                      <w:spacing w:val="-1"/>
                      <w:sz w:val="21"/>
                      <w:lang w:val="en-US" w:eastAsia="zh-CN"/>
                    </w:rPr>
                    <w:t>30</w:t>
                  </w:r>
                  <w:r>
                    <w:rPr>
                      <w:rFonts w:hint="default" w:ascii="Times New Roman" w:hAnsi="Times New Roman" w:eastAsia="Times New Roman" w:cs="Times New Roman"/>
                      <w:color w:val="auto"/>
                    </w:rPr>
                    <w:t>t</w:t>
                  </w:r>
                </w:p>
              </w:tc>
              <w:tc>
                <w:tcPr>
                  <w:tcW w:w="1974" w:type="dxa"/>
                  <w:tcBorders>
                    <w:tl2br w:val="nil"/>
                    <w:tr2bl w:val="nil"/>
                  </w:tcBorders>
                  <w:shd w:val="clear" w:color="auto" w:fill="auto"/>
                  <w:vAlign w:val="center"/>
                </w:tcPr>
                <w:p w14:paraId="3551F73F">
                  <w:pPr>
                    <w:jc w:val="center"/>
                    <w:rPr>
                      <w:rFonts w:hint="default" w:ascii="Times New Roman" w:hAnsi="Times New Roman" w:eastAsia="Times New Roman" w:cs="Times New Roman"/>
                      <w:color w:val="auto"/>
                      <w:kern w:val="2"/>
                      <w:sz w:val="21"/>
                      <w:szCs w:val="22"/>
                      <w:lang w:val="en-US" w:eastAsia="zh-CN" w:bidi="ar-SA"/>
                    </w:rPr>
                  </w:pPr>
                  <w:r>
                    <w:rPr>
                      <w:rFonts w:hint="default" w:ascii="Times New Roman" w:hAnsi="Times New Roman" w:eastAsia="Times New Roman" w:cs="Times New Roman"/>
                      <w:color w:val="auto"/>
                    </w:rPr>
                    <w:t>2500t</w:t>
                  </w:r>
                </w:p>
              </w:tc>
              <w:tc>
                <w:tcPr>
                  <w:tcW w:w="1660" w:type="dxa"/>
                  <w:tcBorders>
                    <w:tl2br w:val="nil"/>
                    <w:tr2bl w:val="nil"/>
                  </w:tcBorders>
                  <w:vAlign w:val="center"/>
                </w:tcPr>
                <w:p w14:paraId="01E9CDC1">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0.012</w:t>
                  </w:r>
                </w:p>
              </w:tc>
            </w:tr>
            <w:tr w14:paraId="62210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12" w:type="dxa"/>
                  <w:gridSpan w:val="4"/>
                  <w:tcBorders>
                    <w:tl2br w:val="nil"/>
                    <w:tr2bl w:val="nil"/>
                  </w:tcBorders>
                </w:tcPr>
                <w:p w14:paraId="04CE99DC">
                  <w:pPr>
                    <w:jc w:val="center"/>
                    <w:rPr>
                      <w:rFonts w:hint="default" w:ascii="Times New Roman" w:hAnsi="Times New Roman" w:cs="Times New Roman"/>
                      <w:color w:val="auto"/>
                      <w:szCs w:val="21"/>
                    </w:rPr>
                  </w:pPr>
                  <w:r>
                    <w:rPr>
                      <w:rFonts w:hint="default" w:ascii="Times New Roman" w:hAnsi="Times New Roman" w:cs="Times New Roman"/>
                      <w:color w:val="auto"/>
                      <w:szCs w:val="21"/>
                    </w:rPr>
                    <w:t>合计</w:t>
                  </w:r>
                </w:p>
              </w:tc>
              <w:tc>
                <w:tcPr>
                  <w:tcW w:w="1660" w:type="dxa"/>
                  <w:tcBorders>
                    <w:tl2br w:val="nil"/>
                    <w:tr2bl w:val="nil"/>
                  </w:tcBorders>
                  <w:shd w:val="clear" w:color="auto" w:fill="auto"/>
                  <w:vAlign w:val="center"/>
                </w:tcPr>
                <w:p w14:paraId="4E8EF93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0.012608</w:t>
                  </w:r>
                </w:p>
              </w:tc>
            </w:tr>
          </w:tbl>
          <w:p w14:paraId="68AFCF6A">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由上表可知，本项目危险物质数量与临界量比值（Q）小于1，环境风险潜势为I。</w:t>
            </w:r>
          </w:p>
          <w:p w14:paraId="322B887F">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（3）评价等级</w:t>
            </w:r>
          </w:p>
          <w:p w14:paraId="7E94362E">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根据建设项目涉及的物质及工艺系统危险性和所在地的环境敏感性确定环境风险潜势，按照</w:t>
            </w:r>
            <w:r>
              <w:rPr>
                <w:rFonts w:hint="default" w:ascii="Times New Roman" w:hAnsi="Times New Roman" w:cs="Times New Roman"/>
                <w:color w:val="auto"/>
                <w:sz w:val="24"/>
                <w:szCs w:val="24"/>
                <w:lang w:val="en-US" w:eastAsia="zh-CN"/>
              </w:rPr>
              <w:t>下表</w:t>
            </w:r>
            <w:r>
              <w:rPr>
                <w:rFonts w:hint="default" w:ascii="Times New Roman" w:hAnsi="Times New Roman" w:cs="Times New Roman"/>
                <w:color w:val="auto"/>
                <w:sz w:val="24"/>
                <w:szCs w:val="24"/>
              </w:rPr>
              <w:t>确定评价工作等级。</w:t>
            </w:r>
          </w:p>
          <w:p w14:paraId="206D00F3">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lang w:val="en-US" w:eastAsia="zh-CN" w:bidi="ar-SA"/>
              </w:rPr>
            </w:pPr>
            <w:r>
              <w:rPr>
                <w:rFonts w:hint="default" w:ascii="Times New Roman" w:hAnsi="Times New Roman" w:eastAsia="黑体" w:cs="Times New Roman"/>
                <w:b/>
                <w:bCs/>
                <w:color w:val="auto"/>
                <w:kern w:val="0"/>
                <w:sz w:val="20"/>
                <w:szCs w:val="20"/>
                <w:lang w:val="en-US" w:eastAsia="zh-CN" w:bidi="ar-SA"/>
              </w:rPr>
              <w:t>表4-29 环境风险评价工作等级划分</w:t>
            </w:r>
          </w:p>
          <w:tbl>
            <w:tblPr>
              <w:tblStyle w:val="29"/>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1743"/>
              <w:gridCol w:w="1743"/>
              <w:gridCol w:w="1745"/>
              <w:gridCol w:w="1745"/>
            </w:tblGrid>
            <w:tr w14:paraId="642DFA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4" w:type="dxa"/>
                  <w:tcBorders>
                    <w:tl2br w:val="nil"/>
                    <w:tr2bl w:val="nil"/>
                  </w:tcBorders>
                  <w:shd w:val="clear" w:color="auto" w:fill="auto"/>
                  <w:vAlign w:val="center"/>
                </w:tcPr>
                <w:p w14:paraId="10A34133">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环境风险潜势</w:t>
                  </w:r>
                </w:p>
              </w:tc>
              <w:tc>
                <w:tcPr>
                  <w:tcW w:w="1734" w:type="dxa"/>
                  <w:tcBorders>
                    <w:tl2br w:val="nil"/>
                    <w:tr2bl w:val="nil"/>
                  </w:tcBorders>
                  <w:shd w:val="clear" w:color="auto" w:fill="auto"/>
                  <w:vAlign w:val="center"/>
                </w:tcPr>
                <w:p w14:paraId="38AD9527">
                  <w:pPr>
                    <w:jc w:val="center"/>
                    <w:rPr>
                      <w:rFonts w:hint="default" w:ascii="Times New Roman" w:hAnsi="Times New Roman" w:cs="Times New Roman"/>
                      <w:color w:val="auto"/>
                      <w:szCs w:val="21"/>
                    </w:rPr>
                  </w:pPr>
                  <w:r>
                    <w:rPr>
                      <w:rFonts w:hint="default" w:ascii="Times New Roman" w:hAnsi="Times New Roman" w:cs="Times New Roman"/>
                      <w:color w:val="auto"/>
                      <w:szCs w:val="21"/>
                    </w:rPr>
                    <w:t>IV、IV</w:t>
                  </w:r>
                  <w:r>
                    <w:rPr>
                      <w:rFonts w:hint="default" w:ascii="Times New Roman" w:hAnsi="Times New Roman" w:cs="Times New Roman"/>
                      <w:color w:val="auto"/>
                      <w:szCs w:val="21"/>
                      <w:vertAlign w:val="superscript"/>
                    </w:rPr>
                    <w:t>+</w:t>
                  </w:r>
                </w:p>
              </w:tc>
              <w:tc>
                <w:tcPr>
                  <w:tcW w:w="1734" w:type="dxa"/>
                  <w:tcBorders>
                    <w:tl2br w:val="nil"/>
                    <w:tr2bl w:val="nil"/>
                  </w:tcBorders>
                  <w:shd w:val="clear" w:color="auto" w:fill="auto"/>
                  <w:vAlign w:val="center"/>
                </w:tcPr>
                <w:p w14:paraId="55775BF8">
                  <w:pPr>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Ⅲ</w:t>
                  </w:r>
                </w:p>
              </w:tc>
              <w:tc>
                <w:tcPr>
                  <w:tcW w:w="1735" w:type="dxa"/>
                  <w:tcBorders>
                    <w:tl2br w:val="nil"/>
                    <w:tr2bl w:val="nil"/>
                  </w:tcBorders>
                  <w:shd w:val="clear" w:color="auto" w:fill="auto"/>
                  <w:vAlign w:val="center"/>
                </w:tcPr>
                <w:p w14:paraId="76C8BBD6">
                  <w:pPr>
                    <w:jc w:val="center"/>
                    <w:rPr>
                      <w:rFonts w:hint="default" w:ascii="Times New Roman" w:hAnsi="Times New Roman" w:cs="Times New Roman"/>
                      <w:color w:val="auto"/>
                      <w:szCs w:val="21"/>
                    </w:rPr>
                  </w:pPr>
                  <w:r>
                    <w:rPr>
                      <w:rFonts w:hint="default" w:ascii="Times New Roman" w:hAnsi="Times New Roman" w:cs="Times New Roman"/>
                      <w:color w:val="auto"/>
                      <w:szCs w:val="21"/>
                    </w:rPr>
                    <w:t>II</w:t>
                  </w:r>
                </w:p>
              </w:tc>
              <w:tc>
                <w:tcPr>
                  <w:tcW w:w="1735" w:type="dxa"/>
                  <w:tcBorders>
                    <w:tl2br w:val="nil"/>
                    <w:tr2bl w:val="nil"/>
                  </w:tcBorders>
                  <w:shd w:val="clear" w:color="auto" w:fill="auto"/>
                  <w:vAlign w:val="center"/>
                </w:tcPr>
                <w:p w14:paraId="4FE4967E">
                  <w:pPr>
                    <w:jc w:val="center"/>
                    <w:rPr>
                      <w:rFonts w:hint="default" w:ascii="Times New Roman" w:hAnsi="Times New Roman" w:cs="Times New Roman"/>
                      <w:color w:val="auto"/>
                      <w:szCs w:val="21"/>
                    </w:rPr>
                  </w:pPr>
                  <w:r>
                    <w:rPr>
                      <w:rFonts w:hint="default" w:ascii="Times New Roman" w:hAnsi="Times New Roman" w:cs="Times New Roman"/>
                      <w:color w:val="auto"/>
                      <w:szCs w:val="21"/>
                    </w:rPr>
                    <w:t>I</w:t>
                  </w:r>
                </w:p>
              </w:tc>
            </w:tr>
            <w:tr w14:paraId="5D01D8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4" w:type="dxa"/>
                  <w:tcBorders>
                    <w:tl2br w:val="nil"/>
                    <w:tr2bl w:val="nil"/>
                  </w:tcBorders>
                  <w:shd w:val="clear" w:color="auto" w:fill="auto"/>
                  <w:vAlign w:val="center"/>
                </w:tcPr>
                <w:p w14:paraId="6A8B2580">
                  <w:pPr>
                    <w:jc w:val="center"/>
                    <w:rPr>
                      <w:rFonts w:hint="default" w:ascii="Times New Roman" w:hAnsi="Times New Roman" w:cs="Times New Roman"/>
                      <w:color w:val="auto"/>
                      <w:szCs w:val="21"/>
                    </w:rPr>
                  </w:pPr>
                  <w:r>
                    <w:rPr>
                      <w:rFonts w:hint="default" w:ascii="Times New Roman" w:hAnsi="Times New Roman" w:cs="Times New Roman"/>
                      <w:color w:val="auto"/>
                      <w:szCs w:val="21"/>
                    </w:rPr>
                    <w:t>评价工作等级</w:t>
                  </w:r>
                </w:p>
              </w:tc>
              <w:tc>
                <w:tcPr>
                  <w:tcW w:w="1734" w:type="dxa"/>
                  <w:tcBorders>
                    <w:tl2br w:val="nil"/>
                    <w:tr2bl w:val="nil"/>
                  </w:tcBorders>
                  <w:shd w:val="clear" w:color="auto" w:fill="auto"/>
                  <w:vAlign w:val="center"/>
                </w:tcPr>
                <w:p w14:paraId="66DD90E9">
                  <w:pPr>
                    <w:jc w:val="center"/>
                    <w:rPr>
                      <w:rFonts w:hint="default" w:ascii="Times New Roman" w:hAnsi="Times New Roman" w:cs="Times New Roman"/>
                      <w:color w:val="auto"/>
                      <w:szCs w:val="21"/>
                    </w:rPr>
                  </w:pPr>
                  <w:r>
                    <w:rPr>
                      <w:rFonts w:hint="default" w:ascii="Times New Roman" w:hAnsi="Times New Roman" w:cs="Times New Roman"/>
                      <w:color w:val="auto"/>
                      <w:szCs w:val="21"/>
                    </w:rPr>
                    <w:t>一</w:t>
                  </w:r>
                </w:p>
              </w:tc>
              <w:tc>
                <w:tcPr>
                  <w:tcW w:w="1734" w:type="dxa"/>
                  <w:tcBorders>
                    <w:tl2br w:val="nil"/>
                    <w:tr2bl w:val="nil"/>
                  </w:tcBorders>
                  <w:shd w:val="clear" w:color="auto" w:fill="auto"/>
                  <w:vAlign w:val="center"/>
                </w:tcPr>
                <w:p w14:paraId="04C0E368">
                  <w:pPr>
                    <w:jc w:val="center"/>
                    <w:rPr>
                      <w:rFonts w:hint="default" w:ascii="Times New Roman" w:hAnsi="Times New Roman" w:cs="Times New Roman"/>
                      <w:color w:val="auto"/>
                      <w:szCs w:val="21"/>
                    </w:rPr>
                  </w:pPr>
                  <w:r>
                    <w:rPr>
                      <w:rFonts w:hint="default" w:ascii="Times New Roman" w:hAnsi="Times New Roman" w:cs="Times New Roman"/>
                      <w:color w:val="auto"/>
                      <w:szCs w:val="21"/>
                    </w:rPr>
                    <w:t>二</w:t>
                  </w:r>
                </w:p>
              </w:tc>
              <w:tc>
                <w:tcPr>
                  <w:tcW w:w="1735" w:type="dxa"/>
                  <w:tcBorders>
                    <w:tl2br w:val="nil"/>
                    <w:tr2bl w:val="nil"/>
                  </w:tcBorders>
                  <w:shd w:val="clear" w:color="auto" w:fill="auto"/>
                  <w:vAlign w:val="center"/>
                </w:tcPr>
                <w:p w14:paraId="7E84B9C4">
                  <w:pPr>
                    <w:jc w:val="center"/>
                    <w:rPr>
                      <w:rFonts w:hint="default" w:ascii="Times New Roman" w:hAnsi="Times New Roman" w:cs="Times New Roman"/>
                      <w:color w:val="auto"/>
                      <w:szCs w:val="21"/>
                    </w:rPr>
                  </w:pPr>
                  <w:r>
                    <w:rPr>
                      <w:rFonts w:hint="default" w:ascii="Times New Roman" w:hAnsi="Times New Roman" w:cs="Times New Roman"/>
                      <w:color w:val="auto"/>
                      <w:szCs w:val="21"/>
                    </w:rPr>
                    <w:t>三</w:t>
                  </w:r>
                </w:p>
              </w:tc>
              <w:tc>
                <w:tcPr>
                  <w:tcW w:w="1735" w:type="dxa"/>
                  <w:tcBorders>
                    <w:tl2br w:val="nil"/>
                    <w:tr2bl w:val="nil"/>
                  </w:tcBorders>
                  <w:shd w:val="clear" w:color="auto" w:fill="auto"/>
                  <w:vAlign w:val="center"/>
                </w:tcPr>
                <w:p w14:paraId="0F53F53E">
                  <w:pPr>
                    <w:jc w:val="center"/>
                    <w:rPr>
                      <w:rFonts w:hint="default" w:ascii="Times New Roman" w:hAnsi="Times New Roman" w:cs="Times New Roman"/>
                      <w:color w:val="auto"/>
                      <w:szCs w:val="21"/>
                    </w:rPr>
                  </w:pPr>
                  <w:r>
                    <w:rPr>
                      <w:rFonts w:hint="default" w:ascii="Times New Roman" w:hAnsi="Times New Roman" w:cs="Times New Roman"/>
                      <w:color w:val="auto"/>
                      <w:szCs w:val="21"/>
                    </w:rPr>
                    <w:t>简单分析</w:t>
                  </w:r>
                </w:p>
              </w:tc>
            </w:tr>
          </w:tbl>
          <w:p w14:paraId="0503380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本项目环境风险潜势为I，根据上述判定依据，确定本次环评仅开展简单分析。</w:t>
            </w:r>
          </w:p>
          <w:p w14:paraId="7A9ED094">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（4）环境风险识别</w:t>
            </w:r>
          </w:p>
          <w:p w14:paraId="4320BBE3">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①废气治理设施运行故障</w:t>
            </w:r>
          </w:p>
          <w:p w14:paraId="21E6AB3E">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废气处理设施正常运行时，可以保证废气达标排放。当废气处理设施发生故障时，会造成未达标处理的废气直接排入大气中，造成生气环境污染。导致废气治理设施运行故障的原因主要有：设备故障、电力系统故障、人员操作失误等。</w:t>
            </w:r>
          </w:p>
          <w:p w14:paraId="32F5528C">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废机油</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机油、</w:t>
            </w:r>
            <w:r>
              <w:rPr>
                <w:rFonts w:hint="default" w:ascii="Times New Roman" w:hAnsi="Times New Roman" w:cs="Times New Roman"/>
                <w:color w:val="auto"/>
                <w:sz w:val="24"/>
                <w:szCs w:val="24"/>
              </w:rPr>
              <w:t>导热油</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轻质油</w:t>
            </w:r>
            <w:r>
              <w:rPr>
                <w:rFonts w:hint="default" w:ascii="Times New Roman" w:hAnsi="Times New Roman" w:cs="Times New Roman"/>
                <w:color w:val="auto"/>
                <w:sz w:val="24"/>
                <w:szCs w:val="24"/>
              </w:rPr>
              <w:t>泄漏污染环境。</w:t>
            </w:r>
          </w:p>
          <w:p w14:paraId="338BEEF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rPr>
              <w:t>危废间管理风险。</w:t>
            </w:r>
          </w:p>
          <w:p w14:paraId="439204F9">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④火灾事故风险</w:t>
            </w:r>
            <w:r>
              <w:rPr>
                <w:rFonts w:hint="default" w:ascii="Times New Roman" w:hAnsi="Times New Roman" w:cs="Times New Roman"/>
                <w:color w:val="auto"/>
                <w:sz w:val="24"/>
                <w:szCs w:val="24"/>
              </w:rPr>
              <w:t>。</w:t>
            </w:r>
          </w:p>
          <w:p w14:paraId="672C511F">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（5）环境风险分析</w:t>
            </w:r>
          </w:p>
          <w:p w14:paraId="663B9E7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①废气处理系统事故风险</w:t>
            </w:r>
          </w:p>
          <w:p w14:paraId="76983C9A">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废气处理设施发生故障导致废气直接排放时，会影响项目周边的大气环境质量。</w:t>
            </w:r>
          </w:p>
          <w:p w14:paraId="24DBA149">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废机油</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机油、</w:t>
            </w:r>
            <w:r>
              <w:rPr>
                <w:rFonts w:hint="default" w:ascii="Times New Roman" w:hAnsi="Times New Roman" w:cs="Times New Roman"/>
                <w:color w:val="auto"/>
                <w:sz w:val="24"/>
                <w:szCs w:val="24"/>
              </w:rPr>
              <w:t>导热油</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轻质油</w:t>
            </w:r>
            <w:r>
              <w:rPr>
                <w:rFonts w:hint="default" w:ascii="Times New Roman" w:hAnsi="Times New Roman" w:cs="Times New Roman"/>
                <w:color w:val="auto"/>
                <w:sz w:val="24"/>
                <w:szCs w:val="24"/>
              </w:rPr>
              <w:t>泄漏风险</w:t>
            </w:r>
          </w:p>
          <w:p w14:paraId="6B0207C4">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废机油</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机油、</w:t>
            </w:r>
            <w:r>
              <w:rPr>
                <w:rFonts w:hint="default" w:ascii="Times New Roman" w:hAnsi="Times New Roman" w:cs="Times New Roman"/>
                <w:color w:val="auto"/>
                <w:sz w:val="24"/>
                <w:szCs w:val="24"/>
              </w:rPr>
              <w:t>导热油</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轻质油</w:t>
            </w:r>
            <w:r>
              <w:rPr>
                <w:rFonts w:hint="default" w:ascii="Times New Roman" w:hAnsi="Times New Roman" w:cs="Times New Roman"/>
                <w:color w:val="auto"/>
                <w:sz w:val="24"/>
                <w:szCs w:val="24"/>
              </w:rPr>
              <w:t>储存设施破损引起泄漏，全部进入环境，有害物质挥发进入大气环境，对河流、土壤、生物等造成污染，尤其对水体和土壤环境的影响将是一个相当长的过程，被污染的水体和土壤中的各种生物及植被将全部死亡，这种污染一般是范围较广，面积较大、后果较为严重，达到自然环境的完全恢复需要相当长的时间。</w:t>
            </w:r>
          </w:p>
          <w:p w14:paraId="192B280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rPr>
              <w:t>危废间管理风险</w:t>
            </w:r>
          </w:p>
          <w:p w14:paraId="51F473CB">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危废间防渗层破损或破裂，且在收集和转运过程中若管理不当，容易导致危险废物渗漏和洒落至地面，并可能进入地表及地下水体，对土壤和水环境造成污染。</w:t>
            </w:r>
          </w:p>
          <w:p w14:paraId="5A41B34E">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④火灾事故风险</w:t>
            </w:r>
          </w:p>
          <w:p w14:paraId="4F20D745">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在设备运营过程中管理不当，容易导致火灾的发生，导致柴油罐区及沥青罐区的燃烧，会产生废气，对大气环境造成污染。</w:t>
            </w:r>
          </w:p>
          <w:p w14:paraId="0522B1C4">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（6）环境风险防范措施及应急措施</w:t>
            </w:r>
          </w:p>
          <w:p w14:paraId="0A18741F">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①废气处理设施事故防范及应急措施</w:t>
            </w:r>
          </w:p>
          <w:p w14:paraId="279E03A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项目环保方面的负责部门对废气处理装置定期巡查，编制《废气处理设施运行巡查制度》；当设备出现异常时，应立即停止相关车间的生产，并通知设备部对废气处理装置进行检修，正常后方可开启工作。</w:t>
            </w:r>
          </w:p>
          <w:p w14:paraId="7D22D89C">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废机油</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机油、</w:t>
            </w:r>
            <w:r>
              <w:rPr>
                <w:rFonts w:hint="default" w:ascii="Times New Roman" w:hAnsi="Times New Roman" w:cs="Times New Roman"/>
                <w:color w:val="auto"/>
                <w:sz w:val="24"/>
                <w:szCs w:val="24"/>
              </w:rPr>
              <w:t>导热油</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轻质油</w:t>
            </w:r>
            <w:r>
              <w:rPr>
                <w:rFonts w:hint="default" w:ascii="Times New Roman" w:hAnsi="Times New Roman" w:cs="Times New Roman"/>
                <w:color w:val="auto"/>
                <w:sz w:val="24"/>
                <w:szCs w:val="24"/>
              </w:rPr>
              <w:t>泄漏风险防范措施</w:t>
            </w:r>
          </w:p>
          <w:p w14:paraId="2190F5BC">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1）根据泄漏物质的性质，毒性和特点，确定使用堵塞该污染物的材料，同时修补容器或存储设施的泄漏口，以防污染物更多地泄漏。</w:t>
            </w:r>
          </w:p>
          <w:p w14:paraId="5A9EC8D1">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2）利用能够降低污染物危害的物质撒在泄漏口周围，将泄漏口与外部隔绝开，及时截断污染物外流造成污染。</w:t>
            </w:r>
          </w:p>
          <w:p w14:paraId="46D1180E">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3）保持现场通风良好，以免造成现场有毒气体浓度过高，对应急人员构成危险。</w:t>
            </w:r>
          </w:p>
          <w:p w14:paraId="07C14CA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4）疏散人员至安全区，禁止无关人员进入污染区；切断电源、火源；在确保安全情况下堵漏喷水雾可减少蒸发。</w:t>
            </w:r>
          </w:p>
          <w:p w14:paraId="1B878F7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5）少量泄漏时，用吸油棉等吸收后收集于干燥洁净有盖的容器中，运至废物处理场所；大量泄漏时利用围堤收容，然后收集、转移、回收或作无害化处理。</w:t>
            </w:r>
          </w:p>
          <w:p w14:paraId="160C6D9A">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6）发生火灾后，迅速撤离人员至安全区，用泡沫、二氧化碳、干粉灭火器和沙土灭火。应在上风向灭火，不要用水灭火。</w:t>
            </w:r>
          </w:p>
          <w:p w14:paraId="7E8A330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③</w:t>
            </w:r>
            <w:r>
              <w:rPr>
                <w:rFonts w:hint="default" w:ascii="Times New Roman" w:hAnsi="Times New Roman" w:cs="Times New Roman"/>
                <w:color w:val="auto"/>
                <w:sz w:val="24"/>
                <w:szCs w:val="24"/>
              </w:rPr>
              <w:t>危废间管理风险应急措施</w:t>
            </w:r>
          </w:p>
          <w:p w14:paraId="3A92A42B">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1）严格按照《危险废物贮存污染控制标准》（GB18597-2023）的要求设置危险废物暂存间。</w:t>
            </w:r>
          </w:p>
          <w:p w14:paraId="10C233C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2）发现危废间防渗措施破损后，通知企业相关人员及时进行修补。</w:t>
            </w:r>
          </w:p>
          <w:p w14:paraId="1C56F9F9">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3）储存废机油</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机油、</w:t>
            </w:r>
            <w:r>
              <w:rPr>
                <w:rFonts w:hint="default" w:ascii="Times New Roman" w:hAnsi="Times New Roman" w:cs="Times New Roman"/>
                <w:color w:val="auto"/>
                <w:sz w:val="24"/>
                <w:szCs w:val="24"/>
              </w:rPr>
              <w:t>导热油的容器发生破损后，将泄漏的废机油</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机油、</w:t>
            </w:r>
            <w:r>
              <w:rPr>
                <w:rFonts w:hint="default" w:ascii="Times New Roman" w:hAnsi="Times New Roman" w:cs="Times New Roman"/>
                <w:color w:val="auto"/>
                <w:sz w:val="24"/>
                <w:szCs w:val="24"/>
              </w:rPr>
              <w:t>导热油在防渗托盘内进行收集，并将破损容器内剩余的废机油进行转移，避免出现更大的泄漏。</w:t>
            </w:r>
          </w:p>
          <w:p w14:paraId="5847F03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④</w:t>
            </w:r>
            <w:r>
              <w:rPr>
                <w:rFonts w:hint="default" w:ascii="Times New Roman" w:hAnsi="Times New Roman" w:cs="Times New Roman"/>
                <w:color w:val="auto"/>
                <w:sz w:val="24"/>
                <w:szCs w:val="24"/>
              </w:rPr>
              <w:t>火灾应急防范措施</w:t>
            </w:r>
          </w:p>
          <w:p w14:paraId="76178F34">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1）加强企业管理，可有效避免环境风险事故的发生。</w:t>
            </w:r>
          </w:p>
          <w:p w14:paraId="6A6AB2C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2）成立事故应急小组，建立应急预案，组织训练单位的灾害事故应急救援队伍，配备必要的防护救援器材和设备，指定专人管理，并定期进行检查和维护保养，确保完好。</w:t>
            </w:r>
          </w:p>
          <w:p w14:paraId="3EFB0A98">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3）加强各相关部门之间的联络，一旦出现环境风险事故，可迅速</w:t>
            </w:r>
            <w:r>
              <w:rPr>
                <w:rFonts w:hint="default" w:ascii="Times New Roman" w:hAnsi="Times New Roman" w:cs="Times New Roman"/>
                <w:color w:val="auto"/>
                <w:sz w:val="24"/>
                <w:szCs w:val="24"/>
                <w:lang w:eastAsia="zh-CN"/>
              </w:rPr>
              <w:t>作出反应</w:t>
            </w:r>
            <w:r>
              <w:rPr>
                <w:rFonts w:hint="default" w:ascii="Times New Roman" w:hAnsi="Times New Roman" w:cs="Times New Roman"/>
                <w:color w:val="auto"/>
                <w:sz w:val="24"/>
                <w:szCs w:val="24"/>
              </w:rPr>
              <w:t>。</w:t>
            </w:r>
          </w:p>
          <w:p w14:paraId="7B869CE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4）人员培训与演习：应急计划</w:t>
            </w:r>
            <w:r>
              <w:rPr>
                <w:rFonts w:hint="eastAsia" w:cs="Times New Roman"/>
                <w:color w:val="auto"/>
                <w:sz w:val="24"/>
                <w:szCs w:val="24"/>
                <w:lang w:eastAsia="zh-CN"/>
              </w:rPr>
              <w:t>制定</w:t>
            </w:r>
            <w:r>
              <w:rPr>
                <w:rFonts w:hint="default" w:ascii="Times New Roman" w:hAnsi="Times New Roman" w:cs="Times New Roman"/>
                <w:color w:val="auto"/>
                <w:sz w:val="24"/>
                <w:szCs w:val="24"/>
              </w:rPr>
              <w:t>以后，平时安排有关人员培训与演习。</w:t>
            </w:r>
          </w:p>
          <w:p w14:paraId="41F1AA9D">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5）配备相关应急设施、设备、器材与材料。</w:t>
            </w:r>
          </w:p>
          <w:p w14:paraId="773763C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6）编制环境风险事故应急预案，及时进行修订，并向所在地环境保护主管部门备案。</w:t>
            </w:r>
          </w:p>
          <w:p w14:paraId="0884B7C9">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综上所述，项目方在采取一定的防范措施后，其生产对外界的风险影响不大，可满足环境风险的要求。</w:t>
            </w:r>
          </w:p>
          <w:p w14:paraId="590792D6">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⑤风险事故应急预案</w:t>
            </w:r>
          </w:p>
          <w:p w14:paraId="6A08CACB">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保证企业及人民生命财产安全，防止突发性重大环境事故发生，或在发生事故时能迅速有序地开展救援工作，尽最大努力减少事故的危害和损失。根据《工作场所安全使用化学品规定》和《化学事故应急救援管理办法》的规定，企业必须制定化学事故应急救援预案和实施细则，并组织专业队伍学习和演练，防患于未然，以便应急救援工作的顺利开展。制定应急预案的原则如下：</w:t>
            </w:r>
          </w:p>
          <w:p w14:paraId="10829BFD">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1）确定救援组织、队伍和联络方式；</w:t>
            </w:r>
          </w:p>
          <w:p w14:paraId="5B79B5A1">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2）制定事故类型、等级和相应的应急响应程序；</w:t>
            </w:r>
          </w:p>
          <w:p w14:paraId="67478D81">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3）配备必要的救灾防毒器具及防护用品；</w:t>
            </w:r>
          </w:p>
          <w:p w14:paraId="5797DDA9">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4）对生产系统制定应急状态切断终止或自动报警</w:t>
            </w:r>
            <w:r>
              <w:rPr>
                <w:rFonts w:hint="default" w:ascii="Times New Roman" w:hAnsi="Times New Roman" w:cs="Times New Roman"/>
                <w:color w:val="auto"/>
                <w:sz w:val="24"/>
                <w:szCs w:val="24"/>
                <w:lang w:eastAsia="zh-CN"/>
              </w:rPr>
              <w:t>联锁</w:t>
            </w:r>
            <w:r>
              <w:rPr>
                <w:rFonts w:hint="default" w:ascii="Times New Roman" w:hAnsi="Times New Roman" w:cs="Times New Roman"/>
                <w:color w:val="auto"/>
                <w:sz w:val="24"/>
                <w:szCs w:val="24"/>
              </w:rPr>
              <w:t>保护程序；</w:t>
            </w:r>
          </w:p>
          <w:p w14:paraId="5DCF94B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5）岗位培训和演习，设置事故</w:t>
            </w:r>
            <w:r>
              <w:rPr>
                <w:rFonts w:hint="default" w:ascii="Times New Roman" w:hAnsi="Times New Roman" w:cs="Times New Roman"/>
                <w:color w:val="auto"/>
                <w:sz w:val="24"/>
                <w:szCs w:val="24"/>
                <w:lang w:eastAsia="zh-CN"/>
              </w:rPr>
              <w:t>应急演习</w:t>
            </w:r>
            <w:r>
              <w:rPr>
                <w:rFonts w:hint="default" w:ascii="Times New Roman" w:hAnsi="Times New Roman" w:cs="Times New Roman"/>
                <w:color w:val="auto"/>
                <w:sz w:val="24"/>
                <w:szCs w:val="24"/>
              </w:rPr>
              <w:t>手册及报告、记录和评估；</w:t>
            </w:r>
          </w:p>
          <w:p w14:paraId="5D45D03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6）制定区域防灾救援方案，厂外受影响人群的疏散、撤离方案，与当地政府、消防、环保和医疗救助等部门加强联系，以便风险事故发生时得到及时救援。</w:t>
            </w:r>
          </w:p>
          <w:p w14:paraId="0EF7CA6C">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企业在制定环境风险应急预案时，还应包括</w:t>
            </w:r>
            <w:r>
              <w:rPr>
                <w:rFonts w:hint="default" w:ascii="Times New Roman" w:hAnsi="Times New Roman" w:cs="Times New Roman"/>
                <w:color w:val="auto"/>
                <w:sz w:val="24"/>
                <w:szCs w:val="24"/>
                <w:lang w:val="en-US" w:eastAsia="zh-CN"/>
              </w:rPr>
              <w:t>下表</w:t>
            </w:r>
            <w:r>
              <w:rPr>
                <w:rFonts w:hint="default" w:ascii="Times New Roman" w:hAnsi="Times New Roman" w:cs="Times New Roman"/>
                <w:color w:val="auto"/>
                <w:sz w:val="24"/>
                <w:szCs w:val="24"/>
              </w:rPr>
              <w:t>所示内容。</w:t>
            </w:r>
          </w:p>
          <w:p w14:paraId="06818E43">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lang w:val="en-US" w:eastAsia="zh-CN" w:bidi="ar-SA"/>
              </w:rPr>
            </w:pPr>
            <w:r>
              <w:rPr>
                <w:rFonts w:hint="default" w:ascii="Times New Roman" w:hAnsi="Times New Roman" w:eastAsia="黑体" w:cs="Times New Roman"/>
                <w:b/>
                <w:bCs/>
                <w:color w:val="auto"/>
                <w:kern w:val="0"/>
                <w:sz w:val="21"/>
                <w:szCs w:val="21"/>
                <w:highlight w:val="none"/>
                <w:lang w:val="en-US" w:eastAsia="zh-CN" w:bidi="ar-SA"/>
              </w:rPr>
              <w:t>表4-30</w:t>
            </w:r>
            <w:r>
              <w:rPr>
                <w:rFonts w:hint="default" w:ascii="Times New Roman" w:hAnsi="Times New Roman" w:eastAsia="黑体" w:cs="Times New Roman"/>
                <w:b/>
                <w:bCs/>
                <w:color w:val="auto"/>
                <w:kern w:val="0"/>
                <w:sz w:val="21"/>
                <w:szCs w:val="21"/>
                <w:lang w:val="en-US" w:eastAsia="zh-CN" w:bidi="ar-SA"/>
              </w:rPr>
              <w:t xml:space="preserve">  应急预案内容</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292"/>
              <w:gridCol w:w="5737"/>
            </w:tblGrid>
            <w:tr w14:paraId="4444D1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14:paraId="3E132D02">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2280" w:type="dxa"/>
                  <w:tcBorders>
                    <w:tl2br w:val="nil"/>
                    <w:tr2bl w:val="nil"/>
                  </w:tcBorders>
                  <w:vAlign w:val="center"/>
                </w:tcPr>
                <w:p w14:paraId="2B02FBE1">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项目</w:t>
                  </w:r>
                </w:p>
              </w:tc>
              <w:tc>
                <w:tcPr>
                  <w:tcW w:w="5706" w:type="dxa"/>
                  <w:tcBorders>
                    <w:tl2br w:val="nil"/>
                    <w:tr2bl w:val="nil"/>
                  </w:tcBorders>
                  <w:vAlign w:val="center"/>
                </w:tcPr>
                <w:p w14:paraId="0494FB68">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内容及要求</w:t>
                  </w:r>
                </w:p>
              </w:tc>
            </w:tr>
            <w:tr w14:paraId="79874F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14:paraId="21D59272">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2280" w:type="dxa"/>
                  <w:tcBorders>
                    <w:tl2br w:val="nil"/>
                    <w:tr2bl w:val="nil"/>
                  </w:tcBorders>
                  <w:vAlign w:val="center"/>
                </w:tcPr>
                <w:p w14:paraId="2B542A7C">
                  <w:pPr>
                    <w:rPr>
                      <w:rFonts w:hint="default" w:ascii="Times New Roman" w:hAnsi="Times New Roman" w:cs="Times New Roman"/>
                      <w:color w:val="auto"/>
                      <w:szCs w:val="21"/>
                    </w:rPr>
                  </w:pPr>
                  <w:r>
                    <w:rPr>
                      <w:rFonts w:hint="default" w:ascii="Times New Roman" w:hAnsi="Times New Roman" w:cs="Times New Roman"/>
                      <w:color w:val="auto"/>
                      <w:szCs w:val="21"/>
                    </w:rPr>
                    <w:t>应急计划区</w:t>
                  </w:r>
                </w:p>
              </w:tc>
              <w:tc>
                <w:tcPr>
                  <w:tcW w:w="5706" w:type="dxa"/>
                  <w:tcBorders>
                    <w:tl2br w:val="nil"/>
                    <w:tr2bl w:val="nil"/>
                  </w:tcBorders>
                  <w:vAlign w:val="center"/>
                </w:tcPr>
                <w:p w14:paraId="5F639560">
                  <w:pPr>
                    <w:rPr>
                      <w:rFonts w:hint="default" w:ascii="Times New Roman" w:hAnsi="Times New Roman" w:cs="Times New Roman"/>
                      <w:color w:val="auto"/>
                      <w:szCs w:val="21"/>
                    </w:rPr>
                  </w:pPr>
                  <w:r>
                    <w:rPr>
                      <w:rFonts w:hint="default" w:ascii="Times New Roman" w:hAnsi="Times New Roman" w:cs="Times New Roman"/>
                      <w:color w:val="auto"/>
                      <w:szCs w:val="21"/>
                    </w:rPr>
                    <w:t>危险目标：危废暂存间、化</w:t>
                  </w:r>
                  <w:r>
                    <w:rPr>
                      <w:rFonts w:hint="default" w:ascii="Times New Roman" w:hAnsi="Times New Roman" w:cs="Times New Roman"/>
                      <w:color w:val="auto"/>
                      <w:szCs w:val="21"/>
                      <w:lang w:val="en-US" w:eastAsia="zh-CN"/>
                    </w:rPr>
                    <w:t>学</w:t>
                  </w:r>
                  <w:r>
                    <w:rPr>
                      <w:rFonts w:hint="default" w:ascii="Times New Roman" w:hAnsi="Times New Roman" w:cs="Times New Roman"/>
                      <w:color w:val="auto"/>
                      <w:szCs w:val="21"/>
                    </w:rPr>
                    <w:t>品</w:t>
                  </w:r>
                  <w:r>
                    <w:rPr>
                      <w:rFonts w:hint="default" w:ascii="Times New Roman" w:hAnsi="Times New Roman" w:cs="Times New Roman"/>
                      <w:color w:val="auto"/>
                      <w:szCs w:val="21"/>
                      <w:lang w:val="en-US" w:eastAsia="zh-CN"/>
                    </w:rPr>
                    <w:t>仓库</w:t>
                  </w:r>
                  <w:r>
                    <w:rPr>
                      <w:rFonts w:hint="default" w:ascii="Times New Roman" w:hAnsi="Times New Roman" w:cs="Times New Roman"/>
                      <w:color w:val="auto"/>
                      <w:szCs w:val="21"/>
                    </w:rPr>
                    <w:t>、环境保护目标</w:t>
                  </w:r>
                </w:p>
              </w:tc>
            </w:tr>
            <w:tr w14:paraId="5FC933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14:paraId="3E931891">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2280" w:type="dxa"/>
                  <w:tcBorders>
                    <w:tl2br w:val="nil"/>
                    <w:tr2bl w:val="nil"/>
                  </w:tcBorders>
                  <w:vAlign w:val="center"/>
                </w:tcPr>
                <w:p w14:paraId="00A2461C">
                  <w:pPr>
                    <w:rPr>
                      <w:rFonts w:hint="default" w:ascii="Times New Roman" w:hAnsi="Times New Roman" w:cs="Times New Roman"/>
                      <w:color w:val="auto"/>
                      <w:szCs w:val="21"/>
                    </w:rPr>
                  </w:pPr>
                  <w:r>
                    <w:rPr>
                      <w:rFonts w:hint="default" w:ascii="Times New Roman" w:hAnsi="Times New Roman" w:cs="Times New Roman"/>
                      <w:color w:val="auto"/>
                      <w:szCs w:val="21"/>
                    </w:rPr>
                    <w:t>应急组织机构、人员</w:t>
                  </w:r>
                </w:p>
              </w:tc>
              <w:tc>
                <w:tcPr>
                  <w:tcW w:w="5706" w:type="dxa"/>
                  <w:tcBorders>
                    <w:tl2br w:val="nil"/>
                    <w:tr2bl w:val="nil"/>
                  </w:tcBorders>
                  <w:vAlign w:val="center"/>
                </w:tcPr>
                <w:p w14:paraId="2CB506F7">
                  <w:pPr>
                    <w:rPr>
                      <w:rFonts w:hint="default" w:ascii="Times New Roman" w:hAnsi="Times New Roman" w:cs="Times New Roman"/>
                      <w:color w:val="auto"/>
                      <w:szCs w:val="21"/>
                    </w:rPr>
                  </w:pPr>
                  <w:r>
                    <w:rPr>
                      <w:rFonts w:hint="default" w:ascii="Times New Roman" w:hAnsi="Times New Roman" w:cs="Times New Roman"/>
                      <w:color w:val="auto"/>
                      <w:szCs w:val="21"/>
                    </w:rPr>
                    <w:t>工厂、地区应急组织机构、人员</w:t>
                  </w:r>
                </w:p>
              </w:tc>
            </w:tr>
            <w:tr w14:paraId="08B4D1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14:paraId="4A15794E">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2280" w:type="dxa"/>
                  <w:tcBorders>
                    <w:tl2br w:val="nil"/>
                    <w:tr2bl w:val="nil"/>
                  </w:tcBorders>
                  <w:vAlign w:val="center"/>
                </w:tcPr>
                <w:p w14:paraId="3BDDDD1C">
                  <w:pPr>
                    <w:rPr>
                      <w:rFonts w:hint="default" w:ascii="Times New Roman" w:hAnsi="Times New Roman" w:cs="Times New Roman"/>
                      <w:color w:val="auto"/>
                      <w:szCs w:val="21"/>
                    </w:rPr>
                  </w:pPr>
                  <w:r>
                    <w:rPr>
                      <w:rFonts w:hint="default" w:ascii="Times New Roman" w:hAnsi="Times New Roman" w:cs="Times New Roman"/>
                      <w:color w:val="auto"/>
                      <w:szCs w:val="21"/>
                    </w:rPr>
                    <w:t>预案分级响应条件</w:t>
                  </w:r>
                </w:p>
              </w:tc>
              <w:tc>
                <w:tcPr>
                  <w:tcW w:w="5706" w:type="dxa"/>
                  <w:tcBorders>
                    <w:tl2br w:val="nil"/>
                    <w:tr2bl w:val="nil"/>
                  </w:tcBorders>
                  <w:vAlign w:val="center"/>
                </w:tcPr>
                <w:p w14:paraId="36460FEE">
                  <w:pPr>
                    <w:rPr>
                      <w:rFonts w:hint="default" w:ascii="Times New Roman" w:hAnsi="Times New Roman" w:cs="Times New Roman"/>
                      <w:color w:val="auto"/>
                      <w:szCs w:val="21"/>
                    </w:rPr>
                  </w:pPr>
                  <w:r>
                    <w:rPr>
                      <w:rFonts w:hint="default" w:ascii="Times New Roman" w:hAnsi="Times New Roman" w:cs="Times New Roman"/>
                      <w:color w:val="auto"/>
                      <w:szCs w:val="21"/>
                    </w:rPr>
                    <w:t>规定预案的级别及分级响应程序</w:t>
                  </w:r>
                </w:p>
              </w:tc>
            </w:tr>
            <w:tr w14:paraId="423A1A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14:paraId="3718AE5B">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2280" w:type="dxa"/>
                  <w:tcBorders>
                    <w:tl2br w:val="nil"/>
                    <w:tr2bl w:val="nil"/>
                  </w:tcBorders>
                  <w:vAlign w:val="center"/>
                </w:tcPr>
                <w:p w14:paraId="4CA693B4">
                  <w:pPr>
                    <w:rPr>
                      <w:rFonts w:hint="default" w:ascii="Times New Roman" w:hAnsi="Times New Roman" w:cs="Times New Roman"/>
                      <w:color w:val="auto"/>
                      <w:szCs w:val="21"/>
                    </w:rPr>
                  </w:pPr>
                  <w:r>
                    <w:rPr>
                      <w:rFonts w:hint="default" w:ascii="Times New Roman" w:hAnsi="Times New Roman" w:cs="Times New Roman"/>
                      <w:color w:val="auto"/>
                      <w:szCs w:val="21"/>
                    </w:rPr>
                    <w:t>应急救援保障</w:t>
                  </w:r>
                </w:p>
              </w:tc>
              <w:tc>
                <w:tcPr>
                  <w:tcW w:w="5706" w:type="dxa"/>
                  <w:tcBorders>
                    <w:tl2br w:val="nil"/>
                    <w:tr2bl w:val="nil"/>
                  </w:tcBorders>
                  <w:vAlign w:val="center"/>
                </w:tcPr>
                <w:p w14:paraId="56C91339">
                  <w:pPr>
                    <w:rPr>
                      <w:rFonts w:hint="default" w:ascii="Times New Roman" w:hAnsi="Times New Roman" w:cs="Times New Roman"/>
                      <w:color w:val="auto"/>
                      <w:szCs w:val="21"/>
                    </w:rPr>
                  </w:pPr>
                  <w:r>
                    <w:rPr>
                      <w:rFonts w:hint="default" w:ascii="Times New Roman" w:hAnsi="Times New Roman" w:cs="Times New Roman"/>
                      <w:color w:val="auto"/>
                      <w:szCs w:val="21"/>
                    </w:rPr>
                    <w:t>应急设施、设备及器材等</w:t>
                  </w:r>
                </w:p>
              </w:tc>
            </w:tr>
            <w:tr w14:paraId="0540F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14:paraId="495746CE">
                  <w:pPr>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2280" w:type="dxa"/>
                  <w:tcBorders>
                    <w:tl2br w:val="nil"/>
                    <w:tr2bl w:val="nil"/>
                  </w:tcBorders>
                  <w:vAlign w:val="center"/>
                </w:tcPr>
                <w:p w14:paraId="47971E00">
                  <w:pPr>
                    <w:rPr>
                      <w:rFonts w:hint="default" w:ascii="Times New Roman" w:hAnsi="Times New Roman" w:cs="Times New Roman"/>
                      <w:color w:val="auto"/>
                      <w:szCs w:val="21"/>
                    </w:rPr>
                  </w:pPr>
                  <w:r>
                    <w:rPr>
                      <w:rFonts w:hint="default" w:ascii="Times New Roman" w:hAnsi="Times New Roman" w:cs="Times New Roman"/>
                      <w:color w:val="auto"/>
                      <w:szCs w:val="21"/>
                    </w:rPr>
                    <w:t>报警、通讯联络方式</w:t>
                  </w:r>
                </w:p>
              </w:tc>
              <w:tc>
                <w:tcPr>
                  <w:tcW w:w="5706" w:type="dxa"/>
                  <w:tcBorders>
                    <w:tl2br w:val="nil"/>
                    <w:tr2bl w:val="nil"/>
                  </w:tcBorders>
                  <w:vAlign w:val="center"/>
                </w:tcPr>
                <w:p w14:paraId="0FA3CCC2">
                  <w:pPr>
                    <w:rPr>
                      <w:rFonts w:hint="default" w:ascii="Times New Roman" w:hAnsi="Times New Roman" w:cs="Times New Roman"/>
                      <w:color w:val="auto"/>
                      <w:szCs w:val="21"/>
                    </w:rPr>
                  </w:pPr>
                  <w:r>
                    <w:rPr>
                      <w:rFonts w:hint="default" w:ascii="Times New Roman" w:hAnsi="Times New Roman" w:cs="Times New Roman"/>
                      <w:color w:val="auto"/>
                      <w:szCs w:val="21"/>
                    </w:rPr>
                    <w:t>规定应急状态下的报警通讯方式、通知方式和交通保障、管制</w:t>
                  </w:r>
                </w:p>
              </w:tc>
            </w:tr>
            <w:tr w14:paraId="77A0C1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14:paraId="5557936A">
                  <w:pPr>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2280" w:type="dxa"/>
                  <w:tcBorders>
                    <w:tl2br w:val="nil"/>
                    <w:tr2bl w:val="nil"/>
                  </w:tcBorders>
                  <w:vAlign w:val="center"/>
                </w:tcPr>
                <w:p w14:paraId="62FCD7AC">
                  <w:pPr>
                    <w:rPr>
                      <w:rFonts w:hint="default" w:ascii="Times New Roman" w:hAnsi="Times New Roman" w:cs="Times New Roman"/>
                      <w:color w:val="auto"/>
                      <w:szCs w:val="21"/>
                    </w:rPr>
                  </w:pPr>
                  <w:r>
                    <w:rPr>
                      <w:rFonts w:hint="default" w:ascii="Times New Roman" w:hAnsi="Times New Roman" w:cs="Times New Roman"/>
                      <w:color w:val="auto"/>
                      <w:szCs w:val="21"/>
                    </w:rPr>
                    <w:t>应急环境监测、抢险、救援及控制措施</w:t>
                  </w:r>
                </w:p>
              </w:tc>
              <w:tc>
                <w:tcPr>
                  <w:tcW w:w="5706" w:type="dxa"/>
                  <w:tcBorders>
                    <w:tl2br w:val="nil"/>
                    <w:tr2bl w:val="nil"/>
                  </w:tcBorders>
                  <w:vAlign w:val="center"/>
                </w:tcPr>
                <w:p w14:paraId="27EFC419">
                  <w:pPr>
                    <w:rPr>
                      <w:rFonts w:hint="default" w:ascii="Times New Roman" w:hAnsi="Times New Roman" w:cs="Times New Roman"/>
                      <w:color w:val="auto"/>
                      <w:szCs w:val="21"/>
                    </w:rPr>
                  </w:pPr>
                  <w:r>
                    <w:rPr>
                      <w:rFonts w:hint="default" w:ascii="Times New Roman" w:hAnsi="Times New Roman" w:cs="Times New Roman"/>
                      <w:color w:val="auto"/>
                      <w:szCs w:val="21"/>
                    </w:rPr>
                    <w:t>由专业队伍负责对事故现场进行侦察监测，对事故性质、参数与后果进行评估，为指挥部门提供决策依据</w:t>
                  </w:r>
                </w:p>
              </w:tc>
            </w:tr>
            <w:tr w14:paraId="2D695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14:paraId="7953C673">
                  <w:pPr>
                    <w:jc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2280" w:type="dxa"/>
                  <w:tcBorders>
                    <w:tl2br w:val="nil"/>
                    <w:tr2bl w:val="nil"/>
                  </w:tcBorders>
                  <w:vAlign w:val="center"/>
                </w:tcPr>
                <w:p w14:paraId="244DF288">
                  <w:pPr>
                    <w:rPr>
                      <w:rFonts w:hint="default" w:ascii="Times New Roman" w:hAnsi="Times New Roman" w:cs="Times New Roman"/>
                      <w:color w:val="auto"/>
                      <w:szCs w:val="21"/>
                    </w:rPr>
                  </w:pPr>
                  <w:r>
                    <w:rPr>
                      <w:rFonts w:hint="default" w:ascii="Times New Roman" w:hAnsi="Times New Roman" w:cs="Times New Roman"/>
                      <w:color w:val="auto"/>
                      <w:szCs w:val="21"/>
                    </w:rPr>
                    <w:t>应急检测、防护措施、清除泄漏措施和器材</w:t>
                  </w:r>
                </w:p>
              </w:tc>
              <w:tc>
                <w:tcPr>
                  <w:tcW w:w="5706" w:type="dxa"/>
                  <w:tcBorders>
                    <w:tl2br w:val="nil"/>
                    <w:tr2bl w:val="nil"/>
                  </w:tcBorders>
                  <w:vAlign w:val="center"/>
                </w:tcPr>
                <w:p w14:paraId="67F7FB37">
                  <w:pPr>
                    <w:rPr>
                      <w:rFonts w:hint="default" w:ascii="Times New Roman" w:hAnsi="Times New Roman" w:cs="Times New Roman"/>
                      <w:color w:val="auto"/>
                      <w:szCs w:val="21"/>
                    </w:rPr>
                  </w:pPr>
                  <w:r>
                    <w:rPr>
                      <w:rFonts w:hint="default" w:ascii="Times New Roman" w:hAnsi="Times New Roman" w:cs="Times New Roman"/>
                      <w:color w:val="auto"/>
                      <w:szCs w:val="21"/>
                    </w:rPr>
                    <w:t>事故现场、邻近区域、控制防火区域，控制和清除污染措施及相应设备</w:t>
                  </w:r>
                </w:p>
              </w:tc>
            </w:tr>
            <w:tr w14:paraId="21AD8A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14:paraId="2C4FAAC1">
                  <w:pPr>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2280" w:type="dxa"/>
                  <w:tcBorders>
                    <w:tl2br w:val="nil"/>
                    <w:tr2bl w:val="nil"/>
                  </w:tcBorders>
                  <w:vAlign w:val="center"/>
                </w:tcPr>
                <w:p w14:paraId="5380F7EC">
                  <w:pPr>
                    <w:rPr>
                      <w:rFonts w:hint="default" w:ascii="Times New Roman" w:hAnsi="Times New Roman" w:cs="Times New Roman"/>
                      <w:color w:val="auto"/>
                      <w:szCs w:val="21"/>
                    </w:rPr>
                  </w:pPr>
                  <w:r>
                    <w:rPr>
                      <w:rFonts w:hint="default" w:ascii="Times New Roman" w:hAnsi="Times New Roman" w:cs="Times New Roman"/>
                      <w:color w:val="auto"/>
                      <w:szCs w:val="21"/>
                    </w:rPr>
                    <w:t>人员紧急撤离、疏散、应急剂量控制、撤离组织计划</w:t>
                  </w:r>
                </w:p>
              </w:tc>
              <w:tc>
                <w:tcPr>
                  <w:tcW w:w="5706" w:type="dxa"/>
                  <w:tcBorders>
                    <w:tl2br w:val="nil"/>
                    <w:tr2bl w:val="nil"/>
                  </w:tcBorders>
                  <w:vAlign w:val="center"/>
                </w:tcPr>
                <w:p w14:paraId="0DAD0521">
                  <w:pPr>
                    <w:rPr>
                      <w:rFonts w:hint="default" w:ascii="Times New Roman" w:hAnsi="Times New Roman" w:cs="Times New Roman"/>
                      <w:color w:val="auto"/>
                      <w:szCs w:val="21"/>
                    </w:rPr>
                  </w:pPr>
                  <w:r>
                    <w:rPr>
                      <w:rFonts w:hint="default" w:ascii="Times New Roman" w:hAnsi="Times New Roman" w:cs="Times New Roman"/>
                      <w:color w:val="auto"/>
                      <w:szCs w:val="21"/>
                    </w:rPr>
                    <w:t>事故现场、工厂临近区、受事故影响的区域人员及公众对毒物应急剂量控制规定，撤离组织计划及救护，医疗救护与公众健康</w:t>
                  </w:r>
                </w:p>
              </w:tc>
            </w:tr>
            <w:tr w14:paraId="1E848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14:paraId="414BB92E">
                  <w:pPr>
                    <w:jc w:val="center"/>
                    <w:rPr>
                      <w:rFonts w:hint="default" w:ascii="Times New Roman" w:hAnsi="Times New Roman" w:cs="Times New Roman"/>
                      <w:color w:val="auto"/>
                      <w:szCs w:val="21"/>
                    </w:rPr>
                  </w:pPr>
                  <w:r>
                    <w:rPr>
                      <w:rFonts w:hint="default" w:ascii="Times New Roman" w:hAnsi="Times New Roman" w:cs="Times New Roman"/>
                      <w:color w:val="auto"/>
                      <w:szCs w:val="21"/>
                    </w:rPr>
                    <w:t>9</w:t>
                  </w:r>
                </w:p>
              </w:tc>
              <w:tc>
                <w:tcPr>
                  <w:tcW w:w="2280" w:type="dxa"/>
                  <w:tcBorders>
                    <w:tl2br w:val="nil"/>
                    <w:tr2bl w:val="nil"/>
                  </w:tcBorders>
                  <w:vAlign w:val="center"/>
                </w:tcPr>
                <w:p w14:paraId="7DE88EA8">
                  <w:pPr>
                    <w:rPr>
                      <w:rFonts w:hint="default" w:ascii="Times New Roman" w:hAnsi="Times New Roman" w:cs="Times New Roman"/>
                      <w:color w:val="auto"/>
                      <w:szCs w:val="21"/>
                    </w:rPr>
                  </w:pPr>
                  <w:r>
                    <w:rPr>
                      <w:rFonts w:hint="default" w:ascii="Times New Roman" w:hAnsi="Times New Roman" w:cs="Times New Roman"/>
                      <w:color w:val="auto"/>
                      <w:szCs w:val="21"/>
                    </w:rPr>
                    <w:t>事故应急救援关闭程序与恢复措施</w:t>
                  </w:r>
                </w:p>
              </w:tc>
              <w:tc>
                <w:tcPr>
                  <w:tcW w:w="5706" w:type="dxa"/>
                  <w:tcBorders>
                    <w:tl2br w:val="nil"/>
                    <w:tr2bl w:val="nil"/>
                  </w:tcBorders>
                  <w:vAlign w:val="center"/>
                </w:tcPr>
                <w:p w14:paraId="266FC6C2">
                  <w:pPr>
                    <w:rPr>
                      <w:rFonts w:hint="default" w:ascii="Times New Roman" w:hAnsi="Times New Roman" w:cs="Times New Roman"/>
                      <w:color w:val="auto"/>
                      <w:szCs w:val="21"/>
                    </w:rPr>
                  </w:pPr>
                  <w:r>
                    <w:rPr>
                      <w:rFonts w:hint="default" w:ascii="Times New Roman" w:hAnsi="Times New Roman" w:cs="Times New Roman"/>
                      <w:color w:val="auto"/>
                      <w:szCs w:val="21"/>
                    </w:rPr>
                    <w:t>规定应急状态终止程序；事故现场善后处理，恢复措施；邻近区域解除事故警戒及善后恢复措施</w:t>
                  </w:r>
                </w:p>
              </w:tc>
            </w:tr>
            <w:tr w14:paraId="26188A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14:paraId="19850B4A">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2280" w:type="dxa"/>
                  <w:tcBorders>
                    <w:tl2br w:val="nil"/>
                    <w:tr2bl w:val="nil"/>
                  </w:tcBorders>
                  <w:vAlign w:val="center"/>
                </w:tcPr>
                <w:p w14:paraId="2429F832">
                  <w:pPr>
                    <w:rPr>
                      <w:rFonts w:hint="default" w:ascii="Times New Roman" w:hAnsi="Times New Roman" w:cs="Times New Roman"/>
                      <w:color w:val="auto"/>
                      <w:szCs w:val="21"/>
                    </w:rPr>
                  </w:pPr>
                  <w:r>
                    <w:rPr>
                      <w:rFonts w:hint="default" w:ascii="Times New Roman" w:hAnsi="Times New Roman" w:cs="Times New Roman"/>
                      <w:color w:val="auto"/>
                      <w:szCs w:val="21"/>
                    </w:rPr>
                    <w:t>应急培训计划</w:t>
                  </w:r>
                </w:p>
              </w:tc>
              <w:tc>
                <w:tcPr>
                  <w:tcW w:w="5706" w:type="dxa"/>
                  <w:tcBorders>
                    <w:tl2br w:val="nil"/>
                    <w:tr2bl w:val="nil"/>
                  </w:tcBorders>
                  <w:vAlign w:val="center"/>
                </w:tcPr>
                <w:p w14:paraId="00D35844">
                  <w:pPr>
                    <w:rPr>
                      <w:rFonts w:hint="default" w:ascii="Times New Roman" w:hAnsi="Times New Roman" w:cs="Times New Roman"/>
                      <w:color w:val="auto"/>
                      <w:szCs w:val="21"/>
                    </w:rPr>
                  </w:pPr>
                  <w:r>
                    <w:rPr>
                      <w:rFonts w:hint="default" w:ascii="Times New Roman" w:hAnsi="Times New Roman" w:cs="Times New Roman"/>
                      <w:color w:val="auto"/>
                      <w:szCs w:val="21"/>
                    </w:rPr>
                    <w:t>应急计划制定后，平时安排人员培训与演练</w:t>
                  </w:r>
                </w:p>
              </w:tc>
            </w:tr>
            <w:tr w14:paraId="5A406A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14:paraId="6F0C6977">
                  <w:pPr>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p>
              </w:tc>
              <w:tc>
                <w:tcPr>
                  <w:tcW w:w="2280" w:type="dxa"/>
                  <w:tcBorders>
                    <w:tl2br w:val="nil"/>
                    <w:tr2bl w:val="nil"/>
                  </w:tcBorders>
                  <w:vAlign w:val="center"/>
                </w:tcPr>
                <w:p w14:paraId="7AE9D1BA">
                  <w:pPr>
                    <w:rPr>
                      <w:rFonts w:hint="default" w:ascii="Times New Roman" w:hAnsi="Times New Roman" w:cs="Times New Roman"/>
                      <w:color w:val="auto"/>
                      <w:szCs w:val="21"/>
                    </w:rPr>
                  </w:pPr>
                  <w:r>
                    <w:rPr>
                      <w:rFonts w:hint="default" w:ascii="Times New Roman" w:hAnsi="Times New Roman" w:cs="Times New Roman"/>
                      <w:color w:val="auto"/>
                      <w:szCs w:val="21"/>
                    </w:rPr>
                    <w:t>公众教育和信息</w:t>
                  </w:r>
                </w:p>
              </w:tc>
              <w:tc>
                <w:tcPr>
                  <w:tcW w:w="5706" w:type="dxa"/>
                  <w:tcBorders>
                    <w:tl2br w:val="nil"/>
                    <w:tr2bl w:val="nil"/>
                  </w:tcBorders>
                  <w:vAlign w:val="center"/>
                </w:tcPr>
                <w:p w14:paraId="6C9D825A">
                  <w:pPr>
                    <w:rPr>
                      <w:rFonts w:hint="default" w:ascii="Times New Roman" w:hAnsi="Times New Roman" w:cs="Times New Roman"/>
                      <w:color w:val="auto"/>
                      <w:szCs w:val="21"/>
                    </w:rPr>
                  </w:pPr>
                  <w:r>
                    <w:rPr>
                      <w:rFonts w:hint="default" w:ascii="Times New Roman" w:hAnsi="Times New Roman" w:cs="Times New Roman"/>
                      <w:color w:val="auto"/>
                      <w:szCs w:val="21"/>
                    </w:rPr>
                    <w:t>对工厂邻近地区</w:t>
                  </w:r>
                  <w:r>
                    <w:rPr>
                      <w:rFonts w:hint="default" w:ascii="Times New Roman" w:hAnsi="Times New Roman" w:cs="Times New Roman"/>
                      <w:color w:val="auto"/>
                      <w:szCs w:val="21"/>
                      <w:lang w:eastAsia="zh-CN"/>
                    </w:rPr>
                    <w:t>开展</w:t>
                  </w:r>
                  <w:r>
                    <w:rPr>
                      <w:rFonts w:hint="default" w:ascii="Times New Roman" w:hAnsi="Times New Roman" w:cs="Times New Roman"/>
                      <w:color w:val="auto"/>
                      <w:szCs w:val="21"/>
                    </w:rPr>
                    <w:t>公众教育、培训和发布有关信息</w:t>
                  </w:r>
                </w:p>
              </w:tc>
            </w:tr>
          </w:tbl>
          <w:p w14:paraId="6532C6A3">
            <w:pPr>
              <w:spacing w:line="360" w:lineRule="auto"/>
              <w:ind w:firstLine="361" w:firstLineChars="15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（7）环境风险分析结论</w:t>
            </w:r>
          </w:p>
          <w:p w14:paraId="742A9EDD">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rPr>
              <w:t>本项目环境风险简</w:t>
            </w:r>
            <w:r>
              <w:rPr>
                <w:rFonts w:hint="default" w:ascii="Times New Roman" w:hAnsi="Times New Roman" w:cs="Times New Roman"/>
                <w:color w:val="auto"/>
                <w:sz w:val="24"/>
                <w:szCs w:val="24"/>
                <w:highlight w:val="none"/>
              </w:rPr>
              <w:t>单分析内容见表4-</w:t>
            </w:r>
            <w:r>
              <w:rPr>
                <w:rFonts w:hint="default" w:ascii="Times New Roman" w:hAnsi="Times New Roman" w:cs="Times New Roman"/>
                <w:color w:val="auto"/>
                <w:sz w:val="24"/>
                <w:szCs w:val="24"/>
                <w:highlight w:val="none"/>
                <w:lang w:val="en-US" w:eastAsia="zh-CN"/>
              </w:rPr>
              <w:t>31</w:t>
            </w:r>
            <w:r>
              <w:rPr>
                <w:rFonts w:hint="default" w:ascii="Times New Roman" w:hAnsi="Times New Roman" w:cs="Times New Roman"/>
                <w:color w:val="auto"/>
                <w:sz w:val="24"/>
                <w:szCs w:val="24"/>
                <w:highlight w:val="none"/>
              </w:rPr>
              <w:t>。</w:t>
            </w:r>
          </w:p>
          <w:p w14:paraId="59F9FFB3">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lang w:val="en-US" w:eastAsia="zh-CN" w:bidi="ar-SA"/>
              </w:rPr>
            </w:pPr>
            <w:r>
              <w:rPr>
                <w:rFonts w:hint="default" w:ascii="Times New Roman" w:hAnsi="Times New Roman" w:eastAsia="黑体" w:cs="Times New Roman"/>
                <w:b/>
                <w:bCs/>
                <w:color w:val="auto"/>
                <w:kern w:val="0"/>
                <w:sz w:val="21"/>
                <w:szCs w:val="21"/>
                <w:highlight w:val="none"/>
                <w:lang w:val="en-US" w:eastAsia="zh-CN" w:bidi="ar-SA"/>
              </w:rPr>
              <w:t>表4-31 建设项目</w:t>
            </w:r>
            <w:r>
              <w:rPr>
                <w:rFonts w:hint="default" w:ascii="Times New Roman" w:hAnsi="Times New Roman" w:eastAsia="黑体" w:cs="Times New Roman"/>
                <w:b/>
                <w:bCs/>
                <w:color w:val="auto"/>
                <w:kern w:val="0"/>
                <w:sz w:val="21"/>
                <w:szCs w:val="21"/>
                <w:lang w:val="en-US" w:eastAsia="zh-CN" w:bidi="ar-SA"/>
              </w:rPr>
              <w:t>环境风险简单分析内容表</w:t>
            </w:r>
          </w:p>
          <w:tbl>
            <w:tblPr>
              <w:tblStyle w:val="30"/>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79"/>
              <w:gridCol w:w="1460"/>
              <w:gridCol w:w="1709"/>
              <w:gridCol w:w="1584"/>
              <w:gridCol w:w="1587"/>
            </w:tblGrid>
            <w:tr w14:paraId="070FE0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67" w:type="dxa"/>
                  <w:tcBorders>
                    <w:tl2br w:val="nil"/>
                    <w:tr2bl w:val="nil"/>
                  </w:tcBorders>
                  <w:vAlign w:val="center"/>
                </w:tcPr>
                <w:p w14:paraId="663E9725">
                  <w:pPr>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建设项目名称</w:t>
                  </w:r>
                </w:p>
              </w:tc>
              <w:tc>
                <w:tcPr>
                  <w:tcW w:w="6305" w:type="dxa"/>
                  <w:gridSpan w:val="4"/>
                  <w:tcBorders>
                    <w:tl2br w:val="nil"/>
                    <w:tr2bl w:val="nil"/>
                  </w:tcBorders>
                  <w:vAlign w:val="center"/>
                </w:tcPr>
                <w:p w14:paraId="6BB2AADF">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天生镇沥青混凝土搅拌站基础建设项目</w:t>
                  </w:r>
                </w:p>
              </w:tc>
            </w:tr>
            <w:tr w14:paraId="291B6E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67" w:type="dxa"/>
                  <w:tcBorders>
                    <w:tl2br w:val="nil"/>
                    <w:tr2bl w:val="nil"/>
                  </w:tcBorders>
                  <w:vAlign w:val="center"/>
                </w:tcPr>
                <w:p w14:paraId="6EBF716B">
                  <w:pPr>
                    <w:jc w:val="center"/>
                    <w:rPr>
                      <w:rFonts w:hint="default" w:ascii="Times New Roman" w:hAnsi="Times New Roman" w:cs="Times New Roman"/>
                      <w:color w:val="auto"/>
                      <w:szCs w:val="21"/>
                    </w:rPr>
                  </w:pPr>
                  <w:r>
                    <w:rPr>
                      <w:rFonts w:hint="default" w:ascii="Times New Roman" w:hAnsi="Times New Roman" w:cs="Times New Roman"/>
                      <w:color w:val="auto"/>
                      <w:szCs w:val="21"/>
                    </w:rPr>
                    <w:t>建设地点</w:t>
                  </w:r>
                </w:p>
              </w:tc>
              <w:tc>
                <w:tcPr>
                  <w:tcW w:w="1452" w:type="dxa"/>
                  <w:tcBorders>
                    <w:tl2br w:val="nil"/>
                    <w:tr2bl w:val="nil"/>
                  </w:tcBorders>
                  <w:vAlign w:val="center"/>
                </w:tcPr>
                <w:p w14:paraId="43106225">
                  <w:pPr>
                    <w:jc w:val="center"/>
                    <w:rPr>
                      <w:rFonts w:hint="default" w:ascii="Times New Roman" w:hAnsi="Times New Roman" w:cs="Times New Roman"/>
                      <w:color w:val="auto"/>
                      <w:szCs w:val="21"/>
                    </w:rPr>
                  </w:pPr>
                  <w:r>
                    <w:rPr>
                      <w:rFonts w:hint="default" w:ascii="Times New Roman" w:hAnsi="Times New Roman" w:cs="Times New Roman"/>
                      <w:color w:val="auto"/>
                      <w:szCs w:val="21"/>
                    </w:rPr>
                    <w:t>四川省</w:t>
                  </w:r>
                </w:p>
              </w:tc>
              <w:tc>
                <w:tcPr>
                  <w:tcW w:w="1700" w:type="dxa"/>
                  <w:tcBorders>
                    <w:tl2br w:val="nil"/>
                    <w:tr2bl w:val="nil"/>
                  </w:tcBorders>
                  <w:vAlign w:val="center"/>
                </w:tcPr>
                <w:p w14:paraId="61A07C4F">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达州市</w:t>
                  </w:r>
                </w:p>
              </w:tc>
              <w:tc>
                <w:tcPr>
                  <w:tcW w:w="1575" w:type="dxa"/>
                  <w:tcBorders>
                    <w:tl2br w:val="nil"/>
                    <w:tr2bl w:val="nil"/>
                  </w:tcBorders>
                  <w:vAlign w:val="center"/>
                </w:tcPr>
                <w:p w14:paraId="3CB52A24">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宣汉县</w:t>
                  </w:r>
                </w:p>
              </w:tc>
              <w:tc>
                <w:tcPr>
                  <w:tcW w:w="1578" w:type="dxa"/>
                  <w:tcBorders>
                    <w:tl2br w:val="nil"/>
                    <w:tr2bl w:val="nil"/>
                  </w:tcBorders>
                  <w:vAlign w:val="center"/>
                </w:tcPr>
                <w:p w14:paraId="0B98F9B9">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天生镇</w:t>
                  </w:r>
                </w:p>
              </w:tc>
            </w:tr>
            <w:tr w14:paraId="6966EF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67" w:type="dxa"/>
                  <w:tcBorders>
                    <w:tl2br w:val="nil"/>
                    <w:tr2bl w:val="nil"/>
                  </w:tcBorders>
                  <w:vAlign w:val="center"/>
                </w:tcPr>
                <w:p w14:paraId="0F5FE2D6">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地理坐标</w:t>
                  </w:r>
                </w:p>
              </w:tc>
              <w:tc>
                <w:tcPr>
                  <w:tcW w:w="1452" w:type="dxa"/>
                  <w:tcBorders>
                    <w:tl2br w:val="nil"/>
                    <w:tr2bl w:val="nil"/>
                  </w:tcBorders>
                  <w:vAlign w:val="center"/>
                </w:tcPr>
                <w:p w14:paraId="1AEC6EC9">
                  <w:pPr>
                    <w:jc w:val="center"/>
                    <w:rPr>
                      <w:rFonts w:hint="default" w:ascii="Times New Roman" w:hAnsi="Times New Roman" w:cs="Times New Roman"/>
                      <w:color w:val="auto"/>
                      <w:szCs w:val="21"/>
                    </w:rPr>
                  </w:pPr>
                  <w:r>
                    <w:rPr>
                      <w:rFonts w:hint="default" w:ascii="Times New Roman" w:hAnsi="Times New Roman" w:cs="Times New Roman"/>
                      <w:color w:val="auto"/>
                      <w:szCs w:val="21"/>
                    </w:rPr>
                    <w:t>经度</w:t>
                  </w:r>
                </w:p>
              </w:tc>
              <w:tc>
                <w:tcPr>
                  <w:tcW w:w="1700" w:type="dxa"/>
                  <w:tcBorders>
                    <w:tl2br w:val="nil"/>
                    <w:tr2bl w:val="nil"/>
                  </w:tcBorders>
                  <w:vAlign w:val="center"/>
                </w:tcPr>
                <w:p w14:paraId="67E48746">
                  <w:pPr>
                    <w:jc w:val="center"/>
                    <w:rPr>
                      <w:rFonts w:hint="default" w:ascii="Times New Roman" w:hAnsi="Times New Roman" w:cs="Times New Roman"/>
                      <w:color w:val="auto"/>
                      <w:szCs w:val="21"/>
                    </w:rPr>
                  </w:pPr>
                  <w:r>
                    <w:rPr>
                      <w:rFonts w:hint="default" w:ascii="Times New Roman" w:hAnsi="Times New Roman" w:cs="Times New Roman"/>
                      <w:color w:val="auto"/>
                      <w:szCs w:val="21"/>
                    </w:rPr>
                    <w:t>107.772633</w:t>
                  </w:r>
                </w:p>
              </w:tc>
              <w:tc>
                <w:tcPr>
                  <w:tcW w:w="1575" w:type="dxa"/>
                  <w:tcBorders>
                    <w:tl2br w:val="nil"/>
                    <w:tr2bl w:val="nil"/>
                  </w:tcBorders>
                  <w:vAlign w:val="center"/>
                </w:tcPr>
                <w:p w14:paraId="41B4CE31">
                  <w:pPr>
                    <w:jc w:val="center"/>
                    <w:rPr>
                      <w:rFonts w:hint="default" w:ascii="Times New Roman" w:hAnsi="Times New Roman" w:cs="Times New Roman"/>
                      <w:color w:val="auto"/>
                      <w:szCs w:val="21"/>
                    </w:rPr>
                  </w:pPr>
                  <w:r>
                    <w:rPr>
                      <w:rFonts w:hint="default" w:ascii="Times New Roman" w:hAnsi="Times New Roman" w:cs="Times New Roman"/>
                      <w:color w:val="auto"/>
                      <w:szCs w:val="21"/>
                    </w:rPr>
                    <w:t>纬度</w:t>
                  </w:r>
                </w:p>
              </w:tc>
              <w:tc>
                <w:tcPr>
                  <w:tcW w:w="1578" w:type="dxa"/>
                  <w:tcBorders>
                    <w:tl2br w:val="nil"/>
                    <w:tr2bl w:val="nil"/>
                  </w:tcBorders>
                  <w:vAlign w:val="center"/>
                </w:tcPr>
                <w:p w14:paraId="7ACD3C17">
                  <w:pPr>
                    <w:jc w:val="center"/>
                    <w:rPr>
                      <w:rFonts w:hint="default" w:ascii="Times New Roman" w:hAnsi="Times New Roman" w:cs="Times New Roman"/>
                      <w:color w:val="auto"/>
                      <w:szCs w:val="21"/>
                    </w:rPr>
                  </w:pPr>
                  <w:r>
                    <w:rPr>
                      <w:rFonts w:hint="default" w:ascii="Times New Roman" w:hAnsi="Times New Roman" w:cs="Times New Roman"/>
                      <w:color w:val="auto"/>
                      <w:szCs w:val="21"/>
                    </w:rPr>
                    <w:t>31.259993</w:t>
                  </w:r>
                </w:p>
              </w:tc>
            </w:tr>
            <w:tr w14:paraId="5D7BD2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67" w:type="dxa"/>
                  <w:tcBorders>
                    <w:tl2br w:val="nil"/>
                    <w:tr2bl w:val="nil"/>
                  </w:tcBorders>
                  <w:vAlign w:val="center"/>
                </w:tcPr>
                <w:p w14:paraId="141C2F62">
                  <w:pPr>
                    <w:jc w:val="center"/>
                    <w:rPr>
                      <w:rFonts w:hint="default" w:ascii="Times New Roman" w:hAnsi="Times New Roman" w:cs="Times New Roman"/>
                      <w:color w:val="auto"/>
                      <w:szCs w:val="21"/>
                    </w:rPr>
                  </w:pPr>
                  <w:r>
                    <w:rPr>
                      <w:rFonts w:hint="default" w:ascii="Times New Roman" w:hAnsi="Times New Roman" w:cs="Times New Roman"/>
                      <w:color w:val="auto"/>
                      <w:szCs w:val="21"/>
                    </w:rPr>
                    <w:t>主要危险物质及分布</w:t>
                  </w:r>
                </w:p>
              </w:tc>
              <w:tc>
                <w:tcPr>
                  <w:tcW w:w="6305" w:type="dxa"/>
                  <w:gridSpan w:val="4"/>
                  <w:tcBorders>
                    <w:tl2br w:val="nil"/>
                    <w:tr2bl w:val="nil"/>
                  </w:tcBorders>
                  <w:vAlign w:val="center"/>
                </w:tcPr>
                <w:p w14:paraId="7D9DA970">
                  <w:pP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危废暂存间：废机油</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机油</w:t>
                  </w:r>
                </w:p>
                <w:p w14:paraId="02AD0453">
                  <w:pP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罐区：导热油、轻质油</w:t>
                  </w:r>
                </w:p>
              </w:tc>
            </w:tr>
            <w:tr w14:paraId="7317E8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67" w:type="dxa"/>
                  <w:tcBorders>
                    <w:tl2br w:val="nil"/>
                    <w:tr2bl w:val="nil"/>
                  </w:tcBorders>
                  <w:vAlign w:val="center"/>
                </w:tcPr>
                <w:p w14:paraId="61626A3C">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环境影响途径及危害后果</w:t>
                  </w:r>
                </w:p>
                <w:p w14:paraId="04B5E974">
                  <w:pPr>
                    <w:jc w:val="center"/>
                    <w:rPr>
                      <w:rFonts w:hint="default" w:ascii="Times New Roman" w:hAnsi="Times New Roman" w:cs="Times New Roman"/>
                      <w:color w:val="auto"/>
                      <w:szCs w:val="21"/>
                    </w:rPr>
                  </w:pPr>
                  <w:r>
                    <w:rPr>
                      <w:rFonts w:hint="default" w:ascii="Times New Roman" w:hAnsi="Times New Roman" w:cs="Times New Roman"/>
                      <w:color w:val="auto"/>
                      <w:szCs w:val="21"/>
                    </w:rPr>
                    <w:t>（大气、地表水、地下水等）</w:t>
                  </w:r>
                </w:p>
              </w:tc>
              <w:tc>
                <w:tcPr>
                  <w:tcW w:w="6305" w:type="dxa"/>
                  <w:gridSpan w:val="4"/>
                  <w:tcBorders>
                    <w:tl2br w:val="nil"/>
                    <w:tr2bl w:val="nil"/>
                  </w:tcBorders>
                  <w:vAlign w:val="center"/>
                </w:tcPr>
                <w:p w14:paraId="26F01544">
                  <w:pPr>
                    <w:rPr>
                      <w:rFonts w:hint="default" w:ascii="Times New Roman" w:hAnsi="Times New Roman" w:cs="Times New Roman"/>
                      <w:color w:val="auto"/>
                      <w:szCs w:val="21"/>
                    </w:rPr>
                  </w:pPr>
                  <w:r>
                    <w:rPr>
                      <w:rFonts w:hint="default" w:ascii="Times New Roman" w:hAnsi="Times New Roman" w:cs="Times New Roman"/>
                      <w:color w:val="auto"/>
                      <w:szCs w:val="21"/>
                    </w:rPr>
                    <w:t>①废气处理系统事故风险</w:t>
                  </w:r>
                </w:p>
                <w:p w14:paraId="54228EB5">
                  <w:pPr>
                    <w:rPr>
                      <w:rFonts w:hint="default" w:ascii="Times New Roman" w:hAnsi="Times New Roman" w:cs="Times New Roman"/>
                      <w:color w:val="auto"/>
                      <w:szCs w:val="21"/>
                    </w:rPr>
                  </w:pPr>
                  <w:r>
                    <w:rPr>
                      <w:rFonts w:hint="default" w:ascii="Times New Roman" w:hAnsi="Times New Roman" w:cs="Times New Roman"/>
                      <w:color w:val="auto"/>
                      <w:szCs w:val="21"/>
                    </w:rPr>
                    <w:t>废气处理设施发生故障导致废气直接排放时，会影响项目周边的大气环境质量。</w:t>
                  </w:r>
                </w:p>
                <w:p w14:paraId="3207F0B1">
                  <w:pPr>
                    <w:rPr>
                      <w:rFonts w:hint="default" w:ascii="Times New Roman" w:hAnsi="Times New Roman" w:cs="Times New Roman"/>
                      <w:color w:val="auto"/>
                      <w:szCs w:val="21"/>
                    </w:rPr>
                  </w:pPr>
                  <w:r>
                    <w:rPr>
                      <w:rFonts w:hint="default" w:ascii="Times New Roman" w:hAnsi="Times New Roman" w:cs="Times New Roman"/>
                      <w:color w:val="auto"/>
                      <w:szCs w:val="21"/>
                    </w:rPr>
                    <w:t>②废机油、机油、导热油</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轻质油</w:t>
                  </w:r>
                  <w:r>
                    <w:rPr>
                      <w:rFonts w:hint="default" w:ascii="Times New Roman" w:hAnsi="Times New Roman" w:cs="Times New Roman"/>
                      <w:color w:val="auto"/>
                      <w:szCs w:val="21"/>
                    </w:rPr>
                    <w:t>泄漏风险</w:t>
                  </w:r>
                </w:p>
                <w:p w14:paraId="1DD82117">
                  <w:pPr>
                    <w:rPr>
                      <w:rFonts w:hint="default" w:ascii="Times New Roman" w:hAnsi="Times New Roman" w:cs="Times New Roman"/>
                      <w:color w:val="auto"/>
                      <w:szCs w:val="21"/>
                    </w:rPr>
                  </w:pPr>
                  <w:r>
                    <w:rPr>
                      <w:rFonts w:hint="default" w:ascii="Times New Roman" w:hAnsi="Times New Roman" w:cs="Times New Roman"/>
                      <w:color w:val="auto"/>
                      <w:szCs w:val="21"/>
                    </w:rPr>
                    <w:t>废机油、机油、导热油</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轻质油</w:t>
                  </w:r>
                  <w:r>
                    <w:rPr>
                      <w:rFonts w:hint="default" w:ascii="Times New Roman" w:hAnsi="Times New Roman" w:cs="Times New Roman"/>
                      <w:color w:val="auto"/>
                      <w:szCs w:val="21"/>
                    </w:rPr>
                    <w:t>储存设施破损引起泄漏，全部进入环境，有害物质挥发进入大气环境，对河流、土壤、生物等造成污染，尤其对水体和土壤环境的影响将是一个相当长的过程，被污染的水体和土壤中的各种生物及植被将全部死亡，这种污染一般是范围较广，面积较大、后果较为严重，达到自然环境的完全恢复需要相当长的时间。</w:t>
                  </w:r>
                </w:p>
                <w:p w14:paraId="7ECD6915">
                  <w:pPr>
                    <w:rPr>
                      <w:rFonts w:hint="default" w:ascii="Times New Roman" w:hAnsi="Times New Roman" w:cs="Times New Roman"/>
                      <w:color w:val="auto"/>
                      <w:szCs w:val="21"/>
                    </w:rPr>
                  </w:pPr>
                  <w:r>
                    <w:rPr>
                      <w:rFonts w:hint="default" w:ascii="Times New Roman" w:hAnsi="Times New Roman" w:cs="Times New Roman"/>
                      <w:color w:val="auto"/>
                      <w:szCs w:val="21"/>
                    </w:rPr>
                    <w:t>③危废间管理风险</w:t>
                  </w:r>
                </w:p>
                <w:p w14:paraId="47B12A07">
                  <w:pPr>
                    <w:rPr>
                      <w:rFonts w:hint="default" w:ascii="Times New Roman" w:hAnsi="Times New Roman" w:cs="Times New Roman"/>
                      <w:color w:val="auto"/>
                      <w:szCs w:val="21"/>
                    </w:rPr>
                  </w:pPr>
                  <w:r>
                    <w:rPr>
                      <w:rFonts w:hint="default" w:ascii="Times New Roman" w:hAnsi="Times New Roman" w:cs="Times New Roman"/>
                      <w:color w:val="auto"/>
                      <w:szCs w:val="21"/>
                    </w:rPr>
                    <w:t>危废间防渗层破损或破裂，且在收集和转运过程中若管理不当，容易导致危险废物渗漏和洒落至地面，并可能进入地表及地下水体，对土壤和水环境造成污染。</w:t>
                  </w:r>
                </w:p>
                <w:p w14:paraId="1B6FDA8B">
                  <w:pPr>
                    <w:rPr>
                      <w:rFonts w:hint="default" w:ascii="Times New Roman" w:hAnsi="Times New Roman" w:cs="Times New Roman"/>
                      <w:color w:val="auto"/>
                      <w:szCs w:val="21"/>
                    </w:rPr>
                  </w:pPr>
                  <w:r>
                    <w:rPr>
                      <w:rFonts w:hint="default" w:ascii="Times New Roman" w:hAnsi="Times New Roman" w:cs="Times New Roman"/>
                      <w:color w:val="auto"/>
                      <w:szCs w:val="21"/>
                    </w:rPr>
                    <w:t>④火灾事故风险</w:t>
                  </w:r>
                </w:p>
                <w:p w14:paraId="16033365">
                  <w:pPr>
                    <w:rPr>
                      <w:rFonts w:hint="default" w:ascii="Times New Roman" w:hAnsi="Times New Roman" w:cs="Times New Roman"/>
                      <w:color w:val="auto"/>
                      <w:szCs w:val="21"/>
                    </w:rPr>
                  </w:pPr>
                  <w:r>
                    <w:rPr>
                      <w:rFonts w:hint="default" w:ascii="Times New Roman" w:hAnsi="Times New Roman" w:cs="Times New Roman"/>
                      <w:color w:val="auto"/>
                      <w:szCs w:val="21"/>
                    </w:rPr>
                    <w:t>在设备运营过程中管理不当，容易导致火灾的发生，导致柴油罐区及沥青罐区的燃烧，会产生废气，对大气环境造成污染。</w:t>
                  </w:r>
                </w:p>
              </w:tc>
            </w:tr>
            <w:tr w14:paraId="5F416A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67" w:type="dxa"/>
                  <w:tcBorders>
                    <w:tl2br w:val="nil"/>
                    <w:tr2bl w:val="nil"/>
                  </w:tcBorders>
                  <w:vAlign w:val="center"/>
                </w:tcPr>
                <w:p w14:paraId="680F6B28">
                  <w:pPr>
                    <w:jc w:val="center"/>
                    <w:rPr>
                      <w:rFonts w:hint="default" w:ascii="Times New Roman" w:hAnsi="Times New Roman" w:cs="Times New Roman"/>
                      <w:color w:val="auto"/>
                      <w:szCs w:val="21"/>
                    </w:rPr>
                  </w:pPr>
                  <w:r>
                    <w:rPr>
                      <w:rFonts w:hint="default" w:ascii="Times New Roman" w:hAnsi="Times New Roman" w:cs="Times New Roman"/>
                      <w:color w:val="auto"/>
                      <w:szCs w:val="21"/>
                    </w:rPr>
                    <w:t>风险防范措施要求</w:t>
                  </w:r>
                </w:p>
              </w:tc>
              <w:tc>
                <w:tcPr>
                  <w:tcW w:w="6305" w:type="dxa"/>
                  <w:gridSpan w:val="4"/>
                  <w:tcBorders>
                    <w:tl2br w:val="nil"/>
                    <w:tr2bl w:val="nil"/>
                  </w:tcBorders>
                  <w:vAlign w:val="center"/>
                </w:tcPr>
                <w:p w14:paraId="014E666C">
                  <w:pPr>
                    <w:rPr>
                      <w:rFonts w:hint="default" w:ascii="Times New Roman" w:hAnsi="Times New Roman" w:cs="Times New Roman"/>
                      <w:color w:val="auto"/>
                      <w:szCs w:val="21"/>
                    </w:rPr>
                  </w:pPr>
                  <w:r>
                    <w:rPr>
                      <w:rFonts w:hint="default" w:ascii="Times New Roman" w:hAnsi="Times New Roman" w:cs="Times New Roman"/>
                      <w:color w:val="auto"/>
                      <w:szCs w:val="21"/>
                    </w:rPr>
                    <w:t>①项目环保方面的负责部门对废气处理装置定期巡查；</w:t>
                  </w:r>
                </w:p>
                <w:p w14:paraId="01D031CE">
                  <w:pPr>
                    <w:rPr>
                      <w:rFonts w:hint="default" w:ascii="Times New Roman" w:hAnsi="Times New Roman" w:cs="Times New Roman"/>
                      <w:color w:val="auto"/>
                      <w:szCs w:val="21"/>
                    </w:rPr>
                  </w:pPr>
                  <w:r>
                    <w:rPr>
                      <w:rFonts w:hint="default" w:ascii="Times New Roman" w:hAnsi="Times New Roman" w:cs="Times New Roman"/>
                      <w:color w:val="auto"/>
                      <w:szCs w:val="21"/>
                    </w:rPr>
                    <w:t>②危废暂存间、</w:t>
                  </w:r>
                  <w:r>
                    <w:rPr>
                      <w:rFonts w:hint="default" w:ascii="Times New Roman" w:hAnsi="Times New Roman" w:cs="Times New Roman"/>
                      <w:color w:val="auto"/>
                      <w:szCs w:val="21"/>
                      <w:lang w:val="en-US" w:eastAsia="zh-CN"/>
                    </w:rPr>
                    <w:t>罐区</w:t>
                  </w:r>
                  <w:r>
                    <w:rPr>
                      <w:rFonts w:hint="default" w:ascii="Times New Roman" w:hAnsi="Times New Roman" w:cs="Times New Roman"/>
                      <w:color w:val="auto"/>
                      <w:szCs w:val="21"/>
                    </w:rPr>
                    <w:t>做好地面防渗、防漏措施，设置围堰，设置备用收容设施；</w:t>
                  </w:r>
                </w:p>
                <w:p w14:paraId="3690F397">
                  <w:pPr>
                    <w:rPr>
                      <w:rFonts w:hint="default" w:ascii="Times New Roman" w:hAnsi="Times New Roman" w:cs="Times New Roman"/>
                      <w:color w:val="auto"/>
                      <w:szCs w:val="21"/>
                    </w:rPr>
                  </w:pPr>
                  <w:r>
                    <w:rPr>
                      <w:rFonts w:hint="default" w:ascii="Times New Roman" w:hAnsi="Times New Roman" w:cs="Times New Roman"/>
                      <w:color w:val="auto"/>
                      <w:szCs w:val="21"/>
                    </w:rPr>
                    <w:t>③设置警示标识，配备相应数量灭火器，开展员工安全培训；加强污染防治设施管理和维护；专人管理，定期培训、定期巡查；</w:t>
                  </w:r>
                </w:p>
                <w:p w14:paraId="2F24793F">
                  <w:pPr>
                    <w:rPr>
                      <w:rFonts w:hint="default" w:ascii="Times New Roman" w:hAnsi="Times New Roman" w:cs="Times New Roman"/>
                      <w:color w:val="auto"/>
                      <w:szCs w:val="21"/>
                    </w:rPr>
                  </w:pPr>
                  <w:r>
                    <w:rPr>
                      <w:rFonts w:hint="default" w:ascii="Times New Roman" w:hAnsi="Times New Roman" w:cs="Times New Roman"/>
                      <w:color w:val="auto"/>
                      <w:szCs w:val="21"/>
                    </w:rPr>
                    <w:t>④严格执行环评及相关法律法规要求，制定环境风险应急预案。</w:t>
                  </w:r>
                </w:p>
              </w:tc>
            </w:tr>
            <w:tr w14:paraId="6400AD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72" w:type="dxa"/>
                  <w:gridSpan w:val="5"/>
                  <w:tcBorders>
                    <w:tl2br w:val="nil"/>
                    <w:tr2bl w:val="nil"/>
                  </w:tcBorders>
                  <w:vAlign w:val="center"/>
                </w:tcPr>
                <w:p w14:paraId="19EC6AA0">
                  <w:pPr>
                    <w:rPr>
                      <w:rFonts w:hint="default" w:ascii="Times New Roman" w:hAnsi="Times New Roman" w:cs="Times New Roman"/>
                      <w:color w:val="auto"/>
                      <w:szCs w:val="21"/>
                    </w:rPr>
                  </w:pPr>
                  <w:r>
                    <w:rPr>
                      <w:rFonts w:hint="default" w:ascii="Times New Roman" w:hAnsi="Times New Roman" w:cs="Times New Roman"/>
                      <w:color w:val="auto"/>
                      <w:szCs w:val="21"/>
                    </w:rPr>
                    <w:t>填表说明（列出项目相关信息及评价说明）：</w:t>
                  </w:r>
                </w:p>
                <w:p w14:paraId="2F297934">
                  <w:pPr>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本项目环境风险潜势为I，评价等级为简单分析，在落实环评提出的风险防范措施后，环境风险可控。</w:t>
                  </w:r>
                </w:p>
              </w:tc>
            </w:tr>
          </w:tbl>
          <w:p w14:paraId="0700017A">
            <w:pPr>
              <w:numPr>
                <w:ilvl w:val="0"/>
                <w:numId w:val="0"/>
              </w:numPr>
              <w:spacing w:line="360" w:lineRule="auto"/>
              <w:ind w:left="0" w:leftChars="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综上所述，本项目环境风险潜势为I，</w:t>
            </w:r>
            <w:r>
              <w:rPr>
                <w:rFonts w:hint="default" w:ascii="Times New Roman" w:hAnsi="Times New Roman" w:cs="Times New Roman"/>
                <w:color w:val="auto"/>
                <w:sz w:val="24"/>
                <w:szCs w:val="24"/>
                <w:lang w:eastAsia="zh-CN"/>
              </w:rPr>
              <w:t>运营期</w:t>
            </w:r>
            <w:r>
              <w:rPr>
                <w:rFonts w:hint="default" w:ascii="Times New Roman" w:hAnsi="Times New Roman" w:cs="Times New Roman"/>
                <w:color w:val="auto"/>
                <w:sz w:val="24"/>
                <w:szCs w:val="24"/>
              </w:rPr>
              <w:t>落实本报告提出的各项措施、建立和落实各项风险预警防范措施和事故应急计划，杜绝重大安全事故和重大环境污染事故的发生，可使项目建成后风险水平处于可接受程度。</w:t>
            </w:r>
          </w:p>
          <w:p w14:paraId="2B061F25">
            <w:pPr>
              <w:numPr>
                <w:ilvl w:val="0"/>
                <w:numId w:val="0"/>
              </w:numPr>
              <w:spacing w:line="360" w:lineRule="auto"/>
              <w:ind w:left="0" w:leftChars="0"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kern w:val="2"/>
                <w:sz w:val="24"/>
                <w:szCs w:val="24"/>
                <w:lang w:val="en-US" w:eastAsia="zh-CN" w:bidi="ar-SA"/>
              </w:rPr>
              <w:t>7</w:t>
            </w:r>
            <w:r>
              <w:rPr>
                <w:rFonts w:hint="default" w:ascii="Times New Roman" w:hAnsi="Times New Roman" w:eastAsia="宋体" w:cs="Times New Roman"/>
                <w:b/>
                <w:bCs/>
                <w:color w:val="auto"/>
                <w:kern w:val="2"/>
                <w:sz w:val="24"/>
                <w:szCs w:val="24"/>
                <w:lang w:val="en-US" w:eastAsia="zh-CN" w:bidi="ar-SA"/>
              </w:rPr>
              <w:t>、</w:t>
            </w:r>
            <w:r>
              <w:rPr>
                <w:rFonts w:hint="default" w:ascii="Times New Roman" w:hAnsi="Times New Roman" w:cs="Times New Roman"/>
                <w:b/>
                <w:bCs/>
                <w:color w:val="auto"/>
                <w:sz w:val="24"/>
                <w:szCs w:val="24"/>
                <w:lang w:val="en-US" w:eastAsia="zh-CN"/>
              </w:rPr>
              <w:t>环保投资</w:t>
            </w:r>
          </w:p>
          <w:p w14:paraId="22BD6B37">
            <w:pPr>
              <w:numPr>
                <w:ilvl w:val="0"/>
                <w:numId w:val="0"/>
              </w:numPr>
              <w:spacing w:line="360" w:lineRule="auto"/>
              <w:ind w:left="0" w:leftChars="0" w:firstLine="480"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color w:val="auto"/>
                <w:sz w:val="24"/>
                <w:szCs w:val="24"/>
              </w:rPr>
              <w:t>本项目总投资</w:t>
            </w:r>
            <w:r>
              <w:rPr>
                <w:rFonts w:hint="default" w:ascii="Times New Roman" w:hAnsi="Times New Roman" w:cs="Times New Roman"/>
                <w:color w:val="auto"/>
                <w:sz w:val="24"/>
                <w:szCs w:val="24"/>
                <w:lang w:val="en-US" w:eastAsia="zh-CN"/>
              </w:rPr>
              <w:t>1000</w:t>
            </w:r>
            <w:r>
              <w:rPr>
                <w:rFonts w:hint="default" w:ascii="Times New Roman" w:hAnsi="Times New Roman" w:cs="Times New Roman"/>
                <w:color w:val="auto"/>
                <w:sz w:val="24"/>
                <w:szCs w:val="24"/>
              </w:rPr>
              <w:t>万元，环保投资约</w:t>
            </w:r>
            <w:r>
              <w:rPr>
                <w:rFonts w:hint="default" w:ascii="Times New Roman" w:hAnsi="Times New Roman" w:cs="Times New Roman"/>
                <w:color w:val="auto"/>
                <w:sz w:val="24"/>
                <w:szCs w:val="24"/>
                <w:lang w:val="en-US" w:eastAsia="zh-CN"/>
              </w:rPr>
              <w:t>87.4</w:t>
            </w:r>
            <w:r>
              <w:rPr>
                <w:rFonts w:hint="default" w:ascii="Times New Roman" w:hAnsi="Times New Roman" w:cs="Times New Roman"/>
                <w:color w:val="auto"/>
                <w:sz w:val="24"/>
                <w:szCs w:val="24"/>
              </w:rPr>
              <w:t>万元，占总投资的</w:t>
            </w:r>
            <w:r>
              <w:rPr>
                <w:rFonts w:hint="default" w:ascii="Times New Roman" w:hAnsi="Times New Roman" w:cs="Times New Roman"/>
                <w:color w:val="auto"/>
                <w:sz w:val="24"/>
                <w:szCs w:val="24"/>
                <w:lang w:val="en-US" w:eastAsia="zh-CN"/>
              </w:rPr>
              <w:t>8.74</w:t>
            </w:r>
            <w:r>
              <w:rPr>
                <w:rFonts w:hint="default" w:ascii="Times New Roman" w:hAnsi="Times New Roman" w:cs="Times New Roman"/>
                <w:color w:val="auto"/>
                <w:sz w:val="24"/>
                <w:szCs w:val="24"/>
              </w:rPr>
              <w:t>%，主要环保措施及投资估算见表</w:t>
            </w:r>
            <w:r>
              <w:rPr>
                <w:rFonts w:hint="default" w:ascii="Times New Roman" w:hAnsi="Times New Roman" w:cs="Times New Roman"/>
                <w:color w:val="auto"/>
                <w:sz w:val="24"/>
                <w:szCs w:val="24"/>
                <w:highlight w:val="none"/>
              </w:rPr>
              <w:t>4-</w:t>
            </w:r>
            <w:r>
              <w:rPr>
                <w:rFonts w:hint="default" w:ascii="Times New Roman" w:hAnsi="Times New Roman" w:cs="Times New Roman"/>
                <w:color w:val="auto"/>
                <w:sz w:val="24"/>
                <w:szCs w:val="24"/>
                <w:highlight w:val="none"/>
                <w:lang w:val="en-US" w:eastAsia="zh-CN"/>
              </w:rPr>
              <w:t>32</w:t>
            </w:r>
            <w:r>
              <w:rPr>
                <w:rFonts w:hint="default" w:ascii="Times New Roman" w:hAnsi="Times New Roman" w:cs="Times New Roman"/>
                <w:color w:val="auto"/>
                <w:sz w:val="24"/>
                <w:szCs w:val="24"/>
                <w:highlight w:val="none"/>
              </w:rPr>
              <w:t>。</w:t>
            </w:r>
          </w:p>
          <w:p w14:paraId="6397BC99">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lang w:val="en-US" w:eastAsia="zh-CN" w:bidi="ar-SA"/>
              </w:rPr>
            </w:pPr>
            <w:r>
              <w:rPr>
                <w:rFonts w:hint="default" w:ascii="Times New Roman" w:hAnsi="Times New Roman" w:eastAsia="黑体" w:cs="Times New Roman"/>
                <w:b/>
                <w:bCs/>
                <w:color w:val="auto"/>
                <w:kern w:val="0"/>
                <w:sz w:val="21"/>
                <w:szCs w:val="21"/>
                <w:highlight w:val="none"/>
                <w:lang w:val="en-US" w:eastAsia="zh-CN" w:bidi="ar-SA"/>
              </w:rPr>
              <w:t xml:space="preserve">表4-32  </w:t>
            </w:r>
            <w:r>
              <w:rPr>
                <w:rFonts w:hint="default" w:ascii="Times New Roman" w:hAnsi="Times New Roman" w:eastAsia="黑体" w:cs="Times New Roman"/>
                <w:b/>
                <w:bCs/>
                <w:color w:val="auto"/>
                <w:kern w:val="0"/>
                <w:sz w:val="21"/>
                <w:szCs w:val="21"/>
                <w:lang w:val="en-US" w:eastAsia="zh-CN" w:bidi="ar-SA"/>
              </w:rPr>
              <w:t>环保投资估算一览表</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675"/>
              <w:gridCol w:w="6255"/>
              <w:gridCol w:w="1054"/>
            </w:tblGrid>
            <w:tr w14:paraId="06BA5C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tcBorders>
                    <w:tl2br w:val="nil"/>
                    <w:tr2bl w:val="nil"/>
                  </w:tcBorders>
                  <w:vAlign w:val="center"/>
                </w:tcPr>
                <w:p w14:paraId="2D10D8AD">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w:t>
                  </w:r>
                </w:p>
              </w:tc>
              <w:tc>
                <w:tcPr>
                  <w:tcW w:w="6930" w:type="dxa"/>
                  <w:gridSpan w:val="2"/>
                  <w:tcBorders>
                    <w:tl2br w:val="nil"/>
                    <w:tr2bl w:val="nil"/>
                  </w:tcBorders>
                  <w:vAlign w:val="center"/>
                </w:tcPr>
                <w:p w14:paraId="5CE7B77D">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内容</w:t>
                  </w:r>
                </w:p>
              </w:tc>
              <w:tc>
                <w:tcPr>
                  <w:tcW w:w="1054" w:type="dxa"/>
                  <w:tcBorders>
                    <w:tl2br w:val="nil"/>
                    <w:tr2bl w:val="nil"/>
                  </w:tcBorders>
                  <w:vAlign w:val="center"/>
                </w:tcPr>
                <w:p w14:paraId="2DE23881">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投资（万元）</w:t>
                  </w:r>
                </w:p>
              </w:tc>
            </w:tr>
            <w:tr w14:paraId="5757BF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restart"/>
                  <w:tcBorders>
                    <w:tl2br w:val="nil"/>
                    <w:tr2bl w:val="nil"/>
                  </w:tcBorders>
                  <w:vAlign w:val="center"/>
                </w:tcPr>
                <w:p w14:paraId="1222763B">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废气治理</w:t>
                  </w:r>
                </w:p>
              </w:tc>
              <w:tc>
                <w:tcPr>
                  <w:tcW w:w="675" w:type="dxa"/>
                  <w:tcBorders>
                    <w:tl2br w:val="nil"/>
                    <w:tr2bl w:val="nil"/>
                  </w:tcBorders>
                  <w:vAlign w:val="center"/>
                </w:tcPr>
                <w:p w14:paraId="33C52654">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施工期</w:t>
                  </w:r>
                </w:p>
              </w:tc>
              <w:tc>
                <w:tcPr>
                  <w:tcW w:w="6255" w:type="dxa"/>
                  <w:tcBorders>
                    <w:tl2br w:val="nil"/>
                    <w:tr2bl w:val="nil"/>
                  </w:tcBorders>
                  <w:vAlign w:val="center"/>
                </w:tcPr>
                <w:p w14:paraId="16AB35D1">
                  <w:pPr>
                    <w:pStyle w:val="55"/>
                    <w:keepNext w:val="0"/>
                    <w:keepLines w:val="0"/>
                    <w:suppressLineNumbers w:val="0"/>
                    <w:spacing w:before="0" w:beforeAutospacing="0" w:after="0" w:afterAutospacing="0"/>
                    <w:ind w:left="0" w:leftChars="0" w:right="0" w:rightChars="0"/>
                    <w:jc w:val="left"/>
                    <w:rPr>
                      <w:rFonts w:hint="default" w:ascii="Times New Roman" w:hAnsi="Times New Roman" w:eastAsia="Times New Roman" w:cs="Times New Roman"/>
                      <w:color w:val="auto"/>
                      <w:kern w:val="0"/>
                      <w:sz w:val="21"/>
                      <w:szCs w:val="21"/>
                      <w:lang w:val="en-US" w:eastAsia="zh-CN" w:bidi="ar-SA"/>
                    </w:rPr>
                  </w:pPr>
                  <w:r>
                    <w:rPr>
                      <w:rFonts w:hint="default" w:ascii="Times New Roman" w:hAnsi="Times New Roman" w:eastAsia="宋体" w:cs="Times New Roman"/>
                      <w:color w:val="auto"/>
                      <w:sz w:val="21"/>
                      <w:szCs w:val="21"/>
                      <w:highlight w:val="none"/>
                    </w:rPr>
                    <w:t>封闭施工，洒水抑尘等降尘措施</w:t>
                  </w:r>
                </w:p>
              </w:tc>
              <w:tc>
                <w:tcPr>
                  <w:tcW w:w="1054" w:type="dxa"/>
                  <w:tcBorders>
                    <w:tl2br w:val="nil"/>
                    <w:tr2bl w:val="nil"/>
                  </w:tcBorders>
                  <w:vAlign w:val="center"/>
                </w:tcPr>
                <w:p w14:paraId="1D11AA22">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highlight w:val="none"/>
                      <w:lang w:val="en-US" w:eastAsia="zh-CN"/>
                    </w:rPr>
                    <w:t>2</w:t>
                  </w:r>
                </w:p>
              </w:tc>
            </w:tr>
            <w:tr w14:paraId="564AB5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14:paraId="4ACDEA37">
                  <w:pPr>
                    <w:jc w:val="center"/>
                    <w:rPr>
                      <w:rFonts w:hint="default" w:ascii="Times New Roman" w:hAnsi="Times New Roman" w:cs="Times New Roman"/>
                      <w:color w:val="auto"/>
                      <w:szCs w:val="21"/>
                    </w:rPr>
                  </w:pPr>
                </w:p>
              </w:tc>
              <w:tc>
                <w:tcPr>
                  <w:tcW w:w="675" w:type="dxa"/>
                  <w:vMerge w:val="restart"/>
                  <w:tcBorders>
                    <w:tl2br w:val="nil"/>
                    <w:tr2bl w:val="nil"/>
                  </w:tcBorders>
                  <w:vAlign w:val="center"/>
                </w:tcPr>
                <w:p w14:paraId="5A297282">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运营期</w:t>
                  </w:r>
                </w:p>
              </w:tc>
              <w:tc>
                <w:tcPr>
                  <w:tcW w:w="6255" w:type="dxa"/>
                  <w:tcBorders>
                    <w:tl2br w:val="nil"/>
                    <w:tr2bl w:val="nil"/>
                  </w:tcBorders>
                  <w:shd w:val="clear" w:color="auto" w:fill="auto"/>
                  <w:vAlign w:val="center"/>
                </w:tcPr>
                <w:p w14:paraId="51CDBAD9">
                  <w:pPr>
                    <w:pStyle w:val="80"/>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b/>
                      <w:bCs w:val="0"/>
                      <w:color w:val="auto"/>
                      <w:kern w:val="0"/>
                      <w:szCs w:val="21"/>
                      <w:lang w:val="en-US" w:eastAsia="zh-CN"/>
                    </w:rPr>
                    <w:t>骨料上料粉尘</w:t>
                  </w:r>
                  <w:r>
                    <w:rPr>
                      <w:rFonts w:hint="default" w:ascii="Times New Roman" w:hAnsi="Times New Roman" w:cs="Times New Roman"/>
                      <w:b/>
                      <w:bCs w:val="0"/>
                      <w:color w:val="auto"/>
                      <w:kern w:val="0"/>
                      <w:szCs w:val="21"/>
                      <w:lang w:val="en-US" w:eastAsia="zh-CN"/>
                    </w:rPr>
                    <w:t>：</w:t>
                  </w:r>
                  <w:r>
                    <w:rPr>
                      <w:rFonts w:hint="default" w:ascii="Times New Roman" w:hAnsi="Times New Roman" w:eastAsia="宋体" w:cs="Times New Roman"/>
                      <w:color w:val="auto"/>
                      <w:spacing w:val="-1"/>
                      <w:szCs w:val="21"/>
                    </w:rPr>
                    <w:t>骨料通过装载机转运至</w:t>
                  </w:r>
                  <w:r>
                    <w:rPr>
                      <w:rFonts w:hint="default" w:ascii="Times New Roman" w:hAnsi="Times New Roman" w:eastAsia="宋体" w:cs="Times New Roman"/>
                      <w:color w:val="auto"/>
                      <w:spacing w:val="-1"/>
                      <w:szCs w:val="21"/>
                      <w:lang w:val="en-US" w:eastAsia="zh-CN"/>
                    </w:rPr>
                    <w:t>上料斗</w:t>
                  </w:r>
                  <w:r>
                    <w:rPr>
                      <w:rFonts w:hint="default" w:ascii="Times New Roman" w:hAnsi="Times New Roman" w:eastAsia="宋体" w:cs="Times New Roman"/>
                      <w:color w:val="auto"/>
                      <w:spacing w:val="-1"/>
                      <w:szCs w:val="21"/>
                    </w:rPr>
                    <w:t>进行上料，</w:t>
                  </w:r>
                  <w:r>
                    <w:rPr>
                      <w:rFonts w:hint="default" w:ascii="Times New Roman" w:hAnsi="Times New Roman" w:eastAsia="宋体" w:cs="Times New Roman"/>
                      <w:color w:val="auto"/>
                      <w:spacing w:val="-1"/>
                      <w:szCs w:val="21"/>
                      <w:lang w:val="en-US" w:eastAsia="zh-CN"/>
                    </w:rPr>
                    <w:t>上料斗</w:t>
                  </w:r>
                  <w:r>
                    <w:rPr>
                      <w:rFonts w:hint="default" w:ascii="Times New Roman" w:hAnsi="Times New Roman" w:eastAsia="宋体" w:cs="Times New Roman"/>
                      <w:color w:val="auto"/>
                      <w:spacing w:val="-1"/>
                      <w:szCs w:val="21"/>
                    </w:rPr>
                    <w:t>设置</w:t>
                  </w:r>
                  <w:r>
                    <w:rPr>
                      <w:rFonts w:hint="default" w:ascii="Times New Roman" w:hAnsi="Times New Roman" w:eastAsia="宋体" w:cs="Times New Roman"/>
                      <w:color w:val="auto"/>
                      <w:spacing w:val="-1"/>
                      <w:szCs w:val="21"/>
                      <w:lang w:eastAsia="zh-CN"/>
                    </w:rPr>
                    <w:t>三面围挡，顶部加盖</w:t>
                  </w:r>
                  <w:r>
                    <w:rPr>
                      <w:rFonts w:hint="default" w:ascii="Times New Roman" w:hAnsi="Times New Roman" w:eastAsia="宋体" w:cs="Times New Roman"/>
                      <w:color w:val="auto"/>
                      <w:spacing w:val="-1"/>
                      <w:szCs w:val="21"/>
                    </w:rPr>
                    <w:t>，上料区上方采取喷雾降尘装置、平缓上料、减小落差等措施，降低骨料上料、输送过程产生的粉尘。</w:t>
                  </w:r>
                </w:p>
              </w:tc>
              <w:tc>
                <w:tcPr>
                  <w:tcW w:w="1054" w:type="dxa"/>
                  <w:tcBorders>
                    <w:tl2br w:val="nil"/>
                    <w:tr2bl w:val="nil"/>
                  </w:tcBorders>
                  <w:vAlign w:val="center"/>
                </w:tcPr>
                <w:p w14:paraId="768DB2AE">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w:t>
                  </w:r>
                </w:p>
              </w:tc>
            </w:tr>
            <w:tr w14:paraId="58851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14:paraId="15854A33">
                  <w:pPr>
                    <w:jc w:val="center"/>
                    <w:rPr>
                      <w:rFonts w:hint="default" w:ascii="Times New Roman" w:hAnsi="Times New Roman" w:cs="Times New Roman"/>
                      <w:color w:val="auto"/>
                      <w:szCs w:val="21"/>
                    </w:rPr>
                  </w:pPr>
                </w:p>
              </w:tc>
              <w:tc>
                <w:tcPr>
                  <w:tcW w:w="675" w:type="dxa"/>
                  <w:vMerge w:val="continue"/>
                  <w:tcBorders>
                    <w:tl2br w:val="nil"/>
                    <w:tr2bl w:val="nil"/>
                  </w:tcBorders>
                  <w:vAlign w:val="center"/>
                </w:tcPr>
                <w:p w14:paraId="568869BC">
                  <w:pPr>
                    <w:jc w:val="center"/>
                    <w:rPr>
                      <w:rFonts w:hint="default" w:ascii="Times New Roman" w:hAnsi="Times New Roman" w:cs="Times New Roman"/>
                      <w:color w:val="auto"/>
                      <w:szCs w:val="21"/>
                    </w:rPr>
                  </w:pPr>
                </w:p>
              </w:tc>
              <w:tc>
                <w:tcPr>
                  <w:tcW w:w="6255" w:type="dxa"/>
                  <w:tcBorders>
                    <w:tl2br w:val="nil"/>
                    <w:tr2bl w:val="nil"/>
                  </w:tcBorders>
                  <w:shd w:val="clear" w:color="auto" w:fill="auto"/>
                  <w:vAlign w:val="center"/>
                </w:tcPr>
                <w:p w14:paraId="5B8F775A">
                  <w:pPr>
                    <w:pStyle w:val="80"/>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b w:val="0"/>
                      <w:bCs/>
                      <w:color w:val="auto"/>
                      <w:kern w:val="0"/>
                      <w:szCs w:val="21"/>
                      <w:lang w:val="en-US" w:eastAsia="zh-CN"/>
                    </w:rPr>
                    <w:t>矿粉筒仓粉尘</w:t>
                  </w:r>
                  <w:r>
                    <w:rPr>
                      <w:rFonts w:hint="default" w:ascii="Times New Roman" w:hAnsi="Times New Roman" w:cs="Times New Roman"/>
                      <w:b w:val="0"/>
                      <w:bCs/>
                      <w:color w:val="auto"/>
                      <w:kern w:val="0"/>
                      <w:szCs w:val="21"/>
                      <w:lang w:val="en-US" w:eastAsia="zh-CN"/>
                    </w:rPr>
                    <w:t>：</w:t>
                  </w:r>
                  <w:r>
                    <w:rPr>
                      <w:rFonts w:hint="default" w:ascii="Times New Roman" w:hAnsi="Times New Roman" w:eastAsia="宋体" w:cs="Times New Roman"/>
                      <w:color w:val="auto"/>
                      <w:spacing w:val="-1"/>
                      <w:szCs w:val="21"/>
                    </w:rPr>
                    <w:t>粉料经密闭管道输送至粉料筒仓内暂存备用，每个筒仓上方配备有布袋除尘器处理后无组织排放。</w:t>
                  </w:r>
                </w:p>
              </w:tc>
              <w:tc>
                <w:tcPr>
                  <w:tcW w:w="1054" w:type="dxa"/>
                  <w:tcBorders>
                    <w:tl2br w:val="nil"/>
                    <w:tr2bl w:val="nil"/>
                  </w:tcBorders>
                  <w:vAlign w:val="center"/>
                </w:tcPr>
                <w:p w14:paraId="2369B284">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w:t>
                  </w:r>
                </w:p>
              </w:tc>
            </w:tr>
            <w:tr w14:paraId="0E4E8A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14:paraId="420AB0ED">
                  <w:pPr>
                    <w:jc w:val="center"/>
                    <w:rPr>
                      <w:rFonts w:hint="default" w:ascii="Times New Roman" w:hAnsi="Times New Roman" w:cs="Times New Roman"/>
                      <w:color w:val="auto"/>
                      <w:szCs w:val="21"/>
                    </w:rPr>
                  </w:pPr>
                </w:p>
              </w:tc>
              <w:tc>
                <w:tcPr>
                  <w:tcW w:w="675" w:type="dxa"/>
                  <w:vMerge w:val="continue"/>
                  <w:tcBorders>
                    <w:tl2br w:val="nil"/>
                    <w:tr2bl w:val="nil"/>
                  </w:tcBorders>
                  <w:vAlign w:val="center"/>
                </w:tcPr>
                <w:p w14:paraId="71C5F95E">
                  <w:pPr>
                    <w:jc w:val="center"/>
                    <w:rPr>
                      <w:rFonts w:hint="default" w:ascii="Times New Roman" w:hAnsi="Times New Roman" w:cs="Times New Roman"/>
                      <w:color w:val="auto"/>
                      <w:szCs w:val="21"/>
                    </w:rPr>
                  </w:pPr>
                </w:p>
              </w:tc>
              <w:tc>
                <w:tcPr>
                  <w:tcW w:w="6255" w:type="dxa"/>
                  <w:tcBorders>
                    <w:tl2br w:val="nil"/>
                    <w:tr2bl w:val="nil"/>
                  </w:tcBorders>
                  <w:shd w:val="clear" w:color="auto" w:fill="auto"/>
                  <w:vAlign w:val="center"/>
                </w:tcPr>
                <w:p w14:paraId="60F09FE9">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pacing w:val="-1"/>
                      <w:szCs w:val="21"/>
                      <w:lang w:val="en-US" w:eastAsia="zh-CN"/>
                    </w:rPr>
                  </w:pPr>
                  <w:r>
                    <w:rPr>
                      <w:rFonts w:hint="default" w:ascii="Times New Roman" w:hAnsi="Times New Roman" w:eastAsia="宋体" w:cs="Times New Roman"/>
                      <w:b/>
                      <w:bCs w:val="0"/>
                      <w:color w:val="auto"/>
                      <w:kern w:val="0"/>
                      <w:szCs w:val="21"/>
                      <w:lang w:val="en-US" w:eastAsia="zh-CN"/>
                    </w:rPr>
                    <w:t>沥青废气（沥青烟、苯并[a]芘、VOCs</w:t>
                  </w:r>
                  <w:r>
                    <w:rPr>
                      <w:rFonts w:hint="default" w:ascii="Times New Roman" w:hAnsi="Times New Roman" w:cs="Times New Roman"/>
                      <w:color w:val="auto"/>
                      <w:lang w:val="en-US" w:eastAsia="zh-CN"/>
                    </w:rPr>
                    <w:t>（以非甲烷总烃计）</w:t>
                  </w:r>
                  <w:r>
                    <w:rPr>
                      <w:rFonts w:hint="default" w:ascii="Times New Roman" w:hAnsi="Times New Roman" w:eastAsia="宋体" w:cs="Times New Roman"/>
                      <w:b/>
                      <w:bCs w:val="0"/>
                      <w:color w:val="auto"/>
                      <w:kern w:val="0"/>
                      <w:szCs w:val="21"/>
                      <w:lang w:val="en-US" w:eastAsia="zh-CN"/>
                    </w:rPr>
                    <w:t>）</w:t>
                  </w:r>
                  <w:r>
                    <w:rPr>
                      <w:rFonts w:hint="default" w:ascii="Times New Roman" w:hAnsi="Times New Roman" w:cs="Times New Roman"/>
                      <w:b/>
                      <w:bCs w:val="0"/>
                      <w:color w:val="auto"/>
                      <w:kern w:val="0"/>
                      <w:szCs w:val="21"/>
                      <w:lang w:val="en-US" w:eastAsia="zh-CN"/>
                    </w:rPr>
                    <w:t>：</w:t>
                  </w:r>
                </w:p>
                <w:p w14:paraId="445FE04D">
                  <w:pPr>
                    <w:pStyle w:val="80"/>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cs="Times New Roman"/>
                      <w:color w:val="auto"/>
                      <w:spacing w:val="-1"/>
                      <w:szCs w:val="21"/>
                      <w:lang w:val="en-US" w:eastAsia="zh-CN"/>
                    </w:rPr>
                    <w:t>搅拌缸为密闭设备，沥青搅拌过程中产生的沥青废气通过管道收集；成品卸料口的沥青烟气采取</w:t>
                  </w:r>
                  <w:r>
                    <w:rPr>
                      <w:rFonts w:hint="default" w:ascii="Times New Roman" w:hAnsi="Times New Roman" w:eastAsia="宋体" w:cs="Times New Roman"/>
                      <w:color w:val="auto"/>
                      <w:spacing w:val="-1"/>
                      <w:szCs w:val="21"/>
                      <w:lang w:val="en-US" w:eastAsia="zh-CN"/>
                    </w:rPr>
                    <w:t>静电捕集，</w:t>
                  </w:r>
                  <w:r>
                    <w:rPr>
                      <w:rFonts w:hint="default" w:ascii="Times New Roman" w:hAnsi="Times New Roman" w:cs="Times New Roman"/>
                      <w:color w:val="auto"/>
                      <w:spacing w:val="-1"/>
                      <w:szCs w:val="21"/>
                      <w:lang w:val="en-US" w:eastAsia="zh-CN"/>
                    </w:rPr>
                    <w:t>与沥青搅拌缸废气</w:t>
                  </w:r>
                  <w:r>
                    <w:rPr>
                      <w:rFonts w:hint="default" w:ascii="Times New Roman" w:hAnsi="Times New Roman" w:eastAsia="宋体" w:cs="Times New Roman"/>
                      <w:color w:val="auto"/>
                      <w:spacing w:val="-1"/>
                      <w:szCs w:val="21"/>
                    </w:rPr>
                    <w:t>经管道一并引至烘干筒前端与燃烧器火焰进行高温燃烧后，同烘干</w:t>
                  </w:r>
                  <w:r>
                    <w:rPr>
                      <w:rFonts w:hint="default" w:ascii="Times New Roman" w:hAnsi="Times New Roman" w:cs="Times New Roman"/>
                      <w:color w:val="auto"/>
                      <w:spacing w:val="-1"/>
                      <w:szCs w:val="21"/>
                      <w:lang w:val="en-US" w:eastAsia="zh-CN"/>
                    </w:rPr>
                    <w:t>筛分</w:t>
                  </w:r>
                  <w:r>
                    <w:rPr>
                      <w:rFonts w:hint="default" w:ascii="Times New Roman" w:hAnsi="Times New Roman" w:eastAsia="宋体" w:cs="Times New Roman"/>
                      <w:color w:val="auto"/>
                      <w:spacing w:val="-1"/>
                      <w:szCs w:val="21"/>
                    </w:rPr>
                    <w:t>废气一起经</w:t>
                  </w:r>
                  <w:r>
                    <w:rPr>
                      <w:rFonts w:hint="default" w:ascii="Times New Roman" w:hAnsi="Times New Roman" w:eastAsia="宋体" w:cs="Times New Roman"/>
                      <w:color w:val="auto"/>
                      <w:spacing w:val="-1"/>
                      <w:szCs w:val="21"/>
                      <w:lang w:val="en-US" w:eastAsia="zh-CN"/>
                    </w:rPr>
                    <w:t>除尘系统</w:t>
                  </w:r>
                  <w:r>
                    <w:rPr>
                      <w:rFonts w:hint="default" w:ascii="Times New Roman" w:hAnsi="Times New Roman" w:eastAsia="宋体" w:cs="Times New Roman"/>
                      <w:color w:val="auto"/>
                      <w:spacing w:val="-1"/>
                      <w:szCs w:val="21"/>
                      <w:lang w:eastAsia="zh-CN"/>
                    </w:rPr>
                    <w:t>（</w:t>
                  </w:r>
                  <w:r>
                    <w:rPr>
                      <w:rFonts w:hint="default" w:ascii="Times New Roman" w:hAnsi="Times New Roman" w:eastAsia="宋体" w:cs="Times New Roman"/>
                      <w:color w:val="auto"/>
                      <w:spacing w:val="-1"/>
                      <w:szCs w:val="21"/>
                      <w:lang w:val="en-US" w:eastAsia="zh-CN"/>
                    </w:rPr>
                    <w:t>一级重力除尘+二级布袋除尘</w:t>
                  </w:r>
                  <w:r>
                    <w:rPr>
                      <w:rFonts w:hint="default" w:ascii="Times New Roman" w:hAnsi="Times New Roman" w:eastAsia="宋体" w:cs="Times New Roman"/>
                      <w:color w:val="auto"/>
                      <w:spacing w:val="-1"/>
                      <w:szCs w:val="21"/>
                      <w:lang w:eastAsia="zh-CN"/>
                    </w:rPr>
                    <w:t>）</w:t>
                  </w:r>
                  <w:r>
                    <w:rPr>
                      <w:rFonts w:hint="default" w:ascii="Times New Roman" w:hAnsi="Times New Roman" w:eastAsia="宋体" w:cs="Times New Roman"/>
                      <w:color w:val="auto"/>
                      <w:spacing w:val="-1"/>
                      <w:szCs w:val="21"/>
                    </w:rPr>
                    <w:t>处理后通过</w:t>
                  </w:r>
                  <w:r>
                    <w:rPr>
                      <w:rFonts w:hint="default" w:ascii="Times New Roman" w:hAnsi="Times New Roman" w:cs="Times New Roman"/>
                      <w:color w:val="auto"/>
                      <w:spacing w:val="-1"/>
                      <w:szCs w:val="21"/>
                      <w:lang w:val="en-US" w:eastAsia="zh-CN"/>
                    </w:rPr>
                    <w:t>20</w:t>
                  </w:r>
                  <w:r>
                    <w:rPr>
                      <w:rFonts w:hint="default" w:ascii="Times New Roman" w:hAnsi="Times New Roman" w:eastAsia="宋体" w:cs="Times New Roman"/>
                      <w:color w:val="auto"/>
                      <w:spacing w:val="-1"/>
                      <w:szCs w:val="21"/>
                    </w:rPr>
                    <w:t>m排气筒（</w:t>
                  </w:r>
                  <w:r>
                    <w:rPr>
                      <w:rFonts w:hint="default" w:ascii="Times New Roman" w:hAnsi="Times New Roman" w:cs="Times New Roman"/>
                      <w:color w:val="auto"/>
                      <w:spacing w:val="-1"/>
                      <w:szCs w:val="21"/>
                      <w:lang w:eastAsia="zh-CN"/>
                    </w:rPr>
                    <w:t>DA001</w:t>
                  </w:r>
                  <w:r>
                    <w:rPr>
                      <w:rFonts w:hint="default" w:ascii="Times New Roman" w:hAnsi="Times New Roman" w:eastAsia="宋体" w:cs="Times New Roman"/>
                      <w:color w:val="auto"/>
                      <w:spacing w:val="-1"/>
                      <w:szCs w:val="21"/>
                    </w:rPr>
                    <w:t>）排放。</w:t>
                  </w:r>
                  <w:r>
                    <w:rPr>
                      <w:rFonts w:hint="default" w:ascii="Times New Roman" w:hAnsi="Times New Roman" w:cs="Times New Roman"/>
                      <w:color w:val="auto"/>
                      <w:spacing w:val="-1"/>
                      <w:szCs w:val="21"/>
                      <w:lang w:eastAsia="zh-CN"/>
                    </w:rPr>
                    <w:t>沥青罐密闭设置，设置储存呼吸口，呼吸口阀门关闭，储罐上方采用管道连通，沥青烟气通过管道密闭式收集，然后引至烘干筒燃烧器外焰高温燃烧</w:t>
                  </w:r>
                  <w:r>
                    <w:rPr>
                      <w:rFonts w:hint="default" w:ascii="Times New Roman" w:hAnsi="Times New Roman" w:cs="Times New Roman"/>
                      <w:color w:val="auto"/>
                      <w:spacing w:val="-1"/>
                      <w:szCs w:val="21"/>
                      <w:lang w:val="en-US" w:eastAsia="zh-CN"/>
                    </w:rPr>
                    <w:t>后，引至20</w:t>
                  </w:r>
                  <w:r>
                    <w:rPr>
                      <w:rFonts w:hint="default" w:ascii="Times New Roman" w:hAnsi="Times New Roman" w:eastAsia="宋体" w:cs="Times New Roman"/>
                      <w:color w:val="auto"/>
                      <w:spacing w:val="-1"/>
                      <w:szCs w:val="21"/>
                    </w:rPr>
                    <w:t>m排气筒（</w:t>
                  </w:r>
                  <w:r>
                    <w:rPr>
                      <w:rFonts w:hint="default" w:ascii="Times New Roman" w:hAnsi="Times New Roman" w:cs="Times New Roman"/>
                      <w:color w:val="auto"/>
                      <w:spacing w:val="-1"/>
                      <w:szCs w:val="21"/>
                      <w:lang w:eastAsia="zh-CN"/>
                    </w:rPr>
                    <w:t>DA001</w:t>
                  </w:r>
                  <w:r>
                    <w:rPr>
                      <w:rFonts w:hint="default" w:ascii="Times New Roman" w:hAnsi="Times New Roman" w:eastAsia="宋体" w:cs="Times New Roman"/>
                      <w:color w:val="auto"/>
                      <w:spacing w:val="-1"/>
                      <w:szCs w:val="21"/>
                    </w:rPr>
                    <w:t>）排放。</w:t>
                  </w:r>
                </w:p>
              </w:tc>
              <w:tc>
                <w:tcPr>
                  <w:tcW w:w="1054" w:type="dxa"/>
                  <w:tcBorders>
                    <w:tl2br w:val="nil"/>
                    <w:tr2bl w:val="nil"/>
                  </w:tcBorders>
                  <w:vAlign w:val="center"/>
                </w:tcPr>
                <w:p w14:paraId="05A027A7">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30</w:t>
                  </w:r>
                </w:p>
              </w:tc>
            </w:tr>
            <w:tr w14:paraId="678355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14:paraId="6D041DC9">
                  <w:pPr>
                    <w:jc w:val="center"/>
                    <w:rPr>
                      <w:rFonts w:hint="default" w:ascii="Times New Roman" w:hAnsi="Times New Roman" w:cs="Times New Roman"/>
                      <w:color w:val="auto"/>
                      <w:szCs w:val="21"/>
                    </w:rPr>
                  </w:pPr>
                </w:p>
              </w:tc>
              <w:tc>
                <w:tcPr>
                  <w:tcW w:w="675" w:type="dxa"/>
                  <w:vMerge w:val="continue"/>
                  <w:tcBorders>
                    <w:tl2br w:val="nil"/>
                    <w:tr2bl w:val="nil"/>
                  </w:tcBorders>
                  <w:vAlign w:val="center"/>
                </w:tcPr>
                <w:p w14:paraId="5B33302D">
                  <w:pPr>
                    <w:jc w:val="center"/>
                    <w:rPr>
                      <w:rFonts w:hint="default" w:ascii="Times New Roman" w:hAnsi="Times New Roman" w:cs="Times New Roman"/>
                      <w:color w:val="auto"/>
                      <w:szCs w:val="21"/>
                    </w:rPr>
                  </w:pPr>
                </w:p>
              </w:tc>
              <w:tc>
                <w:tcPr>
                  <w:tcW w:w="6255" w:type="dxa"/>
                  <w:tcBorders>
                    <w:tl2br w:val="nil"/>
                    <w:tr2bl w:val="nil"/>
                  </w:tcBorders>
                  <w:shd w:val="clear" w:color="auto" w:fill="auto"/>
                  <w:vAlign w:val="center"/>
                </w:tcPr>
                <w:p w14:paraId="212657EB">
                  <w:pPr>
                    <w:pStyle w:val="80"/>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b/>
                      <w:bCs w:val="0"/>
                      <w:color w:val="auto"/>
                      <w:kern w:val="0"/>
                      <w:szCs w:val="21"/>
                      <w:lang w:val="en-US" w:eastAsia="zh-CN"/>
                    </w:rPr>
                    <w:t>骨料烘干、筛分粉尘：</w:t>
                  </w:r>
                  <w:r>
                    <w:rPr>
                      <w:rFonts w:hint="default" w:ascii="Times New Roman" w:hAnsi="Times New Roman" w:eastAsia="宋体" w:cs="Times New Roman"/>
                      <w:color w:val="auto"/>
                      <w:spacing w:val="-1"/>
                      <w:szCs w:val="21"/>
                      <w:lang w:val="en-US" w:eastAsia="zh-CN"/>
                    </w:rPr>
                    <w:t>骨料经</w:t>
                  </w:r>
                  <w:r>
                    <w:rPr>
                      <w:rFonts w:hint="default" w:ascii="Times New Roman" w:hAnsi="Times New Roman" w:eastAsia="宋体" w:cs="Times New Roman"/>
                      <w:color w:val="auto"/>
                      <w:spacing w:val="-1"/>
                      <w:szCs w:val="21"/>
                    </w:rPr>
                    <w:t>斗提提升机封闭提升至烘干筒，</w:t>
                  </w:r>
                  <w:r>
                    <w:rPr>
                      <w:rFonts w:hint="default" w:ascii="Times New Roman" w:hAnsi="Times New Roman" w:eastAsia="宋体" w:cs="Times New Roman"/>
                      <w:color w:val="auto"/>
                      <w:spacing w:val="-1"/>
                      <w:szCs w:val="21"/>
                      <w:lang w:val="en-US" w:eastAsia="zh-CN"/>
                    </w:rPr>
                    <w:t>骨料</w:t>
                  </w:r>
                  <w:r>
                    <w:rPr>
                      <w:rFonts w:hint="default" w:ascii="Times New Roman" w:hAnsi="Times New Roman" w:eastAsia="宋体" w:cs="Times New Roman"/>
                      <w:color w:val="auto"/>
                      <w:spacing w:val="-1"/>
                      <w:szCs w:val="21"/>
                    </w:rPr>
                    <w:t>在烘干筒采用轻质燃油点火直接加热烘干，烘干热料经斗提提升机密闭提升至筛分机，经密闭筛分后进入密闭料仓。</w:t>
                  </w:r>
                  <w:r>
                    <w:rPr>
                      <w:rFonts w:hint="default" w:ascii="Times New Roman" w:hAnsi="Times New Roman" w:eastAsia="宋体" w:cs="Times New Roman"/>
                      <w:color w:val="auto"/>
                      <w:spacing w:val="-1"/>
                      <w:szCs w:val="21"/>
                      <w:lang w:val="en-US" w:eastAsia="zh-CN"/>
                    </w:rPr>
                    <w:t>烘干、</w:t>
                  </w:r>
                  <w:r>
                    <w:rPr>
                      <w:rFonts w:hint="default" w:ascii="Times New Roman" w:hAnsi="Times New Roman" w:eastAsia="宋体" w:cs="Times New Roman"/>
                      <w:color w:val="auto"/>
                      <w:spacing w:val="-1"/>
                      <w:szCs w:val="21"/>
                    </w:rPr>
                    <w:t>筛分废气污染物经管道引至</w:t>
                  </w:r>
                  <w:r>
                    <w:rPr>
                      <w:rFonts w:hint="default" w:ascii="Times New Roman" w:hAnsi="Times New Roman" w:eastAsia="宋体" w:cs="Times New Roman"/>
                      <w:color w:val="auto"/>
                      <w:spacing w:val="-1"/>
                      <w:szCs w:val="21"/>
                      <w:lang w:val="en-US" w:eastAsia="zh-CN"/>
                    </w:rPr>
                    <w:t>除尘系统</w:t>
                  </w:r>
                  <w:r>
                    <w:rPr>
                      <w:rFonts w:hint="default" w:ascii="Times New Roman" w:hAnsi="Times New Roman" w:eastAsia="宋体" w:cs="Times New Roman"/>
                      <w:color w:val="auto"/>
                      <w:spacing w:val="-1"/>
                      <w:szCs w:val="21"/>
                      <w:lang w:eastAsia="zh-CN"/>
                    </w:rPr>
                    <w:t>（</w:t>
                  </w:r>
                  <w:r>
                    <w:rPr>
                      <w:rFonts w:hint="default" w:ascii="Times New Roman" w:hAnsi="Times New Roman" w:eastAsia="宋体" w:cs="Times New Roman"/>
                      <w:color w:val="auto"/>
                      <w:spacing w:val="-1"/>
                      <w:szCs w:val="21"/>
                      <w:lang w:val="en-US" w:eastAsia="zh-CN"/>
                    </w:rPr>
                    <w:t>一级重力除尘+二级布袋除尘</w:t>
                  </w:r>
                  <w:r>
                    <w:rPr>
                      <w:rFonts w:hint="default" w:ascii="Times New Roman" w:hAnsi="Times New Roman" w:eastAsia="宋体" w:cs="Times New Roman"/>
                      <w:color w:val="auto"/>
                      <w:spacing w:val="-1"/>
                      <w:szCs w:val="21"/>
                      <w:lang w:eastAsia="zh-CN"/>
                    </w:rPr>
                    <w:t>）</w:t>
                  </w:r>
                  <w:r>
                    <w:rPr>
                      <w:rFonts w:hint="default" w:ascii="Times New Roman" w:hAnsi="Times New Roman" w:eastAsia="宋体" w:cs="Times New Roman"/>
                      <w:color w:val="auto"/>
                      <w:spacing w:val="-1"/>
                      <w:szCs w:val="21"/>
                      <w:lang w:val="en-US" w:eastAsia="zh-CN"/>
                    </w:rPr>
                    <w:t>处理</w:t>
                  </w:r>
                  <w:r>
                    <w:rPr>
                      <w:rFonts w:hint="default" w:ascii="Times New Roman" w:hAnsi="Times New Roman" w:eastAsia="宋体" w:cs="Times New Roman"/>
                      <w:color w:val="auto"/>
                      <w:spacing w:val="-1"/>
                      <w:szCs w:val="21"/>
                    </w:rPr>
                    <w:t>后通过</w:t>
                  </w:r>
                  <w:r>
                    <w:rPr>
                      <w:rFonts w:hint="default" w:ascii="Times New Roman" w:hAnsi="Times New Roman" w:cs="Times New Roman"/>
                      <w:color w:val="auto"/>
                      <w:spacing w:val="-1"/>
                      <w:szCs w:val="21"/>
                      <w:lang w:val="en-US" w:eastAsia="zh-CN"/>
                    </w:rPr>
                    <w:t>20</w:t>
                  </w:r>
                  <w:r>
                    <w:rPr>
                      <w:rFonts w:hint="default" w:ascii="Times New Roman" w:hAnsi="Times New Roman" w:eastAsia="宋体" w:cs="Times New Roman"/>
                      <w:color w:val="auto"/>
                      <w:spacing w:val="-1"/>
                      <w:szCs w:val="21"/>
                    </w:rPr>
                    <w:t>m排气筒（</w:t>
                  </w:r>
                  <w:r>
                    <w:rPr>
                      <w:rFonts w:hint="default" w:ascii="Times New Roman" w:hAnsi="Times New Roman" w:eastAsia="宋体" w:cs="Times New Roman"/>
                      <w:color w:val="auto"/>
                      <w:spacing w:val="-1"/>
                      <w:szCs w:val="21"/>
                      <w:lang w:eastAsia="zh-CN"/>
                    </w:rPr>
                    <w:t>DA001</w:t>
                  </w:r>
                  <w:r>
                    <w:rPr>
                      <w:rFonts w:hint="default" w:ascii="Times New Roman" w:hAnsi="Times New Roman" w:eastAsia="宋体" w:cs="Times New Roman"/>
                      <w:color w:val="auto"/>
                      <w:spacing w:val="-1"/>
                      <w:szCs w:val="21"/>
                    </w:rPr>
                    <w:t>）排放。</w:t>
                  </w:r>
                </w:p>
              </w:tc>
              <w:tc>
                <w:tcPr>
                  <w:tcW w:w="1054" w:type="dxa"/>
                  <w:tcBorders>
                    <w:tl2br w:val="nil"/>
                    <w:tr2bl w:val="nil"/>
                  </w:tcBorders>
                  <w:vAlign w:val="center"/>
                </w:tcPr>
                <w:p w14:paraId="0CABDAD8">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10</w:t>
                  </w:r>
                </w:p>
              </w:tc>
            </w:tr>
            <w:tr w14:paraId="568BA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14:paraId="6BB328C7">
                  <w:pPr>
                    <w:jc w:val="center"/>
                    <w:rPr>
                      <w:rFonts w:hint="default" w:ascii="Times New Roman" w:hAnsi="Times New Roman" w:cs="Times New Roman"/>
                      <w:color w:val="auto"/>
                      <w:szCs w:val="21"/>
                    </w:rPr>
                  </w:pPr>
                </w:p>
              </w:tc>
              <w:tc>
                <w:tcPr>
                  <w:tcW w:w="675" w:type="dxa"/>
                  <w:vMerge w:val="continue"/>
                  <w:tcBorders>
                    <w:tl2br w:val="nil"/>
                    <w:tr2bl w:val="nil"/>
                  </w:tcBorders>
                  <w:vAlign w:val="center"/>
                </w:tcPr>
                <w:p w14:paraId="284CAB25">
                  <w:pPr>
                    <w:jc w:val="center"/>
                    <w:rPr>
                      <w:rFonts w:hint="default" w:ascii="Times New Roman" w:hAnsi="Times New Roman" w:cs="Times New Roman"/>
                      <w:color w:val="auto"/>
                      <w:szCs w:val="21"/>
                    </w:rPr>
                  </w:pPr>
                </w:p>
              </w:tc>
              <w:tc>
                <w:tcPr>
                  <w:tcW w:w="6255" w:type="dxa"/>
                  <w:tcBorders>
                    <w:tl2br w:val="nil"/>
                    <w:tr2bl w:val="nil"/>
                  </w:tcBorders>
                  <w:shd w:val="clear" w:color="auto" w:fill="auto"/>
                  <w:vAlign w:val="center"/>
                </w:tcPr>
                <w:p w14:paraId="1F9D7D6F">
                  <w:pPr>
                    <w:pStyle w:val="80"/>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b/>
                      <w:bCs w:val="0"/>
                      <w:color w:val="auto"/>
                      <w:kern w:val="0"/>
                      <w:szCs w:val="21"/>
                      <w:lang w:val="en-US" w:eastAsia="zh-CN"/>
                    </w:rPr>
                    <w:t>轻质油燃烧废气：</w:t>
                  </w:r>
                  <w:r>
                    <w:rPr>
                      <w:rFonts w:hint="default" w:ascii="Times New Roman" w:hAnsi="Times New Roman" w:eastAsia="宋体" w:cs="Times New Roman"/>
                      <w:color w:val="auto"/>
                      <w:spacing w:val="-1"/>
                      <w:kern w:val="2"/>
                      <w:sz w:val="21"/>
                      <w:szCs w:val="21"/>
                      <w:lang w:val="en-US" w:eastAsia="zh-CN" w:bidi="ar-SA"/>
                    </w:rPr>
                    <w:t>骨料烘干燃烧器采用轻质油为燃料，</w:t>
                  </w:r>
                  <w:r>
                    <w:rPr>
                      <w:rFonts w:hint="default" w:ascii="Times New Roman" w:hAnsi="Times New Roman" w:cs="Times New Roman"/>
                      <w:color w:val="auto"/>
                      <w:spacing w:val="-1"/>
                      <w:kern w:val="2"/>
                      <w:sz w:val="21"/>
                      <w:szCs w:val="21"/>
                      <w:lang w:val="en-US" w:eastAsia="zh-CN" w:bidi="ar-SA"/>
                    </w:rPr>
                    <w:t>采用低氮燃烧技术，</w:t>
                  </w:r>
                  <w:r>
                    <w:rPr>
                      <w:rFonts w:hint="default" w:ascii="Times New Roman" w:hAnsi="Times New Roman" w:eastAsia="宋体" w:cs="Times New Roman"/>
                      <w:color w:val="auto"/>
                      <w:spacing w:val="-1"/>
                      <w:szCs w:val="21"/>
                    </w:rPr>
                    <w:t>经管道引至</w:t>
                  </w:r>
                  <w:r>
                    <w:rPr>
                      <w:rFonts w:hint="default" w:ascii="Times New Roman" w:hAnsi="Times New Roman" w:eastAsia="宋体" w:cs="Times New Roman"/>
                      <w:color w:val="auto"/>
                      <w:spacing w:val="-1"/>
                      <w:szCs w:val="21"/>
                      <w:lang w:val="en-US" w:eastAsia="zh-CN"/>
                    </w:rPr>
                    <w:t>除尘系统</w:t>
                  </w:r>
                  <w:r>
                    <w:rPr>
                      <w:rFonts w:hint="default" w:ascii="Times New Roman" w:hAnsi="Times New Roman" w:eastAsia="宋体" w:cs="Times New Roman"/>
                      <w:color w:val="auto"/>
                      <w:spacing w:val="-1"/>
                      <w:szCs w:val="21"/>
                      <w:lang w:eastAsia="zh-CN"/>
                    </w:rPr>
                    <w:t>（</w:t>
                  </w:r>
                  <w:r>
                    <w:rPr>
                      <w:rFonts w:hint="default" w:ascii="Times New Roman" w:hAnsi="Times New Roman" w:eastAsia="宋体" w:cs="Times New Roman"/>
                      <w:color w:val="auto"/>
                      <w:spacing w:val="-1"/>
                      <w:szCs w:val="21"/>
                      <w:lang w:val="en-US" w:eastAsia="zh-CN"/>
                    </w:rPr>
                    <w:t>一级重力除尘+二级布袋除尘</w:t>
                  </w:r>
                  <w:r>
                    <w:rPr>
                      <w:rFonts w:hint="default" w:ascii="Times New Roman" w:hAnsi="Times New Roman" w:eastAsia="宋体" w:cs="Times New Roman"/>
                      <w:color w:val="auto"/>
                      <w:spacing w:val="-1"/>
                      <w:szCs w:val="21"/>
                      <w:lang w:eastAsia="zh-CN"/>
                    </w:rPr>
                    <w:t>）</w:t>
                  </w:r>
                  <w:r>
                    <w:rPr>
                      <w:rFonts w:hint="default" w:ascii="Times New Roman" w:hAnsi="Times New Roman" w:eastAsia="宋体" w:cs="Times New Roman"/>
                      <w:color w:val="auto"/>
                      <w:spacing w:val="-1"/>
                      <w:szCs w:val="21"/>
                      <w:lang w:val="en-US" w:eastAsia="zh-CN"/>
                    </w:rPr>
                    <w:t>与</w:t>
                  </w:r>
                  <w:r>
                    <w:rPr>
                      <w:rFonts w:hint="default" w:ascii="Times New Roman" w:hAnsi="Times New Roman" w:eastAsia="宋体" w:cs="Times New Roman"/>
                      <w:b w:val="0"/>
                      <w:bCs/>
                      <w:color w:val="auto"/>
                      <w:kern w:val="0"/>
                      <w:szCs w:val="21"/>
                      <w:lang w:val="en-US" w:eastAsia="zh-CN"/>
                    </w:rPr>
                    <w:t>骨料烘干、筛分粉尘</w:t>
                  </w:r>
                  <w:r>
                    <w:rPr>
                      <w:rFonts w:hint="default" w:ascii="Times New Roman" w:hAnsi="Times New Roman" w:eastAsia="宋体" w:cs="Times New Roman"/>
                      <w:color w:val="auto"/>
                      <w:spacing w:val="-1"/>
                      <w:szCs w:val="21"/>
                    </w:rPr>
                    <w:t>一并</w:t>
                  </w:r>
                  <w:r>
                    <w:rPr>
                      <w:rFonts w:hint="default" w:ascii="Times New Roman" w:hAnsi="Times New Roman" w:eastAsia="宋体" w:cs="Times New Roman"/>
                      <w:color w:val="auto"/>
                      <w:spacing w:val="-1"/>
                      <w:szCs w:val="21"/>
                      <w:lang w:val="en-US" w:eastAsia="zh-CN"/>
                    </w:rPr>
                    <w:t>处理</w:t>
                  </w:r>
                  <w:r>
                    <w:rPr>
                      <w:rFonts w:hint="default" w:ascii="Times New Roman" w:hAnsi="Times New Roman" w:eastAsia="宋体" w:cs="Times New Roman"/>
                      <w:color w:val="auto"/>
                      <w:spacing w:val="-1"/>
                      <w:szCs w:val="21"/>
                    </w:rPr>
                    <w:t>后通过</w:t>
                  </w:r>
                  <w:r>
                    <w:rPr>
                      <w:rFonts w:hint="default" w:ascii="Times New Roman" w:hAnsi="Times New Roman" w:cs="Times New Roman"/>
                      <w:color w:val="auto"/>
                      <w:spacing w:val="-1"/>
                      <w:szCs w:val="21"/>
                      <w:lang w:val="en-US" w:eastAsia="zh-CN"/>
                    </w:rPr>
                    <w:t>20</w:t>
                  </w:r>
                  <w:r>
                    <w:rPr>
                      <w:rFonts w:hint="default" w:ascii="Times New Roman" w:hAnsi="Times New Roman" w:eastAsia="宋体" w:cs="Times New Roman"/>
                      <w:color w:val="auto"/>
                      <w:spacing w:val="-1"/>
                      <w:szCs w:val="21"/>
                    </w:rPr>
                    <w:t>m排气筒（</w:t>
                  </w:r>
                  <w:r>
                    <w:rPr>
                      <w:rFonts w:hint="default" w:ascii="Times New Roman" w:hAnsi="Times New Roman" w:eastAsia="宋体" w:cs="Times New Roman"/>
                      <w:color w:val="auto"/>
                      <w:spacing w:val="-1"/>
                      <w:szCs w:val="21"/>
                      <w:lang w:eastAsia="zh-CN"/>
                    </w:rPr>
                    <w:t>DA001</w:t>
                  </w:r>
                  <w:r>
                    <w:rPr>
                      <w:rFonts w:hint="default" w:ascii="Times New Roman" w:hAnsi="Times New Roman" w:eastAsia="宋体" w:cs="Times New Roman"/>
                      <w:color w:val="auto"/>
                      <w:spacing w:val="-1"/>
                      <w:szCs w:val="21"/>
                    </w:rPr>
                    <w:t>）排放</w:t>
                  </w:r>
                </w:p>
              </w:tc>
              <w:tc>
                <w:tcPr>
                  <w:tcW w:w="1054" w:type="dxa"/>
                  <w:tcBorders>
                    <w:tl2br w:val="nil"/>
                    <w:tr2bl w:val="nil"/>
                  </w:tcBorders>
                  <w:vAlign w:val="center"/>
                </w:tcPr>
                <w:p w14:paraId="52CA8F6E">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w:t>
                  </w:r>
                </w:p>
              </w:tc>
            </w:tr>
            <w:tr w14:paraId="221EC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14:paraId="6539FF52">
                  <w:pPr>
                    <w:jc w:val="center"/>
                    <w:rPr>
                      <w:rFonts w:hint="default" w:ascii="Times New Roman" w:hAnsi="Times New Roman" w:cs="Times New Roman"/>
                      <w:color w:val="auto"/>
                      <w:szCs w:val="21"/>
                    </w:rPr>
                  </w:pPr>
                </w:p>
              </w:tc>
              <w:tc>
                <w:tcPr>
                  <w:tcW w:w="675" w:type="dxa"/>
                  <w:vMerge w:val="continue"/>
                  <w:tcBorders>
                    <w:tl2br w:val="nil"/>
                    <w:tr2bl w:val="nil"/>
                  </w:tcBorders>
                  <w:vAlign w:val="center"/>
                </w:tcPr>
                <w:p w14:paraId="16D9E32F">
                  <w:pPr>
                    <w:jc w:val="center"/>
                    <w:rPr>
                      <w:rFonts w:hint="default" w:ascii="Times New Roman" w:hAnsi="Times New Roman" w:cs="Times New Roman"/>
                      <w:color w:val="auto"/>
                      <w:szCs w:val="21"/>
                    </w:rPr>
                  </w:pPr>
                </w:p>
              </w:tc>
              <w:tc>
                <w:tcPr>
                  <w:tcW w:w="6255" w:type="dxa"/>
                  <w:tcBorders>
                    <w:tl2br w:val="nil"/>
                    <w:tr2bl w:val="nil"/>
                  </w:tcBorders>
                  <w:shd w:val="clear" w:color="auto" w:fill="auto"/>
                  <w:vAlign w:val="center"/>
                </w:tcPr>
                <w:p w14:paraId="1A2168E2">
                  <w:pPr>
                    <w:pStyle w:val="80"/>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b/>
                      <w:bCs w:val="0"/>
                      <w:color w:val="auto"/>
                      <w:kern w:val="0"/>
                      <w:szCs w:val="21"/>
                      <w:lang w:val="en-US" w:eastAsia="zh-CN"/>
                    </w:rPr>
                    <w:t>骨料堆场及装卸扬尘</w:t>
                  </w:r>
                  <w:r>
                    <w:rPr>
                      <w:rFonts w:hint="default" w:ascii="Times New Roman" w:hAnsi="Times New Roman" w:eastAsia="宋体" w:cs="Times New Roman"/>
                      <w:b w:val="0"/>
                      <w:bCs/>
                      <w:color w:val="auto"/>
                      <w:kern w:val="0"/>
                      <w:szCs w:val="21"/>
                      <w:lang w:val="en-US" w:eastAsia="zh-CN"/>
                    </w:rPr>
                    <w:t>：</w:t>
                  </w:r>
                  <w:r>
                    <w:rPr>
                      <w:rFonts w:hint="default" w:ascii="Times New Roman" w:hAnsi="Times New Roman" w:eastAsia="宋体" w:cs="Times New Roman"/>
                      <w:color w:val="auto"/>
                      <w:spacing w:val="-1"/>
                      <w:szCs w:val="21"/>
                      <w:lang w:val="en-US" w:eastAsia="zh-CN"/>
                    </w:rPr>
                    <w:t>骨料堆场均采取钢结构厂房（三面封闭+顶棚），料仓顶部安装多排喷雾降尘装置。</w:t>
                  </w:r>
                </w:p>
              </w:tc>
              <w:tc>
                <w:tcPr>
                  <w:tcW w:w="1054" w:type="dxa"/>
                  <w:tcBorders>
                    <w:tl2br w:val="nil"/>
                    <w:tr2bl w:val="nil"/>
                  </w:tcBorders>
                  <w:vAlign w:val="center"/>
                </w:tcPr>
                <w:p w14:paraId="6FA05675">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10</w:t>
                  </w:r>
                </w:p>
              </w:tc>
            </w:tr>
            <w:tr w14:paraId="68293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14:paraId="05303846">
                  <w:pPr>
                    <w:jc w:val="center"/>
                    <w:rPr>
                      <w:rFonts w:hint="default" w:ascii="Times New Roman" w:hAnsi="Times New Roman" w:cs="Times New Roman"/>
                      <w:color w:val="auto"/>
                      <w:szCs w:val="21"/>
                    </w:rPr>
                  </w:pPr>
                </w:p>
              </w:tc>
              <w:tc>
                <w:tcPr>
                  <w:tcW w:w="675" w:type="dxa"/>
                  <w:vMerge w:val="continue"/>
                  <w:tcBorders>
                    <w:tl2br w:val="nil"/>
                    <w:tr2bl w:val="nil"/>
                  </w:tcBorders>
                  <w:vAlign w:val="center"/>
                </w:tcPr>
                <w:p w14:paraId="23E1F01D">
                  <w:pPr>
                    <w:jc w:val="center"/>
                    <w:rPr>
                      <w:rFonts w:hint="default" w:ascii="Times New Roman" w:hAnsi="Times New Roman" w:cs="Times New Roman"/>
                      <w:color w:val="auto"/>
                      <w:szCs w:val="21"/>
                    </w:rPr>
                  </w:pPr>
                </w:p>
              </w:tc>
              <w:tc>
                <w:tcPr>
                  <w:tcW w:w="6255" w:type="dxa"/>
                  <w:tcBorders>
                    <w:tl2br w:val="nil"/>
                    <w:tr2bl w:val="nil"/>
                  </w:tcBorders>
                  <w:shd w:val="clear" w:color="auto" w:fill="auto"/>
                  <w:vAlign w:val="center"/>
                </w:tcPr>
                <w:p w14:paraId="0815BF18">
                  <w:pPr>
                    <w:pStyle w:val="80"/>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b/>
                      <w:bCs w:val="0"/>
                      <w:color w:val="auto"/>
                      <w:kern w:val="0"/>
                      <w:szCs w:val="21"/>
                      <w:lang w:val="en-US" w:eastAsia="zh-CN"/>
                    </w:rPr>
                    <w:t>运输道路扬尘</w:t>
                  </w:r>
                  <w:r>
                    <w:rPr>
                      <w:rFonts w:hint="default" w:ascii="Times New Roman" w:hAnsi="Times New Roman" w:cs="Times New Roman"/>
                      <w:b/>
                      <w:bCs w:val="0"/>
                      <w:color w:val="auto"/>
                      <w:kern w:val="0"/>
                      <w:szCs w:val="21"/>
                      <w:lang w:val="en-US" w:eastAsia="zh-CN"/>
                    </w:rPr>
                    <w:t>：</w:t>
                  </w:r>
                  <w:r>
                    <w:rPr>
                      <w:rFonts w:hint="default" w:ascii="Times New Roman" w:hAnsi="Times New Roman" w:eastAsia="宋体" w:cs="Times New Roman"/>
                      <w:color w:val="auto"/>
                      <w:spacing w:val="-1"/>
                      <w:szCs w:val="21"/>
                      <w:lang w:val="en-US" w:eastAsia="zh-CN"/>
                    </w:rPr>
                    <w:t>厂区路面硬化，设置雾炮机对路面洒水降尘，进出场口设置车辆冲洗平台。</w:t>
                  </w:r>
                </w:p>
              </w:tc>
              <w:tc>
                <w:tcPr>
                  <w:tcW w:w="1054" w:type="dxa"/>
                  <w:tcBorders>
                    <w:tl2br w:val="nil"/>
                    <w:tr2bl w:val="nil"/>
                  </w:tcBorders>
                  <w:vAlign w:val="center"/>
                </w:tcPr>
                <w:p w14:paraId="4AF49EC5">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w:t>
                  </w:r>
                </w:p>
              </w:tc>
            </w:tr>
            <w:tr w14:paraId="24847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14:paraId="6D6A32FE">
                  <w:pPr>
                    <w:jc w:val="center"/>
                    <w:rPr>
                      <w:rFonts w:hint="default" w:ascii="Times New Roman" w:hAnsi="Times New Roman" w:cs="Times New Roman"/>
                      <w:color w:val="auto"/>
                      <w:szCs w:val="21"/>
                    </w:rPr>
                  </w:pPr>
                </w:p>
              </w:tc>
              <w:tc>
                <w:tcPr>
                  <w:tcW w:w="675" w:type="dxa"/>
                  <w:vMerge w:val="continue"/>
                  <w:tcBorders>
                    <w:tl2br w:val="nil"/>
                    <w:tr2bl w:val="nil"/>
                  </w:tcBorders>
                  <w:vAlign w:val="center"/>
                </w:tcPr>
                <w:p w14:paraId="70BFA0F0">
                  <w:pPr>
                    <w:jc w:val="center"/>
                    <w:rPr>
                      <w:rFonts w:hint="default" w:ascii="Times New Roman" w:hAnsi="Times New Roman" w:cs="Times New Roman"/>
                      <w:color w:val="auto"/>
                      <w:szCs w:val="21"/>
                    </w:rPr>
                  </w:pPr>
                </w:p>
              </w:tc>
              <w:tc>
                <w:tcPr>
                  <w:tcW w:w="6255" w:type="dxa"/>
                  <w:tcBorders>
                    <w:tl2br w:val="nil"/>
                    <w:tr2bl w:val="nil"/>
                  </w:tcBorders>
                  <w:shd w:val="clear" w:color="auto" w:fill="auto"/>
                  <w:vAlign w:val="center"/>
                </w:tcPr>
                <w:p w14:paraId="0248C34A">
                  <w:pPr>
                    <w:pStyle w:val="80"/>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b/>
                      <w:bCs w:val="0"/>
                      <w:color w:val="auto"/>
                      <w:kern w:val="0"/>
                      <w:szCs w:val="21"/>
                      <w:lang w:val="en-US" w:eastAsia="zh-CN"/>
                    </w:rPr>
                    <w:t>汽车尾气</w:t>
                  </w:r>
                  <w:r>
                    <w:rPr>
                      <w:rFonts w:hint="default" w:ascii="Times New Roman" w:hAnsi="Times New Roman" w:cs="Times New Roman"/>
                      <w:b/>
                      <w:bCs w:val="0"/>
                      <w:color w:val="auto"/>
                      <w:kern w:val="0"/>
                      <w:szCs w:val="21"/>
                      <w:lang w:val="en-US" w:eastAsia="zh-CN"/>
                    </w:rPr>
                    <w:t>：</w:t>
                  </w:r>
                  <w:r>
                    <w:rPr>
                      <w:rFonts w:hint="default" w:ascii="Times New Roman" w:hAnsi="Times New Roman" w:eastAsia="宋体" w:cs="Times New Roman"/>
                      <w:color w:val="auto"/>
                      <w:spacing w:val="-1"/>
                      <w:szCs w:val="21"/>
                      <w:lang w:val="en-US" w:eastAsia="zh-CN"/>
                    </w:rPr>
                    <w:t>加强管理，减少怠速行驶。</w:t>
                  </w:r>
                </w:p>
              </w:tc>
              <w:tc>
                <w:tcPr>
                  <w:tcW w:w="1054" w:type="dxa"/>
                  <w:tcBorders>
                    <w:tl2br w:val="nil"/>
                    <w:tr2bl w:val="nil"/>
                  </w:tcBorders>
                  <w:vAlign w:val="center"/>
                </w:tcPr>
                <w:p w14:paraId="08164CFF">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r>
            <w:tr w14:paraId="0CFAC8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14:paraId="15945253">
                  <w:pPr>
                    <w:jc w:val="center"/>
                    <w:rPr>
                      <w:rFonts w:hint="default" w:ascii="Times New Roman" w:hAnsi="Times New Roman" w:cs="Times New Roman"/>
                      <w:color w:val="auto"/>
                      <w:szCs w:val="21"/>
                    </w:rPr>
                  </w:pPr>
                </w:p>
              </w:tc>
              <w:tc>
                <w:tcPr>
                  <w:tcW w:w="675" w:type="dxa"/>
                  <w:vMerge w:val="continue"/>
                  <w:tcBorders>
                    <w:tl2br w:val="nil"/>
                    <w:tr2bl w:val="nil"/>
                  </w:tcBorders>
                  <w:vAlign w:val="center"/>
                </w:tcPr>
                <w:p w14:paraId="49C49C06">
                  <w:pPr>
                    <w:jc w:val="center"/>
                    <w:rPr>
                      <w:rFonts w:hint="default" w:ascii="Times New Roman" w:hAnsi="Times New Roman" w:cs="Times New Roman"/>
                      <w:color w:val="auto"/>
                      <w:szCs w:val="21"/>
                    </w:rPr>
                  </w:pPr>
                </w:p>
              </w:tc>
              <w:tc>
                <w:tcPr>
                  <w:tcW w:w="6255" w:type="dxa"/>
                  <w:tcBorders>
                    <w:tl2br w:val="nil"/>
                    <w:tr2bl w:val="nil"/>
                  </w:tcBorders>
                  <w:vAlign w:val="center"/>
                </w:tcPr>
                <w:p w14:paraId="59157AC6">
                  <w:pPr>
                    <w:jc w:val="left"/>
                    <w:rPr>
                      <w:rFonts w:hint="default" w:ascii="Times New Roman" w:hAnsi="Times New Roman" w:cs="Times New Roman"/>
                      <w:b/>
                      <w:bCs w:val="0"/>
                      <w:color w:val="auto"/>
                      <w:sz w:val="21"/>
                      <w:szCs w:val="21"/>
                      <w:lang w:val="en-US" w:eastAsia="zh-CN"/>
                    </w:rPr>
                  </w:pPr>
                  <w:r>
                    <w:rPr>
                      <w:rFonts w:hint="default" w:ascii="Times New Roman" w:hAnsi="Times New Roman" w:cs="Times New Roman"/>
                      <w:b/>
                      <w:bCs/>
                      <w:color w:val="auto"/>
                      <w:lang w:val="en-US" w:eastAsia="zh-CN"/>
                    </w:rPr>
                    <w:t>食堂油烟：</w:t>
                  </w:r>
                  <w:r>
                    <w:rPr>
                      <w:rFonts w:hint="default" w:ascii="Times New Roman" w:hAnsi="Times New Roman" w:eastAsia="宋体" w:cs="Times New Roman"/>
                      <w:color w:val="auto"/>
                      <w:sz w:val="21"/>
                      <w:highlight w:val="none"/>
                      <w:lang w:val="en-US" w:eastAsia="zh-CN"/>
                    </w:rPr>
                    <w:t>安装抽油烟机，食堂油烟</w:t>
                  </w:r>
                  <w:r>
                    <w:rPr>
                      <w:rFonts w:hint="default" w:ascii="Times New Roman" w:hAnsi="Times New Roman" w:eastAsia="宋体" w:cs="Times New Roman"/>
                      <w:color w:val="auto"/>
                      <w:spacing w:val="-6"/>
                      <w:sz w:val="21"/>
                      <w:highlight w:val="none"/>
                    </w:rPr>
                    <w:t>经自带过滤装置的抽油烟机处理后</w:t>
                  </w:r>
                  <w:r>
                    <w:rPr>
                      <w:rFonts w:hint="default" w:ascii="Times New Roman" w:hAnsi="Times New Roman" w:eastAsia="宋体" w:cs="Times New Roman"/>
                      <w:color w:val="auto"/>
                      <w:sz w:val="21"/>
                      <w:highlight w:val="none"/>
                    </w:rPr>
                    <w:t>，</w:t>
                  </w:r>
                  <w:r>
                    <w:rPr>
                      <w:rFonts w:hint="default" w:ascii="Times New Roman" w:hAnsi="Times New Roman" w:eastAsia="宋体" w:cs="Times New Roman"/>
                      <w:color w:val="auto"/>
                      <w:sz w:val="21"/>
                      <w:highlight w:val="none"/>
                      <w:lang w:eastAsia="zh-CN"/>
                    </w:rPr>
                    <w:t>经烟管引至室外排放。</w:t>
                  </w:r>
                </w:p>
              </w:tc>
              <w:tc>
                <w:tcPr>
                  <w:tcW w:w="1054" w:type="dxa"/>
                  <w:tcBorders>
                    <w:tl2br w:val="nil"/>
                    <w:tr2bl w:val="nil"/>
                  </w:tcBorders>
                  <w:vAlign w:val="center"/>
                </w:tcPr>
                <w:p w14:paraId="16E69CC6">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0.5</w:t>
                  </w:r>
                </w:p>
              </w:tc>
            </w:tr>
            <w:tr w14:paraId="1257B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restart"/>
                  <w:tcBorders>
                    <w:tl2br w:val="nil"/>
                    <w:tr2bl w:val="nil"/>
                  </w:tcBorders>
                  <w:vAlign w:val="center"/>
                </w:tcPr>
                <w:p w14:paraId="6014B744">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废水治理</w:t>
                  </w:r>
                </w:p>
              </w:tc>
              <w:tc>
                <w:tcPr>
                  <w:tcW w:w="675" w:type="dxa"/>
                  <w:tcBorders>
                    <w:tl2br w:val="nil"/>
                    <w:tr2bl w:val="nil"/>
                  </w:tcBorders>
                  <w:vAlign w:val="center"/>
                </w:tcPr>
                <w:p w14:paraId="78B559B7">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施工期</w:t>
                  </w:r>
                </w:p>
              </w:tc>
              <w:tc>
                <w:tcPr>
                  <w:tcW w:w="6255" w:type="dxa"/>
                  <w:tcBorders>
                    <w:tl2br w:val="nil"/>
                    <w:tr2bl w:val="nil"/>
                  </w:tcBorders>
                  <w:vAlign w:val="center"/>
                </w:tcPr>
                <w:p w14:paraId="473F3936">
                  <w:pPr>
                    <w:jc w:val="left"/>
                    <w:rPr>
                      <w:rFonts w:hint="default" w:ascii="Times New Roman" w:hAnsi="Times New Roman" w:cs="Times New Roman"/>
                      <w:b/>
                      <w:bCs/>
                      <w:color w:val="auto"/>
                      <w:lang w:val="en-US" w:eastAsia="zh-CN"/>
                    </w:rPr>
                  </w:pPr>
                  <w:r>
                    <w:rPr>
                      <w:rFonts w:hint="default" w:ascii="Times New Roman" w:hAnsi="Times New Roman" w:cs="Times New Roman"/>
                      <w:color w:val="auto"/>
                      <w:sz w:val="24"/>
                      <w:szCs w:val="24"/>
                      <w:lang w:val="en-US" w:eastAsia="zh-CN"/>
                    </w:rPr>
                    <w:t>施工人员生活污水依托于原大路监狱建设的旱厕收集后用于农肥</w:t>
                  </w:r>
                </w:p>
              </w:tc>
              <w:tc>
                <w:tcPr>
                  <w:tcW w:w="1054" w:type="dxa"/>
                  <w:tcBorders>
                    <w:tl2br w:val="nil"/>
                    <w:tr2bl w:val="nil"/>
                  </w:tcBorders>
                  <w:vAlign w:val="center"/>
                </w:tcPr>
                <w:p w14:paraId="7C5CF913">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r>
            <w:tr w14:paraId="21777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14:paraId="6EAB5A7B">
                  <w:pPr>
                    <w:jc w:val="center"/>
                    <w:rPr>
                      <w:rFonts w:hint="default" w:ascii="Times New Roman" w:hAnsi="Times New Roman" w:cs="Times New Roman"/>
                      <w:color w:val="auto"/>
                      <w:szCs w:val="21"/>
                    </w:rPr>
                  </w:pPr>
                </w:p>
              </w:tc>
              <w:tc>
                <w:tcPr>
                  <w:tcW w:w="675" w:type="dxa"/>
                  <w:vMerge w:val="restart"/>
                  <w:tcBorders>
                    <w:tl2br w:val="nil"/>
                    <w:tr2bl w:val="nil"/>
                  </w:tcBorders>
                  <w:vAlign w:val="center"/>
                </w:tcPr>
                <w:p w14:paraId="399B643F">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运营期</w:t>
                  </w:r>
                </w:p>
              </w:tc>
              <w:tc>
                <w:tcPr>
                  <w:tcW w:w="6255" w:type="dxa"/>
                  <w:tcBorders>
                    <w:tl2br w:val="nil"/>
                    <w:tr2bl w:val="nil"/>
                  </w:tcBorders>
                  <w:vAlign w:val="center"/>
                </w:tcPr>
                <w:p w14:paraId="719C850A">
                  <w:pPr>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bCs w:val="0"/>
                      <w:color w:val="auto"/>
                      <w:szCs w:val="21"/>
                    </w:rPr>
                    <w:t>车辆冲洗废水</w:t>
                  </w:r>
                  <w:r>
                    <w:rPr>
                      <w:rFonts w:hint="default" w:ascii="Times New Roman" w:hAnsi="Times New Roman" w:eastAsia="宋体" w:cs="Times New Roman"/>
                      <w:b/>
                      <w:bCs w:val="0"/>
                      <w:color w:val="auto"/>
                      <w:szCs w:val="21"/>
                      <w:lang w:eastAsia="zh-CN"/>
                    </w:rPr>
                    <w:t>：</w:t>
                  </w:r>
                  <w:r>
                    <w:rPr>
                      <w:rFonts w:hint="default" w:ascii="Times New Roman" w:hAnsi="Times New Roman" w:eastAsia="宋体" w:cs="Times New Roman"/>
                      <w:bCs/>
                      <w:color w:val="auto"/>
                      <w:szCs w:val="21"/>
                    </w:rPr>
                    <w:t>在</w:t>
                  </w:r>
                  <w:r>
                    <w:rPr>
                      <w:rFonts w:hint="default" w:ascii="Times New Roman" w:hAnsi="Times New Roman" w:eastAsia="宋体" w:cs="Times New Roman"/>
                      <w:bCs/>
                      <w:color w:val="auto"/>
                      <w:szCs w:val="21"/>
                      <w:lang w:val="en-US" w:eastAsia="zh-CN"/>
                    </w:rPr>
                    <w:t>项目西</w:t>
                  </w:r>
                  <w:r>
                    <w:rPr>
                      <w:rFonts w:hint="default" w:ascii="Times New Roman" w:hAnsi="Times New Roman" w:eastAsia="宋体" w:cs="Times New Roman"/>
                      <w:bCs/>
                      <w:color w:val="auto"/>
                      <w:szCs w:val="21"/>
                    </w:rPr>
                    <w:t>侧</w:t>
                  </w:r>
                  <w:r>
                    <w:rPr>
                      <w:rFonts w:hint="default" w:ascii="Times New Roman" w:hAnsi="Times New Roman" w:eastAsia="宋体" w:cs="Times New Roman"/>
                      <w:bCs/>
                      <w:color w:val="auto"/>
                      <w:szCs w:val="21"/>
                      <w:lang w:val="en-US" w:eastAsia="zh-CN"/>
                    </w:rPr>
                    <w:t>厂区入口处设置</w:t>
                  </w:r>
                  <w:r>
                    <w:rPr>
                      <w:rFonts w:hint="default" w:ascii="Times New Roman" w:hAnsi="Times New Roman" w:eastAsia="宋体" w:cs="Times New Roman"/>
                      <w:bCs/>
                      <w:color w:val="auto"/>
                      <w:szCs w:val="21"/>
                    </w:rPr>
                    <w:t>车辆冲洗平台</w:t>
                  </w:r>
                  <w:r>
                    <w:rPr>
                      <w:rFonts w:hint="default" w:ascii="Times New Roman" w:hAnsi="Times New Roman" w:eastAsia="宋体" w:cs="Times New Roman"/>
                      <w:bCs/>
                      <w:color w:val="auto"/>
                      <w:szCs w:val="21"/>
                      <w:lang w:val="en-US" w:eastAsia="zh-CN"/>
                    </w:rPr>
                    <w:t>，车辆冲洗废水进入三级沉淀池</w:t>
                  </w:r>
                  <w:r>
                    <w:rPr>
                      <w:rFonts w:hint="default" w:ascii="Times New Roman" w:hAnsi="Times New Roman" w:eastAsia="宋体" w:cs="Times New Roman"/>
                      <w:color w:val="auto"/>
                      <w:szCs w:val="21"/>
                    </w:rPr>
                    <w:t>（容积</w:t>
                  </w:r>
                  <w:r>
                    <w:rPr>
                      <w:rFonts w:hint="default" w:ascii="Times New Roman" w:hAnsi="Times New Roman" w:cs="Times New Roman"/>
                      <w:color w:val="auto"/>
                      <w:szCs w:val="21"/>
                      <w:lang w:val="en-US" w:eastAsia="zh-CN"/>
                    </w:rPr>
                    <w:t>3</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r>
                    <w:rPr>
                      <w:rFonts w:hint="default" w:ascii="Times New Roman" w:hAnsi="Times New Roman" w:eastAsia="宋体" w:cs="Times New Roman"/>
                      <w:bCs/>
                      <w:color w:val="auto"/>
                      <w:szCs w:val="21"/>
                    </w:rPr>
                    <w:t>，处理后回用于生产，不外排。</w:t>
                  </w:r>
                </w:p>
              </w:tc>
              <w:tc>
                <w:tcPr>
                  <w:tcW w:w="1054" w:type="dxa"/>
                  <w:vMerge w:val="restart"/>
                  <w:tcBorders>
                    <w:tl2br w:val="nil"/>
                    <w:tr2bl w:val="nil"/>
                  </w:tcBorders>
                  <w:vAlign w:val="center"/>
                </w:tcPr>
                <w:p w14:paraId="468840E1">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w:t>
                  </w:r>
                </w:p>
              </w:tc>
            </w:tr>
            <w:tr w14:paraId="06D7C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14:paraId="1BFBCD1F">
                  <w:pPr>
                    <w:jc w:val="center"/>
                    <w:rPr>
                      <w:rFonts w:hint="default" w:ascii="Times New Roman" w:hAnsi="Times New Roman" w:cs="Times New Roman"/>
                      <w:color w:val="auto"/>
                      <w:szCs w:val="21"/>
                    </w:rPr>
                  </w:pPr>
                </w:p>
              </w:tc>
              <w:tc>
                <w:tcPr>
                  <w:tcW w:w="675" w:type="dxa"/>
                  <w:vMerge w:val="continue"/>
                  <w:tcBorders>
                    <w:tl2br w:val="nil"/>
                    <w:tr2bl w:val="nil"/>
                  </w:tcBorders>
                  <w:vAlign w:val="center"/>
                </w:tcPr>
                <w:p w14:paraId="31BFFD5B">
                  <w:pPr>
                    <w:jc w:val="center"/>
                    <w:rPr>
                      <w:rFonts w:hint="default" w:ascii="Times New Roman" w:hAnsi="Times New Roman" w:cs="Times New Roman"/>
                      <w:color w:val="auto"/>
                      <w:szCs w:val="21"/>
                    </w:rPr>
                  </w:pPr>
                </w:p>
              </w:tc>
              <w:tc>
                <w:tcPr>
                  <w:tcW w:w="6255" w:type="dxa"/>
                  <w:tcBorders>
                    <w:tl2br w:val="nil"/>
                    <w:tr2bl w:val="nil"/>
                  </w:tcBorders>
                  <w:vAlign w:val="center"/>
                </w:tcPr>
                <w:p w14:paraId="7CFAD243">
                  <w:pPr>
                    <w:jc w:val="left"/>
                    <w:rPr>
                      <w:rFonts w:hint="default" w:ascii="Times New Roman" w:hAnsi="Times New Roman" w:eastAsia="宋体" w:cs="Times New Roman"/>
                      <w:color w:val="auto"/>
                      <w:szCs w:val="21"/>
                      <w:lang w:eastAsia="zh-CN"/>
                    </w:rPr>
                  </w:pPr>
                  <w:r>
                    <w:rPr>
                      <w:rFonts w:hint="default" w:ascii="Times New Roman" w:hAnsi="Times New Roman" w:eastAsia="宋体" w:cs="Times New Roman"/>
                      <w:b/>
                      <w:bCs/>
                      <w:color w:val="auto"/>
                      <w:kern w:val="24"/>
                      <w:szCs w:val="21"/>
                    </w:rPr>
                    <w:t>地面冲洗废水</w:t>
                  </w:r>
                  <w:r>
                    <w:rPr>
                      <w:rFonts w:hint="default" w:ascii="Times New Roman" w:hAnsi="Times New Roman" w:eastAsia="宋体" w:cs="Times New Roman"/>
                      <w:b/>
                      <w:bCs/>
                      <w:color w:val="auto"/>
                      <w:kern w:val="24"/>
                      <w:szCs w:val="21"/>
                      <w:lang w:eastAsia="zh-CN"/>
                    </w:rPr>
                    <w:t>：</w:t>
                  </w:r>
                  <w:r>
                    <w:rPr>
                      <w:rFonts w:hint="default" w:ascii="Times New Roman" w:hAnsi="Times New Roman" w:eastAsia="宋体" w:cs="Times New Roman"/>
                      <w:color w:val="auto"/>
                      <w:szCs w:val="21"/>
                    </w:rPr>
                    <w:t>在场地</w:t>
                  </w:r>
                  <w:r>
                    <w:rPr>
                      <w:rFonts w:hint="default" w:ascii="Times New Roman" w:hAnsi="Times New Roman" w:eastAsia="宋体" w:cs="Times New Roman"/>
                      <w:color w:val="auto"/>
                      <w:szCs w:val="21"/>
                      <w:lang w:val="en-US" w:eastAsia="zh-CN"/>
                    </w:rPr>
                    <w:t>东北侧地势低洼处</w:t>
                  </w:r>
                  <w:r>
                    <w:rPr>
                      <w:rFonts w:hint="default" w:ascii="Times New Roman" w:hAnsi="Times New Roman" w:eastAsia="宋体" w:cs="Times New Roman"/>
                      <w:color w:val="auto"/>
                      <w:szCs w:val="21"/>
                    </w:rPr>
                    <w:t>设置一个</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×3×</w:t>
                  </w:r>
                  <w:r>
                    <w:rPr>
                      <w:rFonts w:hint="eastAsia" w:ascii="Times New Roman" w:hAnsi="Times New Roman" w:cs="Times New Roman"/>
                      <w:color w:val="auto"/>
                      <w:szCs w:val="21"/>
                      <w:lang w:val="en-US" w:eastAsia="zh-CN"/>
                    </w:rPr>
                    <w:t>2</w:t>
                  </w:r>
                  <w:r>
                    <w:rPr>
                      <w:rFonts w:hint="default" w:ascii="Times New Roman" w:hAnsi="Times New Roman" w:eastAsia="宋体" w:cs="Times New Roman"/>
                      <w:color w:val="auto"/>
                      <w:szCs w:val="21"/>
                    </w:rPr>
                    <w:t>m的</w:t>
                  </w:r>
                  <w:r>
                    <w:rPr>
                      <w:rFonts w:hint="default" w:ascii="Times New Roman" w:hAnsi="Times New Roman" w:eastAsia="宋体" w:cs="Times New Roman"/>
                      <w:color w:val="auto"/>
                      <w:szCs w:val="21"/>
                      <w:lang w:val="en-US" w:eastAsia="zh-CN"/>
                    </w:rPr>
                    <w:t>三</w:t>
                  </w:r>
                  <w:r>
                    <w:rPr>
                      <w:rFonts w:hint="default" w:ascii="Times New Roman" w:hAnsi="Times New Roman" w:eastAsia="宋体" w:cs="Times New Roman"/>
                      <w:color w:val="auto"/>
                      <w:szCs w:val="21"/>
                    </w:rPr>
                    <w:t>级沉淀池（容积</w:t>
                  </w:r>
                  <w:r>
                    <w:rPr>
                      <w:rFonts w:hint="default" w:ascii="Times New Roman" w:hAnsi="Times New Roman" w:cs="Times New Roman"/>
                      <w:color w:val="auto"/>
                      <w:szCs w:val="21"/>
                      <w:lang w:val="en-US" w:eastAsia="zh-CN"/>
                    </w:rPr>
                    <w:t>3</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r>
                    <w:rPr>
                      <w:rFonts w:hint="default" w:ascii="Times New Roman" w:hAnsi="Times New Roman" w:eastAsia="宋体" w:cs="Times New Roman"/>
                      <w:bCs/>
                      <w:color w:val="auto"/>
                      <w:szCs w:val="21"/>
                    </w:rPr>
                    <w:t>，</w:t>
                  </w:r>
                  <w:r>
                    <w:rPr>
                      <w:rFonts w:hint="default" w:ascii="Times New Roman" w:hAnsi="Times New Roman" w:eastAsia="宋体" w:cs="Times New Roman"/>
                      <w:bCs/>
                      <w:color w:val="auto"/>
                      <w:szCs w:val="21"/>
                      <w:lang w:val="en-US" w:eastAsia="zh-CN"/>
                    </w:rPr>
                    <w:t>收集厂区的场地冲洗水，与车辆冲洗废水一起处理，不外排。</w:t>
                  </w:r>
                </w:p>
              </w:tc>
              <w:tc>
                <w:tcPr>
                  <w:tcW w:w="1054" w:type="dxa"/>
                  <w:vMerge w:val="continue"/>
                  <w:tcBorders>
                    <w:tl2br w:val="nil"/>
                    <w:tr2bl w:val="nil"/>
                  </w:tcBorders>
                  <w:vAlign w:val="center"/>
                </w:tcPr>
                <w:p w14:paraId="753F0831">
                  <w:pPr>
                    <w:jc w:val="center"/>
                    <w:rPr>
                      <w:rFonts w:hint="default" w:ascii="Times New Roman" w:hAnsi="Times New Roman" w:cs="Times New Roman"/>
                      <w:color w:val="auto"/>
                      <w:szCs w:val="21"/>
                      <w:lang w:val="en-US" w:eastAsia="zh-CN"/>
                    </w:rPr>
                  </w:pPr>
                </w:p>
              </w:tc>
            </w:tr>
            <w:tr w14:paraId="23AA1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14:paraId="4C549EDE">
                  <w:pPr>
                    <w:jc w:val="center"/>
                    <w:rPr>
                      <w:rFonts w:hint="default" w:ascii="Times New Roman" w:hAnsi="Times New Roman" w:cs="Times New Roman"/>
                      <w:color w:val="auto"/>
                      <w:szCs w:val="21"/>
                    </w:rPr>
                  </w:pPr>
                </w:p>
              </w:tc>
              <w:tc>
                <w:tcPr>
                  <w:tcW w:w="675" w:type="dxa"/>
                  <w:vMerge w:val="continue"/>
                  <w:tcBorders>
                    <w:tl2br w:val="nil"/>
                    <w:tr2bl w:val="nil"/>
                  </w:tcBorders>
                  <w:vAlign w:val="center"/>
                </w:tcPr>
                <w:p w14:paraId="4FBC0969">
                  <w:pPr>
                    <w:jc w:val="center"/>
                    <w:rPr>
                      <w:rFonts w:hint="default" w:ascii="Times New Roman" w:hAnsi="Times New Roman" w:cs="Times New Roman"/>
                      <w:color w:val="auto"/>
                      <w:szCs w:val="21"/>
                    </w:rPr>
                  </w:pPr>
                </w:p>
              </w:tc>
              <w:tc>
                <w:tcPr>
                  <w:tcW w:w="6255" w:type="dxa"/>
                  <w:tcBorders>
                    <w:tl2br w:val="nil"/>
                    <w:tr2bl w:val="nil"/>
                  </w:tcBorders>
                  <w:vAlign w:val="center"/>
                </w:tcPr>
                <w:p w14:paraId="227EE158">
                  <w:pPr>
                    <w:jc w:val="left"/>
                    <w:rPr>
                      <w:rFonts w:hint="default" w:ascii="Times New Roman" w:hAnsi="Times New Roman" w:eastAsia="宋体" w:cs="Times New Roman"/>
                      <w:color w:val="auto"/>
                      <w:szCs w:val="21"/>
                      <w:lang w:eastAsia="zh-CN"/>
                    </w:rPr>
                  </w:pPr>
                  <w:r>
                    <w:rPr>
                      <w:rStyle w:val="84"/>
                      <w:rFonts w:hint="default" w:ascii="Times New Roman" w:hAnsi="Times New Roman" w:eastAsia="宋体" w:cs="Times New Roman"/>
                      <w:b/>
                      <w:bCs/>
                      <w:color w:val="auto"/>
                      <w:szCs w:val="21"/>
                    </w:rPr>
                    <w:t>初期雨水</w:t>
                  </w:r>
                  <w:r>
                    <w:rPr>
                      <w:rStyle w:val="84"/>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color w:val="auto"/>
                      <w:spacing w:val="-1"/>
                      <w:szCs w:val="21"/>
                      <w:lang w:val="en-US" w:eastAsia="zh-CN"/>
                    </w:rPr>
                    <w:t>厂区</w:t>
                  </w:r>
                  <w:r>
                    <w:rPr>
                      <w:rFonts w:hint="default" w:ascii="Times New Roman" w:hAnsi="Times New Roman" w:eastAsia="宋体" w:cs="Times New Roman"/>
                      <w:color w:val="auto"/>
                      <w:spacing w:val="-1"/>
                      <w:szCs w:val="21"/>
                    </w:rPr>
                    <w:t>周围建排水沟；场外雨水直接随雨水沟排放；场</w:t>
                  </w:r>
                  <w:r>
                    <w:rPr>
                      <w:rFonts w:hint="default" w:ascii="Times New Roman" w:hAnsi="Times New Roman" w:eastAsia="宋体" w:cs="Times New Roman"/>
                      <w:color w:val="auto"/>
                      <w:spacing w:val="-1"/>
                      <w:szCs w:val="21"/>
                      <w:lang w:val="en-US" w:eastAsia="zh-CN"/>
                    </w:rPr>
                    <w:t>地</w:t>
                  </w:r>
                  <w:r>
                    <w:rPr>
                      <w:rFonts w:hint="default" w:ascii="Times New Roman" w:hAnsi="Times New Roman" w:eastAsia="宋体" w:cs="Times New Roman"/>
                      <w:color w:val="auto"/>
                      <w:spacing w:val="-1"/>
                      <w:szCs w:val="21"/>
                    </w:rPr>
                    <w:t>内</w:t>
                  </w:r>
                  <w:r>
                    <w:rPr>
                      <w:rFonts w:hint="default" w:ascii="Times New Roman" w:hAnsi="Times New Roman" w:eastAsia="宋体" w:cs="Times New Roman"/>
                      <w:color w:val="auto"/>
                      <w:spacing w:val="-1"/>
                      <w:szCs w:val="21"/>
                      <w:lang w:val="en-US" w:eastAsia="zh-CN"/>
                    </w:rPr>
                    <w:t>设置截排水沟，</w:t>
                  </w:r>
                  <w:r>
                    <w:rPr>
                      <w:rFonts w:hint="default" w:ascii="Times New Roman" w:hAnsi="Times New Roman" w:eastAsia="宋体" w:cs="Times New Roman"/>
                      <w:color w:val="auto"/>
                      <w:spacing w:val="-1"/>
                      <w:szCs w:val="21"/>
                    </w:rPr>
                    <w:t>雨水及冲洗废水经收集</w:t>
                  </w:r>
                  <w:r>
                    <w:rPr>
                      <w:rFonts w:hint="default" w:ascii="Times New Roman" w:hAnsi="Times New Roman" w:eastAsia="宋体" w:cs="Times New Roman"/>
                      <w:color w:val="auto"/>
                      <w:spacing w:val="-1"/>
                      <w:szCs w:val="21"/>
                      <w:lang w:val="en-US" w:eastAsia="zh-CN"/>
                    </w:rPr>
                    <w:t>进入三级沉淀池</w:t>
                  </w:r>
                  <w:r>
                    <w:rPr>
                      <w:rFonts w:hint="default" w:ascii="Times New Roman" w:hAnsi="Times New Roman" w:eastAsia="宋体" w:cs="Times New Roman"/>
                      <w:color w:val="auto"/>
                      <w:szCs w:val="21"/>
                    </w:rPr>
                    <w:t>（容积</w:t>
                  </w:r>
                  <w:r>
                    <w:rPr>
                      <w:rFonts w:hint="default" w:ascii="Times New Roman" w:hAnsi="Times New Roman" w:cs="Times New Roman"/>
                      <w:color w:val="auto"/>
                      <w:szCs w:val="21"/>
                      <w:lang w:val="en-US" w:eastAsia="zh-CN"/>
                    </w:rPr>
                    <w:t>3</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pacing w:val="-1"/>
                      <w:szCs w:val="21"/>
                    </w:rPr>
                    <w:t>处理后回用</w:t>
                  </w:r>
                </w:p>
              </w:tc>
              <w:tc>
                <w:tcPr>
                  <w:tcW w:w="1054" w:type="dxa"/>
                  <w:tcBorders>
                    <w:tl2br w:val="nil"/>
                    <w:tr2bl w:val="nil"/>
                  </w:tcBorders>
                  <w:vAlign w:val="center"/>
                </w:tcPr>
                <w:p w14:paraId="1FFFAAF0">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r>
            <w:tr w14:paraId="5E42AB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14:paraId="690B9EE5">
                  <w:pPr>
                    <w:jc w:val="center"/>
                    <w:rPr>
                      <w:rFonts w:hint="default" w:ascii="Times New Roman" w:hAnsi="Times New Roman" w:cs="Times New Roman"/>
                      <w:color w:val="auto"/>
                      <w:szCs w:val="21"/>
                    </w:rPr>
                  </w:pPr>
                </w:p>
              </w:tc>
              <w:tc>
                <w:tcPr>
                  <w:tcW w:w="675" w:type="dxa"/>
                  <w:vMerge w:val="continue"/>
                  <w:tcBorders>
                    <w:tl2br w:val="nil"/>
                    <w:tr2bl w:val="nil"/>
                  </w:tcBorders>
                  <w:vAlign w:val="center"/>
                </w:tcPr>
                <w:p w14:paraId="7FD039BC">
                  <w:pPr>
                    <w:jc w:val="center"/>
                    <w:rPr>
                      <w:rFonts w:hint="default" w:ascii="Times New Roman" w:hAnsi="Times New Roman" w:cs="Times New Roman"/>
                      <w:color w:val="auto"/>
                      <w:szCs w:val="21"/>
                    </w:rPr>
                  </w:pPr>
                </w:p>
              </w:tc>
              <w:tc>
                <w:tcPr>
                  <w:tcW w:w="6255" w:type="dxa"/>
                  <w:tcBorders>
                    <w:tl2br w:val="nil"/>
                    <w:tr2bl w:val="nil"/>
                  </w:tcBorders>
                  <w:vAlign w:val="center"/>
                </w:tcPr>
                <w:p w14:paraId="5D899F5A">
                  <w:pPr>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bCs/>
                      <w:color w:val="auto"/>
                      <w:szCs w:val="21"/>
                    </w:rPr>
                    <w:t>生活污水</w:t>
                  </w: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color w:val="auto"/>
                      <w:spacing w:val="-1"/>
                      <w:szCs w:val="21"/>
                      <w:lang w:val="en-US" w:eastAsia="zh-CN"/>
                    </w:rPr>
                    <w:t>经化粪池（5</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pacing w:val="-1"/>
                      <w:szCs w:val="21"/>
                      <w:lang w:val="en-US" w:eastAsia="zh-CN"/>
                    </w:rPr>
                    <w:t>）处理后用于农肥。</w:t>
                  </w:r>
                </w:p>
              </w:tc>
              <w:tc>
                <w:tcPr>
                  <w:tcW w:w="1054" w:type="dxa"/>
                  <w:tcBorders>
                    <w:tl2br w:val="nil"/>
                    <w:tr2bl w:val="nil"/>
                  </w:tcBorders>
                  <w:vAlign w:val="center"/>
                </w:tcPr>
                <w:p w14:paraId="11345014">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0.5</w:t>
                  </w:r>
                </w:p>
              </w:tc>
            </w:tr>
            <w:tr w14:paraId="5B4F8D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restart"/>
                  <w:tcBorders>
                    <w:tl2br w:val="nil"/>
                    <w:tr2bl w:val="nil"/>
                  </w:tcBorders>
                  <w:vAlign w:val="center"/>
                </w:tcPr>
                <w:p w14:paraId="66200D92">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噪声治理</w:t>
                  </w:r>
                </w:p>
              </w:tc>
              <w:tc>
                <w:tcPr>
                  <w:tcW w:w="675" w:type="dxa"/>
                  <w:tcBorders>
                    <w:tl2br w:val="nil"/>
                    <w:tr2bl w:val="nil"/>
                  </w:tcBorders>
                  <w:vAlign w:val="center"/>
                </w:tcPr>
                <w:p w14:paraId="4C62BE26">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施工期</w:t>
                  </w:r>
                </w:p>
              </w:tc>
              <w:tc>
                <w:tcPr>
                  <w:tcW w:w="6255" w:type="dxa"/>
                  <w:tcBorders>
                    <w:tl2br w:val="nil"/>
                    <w:tr2bl w:val="nil"/>
                  </w:tcBorders>
                  <w:vAlign w:val="center"/>
                </w:tcPr>
                <w:p w14:paraId="062BF07B">
                  <w:pPr>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val="0"/>
                      <w:bCs w:val="0"/>
                      <w:color w:val="auto"/>
                      <w:szCs w:val="21"/>
                      <w:lang w:val="en-US" w:eastAsia="zh-CN"/>
                    </w:rPr>
                    <w:t>加强管理，文明施工</w:t>
                  </w:r>
                </w:p>
              </w:tc>
              <w:tc>
                <w:tcPr>
                  <w:tcW w:w="1054" w:type="dxa"/>
                  <w:tcBorders>
                    <w:tl2br w:val="nil"/>
                    <w:tr2bl w:val="nil"/>
                  </w:tcBorders>
                  <w:vAlign w:val="center"/>
                </w:tcPr>
                <w:p w14:paraId="2482A120">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r>
            <w:tr w14:paraId="3CB53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88" w:type="dxa"/>
                  <w:vMerge w:val="continue"/>
                  <w:tcBorders>
                    <w:tl2br w:val="nil"/>
                    <w:tr2bl w:val="nil"/>
                  </w:tcBorders>
                  <w:vAlign w:val="center"/>
                </w:tcPr>
                <w:p w14:paraId="2C39B9A0">
                  <w:pPr>
                    <w:jc w:val="center"/>
                    <w:rPr>
                      <w:rFonts w:hint="default" w:ascii="Times New Roman" w:hAnsi="Times New Roman" w:cs="Times New Roman"/>
                      <w:color w:val="auto"/>
                      <w:szCs w:val="21"/>
                    </w:rPr>
                  </w:pPr>
                </w:p>
              </w:tc>
              <w:tc>
                <w:tcPr>
                  <w:tcW w:w="675" w:type="dxa"/>
                  <w:vMerge w:val="restart"/>
                  <w:tcBorders>
                    <w:tl2br w:val="nil"/>
                    <w:tr2bl w:val="nil"/>
                  </w:tcBorders>
                  <w:vAlign w:val="center"/>
                </w:tcPr>
                <w:p w14:paraId="14999E6E">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运营期</w:t>
                  </w:r>
                </w:p>
              </w:tc>
              <w:tc>
                <w:tcPr>
                  <w:tcW w:w="6255" w:type="dxa"/>
                  <w:tcBorders>
                    <w:tl2br w:val="nil"/>
                    <w:tr2bl w:val="nil"/>
                  </w:tcBorders>
                  <w:vAlign w:val="center"/>
                </w:tcPr>
                <w:p w14:paraId="029B141E">
                  <w:pPr>
                    <w:jc w:val="left"/>
                    <w:rPr>
                      <w:rFonts w:hint="default" w:ascii="Times New Roman" w:hAnsi="Times New Roman" w:cs="Times New Roman"/>
                      <w:color w:val="auto"/>
                      <w:szCs w:val="21"/>
                    </w:rPr>
                  </w:pPr>
                  <w:r>
                    <w:rPr>
                      <w:rFonts w:hint="default" w:ascii="Times New Roman" w:hAnsi="Times New Roman" w:cs="Times New Roman"/>
                      <w:color w:val="auto"/>
                      <w:szCs w:val="21"/>
                    </w:rPr>
                    <w:t>选用低噪声设备，合理布局、采取</w:t>
                  </w:r>
                  <w:r>
                    <w:rPr>
                      <w:rFonts w:hint="default" w:ascii="Times New Roman" w:hAnsi="Times New Roman" w:cs="Times New Roman"/>
                      <w:color w:val="auto"/>
                      <w:szCs w:val="21"/>
                      <w:lang w:eastAsia="zh-CN"/>
                    </w:rPr>
                    <w:t>减振</w:t>
                  </w:r>
                  <w:r>
                    <w:rPr>
                      <w:rFonts w:hint="default" w:ascii="Times New Roman" w:hAnsi="Times New Roman" w:cs="Times New Roman"/>
                      <w:color w:val="auto"/>
                      <w:szCs w:val="21"/>
                    </w:rPr>
                    <w:t>措施，厂房隔声等</w:t>
                  </w:r>
                </w:p>
              </w:tc>
              <w:tc>
                <w:tcPr>
                  <w:tcW w:w="1054" w:type="dxa"/>
                  <w:tcBorders>
                    <w:tl2br w:val="nil"/>
                    <w:tr2bl w:val="nil"/>
                  </w:tcBorders>
                  <w:vAlign w:val="center"/>
                </w:tcPr>
                <w:p w14:paraId="0272B102">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5</w:t>
                  </w:r>
                </w:p>
              </w:tc>
            </w:tr>
            <w:tr w14:paraId="6B017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14:paraId="503FCB79">
                  <w:pPr>
                    <w:jc w:val="center"/>
                    <w:rPr>
                      <w:rFonts w:hint="default" w:ascii="Times New Roman" w:hAnsi="Times New Roman" w:cs="Times New Roman"/>
                      <w:color w:val="auto"/>
                      <w:szCs w:val="21"/>
                    </w:rPr>
                  </w:pPr>
                </w:p>
              </w:tc>
              <w:tc>
                <w:tcPr>
                  <w:tcW w:w="675" w:type="dxa"/>
                  <w:vMerge w:val="continue"/>
                  <w:tcBorders>
                    <w:tl2br w:val="nil"/>
                    <w:tr2bl w:val="nil"/>
                  </w:tcBorders>
                  <w:vAlign w:val="center"/>
                </w:tcPr>
                <w:p w14:paraId="2A4FCF2D">
                  <w:pPr>
                    <w:jc w:val="center"/>
                    <w:rPr>
                      <w:rFonts w:hint="default" w:ascii="Times New Roman" w:hAnsi="Times New Roman" w:cs="Times New Roman"/>
                      <w:color w:val="auto"/>
                      <w:szCs w:val="21"/>
                    </w:rPr>
                  </w:pPr>
                </w:p>
              </w:tc>
              <w:tc>
                <w:tcPr>
                  <w:tcW w:w="6255" w:type="dxa"/>
                  <w:tcBorders>
                    <w:tl2br w:val="nil"/>
                    <w:tr2bl w:val="nil"/>
                  </w:tcBorders>
                  <w:vAlign w:val="center"/>
                </w:tcPr>
                <w:p w14:paraId="11542DFA">
                  <w:pPr>
                    <w:jc w:val="left"/>
                    <w:rPr>
                      <w:rFonts w:hint="default" w:ascii="Times New Roman" w:hAnsi="Times New Roman" w:cs="Times New Roman"/>
                      <w:color w:val="auto"/>
                      <w:szCs w:val="21"/>
                    </w:rPr>
                  </w:pPr>
                  <w:r>
                    <w:rPr>
                      <w:rFonts w:hint="default" w:ascii="Times New Roman" w:hAnsi="Times New Roman" w:cs="Times New Roman"/>
                      <w:color w:val="auto"/>
                      <w:szCs w:val="21"/>
                    </w:rPr>
                    <w:t>加强车辆进出管理，设置减速、禁鸣等提示标志</w:t>
                  </w:r>
                </w:p>
              </w:tc>
              <w:tc>
                <w:tcPr>
                  <w:tcW w:w="1054" w:type="dxa"/>
                  <w:tcBorders>
                    <w:tl2br w:val="nil"/>
                    <w:tr2bl w:val="nil"/>
                  </w:tcBorders>
                  <w:vAlign w:val="center"/>
                </w:tcPr>
                <w:p w14:paraId="60814359">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04803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restart"/>
                  <w:tcBorders>
                    <w:tl2br w:val="nil"/>
                    <w:tr2bl w:val="nil"/>
                  </w:tcBorders>
                  <w:vAlign w:val="center"/>
                </w:tcPr>
                <w:p w14:paraId="54CFA212">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675" w:type="dxa"/>
                  <w:tcBorders>
                    <w:tl2br w:val="nil"/>
                    <w:tr2bl w:val="nil"/>
                  </w:tcBorders>
                  <w:vAlign w:val="center"/>
                </w:tcPr>
                <w:p w14:paraId="4883536C">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施工期</w:t>
                  </w:r>
                </w:p>
              </w:tc>
              <w:tc>
                <w:tcPr>
                  <w:tcW w:w="6255" w:type="dxa"/>
                  <w:tcBorders>
                    <w:tl2br w:val="nil"/>
                    <w:tr2bl w:val="nil"/>
                  </w:tcBorders>
                  <w:vAlign w:val="center"/>
                </w:tcPr>
                <w:p w14:paraId="05E76091">
                  <w:pPr>
                    <w:keepNext w:val="0"/>
                    <w:keepLines w:val="0"/>
                    <w:suppressLineNumbers w:val="0"/>
                    <w:spacing w:before="0" w:beforeAutospacing="0" w:after="0" w:afterAutospacing="0"/>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建筑废物分类处置，生活垃圾日产日清</w:t>
                  </w:r>
                </w:p>
              </w:tc>
              <w:tc>
                <w:tcPr>
                  <w:tcW w:w="1054" w:type="dxa"/>
                  <w:tcBorders>
                    <w:tl2br w:val="nil"/>
                    <w:tr2bl w:val="nil"/>
                  </w:tcBorders>
                  <w:vAlign w:val="center"/>
                </w:tcPr>
                <w:p w14:paraId="52F33A7F">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w:t>
                  </w:r>
                </w:p>
              </w:tc>
            </w:tr>
            <w:tr w14:paraId="09643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14:paraId="0E659671">
                  <w:pPr>
                    <w:jc w:val="center"/>
                    <w:rPr>
                      <w:rFonts w:hint="default" w:ascii="Times New Roman" w:hAnsi="Times New Roman" w:cs="Times New Roman"/>
                      <w:color w:val="auto"/>
                      <w:szCs w:val="21"/>
                    </w:rPr>
                  </w:pPr>
                </w:p>
              </w:tc>
              <w:tc>
                <w:tcPr>
                  <w:tcW w:w="675" w:type="dxa"/>
                  <w:vMerge w:val="restart"/>
                  <w:tcBorders>
                    <w:tl2br w:val="nil"/>
                    <w:tr2bl w:val="nil"/>
                  </w:tcBorders>
                  <w:vAlign w:val="center"/>
                </w:tcPr>
                <w:p w14:paraId="69C6F6C9">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运营期</w:t>
                  </w:r>
                </w:p>
              </w:tc>
              <w:tc>
                <w:tcPr>
                  <w:tcW w:w="6255" w:type="dxa"/>
                  <w:tcBorders>
                    <w:tl2br w:val="nil"/>
                    <w:tr2bl w:val="nil"/>
                  </w:tcBorders>
                  <w:shd w:val="clear" w:color="auto" w:fill="auto"/>
                  <w:vAlign w:val="center"/>
                </w:tcPr>
                <w:p w14:paraId="6C23BE31">
                  <w:pPr>
                    <w:tabs>
                      <w:tab w:val="left" w:pos="993"/>
                      <w:tab w:val="left" w:pos="1134"/>
                    </w:tabs>
                    <w:spacing w:line="240" w:lineRule="exact"/>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highlight w:val="none"/>
                    </w:rPr>
                    <w:t>除尘器收尘</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rPr>
                    <w:t>筒仓粉尘、搅拌主机粉尘经</w:t>
                  </w:r>
                  <w:r>
                    <w:rPr>
                      <w:rFonts w:hint="default" w:ascii="Times New Roman" w:hAnsi="Times New Roman" w:eastAsia="宋体" w:cs="Times New Roman"/>
                      <w:color w:val="auto"/>
                      <w:szCs w:val="21"/>
                      <w:lang w:val="en-US" w:eastAsia="zh-CN"/>
                    </w:rPr>
                    <w:t>布袋</w:t>
                  </w:r>
                  <w:r>
                    <w:rPr>
                      <w:rFonts w:hint="default" w:ascii="Times New Roman" w:hAnsi="Times New Roman" w:eastAsia="宋体" w:cs="Times New Roman"/>
                      <w:color w:val="auto"/>
                      <w:szCs w:val="21"/>
                    </w:rPr>
                    <w:t>除尘器收集处理后</w:t>
                  </w:r>
                  <w:r>
                    <w:rPr>
                      <w:rFonts w:hint="default" w:ascii="Times New Roman" w:hAnsi="Times New Roman" w:eastAsia="宋体" w:cs="Times New Roman"/>
                      <w:color w:val="auto"/>
                      <w:szCs w:val="21"/>
                      <w:lang w:val="en-US" w:eastAsia="zh-CN"/>
                    </w:rPr>
                    <w:t>无组织排放</w:t>
                  </w:r>
                  <w:r>
                    <w:rPr>
                      <w:rFonts w:hint="default" w:ascii="Times New Roman" w:hAnsi="Times New Roman" w:eastAsia="宋体" w:cs="Times New Roman"/>
                      <w:color w:val="auto"/>
                      <w:szCs w:val="21"/>
                      <w:lang w:eastAsia="zh-CN"/>
                    </w:rPr>
                    <w:t>。</w:t>
                  </w:r>
                  <w:r>
                    <w:rPr>
                      <w:rFonts w:hint="default" w:ascii="Times New Roman" w:hAnsi="Times New Roman" w:cs="Times New Roman"/>
                      <w:color w:val="auto"/>
                      <w:szCs w:val="21"/>
                      <w:lang w:val="en-US" w:eastAsia="zh-CN"/>
                    </w:rPr>
                    <w:t>废矿粉</w:t>
                  </w:r>
                  <w:r>
                    <w:rPr>
                      <w:rFonts w:hint="default" w:ascii="Times New Roman" w:hAnsi="Times New Roman" w:eastAsia="宋体" w:cs="Times New Roman"/>
                      <w:color w:val="auto"/>
                      <w:szCs w:val="21"/>
                    </w:rPr>
                    <w:t>集中收集</w:t>
                  </w:r>
                  <w:r>
                    <w:rPr>
                      <w:rFonts w:hint="default" w:ascii="Times New Roman" w:hAnsi="Times New Roman" w:eastAsia="宋体" w:cs="Times New Roman"/>
                      <w:color w:val="auto"/>
                      <w:szCs w:val="21"/>
                      <w:lang w:val="en-US" w:eastAsia="zh-CN"/>
                    </w:rPr>
                    <w:t>暂存于搅拌楼东南角的废回收粉暂存场（面积3m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外售至水泥厂。</w:t>
                  </w:r>
                </w:p>
              </w:tc>
              <w:tc>
                <w:tcPr>
                  <w:tcW w:w="1054" w:type="dxa"/>
                  <w:tcBorders>
                    <w:tl2br w:val="nil"/>
                    <w:tr2bl w:val="nil"/>
                  </w:tcBorders>
                  <w:vAlign w:val="center"/>
                </w:tcPr>
                <w:p w14:paraId="5E22719C">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p>
              </w:tc>
            </w:tr>
            <w:tr w14:paraId="24B77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14:paraId="4763CE60">
                  <w:pPr>
                    <w:jc w:val="center"/>
                    <w:rPr>
                      <w:rFonts w:hint="default" w:ascii="Times New Roman" w:hAnsi="Times New Roman" w:cs="Times New Roman"/>
                      <w:color w:val="auto"/>
                      <w:szCs w:val="21"/>
                    </w:rPr>
                  </w:pPr>
                </w:p>
              </w:tc>
              <w:tc>
                <w:tcPr>
                  <w:tcW w:w="675" w:type="dxa"/>
                  <w:vMerge w:val="continue"/>
                  <w:tcBorders>
                    <w:tl2br w:val="nil"/>
                    <w:tr2bl w:val="nil"/>
                  </w:tcBorders>
                  <w:vAlign w:val="center"/>
                </w:tcPr>
                <w:p w14:paraId="3F26490C">
                  <w:pPr>
                    <w:jc w:val="center"/>
                    <w:rPr>
                      <w:rFonts w:hint="default" w:ascii="Times New Roman" w:hAnsi="Times New Roman" w:cs="Times New Roman"/>
                      <w:color w:val="auto"/>
                      <w:szCs w:val="21"/>
                    </w:rPr>
                  </w:pPr>
                </w:p>
              </w:tc>
              <w:tc>
                <w:tcPr>
                  <w:tcW w:w="6255" w:type="dxa"/>
                  <w:tcBorders>
                    <w:tl2br w:val="nil"/>
                    <w:tr2bl w:val="nil"/>
                  </w:tcBorders>
                  <w:shd w:val="clear" w:color="auto" w:fill="auto"/>
                  <w:vAlign w:val="center"/>
                </w:tcPr>
                <w:p w14:paraId="0A6D7383">
                  <w:pPr>
                    <w:tabs>
                      <w:tab w:val="left" w:pos="993"/>
                      <w:tab w:val="left" w:pos="1134"/>
                    </w:tabs>
                    <w:spacing w:line="240" w:lineRule="exact"/>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振筛分选的不合格碎石</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集中收集</w:t>
                  </w:r>
                  <w:r>
                    <w:rPr>
                      <w:rFonts w:hint="default" w:ascii="Times New Roman" w:hAnsi="Times New Roman" w:eastAsia="宋体" w:cs="Times New Roman"/>
                      <w:color w:val="auto"/>
                      <w:szCs w:val="21"/>
                      <w:lang w:val="en-US" w:eastAsia="zh-CN"/>
                    </w:rPr>
                    <w:t>暂存于搅拌楼东南角的废骨料暂存场（面积2m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w:t>
                  </w:r>
                  <w:r>
                    <w:rPr>
                      <w:rFonts w:hint="default" w:ascii="Times New Roman" w:hAnsi="Times New Roman" w:cs="Times New Roman"/>
                      <w:color w:val="auto"/>
                      <w:szCs w:val="21"/>
                      <w:lang w:val="en-US" w:eastAsia="zh-CN"/>
                    </w:rPr>
                    <w:t>定期拉回骨料厂家回收</w:t>
                  </w:r>
                  <w:r>
                    <w:rPr>
                      <w:rFonts w:hint="default" w:ascii="Times New Roman" w:hAnsi="Times New Roman" w:eastAsia="宋体" w:cs="Times New Roman"/>
                      <w:color w:val="auto"/>
                      <w:szCs w:val="21"/>
                      <w:lang w:val="en-US" w:eastAsia="zh-CN"/>
                    </w:rPr>
                    <w:t>。</w:t>
                  </w:r>
                </w:p>
              </w:tc>
              <w:tc>
                <w:tcPr>
                  <w:tcW w:w="1054" w:type="dxa"/>
                  <w:tcBorders>
                    <w:tl2br w:val="nil"/>
                    <w:tr2bl w:val="nil"/>
                  </w:tcBorders>
                  <w:vAlign w:val="center"/>
                </w:tcPr>
                <w:p w14:paraId="2C2548CE">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r>
            <w:tr w14:paraId="3D735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14:paraId="24EC7F91">
                  <w:pPr>
                    <w:jc w:val="center"/>
                    <w:rPr>
                      <w:rFonts w:hint="default" w:ascii="Times New Roman" w:hAnsi="Times New Roman" w:cs="Times New Roman"/>
                      <w:color w:val="auto"/>
                      <w:szCs w:val="21"/>
                    </w:rPr>
                  </w:pPr>
                </w:p>
              </w:tc>
              <w:tc>
                <w:tcPr>
                  <w:tcW w:w="675" w:type="dxa"/>
                  <w:vMerge w:val="continue"/>
                  <w:tcBorders>
                    <w:tl2br w:val="nil"/>
                    <w:tr2bl w:val="nil"/>
                  </w:tcBorders>
                  <w:vAlign w:val="center"/>
                </w:tcPr>
                <w:p w14:paraId="76C8F548">
                  <w:pPr>
                    <w:jc w:val="center"/>
                    <w:rPr>
                      <w:rFonts w:hint="default" w:ascii="Times New Roman" w:hAnsi="Times New Roman" w:cs="Times New Roman"/>
                      <w:color w:val="auto"/>
                      <w:szCs w:val="21"/>
                    </w:rPr>
                  </w:pPr>
                </w:p>
              </w:tc>
              <w:tc>
                <w:tcPr>
                  <w:tcW w:w="6255" w:type="dxa"/>
                  <w:tcBorders>
                    <w:tl2br w:val="nil"/>
                    <w:tr2bl w:val="nil"/>
                  </w:tcBorders>
                  <w:shd w:val="clear" w:color="auto" w:fill="auto"/>
                  <w:vAlign w:val="center"/>
                </w:tcPr>
                <w:p w14:paraId="6C519679">
                  <w:pPr>
                    <w:tabs>
                      <w:tab w:val="left" w:pos="993"/>
                      <w:tab w:val="left" w:pos="1134"/>
                    </w:tabs>
                    <w:spacing w:line="240" w:lineRule="exact"/>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拌和残渣</w:t>
                  </w:r>
                  <w:r>
                    <w:rPr>
                      <w:rFonts w:hint="default" w:ascii="Times New Roman" w:hAnsi="Times New Roman" w:eastAsia="宋体" w:cs="Times New Roman"/>
                      <w:color w:val="auto"/>
                      <w:szCs w:val="21"/>
                      <w:lang w:eastAsia="zh-CN"/>
                    </w:rPr>
                    <w:t>：</w:t>
                  </w:r>
                  <w:r>
                    <w:rPr>
                      <w:rFonts w:hint="default" w:ascii="Times New Roman" w:hAnsi="Times New Roman" w:cs="Times New Roman"/>
                      <w:color w:val="auto"/>
                      <w:szCs w:val="21"/>
                    </w:rPr>
                    <w:t>及时使用骨料覆盖回收，暂存至堆料场内，定期拉运至再生料厂。</w:t>
                  </w:r>
                </w:p>
              </w:tc>
              <w:tc>
                <w:tcPr>
                  <w:tcW w:w="1054" w:type="dxa"/>
                  <w:tcBorders>
                    <w:tl2br w:val="nil"/>
                    <w:tr2bl w:val="nil"/>
                  </w:tcBorders>
                  <w:vAlign w:val="center"/>
                </w:tcPr>
                <w:p w14:paraId="1C4CFF66">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0.2</w:t>
                  </w:r>
                </w:p>
              </w:tc>
            </w:tr>
            <w:tr w14:paraId="669BF2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14:paraId="063CDCF6">
                  <w:pPr>
                    <w:jc w:val="center"/>
                    <w:rPr>
                      <w:rFonts w:hint="default" w:ascii="Times New Roman" w:hAnsi="Times New Roman" w:cs="Times New Roman"/>
                      <w:color w:val="auto"/>
                      <w:szCs w:val="21"/>
                    </w:rPr>
                  </w:pPr>
                </w:p>
              </w:tc>
              <w:tc>
                <w:tcPr>
                  <w:tcW w:w="675" w:type="dxa"/>
                  <w:vMerge w:val="continue"/>
                  <w:tcBorders>
                    <w:tl2br w:val="nil"/>
                    <w:tr2bl w:val="nil"/>
                  </w:tcBorders>
                  <w:vAlign w:val="center"/>
                </w:tcPr>
                <w:p w14:paraId="1AA6E81A">
                  <w:pPr>
                    <w:jc w:val="center"/>
                    <w:rPr>
                      <w:rFonts w:hint="default" w:ascii="Times New Roman" w:hAnsi="Times New Roman" w:cs="Times New Roman"/>
                      <w:color w:val="auto"/>
                      <w:szCs w:val="21"/>
                    </w:rPr>
                  </w:pPr>
                </w:p>
              </w:tc>
              <w:tc>
                <w:tcPr>
                  <w:tcW w:w="6255" w:type="dxa"/>
                  <w:tcBorders>
                    <w:tl2br w:val="nil"/>
                    <w:tr2bl w:val="nil"/>
                  </w:tcBorders>
                  <w:shd w:val="clear" w:color="auto" w:fill="auto"/>
                  <w:vAlign w:val="center"/>
                </w:tcPr>
                <w:p w14:paraId="67913A5C">
                  <w:pPr>
                    <w:tabs>
                      <w:tab w:val="left" w:pos="993"/>
                      <w:tab w:val="left" w:pos="1134"/>
                    </w:tabs>
                    <w:spacing w:line="240" w:lineRule="exact"/>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highlight w:val="none"/>
                    </w:rPr>
                    <w:t>不合格产品</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rPr>
                    <w:t>收集后</w:t>
                  </w:r>
                  <w:r>
                    <w:rPr>
                      <w:rFonts w:hint="default" w:ascii="Times New Roman" w:hAnsi="Times New Roman" w:cs="Times New Roman"/>
                      <w:color w:val="auto"/>
                      <w:szCs w:val="21"/>
                      <w:lang w:val="en-US" w:eastAsia="zh-CN"/>
                    </w:rPr>
                    <w:t>定期拉运至再生料厂。</w:t>
                  </w:r>
                </w:p>
              </w:tc>
              <w:tc>
                <w:tcPr>
                  <w:tcW w:w="1054" w:type="dxa"/>
                  <w:tcBorders>
                    <w:tl2br w:val="nil"/>
                    <w:tr2bl w:val="nil"/>
                  </w:tcBorders>
                  <w:vAlign w:val="center"/>
                </w:tcPr>
                <w:p w14:paraId="48240868">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0.2</w:t>
                  </w:r>
                </w:p>
              </w:tc>
            </w:tr>
            <w:tr w14:paraId="30E02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14:paraId="1B13F157">
                  <w:pPr>
                    <w:jc w:val="center"/>
                    <w:rPr>
                      <w:rFonts w:hint="default" w:ascii="Times New Roman" w:hAnsi="Times New Roman" w:cs="Times New Roman"/>
                      <w:color w:val="auto"/>
                      <w:szCs w:val="21"/>
                    </w:rPr>
                  </w:pPr>
                </w:p>
              </w:tc>
              <w:tc>
                <w:tcPr>
                  <w:tcW w:w="675" w:type="dxa"/>
                  <w:vMerge w:val="continue"/>
                  <w:tcBorders>
                    <w:tl2br w:val="nil"/>
                    <w:tr2bl w:val="nil"/>
                  </w:tcBorders>
                  <w:vAlign w:val="center"/>
                </w:tcPr>
                <w:p w14:paraId="2D84EBBF">
                  <w:pPr>
                    <w:jc w:val="center"/>
                    <w:rPr>
                      <w:rFonts w:hint="default" w:ascii="Times New Roman" w:hAnsi="Times New Roman" w:cs="Times New Roman"/>
                      <w:color w:val="auto"/>
                      <w:szCs w:val="21"/>
                    </w:rPr>
                  </w:pPr>
                </w:p>
              </w:tc>
              <w:tc>
                <w:tcPr>
                  <w:tcW w:w="6255" w:type="dxa"/>
                  <w:tcBorders>
                    <w:tl2br w:val="nil"/>
                    <w:tr2bl w:val="nil"/>
                  </w:tcBorders>
                  <w:shd w:val="clear" w:color="auto" w:fill="auto"/>
                  <w:vAlign w:val="center"/>
                </w:tcPr>
                <w:p w14:paraId="36467CE6">
                  <w:pPr>
                    <w:tabs>
                      <w:tab w:val="left" w:pos="993"/>
                      <w:tab w:val="left" w:pos="1134"/>
                    </w:tabs>
                    <w:spacing w:line="240" w:lineRule="exact"/>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沉淀池沉渣</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定期清掏，</w:t>
                  </w:r>
                  <w:r>
                    <w:rPr>
                      <w:rFonts w:hint="default" w:ascii="Times New Roman" w:hAnsi="Times New Roman" w:eastAsia="宋体" w:cs="Times New Roman"/>
                      <w:color w:val="auto"/>
                      <w:szCs w:val="21"/>
                      <w:lang w:val="en-US" w:eastAsia="zh-CN"/>
                    </w:rPr>
                    <w:t>外卖至砖厂</w:t>
                  </w:r>
                  <w:r>
                    <w:rPr>
                      <w:rFonts w:hint="default" w:ascii="Times New Roman" w:hAnsi="Times New Roman" w:eastAsia="宋体" w:cs="Times New Roman"/>
                      <w:color w:val="auto"/>
                      <w:szCs w:val="21"/>
                    </w:rPr>
                    <w:t>。</w:t>
                  </w:r>
                </w:p>
              </w:tc>
              <w:tc>
                <w:tcPr>
                  <w:tcW w:w="1054" w:type="dxa"/>
                  <w:tcBorders>
                    <w:tl2br w:val="nil"/>
                    <w:tr2bl w:val="nil"/>
                  </w:tcBorders>
                  <w:vAlign w:val="center"/>
                </w:tcPr>
                <w:p w14:paraId="1423A5C9">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0.2</w:t>
                  </w:r>
                </w:p>
              </w:tc>
            </w:tr>
            <w:tr w14:paraId="325A8D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14:paraId="60E9CCF4">
                  <w:pPr>
                    <w:jc w:val="center"/>
                    <w:rPr>
                      <w:rFonts w:hint="default" w:ascii="Times New Roman" w:hAnsi="Times New Roman" w:cs="Times New Roman"/>
                      <w:color w:val="auto"/>
                      <w:szCs w:val="21"/>
                    </w:rPr>
                  </w:pPr>
                </w:p>
              </w:tc>
              <w:tc>
                <w:tcPr>
                  <w:tcW w:w="675" w:type="dxa"/>
                  <w:vMerge w:val="continue"/>
                  <w:tcBorders>
                    <w:tl2br w:val="nil"/>
                    <w:tr2bl w:val="nil"/>
                  </w:tcBorders>
                  <w:vAlign w:val="center"/>
                </w:tcPr>
                <w:p w14:paraId="500535FB">
                  <w:pPr>
                    <w:jc w:val="center"/>
                    <w:rPr>
                      <w:rFonts w:hint="default" w:ascii="Times New Roman" w:hAnsi="Times New Roman" w:cs="Times New Roman"/>
                      <w:color w:val="auto"/>
                      <w:szCs w:val="21"/>
                    </w:rPr>
                  </w:pPr>
                </w:p>
              </w:tc>
              <w:tc>
                <w:tcPr>
                  <w:tcW w:w="6255" w:type="dxa"/>
                  <w:tcBorders>
                    <w:tl2br w:val="nil"/>
                    <w:tr2bl w:val="nil"/>
                  </w:tcBorders>
                  <w:shd w:val="clear" w:color="auto" w:fill="auto"/>
                  <w:vAlign w:val="center"/>
                </w:tcPr>
                <w:p w14:paraId="759A5CB8">
                  <w:pPr>
                    <w:tabs>
                      <w:tab w:val="left" w:pos="993"/>
                      <w:tab w:val="left" w:pos="1134"/>
                    </w:tabs>
                    <w:spacing w:line="240" w:lineRule="exact"/>
                    <w:jc w:val="both"/>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szCs w:val="21"/>
                    </w:rPr>
                    <w:t>废机油、废机油桶</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 w:val="21"/>
                      <w:szCs w:val="21"/>
                    </w:rPr>
                    <w:t>设置1个</w:t>
                  </w:r>
                  <w:r>
                    <w:rPr>
                      <w:rFonts w:hint="default" w:ascii="Times New Roman" w:hAnsi="Times New Roman" w:eastAsia="宋体" w:cs="Times New Roman"/>
                      <w:color w:val="auto"/>
                      <w:spacing w:val="-3"/>
                      <w:sz w:val="21"/>
                      <w:szCs w:val="21"/>
                    </w:rPr>
                    <w:t>危</w:t>
                  </w:r>
                  <w:r>
                    <w:rPr>
                      <w:rFonts w:hint="default" w:ascii="Times New Roman" w:hAnsi="Times New Roman" w:eastAsia="宋体" w:cs="Times New Roman"/>
                      <w:color w:val="auto"/>
                      <w:sz w:val="21"/>
                      <w:szCs w:val="21"/>
                    </w:rPr>
                    <w:t>废</w:t>
                  </w:r>
                  <w:r>
                    <w:rPr>
                      <w:rFonts w:hint="default" w:ascii="Times New Roman" w:hAnsi="Times New Roman" w:eastAsia="宋体" w:cs="Times New Roman"/>
                      <w:color w:val="auto"/>
                      <w:spacing w:val="-3"/>
                      <w:sz w:val="21"/>
                      <w:szCs w:val="21"/>
                    </w:rPr>
                    <w:t>暂</w:t>
                  </w:r>
                  <w:r>
                    <w:rPr>
                      <w:rFonts w:hint="default" w:ascii="Times New Roman" w:hAnsi="Times New Roman" w:eastAsia="宋体" w:cs="Times New Roman"/>
                      <w:color w:val="auto"/>
                      <w:sz w:val="21"/>
                      <w:szCs w:val="21"/>
                    </w:rPr>
                    <w:t>存</w:t>
                  </w:r>
                  <w:r>
                    <w:rPr>
                      <w:rFonts w:hint="default" w:ascii="Times New Roman" w:hAnsi="Times New Roman" w:eastAsia="宋体" w:cs="Times New Roman"/>
                      <w:color w:val="auto"/>
                      <w:sz w:val="21"/>
                      <w:szCs w:val="21"/>
                      <w:lang w:val="en-US" w:eastAsia="zh-CN"/>
                    </w:rPr>
                    <w:t>间</w:t>
                  </w:r>
                  <w:r>
                    <w:rPr>
                      <w:rFonts w:hint="default" w:ascii="Times New Roman" w:hAnsi="Times New Roman" w:eastAsia="宋体" w:cs="Times New Roman"/>
                      <w:color w:val="auto"/>
                      <w:sz w:val="21"/>
                      <w:szCs w:val="21"/>
                    </w:rPr>
                    <w:t>，面积约5m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2"/>
                      <w:sz w:val="21"/>
                      <w:szCs w:val="21"/>
                    </w:rPr>
                    <w:t>委托有</w:t>
                  </w:r>
                  <w:r>
                    <w:rPr>
                      <w:rFonts w:hint="default" w:ascii="Times New Roman" w:hAnsi="Times New Roman" w:eastAsia="宋体" w:cs="Times New Roman"/>
                      <w:color w:val="auto"/>
                      <w:szCs w:val="21"/>
                      <w:lang w:bidi="ar"/>
                    </w:rPr>
                    <w:t>危废资质</w:t>
                  </w:r>
                  <w:r>
                    <w:rPr>
                      <w:rFonts w:hint="default" w:ascii="Times New Roman" w:hAnsi="Times New Roman" w:eastAsia="宋体" w:cs="Times New Roman"/>
                      <w:color w:val="auto"/>
                      <w:spacing w:val="-2"/>
                      <w:sz w:val="21"/>
                      <w:szCs w:val="21"/>
                    </w:rPr>
                    <w:t>的</w:t>
                  </w:r>
                  <w:r>
                    <w:rPr>
                      <w:rFonts w:hint="default" w:ascii="Times New Roman" w:hAnsi="Times New Roman" w:eastAsia="宋体" w:cs="Times New Roman"/>
                      <w:color w:val="auto"/>
                      <w:spacing w:val="-1"/>
                      <w:sz w:val="21"/>
                      <w:szCs w:val="21"/>
                    </w:rPr>
                    <w:t>单位回收处理。</w:t>
                  </w:r>
                </w:p>
              </w:tc>
              <w:tc>
                <w:tcPr>
                  <w:tcW w:w="1054" w:type="dxa"/>
                  <w:vMerge w:val="restart"/>
                  <w:tcBorders>
                    <w:tl2br w:val="nil"/>
                    <w:tr2bl w:val="nil"/>
                  </w:tcBorders>
                  <w:vAlign w:val="center"/>
                </w:tcPr>
                <w:p w14:paraId="23E8437A">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0.5</w:t>
                  </w:r>
                </w:p>
              </w:tc>
            </w:tr>
            <w:tr w14:paraId="1AE16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14:paraId="3145E159">
                  <w:pPr>
                    <w:jc w:val="center"/>
                    <w:rPr>
                      <w:rFonts w:hint="default" w:ascii="Times New Roman" w:hAnsi="Times New Roman" w:cs="Times New Roman"/>
                      <w:color w:val="auto"/>
                      <w:szCs w:val="21"/>
                    </w:rPr>
                  </w:pPr>
                </w:p>
              </w:tc>
              <w:tc>
                <w:tcPr>
                  <w:tcW w:w="675" w:type="dxa"/>
                  <w:vMerge w:val="continue"/>
                  <w:tcBorders>
                    <w:tl2br w:val="nil"/>
                    <w:tr2bl w:val="nil"/>
                  </w:tcBorders>
                  <w:vAlign w:val="center"/>
                </w:tcPr>
                <w:p w14:paraId="6CC1C17E">
                  <w:pPr>
                    <w:jc w:val="center"/>
                    <w:rPr>
                      <w:rFonts w:hint="default" w:ascii="Times New Roman" w:hAnsi="Times New Roman" w:cs="Times New Roman"/>
                      <w:color w:val="auto"/>
                      <w:szCs w:val="21"/>
                    </w:rPr>
                  </w:pPr>
                </w:p>
              </w:tc>
              <w:tc>
                <w:tcPr>
                  <w:tcW w:w="6255" w:type="dxa"/>
                  <w:tcBorders>
                    <w:tl2br w:val="nil"/>
                    <w:tr2bl w:val="nil"/>
                  </w:tcBorders>
                  <w:shd w:val="clear" w:color="auto" w:fill="auto"/>
                  <w:vAlign w:val="center"/>
                </w:tcPr>
                <w:p w14:paraId="30FFB586">
                  <w:pPr>
                    <w:tabs>
                      <w:tab w:val="left" w:pos="993"/>
                      <w:tab w:val="left" w:pos="1134"/>
                    </w:tabs>
                    <w:spacing w:line="240" w:lineRule="exact"/>
                    <w:jc w:val="both"/>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szCs w:val="21"/>
                      <w:lang w:val="en-US" w:eastAsia="zh-CN"/>
                    </w:rPr>
                    <w:t>废导热油：</w:t>
                  </w:r>
                  <w:r>
                    <w:rPr>
                      <w:rFonts w:hint="default" w:ascii="Times New Roman" w:hAnsi="Times New Roman" w:eastAsia="宋体" w:cs="Times New Roman"/>
                      <w:color w:val="auto"/>
                      <w:sz w:val="21"/>
                      <w:szCs w:val="21"/>
                      <w:lang w:val="en-US" w:eastAsia="zh-CN"/>
                    </w:rPr>
                    <w:t>更换频率较低，</w:t>
                  </w:r>
                  <w:r>
                    <w:rPr>
                      <w:rFonts w:hint="default" w:ascii="Times New Roman" w:hAnsi="Times New Roman" w:eastAsia="宋体" w:cs="Times New Roman"/>
                      <w:color w:val="auto"/>
                      <w:spacing w:val="-2"/>
                      <w:sz w:val="21"/>
                      <w:szCs w:val="21"/>
                    </w:rPr>
                    <w:t>委托有</w:t>
                  </w:r>
                  <w:r>
                    <w:rPr>
                      <w:rFonts w:hint="default" w:ascii="Times New Roman" w:hAnsi="Times New Roman" w:eastAsia="宋体" w:cs="Times New Roman"/>
                      <w:color w:val="auto"/>
                      <w:szCs w:val="21"/>
                      <w:lang w:bidi="ar"/>
                    </w:rPr>
                    <w:t>危废资质</w:t>
                  </w:r>
                  <w:r>
                    <w:rPr>
                      <w:rFonts w:hint="default" w:ascii="Times New Roman" w:hAnsi="Times New Roman" w:eastAsia="宋体" w:cs="Times New Roman"/>
                      <w:color w:val="auto"/>
                      <w:spacing w:val="-2"/>
                      <w:sz w:val="21"/>
                      <w:szCs w:val="21"/>
                    </w:rPr>
                    <w:t>的</w:t>
                  </w:r>
                  <w:r>
                    <w:rPr>
                      <w:rFonts w:hint="default" w:ascii="Times New Roman" w:hAnsi="Times New Roman" w:eastAsia="宋体" w:cs="Times New Roman"/>
                      <w:color w:val="auto"/>
                      <w:spacing w:val="-1"/>
                      <w:sz w:val="21"/>
                      <w:szCs w:val="21"/>
                    </w:rPr>
                    <w:t>单位回收处理。</w:t>
                  </w:r>
                </w:p>
              </w:tc>
              <w:tc>
                <w:tcPr>
                  <w:tcW w:w="1054" w:type="dxa"/>
                  <w:vMerge w:val="continue"/>
                  <w:tcBorders>
                    <w:tl2br w:val="nil"/>
                    <w:tr2bl w:val="nil"/>
                  </w:tcBorders>
                  <w:vAlign w:val="center"/>
                </w:tcPr>
                <w:p w14:paraId="7D5EF44C">
                  <w:pPr>
                    <w:jc w:val="center"/>
                    <w:rPr>
                      <w:rFonts w:hint="default" w:ascii="Times New Roman" w:hAnsi="Times New Roman" w:eastAsia="宋体" w:cs="Times New Roman"/>
                      <w:color w:val="auto"/>
                      <w:szCs w:val="21"/>
                      <w:lang w:val="en-US" w:eastAsia="zh-CN"/>
                    </w:rPr>
                  </w:pPr>
                </w:p>
              </w:tc>
            </w:tr>
            <w:tr w14:paraId="749AF0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vAlign w:val="center"/>
                </w:tcPr>
                <w:p w14:paraId="6DA7F3FA">
                  <w:pPr>
                    <w:jc w:val="center"/>
                    <w:rPr>
                      <w:rFonts w:hint="default" w:ascii="Times New Roman" w:hAnsi="Times New Roman" w:cs="Times New Roman"/>
                      <w:color w:val="auto"/>
                      <w:szCs w:val="21"/>
                    </w:rPr>
                  </w:pPr>
                </w:p>
              </w:tc>
              <w:tc>
                <w:tcPr>
                  <w:tcW w:w="675" w:type="dxa"/>
                  <w:vMerge w:val="continue"/>
                  <w:tcBorders>
                    <w:tl2br w:val="nil"/>
                    <w:tr2bl w:val="nil"/>
                  </w:tcBorders>
                  <w:vAlign w:val="center"/>
                </w:tcPr>
                <w:p w14:paraId="5447B082">
                  <w:pPr>
                    <w:jc w:val="center"/>
                    <w:rPr>
                      <w:rFonts w:hint="default" w:ascii="Times New Roman" w:hAnsi="Times New Roman" w:cs="Times New Roman"/>
                      <w:color w:val="auto"/>
                      <w:szCs w:val="21"/>
                    </w:rPr>
                  </w:pPr>
                </w:p>
              </w:tc>
              <w:tc>
                <w:tcPr>
                  <w:tcW w:w="6255" w:type="dxa"/>
                  <w:tcBorders>
                    <w:tl2br w:val="nil"/>
                    <w:tr2bl w:val="nil"/>
                  </w:tcBorders>
                  <w:shd w:val="clear" w:color="auto" w:fill="auto"/>
                  <w:vAlign w:val="center"/>
                </w:tcPr>
                <w:p w14:paraId="1498C60D">
                  <w:pPr>
                    <w:tabs>
                      <w:tab w:val="left" w:pos="993"/>
                      <w:tab w:val="left" w:pos="1134"/>
                    </w:tabs>
                    <w:spacing w:line="240" w:lineRule="exact"/>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生活垃圾</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场内设垃圾桶收集，交由环卫部门清运处理。</w:t>
                  </w:r>
                </w:p>
              </w:tc>
              <w:tc>
                <w:tcPr>
                  <w:tcW w:w="1054" w:type="dxa"/>
                  <w:tcBorders>
                    <w:tl2br w:val="nil"/>
                    <w:tr2bl w:val="nil"/>
                  </w:tcBorders>
                  <w:vAlign w:val="center"/>
                </w:tcPr>
                <w:p w14:paraId="62078E4E">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0.3</w:t>
                  </w:r>
                </w:p>
              </w:tc>
            </w:tr>
            <w:tr w14:paraId="72822F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tcBorders>
                    <w:tl2br w:val="nil"/>
                    <w:tr2bl w:val="nil"/>
                  </w:tcBorders>
                  <w:vAlign w:val="center"/>
                </w:tcPr>
                <w:p w14:paraId="39E6AEDE">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w:t>
                  </w:r>
                </w:p>
              </w:tc>
              <w:tc>
                <w:tcPr>
                  <w:tcW w:w="6930" w:type="dxa"/>
                  <w:gridSpan w:val="2"/>
                  <w:tcBorders>
                    <w:tl2br w:val="nil"/>
                    <w:tr2bl w:val="nil"/>
                  </w:tcBorders>
                  <w:vAlign w:val="center"/>
                </w:tcPr>
                <w:p w14:paraId="7FC7F30A">
                  <w:pPr>
                    <w:jc w:val="center"/>
                    <w:rPr>
                      <w:rFonts w:hint="default" w:ascii="Times New Roman" w:hAnsi="Times New Roman" w:cs="Times New Roman"/>
                      <w:color w:val="auto"/>
                      <w:szCs w:val="21"/>
                    </w:rPr>
                  </w:pPr>
                  <w:r>
                    <w:rPr>
                      <w:rFonts w:hint="default" w:ascii="Times New Roman" w:hAnsi="Times New Roman" w:cs="Times New Roman" w:eastAsiaTheme="minorEastAsia"/>
                      <w:color w:val="auto"/>
                      <w:szCs w:val="21"/>
                    </w:rPr>
                    <w:t>加强运输风险管理，设置警示标识，配备相应数量灭火器，开展员工安全培训；加强污染防治设施管理和维护；严格执行环评及相关法律法规要求，制定环境风险应急预案。</w:t>
                  </w:r>
                </w:p>
              </w:tc>
              <w:tc>
                <w:tcPr>
                  <w:tcW w:w="1054" w:type="dxa"/>
                  <w:tcBorders>
                    <w:tl2br w:val="nil"/>
                    <w:tr2bl w:val="nil"/>
                  </w:tcBorders>
                  <w:vAlign w:val="center"/>
                </w:tcPr>
                <w:p w14:paraId="7CCFE891">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w:t>
                  </w:r>
                </w:p>
              </w:tc>
            </w:tr>
            <w:tr w14:paraId="4F1D2E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tcBorders>
                    <w:tl2br w:val="nil"/>
                    <w:tr2bl w:val="nil"/>
                  </w:tcBorders>
                  <w:vAlign w:val="center"/>
                </w:tcPr>
                <w:p w14:paraId="33D09103">
                  <w:pPr>
                    <w:pStyle w:val="55"/>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环境监测</w:t>
                  </w:r>
                </w:p>
              </w:tc>
              <w:tc>
                <w:tcPr>
                  <w:tcW w:w="6930" w:type="dxa"/>
                  <w:gridSpan w:val="2"/>
                  <w:tcBorders>
                    <w:tl2br w:val="nil"/>
                    <w:tr2bl w:val="nil"/>
                  </w:tcBorders>
                  <w:vAlign w:val="center"/>
                </w:tcPr>
                <w:p w14:paraId="72C3F624">
                  <w:pPr>
                    <w:jc w:val="center"/>
                    <w:rPr>
                      <w:rFonts w:hint="default" w:ascii="Times New Roman" w:hAnsi="Times New Roman" w:cs="Times New Roman"/>
                      <w:color w:val="auto"/>
                      <w:szCs w:val="21"/>
                    </w:rPr>
                  </w:pPr>
                  <w:r>
                    <w:rPr>
                      <w:rFonts w:hint="default" w:ascii="Times New Roman" w:hAnsi="Times New Roman" w:cs="Times New Roman"/>
                      <w:color w:val="auto"/>
                      <w:szCs w:val="21"/>
                    </w:rPr>
                    <w:t>制定自行监测方案，定期开展污染源监测</w:t>
                  </w:r>
                </w:p>
              </w:tc>
              <w:tc>
                <w:tcPr>
                  <w:tcW w:w="1054" w:type="dxa"/>
                  <w:tcBorders>
                    <w:tl2br w:val="nil"/>
                    <w:tr2bl w:val="nil"/>
                  </w:tcBorders>
                  <w:vAlign w:val="center"/>
                </w:tcPr>
                <w:p w14:paraId="75D0FCE9">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p>
              </w:tc>
            </w:tr>
            <w:tr w14:paraId="567C8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88" w:type="dxa"/>
                  <w:tcBorders>
                    <w:tl2br w:val="nil"/>
                    <w:tr2bl w:val="nil"/>
                  </w:tcBorders>
                  <w:vAlign w:val="center"/>
                </w:tcPr>
                <w:p w14:paraId="28ED29CA">
                  <w:pPr>
                    <w:jc w:val="center"/>
                    <w:rPr>
                      <w:rFonts w:hint="default" w:ascii="Times New Roman" w:hAnsi="Times New Roman" w:cs="Times New Roman"/>
                      <w:color w:val="auto"/>
                      <w:szCs w:val="21"/>
                    </w:rPr>
                  </w:pPr>
                  <w:r>
                    <w:rPr>
                      <w:rFonts w:hint="default" w:ascii="Times New Roman" w:hAnsi="Times New Roman" w:cs="Times New Roman"/>
                      <w:color w:val="auto"/>
                      <w:szCs w:val="21"/>
                    </w:rPr>
                    <w:t>合计</w:t>
                  </w:r>
                </w:p>
              </w:tc>
              <w:tc>
                <w:tcPr>
                  <w:tcW w:w="6930" w:type="dxa"/>
                  <w:gridSpan w:val="2"/>
                  <w:tcBorders>
                    <w:tl2br w:val="nil"/>
                    <w:tr2bl w:val="nil"/>
                  </w:tcBorders>
                  <w:vAlign w:val="center"/>
                </w:tcPr>
                <w:p w14:paraId="269D7EDF">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54" w:type="dxa"/>
                  <w:tcBorders>
                    <w:tl2br w:val="nil"/>
                    <w:tr2bl w:val="nil"/>
                  </w:tcBorders>
                  <w:vAlign w:val="center"/>
                </w:tcPr>
                <w:p w14:paraId="20FFAE22">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87.4</w:t>
                  </w:r>
                </w:p>
              </w:tc>
            </w:tr>
          </w:tbl>
          <w:p w14:paraId="456A9B06">
            <w:pPr>
              <w:spacing w:line="360" w:lineRule="auto"/>
              <w:rPr>
                <w:rFonts w:hint="default" w:ascii="Times New Roman" w:hAnsi="Times New Roman" w:cs="Times New Roman"/>
                <w:color w:val="auto"/>
                <w:sz w:val="24"/>
                <w:szCs w:val="24"/>
              </w:rPr>
            </w:pPr>
          </w:p>
        </w:tc>
      </w:tr>
    </w:tbl>
    <w:p w14:paraId="54076663">
      <w:pPr>
        <w:spacing w:line="276" w:lineRule="auto"/>
        <w:ind w:firstLine="420" w:firstLineChars="200"/>
        <w:rPr>
          <w:rFonts w:hint="default" w:ascii="Times New Roman" w:hAnsi="Times New Roman" w:cs="Times New Roman"/>
          <w:color w:val="auto"/>
          <w:szCs w:val="21"/>
        </w:rPr>
        <w:sectPr>
          <w:pgSz w:w="11906" w:h="16838"/>
          <w:pgMar w:top="1134" w:right="1418"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F4946EC">
      <w:pPr>
        <w:pStyle w:val="64"/>
        <w:jc w:val="center"/>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394335</wp:posOffset>
                </wp:positionV>
                <wp:extent cx="890270" cy="681990"/>
                <wp:effectExtent l="3175" t="3810" r="20955" b="19050"/>
                <wp:wrapNone/>
                <wp:docPr id="45" name="直接连接符 45"/>
                <wp:cNvGraphicFramePr/>
                <a:graphic xmlns:a="http://schemas.openxmlformats.org/drawingml/2006/main">
                  <a:graphicData uri="http://schemas.microsoft.com/office/word/2010/wordprocessingShape">
                    <wps:wsp>
                      <wps:cNvCnPr/>
                      <wps:spPr>
                        <a:xfrm>
                          <a:off x="0" y="0"/>
                          <a:ext cx="890270" cy="6819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5pt;margin-top:31.05pt;height:53.7pt;width:70.1pt;z-index:251660288;mso-width-relative:page;mso-height-relative:page;" filled="f" stroked="t" coordsize="21600,21600" o:gfxdata="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SEAzPYAAAACQEAAA8A&#10;AAAAAAAAAQAgAAAAIgAAAGRycy9kb3ducmV2LnhtbFBLAQIUABQAAAAIAIdO4kBJtMlB3gEAAKAD&#10;AAAOAAAAAAAAAAEAIAAAACcBAABkcnMvZTJvRG9jLnhtbFBLBQYAAAAABgAGAFkBAAB3BQAAAAA=&#10;">
                <v:fill on="f" focussize="0,0"/>
                <v:stroke color="#000000 [3213]" joinstyle="round"/>
                <v:imagedata o:title=""/>
                <o:lock v:ext="edit" aspectratio="f"/>
              </v:line>
            </w:pict>
          </mc:Fallback>
        </mc:AlternateContent>
      </w:r>
      <w:r>
        <w:rPr>
          <w:rFonts w:hint="default" w:ascii="Times New Roman" w:hAnsi="Times New Roman" w:eastAsia="黑体" w:cs="Times New Roman"/>
          <w:b w:val="0"/>
          <w:color w:val="auto"/>
          <w:sz w:val="30"/>
          <w:szCs w:val="30"/>
        </w:rPr>
        <w:t>五、环境保护措施监督检查清单</w:t>
      </w:r>
    </w:p>
    <w:tbl>
      <w:tblPr>
        <w:tblStyle w:val="29"/>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377"/>
        <w:gridCol w:w="1215"/>
        <w:gridCol w:w="870"/>
        <w:gridCol w:w="3840"/>
        <w:gridCol w:w="2047"/>
      </w:tblGrid>
      <w:tr w14:paraId="6D7D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0" w:hRule="atLeast"/>
          <w:jc w:val="center"/>
        </w:trPr>
        <w:tc>
          <w:tcPr>
            <w:tcW w:w="1377" w:type="dxa"/>
            <w:vAlign w:val="center"/>
          </w:tcPr>
          <w:p w14:paraId="67288990">
            <w:pPr>
              <w:keepNext w:val="0"/>
              <w:keepLines w:val="0"/>
              <w:pageBreakBefore w:val="0"/>
              <w:widowControl w:val="0"/>
              <w:kinsoku/>
              <w:wordWrap/>
              <w:overflowPunct/>
              <w:topLinePunct w:val="0"/>
              <w:autoSpaceDE/>
              <w:autoSpaceDN/>
              <w:bidi w:val="0"/>
              <w:spacing w:line="240" w:lineRule="auto"/>
              <w:jc w:val="right"/>
              <w:textAlignment w:val="auto"/>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内容</w:t>
            </w:r>
          </w:p>
          <w:p w14:paraId="5B42BC4D">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要素</w:t>
            </w:r>
          </w:p>
        </w:tc>
        <w:tc>
          <w:tcPr>
            <w:tcW w:w="1215" w:type="dxa"/>
            <w:vAlign w:val="center"/>
          </w:tcPr>
          <w:p w14:paraId="633E548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排放口（编号、名称）/污染源</w:t>
            </w:r>
          </w:p>
        </w:tc>
        <w:tc>
          <w:tcPr>
            <w:tcW w:w="870" w:type="dxa"/>
            <w:vAlign w:val="center"/>
          </w:tcPr>
          <w:p w14:paraId="1B7E649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污染物项目</w:t>
            </w:r>
          </w:p>
        </w:tc>
        <w:tc>
          <w:tcPr>
            <w:tcW w:w="3840" w:type="dxa"/>
            <w:vAlign w:val="center"/>
          </w:tcPr>
          <w:p w14:paraId="782F0A6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环境保护措施</w:t>
            </w:r>
          </w:p>
        </w:tc>
        <w:tc>
          <w:tcPr>
            <w:tcW w:w="2047" w:type="dxa"/>
            <w:vAlign w:val="center"/>
          </w:tcPr>
          <w:p w14:paraId="616EBFF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执行标准</w:t>
            </w:r>
          </w:p>
        </w:tc>
      </w:tr>
      <w:tr w14:paraId="3F2F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03" w:hRule="atLeast"/>
          <w:jc w:val="center"/>
        </w:trPr>
        <w:tc>
          <w:tcPr>
            <w:tcW w:w="1377" w:type="dxa"/>
            <w:vMerge w:val="restart"/>
            <w:vAlign w:val="center"/>
          </w:tcPr>
          <w:p w14:paraId="419AA4C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大气环境</w:t>
            </w:r>
          </w:p>
        </w:tc>
        <w:tc>
          <w:tcPr>
            <w:tcW w:w="1215" w:type="dxa"/>
            <w:shd w:val="clear" w:color="auto" w:fill="auto"/>
            <w:vAlign w:val="center"/>
          </w:tcPr>
          <w:p w14:paraId="05F1FB7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szCs w:val="21"/>
                <w:lang w:eastAsia="zh-CN"/>
              </w:rPr>
              <w:t>沥青混凝土</w:t>
            </w:r>
            <w:r>
              <w:rPr>
                <w:rFonts w:hint="default" w:ascii="Times New Roman" w:hAnsi="Times New Roman" w:cs="Times New Roman"/>
                <w:bCs/>
                <w:color w:val="auto"/>
                <w:kern w:val="0"/>
                <w:szCs w:val="21"/>
              </w:rPr>
              <w:t>生产线</w:t>
            </w:r>
          </w:p>
        </w:tc>
        <w:tc>
          <w:tcPr>
            <w:tcW w:w="870" w:type="dxa"/>
            <w:shd w:val="clear" w:color="auto" w:fill="auto"/>
            <w:vAlign w:val="center"/>
          </w:tcPr>
          <w:p w14:paraId="360710D1">
            <w:pPr>
              <w:keepNext w:val="0"/>
              <w:keepLines w:val="0"/>
              <w:pageBreakBefore w:val="0"/>
              <w:widowControl w:val="0"/>
              <w:kinsoku/>
              <w:wordWrap/>
              <w:overflowPunct/>
              <w:topLinePunct w:val="0"/>
              <w:autoSpaceDE/>
              <w:autoSpaceDN/>
              <w:bidi w:val="0"/>
              <w:adjustRightInd w:val="0"/>
              <w:snapToGrid w:val="0"/>
              <w:spacing w:line="240" w:lineRule="auto"/>
              <w:ind w:left="-48" w:leftChars="-23" w:right="-36" w:rightChars="-17"/>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、NOx、颗粒物</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沥青烟、</w:t>
            </w:r>
            <w:r>
              <w:rPr>
                <w:rFonts w:hint="default" w:ascii="Times New Roman" w:hAnsi="Times New Roman" w:cs="Times New Roman"/>
                <w:bCs/>
                <w:color w:val="auto"/>
                <w:sz w:val="21"/>
                <w:szCs w:val="21"/>
              </w:rPr>
              <w:t>苯并[a]芘</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lang w:val="en-US" w:eastAsia="zh-CN"/>
              </w:rPr>
              <w:t>VOC</w:t>
            </w:r>
            <w:r>
              <w:rPr>
                <w:rFonts w:hint="default" w:ascii="Times New Roman" w:hAnsi="Times New Roman" w:cs="Times New Roman"/>
                <w:bCs/>
                <w:color w:val="auto"/>
                <w:sz w:val="21"/>
                <w:szCs w:val="21"/>
                <w:vertAlign w:val="subscript"/>
                <w:lang w:val="en-US" w:eastAsia="zh-CN"/>
              </w:rPr>
              <w:t>S</w:t>
            </w:r>
            <w:r>
              <w:rPr>
                <w:rFonts w:hint="default" w:ascii="Times New Roman" w:hAnsi="Times New Roman" w:cs="Times New Roman"/>
                <w:bCs/>
                <w:color w:val="auto"/>
                <w:sz w:val="21"/>
                <w:szCs w:val="21"/>
                <w:vertAlign w:val="baseline"/>
                <w:lang w:val="en-US" w:eastAsia="zh-CN"/>
              </w:rPr>
              <w:t>（以非甲烷总烃计）</w:t>
            </w:r>
          </w:p>
        </w:tc>
        <w:tc>
          <w:tcPr>
            <w:tcW w:w="3840" w:type="dxa"/>
            <w:vAlign w:val="center"/>
          </w:tcPr>
          <w:p w14:paraId="08B8FC2A">
            <w:pPr>
              <w:pStyle w:val="80"/>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b/>
                <w:bCs w:val="0"/>
                <w:color w:val="auto"/>
                <w:kern w:val="0"/>
                <w:szCs w:val="21"/>
                <w:lang w:val="en-US" w:eastAsia="zh-CN"/>
              </w:rPr>
            </w:pPr>
            <w:r>
              <w:rPr>
                <w:rFonts w:hint="default" w:ascii="Times New Roman" w:hAnsi="Times New Roman" w:eastAsia="宋体" w:cs="Times New Roman"/>
                <w:b/>
                <w:bCs w:val="0"/>
                <w:color w:val="auto"/>
                <w:kern w:val="0"/>
                <w:szCs w:val="21"/>
                <w:lang w:val="en-US" w:eastAsia="zh-CN"/>
              </w:rPr>
              <w:t>骨料上料粉尘</w:t>
            </w:r>
            <w:r>
              <w:rPr>
                <w:rFonts w:hint="default" w:ascii="Times New Roman" w:hAnsi="Times New Roman" w:cs="Times New Roman"/>
                <w:b/>
                <w:bCs w:val="0"/>
                <w:color w:val="auto"/>
                <w:kern w:val="0"/>
                <w:szCs w:val="21"/>
                <w:lang w:val="en-US" w:eastAsia="zh-CN"/>
              </w:rPr>
              <w:t>：</w:t>
            </w:r>
            <w:r>
              <w:rPr>
                <w:rFonts w:hint="default" w:ascii="Times New Roman" w:hAnsi="Times New Roman" w:eastAsia="宋体" w:cs="Times New Roman"/>
                <w:color w:val="auto"/>
                <w:spacing w:val="-1"/>
                <w:szCs w:val="21"/>
              </w:rPr>
              <w:t>骨料通过装载机转运至</w:t>
            </w:r>
            <w:r>
              <w:rPr>
                <w:rFonts w:hint="default" w:ascii="Times New Roman" w:hAnsi="Times New Roman" w:eastAsia="宋体" w:cs="Times New Roman"/>
                <w:color w:val="auto"/>
                <w:spacing w:val="-1"/>
                <w:szCs w:val="21"/>
                <w:lang w:val="en-US" w:eastAsia="zh-CN"/>
              </w:rPr>
              <w:t>上料斗</w:t>
            </w:r>
            <w:r>
              <w:rPr>
                <w:rFonts w:hint="default" w:ascii="Times New Roman" w:hAnsi="Times New Roman" w:eastAsia="宋体" w:cs="Times New Roman"/>
                <w:color w:val="auto"/>
                <w:spacing w:val="-1"/>
                <w:szCs w:val="21"/>
              </w:rPr>
              <w:t>进行上料，</w:t>
            </w:r>
            <w:r>
              <w:rPr>
                <w:rFonts w:hint="default" w:ascii="Times New Roman" w:hAnsi="Times New Roman" w:eastAsia="宋体" w:cs="Times New Roman"/>
                <w:color w:val="auto"/>
                <w:spacing w:val="-1"/>
                <w:szCs w:val="21"/>
                <w:lang w:val="en-US" w:eastAsia="zh-CN"/>
              </w:rPr>
              <w:t>上料斗</w:t>
            </w:r>
            <w:r>
              <w:rPr>
                <w:rFonts w:hint="default" w:ascii="Times New Roman" w:hAnsi="Times New Roman" w:eastAsia="宋体" w:cs="Times New Roman"/>
                <w:color w:val="auto"/>
                <w:spacing w:val="-1"/>
                <w:szCs w:val="21"/>
              </w:rPr>
              <w:t>设置</w:t>
            </w:r>
            <w:r>
              <w:rPr>
                <w:rFonts w:hint="default" w:ascii="Times New Roman" w:hAnsi="Times New Roman" w:eastAsia="宋体" w:cs="Times New Roman"/>
                <w:color w:val="auto"/>
                <w:spacing w:val="-1"/>
                <w:szCs w:val="21"/>
                <w:lang w:eastAsia="zh-CN"/>
              </w:rPr>
              <w:t>三面围挡，顶部加盖</w:t>
            </w:r>
            <w:r>
              <w:rPr>
                <w:rFonts w:hint="default" w:ascii="Times New Roman" w:hAnsi="Times New Roman" w:eastAsia="宋体" w:cs="Times New Roman"/>
                <w:color w:val="auto"/>
                <w:spacing w:val="-1"/>
                <w:szCs w:val="21"/>
              </w:rPr>
              <w:t>，上料区上方采取喷雾降尘装置、平缓上料、减小落差等措施，降低骨料上料、输送过程产生的粉尘。</w:t>
            </w:r>
          </w:p>
          <w:p w14:paraId="2B6130AE">
            <w:pPr>
              <w:pStyle w:val="80"/>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b w:val="0"/>
                <w:bCs/>
                <w:color w:val="auto"/>
                <w:kern w:val="0"/>
                <w:szCs w:val="21"/>
                <w:lang w:val="en-US" w:eastAsia="zh-CN"/>
              </w:rPr>
              <w:t>矿粉筒仓粉尘</w:t>
            </w:r>
            <w:r>
              <w:rPr>
                <w:rFonts w:hint="default" w:ascii="Times New Roman" w:hAnsi="Times New Roman" w:cs="Times New Roman"/>
                <w:b w:val="0"/>
                <w:bCs/>
                <w:color w:val="auto"/>
                <w:kern w:val="0"/>
                <w:szCs w:val="21"/>
                <w:lang w:val="en-US" w:eastAsia="zh-CN"/>
              </w:rPr>
              <w:t>：</w:t>
            </w:r>
            <w:r>
              <w:rPr>
                <w:rFonts w:hint="default" w:ascii="Times New Roman" w:hAnsi="Times New Roman" w:eastAsia="宋体" w:cs="Times New Roman"/>
                <w:color w:val="auto"/>
                <w:spacing w:val="-1"/>
                <w:szCs w:val="21"/>
              </w:rPr>
              <w:t>粉料经密闭管道输送至粉料筒仓内暂存备用，每个筒仓上方配备有布袋除尘器处理后无组织排放。</w:t>
            </w:r>
          </w:p>
          <w:p w14:paraId="58620EC6">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color w:val="auto"/>
                <w:spacing w:val="-1"/>
                <w:szCs w:val="21"/>
                <w:lang w:val="en-US" w:eastAsia="zh-CN"/>
              </w:rPr>
            </w:pPr>
            <w:r>
              <w:rPr>
                <w:rFonts w:hint="default" w:ascii="Times New Roman" w:hAnsi="Times New Roman" w:eastAsia="宋体" w:cs="Times New Roman"/>
                <w:b/>
                <w:bCs w:val="0"/>
                <w:color w:val="auto"/>
                <w:kern w:val="0"/>
                <w:szCs w:val="21"/>
                <w:lang w:val="en-US" w:eastAsia="zh-CN"/>
              </w:rPr>
              <w:t>沥青废气（沥青烟、苯并[a]芘、VOCs</w:t>
            </w:r>
            <w:r>
              <w:rPr>
                <w:rFonts w:hint="default" w:ascii="Times New Roman" w:hAnsi="Times New Roman" w:cs="Times New Roman"/>
                <w:color w:val="auto"/>
                <w:lang w:val="en-US" w:eastAsia="zh-CN"/>
              </w:rPr>
              <w:t>（以非甲烷总烃计）</w:t>
            </w:r>
            <w:r>
              <w:rPr>
                <w:rFonts w:hint="default" w:ascii="Times New Roman" w:hAnsi="Times New Roman" w:eastAsia="宋体" w:cs="Times New Roman"/>
                <w:b/>
                <w:bCs w:val="0"/>
                <w:color w:val="auto"/>
                <w:kern w:val="0"/>
                <w:szCs w:val="21"/>
                <w:lang w:val="en-US" w:eastAsia="zh-CN"/>
              </w:rPr>
              <w:t>）</w:t>
            </w:r>
            <w:r>
              <w:rPr>
                <w:rFonts w:hint="default" w:ascii="Times New Roman" w:hAnsi="Times New Roman" w:cs="Times New Roman"/>
                <w:b/>
                <w:bCs w:val="0"/>
                <w:color w:val="auto"/>
                <w:kern w:val="0"/>
                <w:szCs w:val="21"/>
                <w:lang w:val="en-US" w:eastAsia="zh-CN"/>
              </w:rPr>
              <w:t>：</w:t>
            </w:r>
          </w:p>
          <w:p w14:paraId="07BA7B41">
            <w:pPr>
              <w:pStyle w:val="80"/>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cs="Times New Roman"/>
                <w:color w:val="auto"/>
                <w:spacing w:val="-1"/>
                <w:szCs w:val="21"/>
                <w:lang w:val="en-US" w:eastAsia="zh-CN"/>
              </w:rPr>
              <w:t>搅拌缸为密闭设备，沥青搅拌过程中产生的沥青废气通过管道收集；成品卸料口的沥青烟气采取</w:t>
            </w:r>
            <w:r>
              <w:rPr>
                <w:rFonts w:hint="default" w:ascii="Times New Roman" w:hAnsi="Times New Roman" w:eastAsia="宋体" w:cs="Times New Roman"/>
                <w:color w:val="auto"/>
                <w:spacing w:val="-1"/>
                <w:szCs w:val="21"/>
                <w:lang w:val="en-US" w:eastAsia="zh-CN"/>
              </w:rPr>
              <w:t>静电捕集，</w:t>
            </w:r>
            <w:r>
              <w:rPr>
                <w:rFonts w:hint="default" w:ascii="Times New Roman" w:hAnsi="Times New Roman" w:cs="Times New Roman"/>
                <w:color w:val="auto"/>
                <w:spacing w:val="-1"/>
                <w:szCs w:val="21"/>
                <w:lang w:val="en-US" w:eastAsia="zh-CN"/>
              </w:rPr>
              <w:t>与沥青搅拌缸废气</w:t>
            </w:r>
            <w:r>
              <w:rPr>
                <w:rFonts w:hint="default" w:ascii="Times New Roman" w:hAnsi="Times New Roman" w:eastAsia="宋体" w:cs="Times New Roman"/>
                <w:color w:val="auto"/>
                <w:spacing w:val="-1"/>
                <w:szCs w:val="21"/>
              </w:rPr>
              <w:t>经管道一并引至烘干筒前端与燃烧器火焰进行高温燃烧后，同烘干</w:t>
            </w:r>
            <w:r>
              <w:rPr>
                <w:rFonts w:hint="default" w:ascii="Times New Roman" w:hAnsi="Times New Roman" w:cs="Times New Roman"/>
                <w:color w:val="auto"/>
                <w:spacing w:val="-1"/>
                <w:szCs w:val="21"/>
                <w:lang w:val="en-US" w:eastAsia="zh-CN"/>
              </w:rPr>
              <w:t>筛分</w:t>
            </w:r>
            <w:r>
              <w:rPr>
                <w:rFonts w:hint="default" w:ascii="Times New Roman" w:hAnsi="Times New Roman" w:eastAsia="宋体" w:cs="Times New Roman"/>
                <w:color w:val="auto"/>
                <w:spacing w:val="-1"/>
                <w:szCs w:val="21"/>
              </w:rPr>
              <w:t>废气一起经</w:t>
            </w:r>
            <w:r>
              <w:rPr>
                <w:rFonts w:hint="default" w:ascii="Times New Roman" w:hAnsi="Times New Roman" w:eastAsia="宋体" w:cs="Times New Roman"/>
                <w:color w:val="auto"/>
                <w:spacing w:val="-1"/>
                <w:szCs w:val="21"/>
                <w:lang w:val="en-US" w:eastAsia="zh-CN"/>
              </w:rPr>
              <w:t>除尘系统</w:t>
            </w:r>
            <w:r>
              <w:rPr>
                <w:rFonts w:hint="default" w:ascii="Times New Roman" w:hAnsi="Times New Roman" w:eastAsia="宋体" w:cs="Times New Roman"/>
                <w:color w:val="auto"/>
                <w:spacing w:val="-1"/>
                <w:szCs w:val="21"/>
                <w:lang w:eastAsia="zh-CN"/>
              </w:rPr>
              <w:t>（</w:t>
            </w:r>
            <w:r>
              <w:rPr>
                <w:rFonts w:hint="default" w:ascii="Times New Roman" w:hAnsi="Times New Roman" w:eastAsia="宋体" w:cs="Times New Roman"/>
                <w:color w:val="auto"/>
                <w:spacing w:val="-1"/>
                <w:szCs w:val="21"/>
                <w:lang w:val="en-US" w:eastAsia="zh-CN"/>
              </w:rPr>
              <w:t>一级重力除尘+二级布袋除尘</w:t>
            </w:r>
            <w:r>
              <w:rPr>
                <w:rFonts w:hint="default" w:ascii="Times New Roman" w:hAnsi="Times New Roman" w:eastAsia="宋体" w:cs="Times New Roman"/>
                <w:color w:val="auto"/>
                <w:spacing w:val="-1"/>
                <w:szCs w:val="21"/>
                <w:lang w:eastAsia="zh-CN"/>
              </w:rPr>
              <w:t>）</w:t>
            </w:r>
            <w:r>
              <w:rPr>
                <w:rFonts w:hint="default" w:ascii="Times New Roman" w:hAnsi="Times New Roman" w:eastAsia="宋体" w:cs="Times New Roman"/>
                <w:color w:val="auto"/>
                <w:spacing w:val="-1"/>
                <w:szCs w:val="21"/>
              </w:rPr>
              <w:t>处理后通过</w:t>
            </w:r>
            <w:r>
              <w:rPr>
                <w:rFonts w:hint="default" w:ascii="Times New Roman" w:hAnsi="Times New Roman" w:cs="Times New Roman"/>
                <w:color w:val="auto"/>
                <w:spacing w:val="-1"/>
                <w:szCs w:val="21"/>
                <w:lang w:val="en-US" w:eastAsia="zh-CN"/>
              </w:rPr>
              <w:t>20</w:t>
            </w:r>
            <w:r>
              <w:rPr>
                <w:rFonts w:hint="default" w:ascii="Times New Roman" w:hAnsi="Times New Roman" w:eastAsia="宋体" w:cs="Times New Roman"/>
                <w:color w:val="auto"/>
                <w:spacing w:val="-1"/>
                <w:szCs w:val="21"/>
              </w:rPr>
              <w:t>m排气筒（</w:t>
            </w:r>
            <w:r>
              <w:rPr>
                <w:rFonts w:hint="default" w:ascii="Times New Roman" w:hAnsi="Times New Roman" w:cs="Times New Roman"/>
                <w:color w:val="auto"/>
                <w:spacing w:val="-1"/>
                <w:szCs w:val="21"/>
                <w:lang w:eastAsia="zh-CN"/>
              </w:rPr>
              <w:t>DA001</w:t>
            </w:r>
            <w:r>
              <w:rPr>
                <w:rFonts w:hint="default" w:ascii="Times New Roman" w:hAnsi="Times New Roman" w:eastAsia="宋体" w:cs="Times New Roman"/>
                <w:color w:val="auto"/>
                <w:spacing w:val="-1"/>
                <w:szCs w:val="21"/>
              </w:rPr>
              <w:t>）排放。</w:t>
            </w:r>
            <w:r>
              <w:rPr>
                <w:rFonts w:hint="default" w:ascii="Times New Roman" w:hAnsi="Times New Roman" w:cs="Times New Roman"/>
                <w:color w:val="auto"/>
                <w:spacing w:val="-1"/>
                <w:szCs w:val="21"/>
                <w:lang w:eastAsia="zh-CN"/>
              </w:rPr>
              <w:t>沥青罐密闭设置，设置储存呼吸口，呼吸口阀门关闭，储罐上方采用管道连通，沥青烟气通过管道密闭式收集，然后引至烘干筒燃烧器外焰高温燃烧</w:t>
            </w:r>
            <w:r>
              <w:rPr>
                <w:rFonts w:hint="default" w:ascii="Times New Roman" w:hAnsi="Times New Roman" w:cs="Times New Roman"/>
                <w:color w:val="auto"/>
                <w:spacing w:val="-1"/>
                <w:szCs w:val="21"/>
                <w:lang w:val="en-US" w:eastAsia="zh-CN"/>
              </w:rPr>
              <w:t>后，引至20</w:t>
            </w:r>
            <w:r>
              <w:rPr>
                <w:rFonts w:hint="default" w:ascii="Times New Roman" w:hAnsi="Times New Roman" w:eastAsia="宋体" w:cs="Times New Roman"/>
                <w:color w:val="auto"/>
                <w:spacing w:val="-1"/>
                <w:szCs w:val="21"/>
              </w:rPr>
              <w:t>m排气筒（</w:t>
            </w:r>
            <w:r>
              <w:rPr>
                <w:rFonts w:hint="default" w:ascii="Times New Roman" w:hAnsi="Times New Roman" w:cs="Times New Roman"/>
                <w:color w:val="auto"/>
                <w:spacing w:val="-1"/>
                <w:szCs w:val="21"/>
                <w:lang w:eastAsia="zh-CN"/>
              </w:rPr>
              <w:t>DA001</w:t>
            </w:r>
            <w:r>
              <w:rPr>
                <w:rFonts w:hint="default" w:ascii="Times New Roman" w:hAnsi="Times New Roman" w:eastAsia="宋体" w:cs="Times New Roman"/>
                <w:color w:val="auto"/>
                <w:spacing w:val="-1"/>
                <w:szCs w:val="21"/>
              </w:rPr>
              <w:t>）排放。</w:t>
            </w:r>
          </w:p>
          <w:p w14:paraId="31ECF22F">
            <w:pPr>
              <w:pStyle w:val="80"/>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b/>
                <w:bCs w:val="0"/>
                <w:color w:val="auto"/>
                <w:kern w:val="0"/>
                <w:szCs w:val="21"/>
                <w:lang w:val="en-US" w:eastAsia="zh-CN"/>
              </w:rPr>
              <w:t>骨料烘干、筛分粉尘：</w:t>
            </w:r>
            <w:r>
              <w:rPr>
                <w:rFonts w:hint="default" w:ascii="Times New Roman" w:hAnsi="Times New Roman" w:eastAsia="宋体" w:cs="Times New Roman"/>
                <w:color w:val="auto"/>
                <w:spacing w:val="-1"/>
                <w:szCs w:val="21"/>
                <w:lang w:val="en-US" w:eastAsia="zh-CN"/>
              </w:rPr>
              <w:t>骨料经</w:t>
            </w:r>
            <w:r>
              <w:rPr>
                <w:rFonts w:hint="default" w:ascii="Times New Roman" w:hAnsi="Times New Roman" w:eastAsia="宋体" w:cs="Times New Roman"/>
                <w:color w:val="auto"/>
                <w:spacing w:val="-1"/>
                <w:szCs w:val="21"/>
              </w:rPr>
              <w:t>斗提提升机封闭提升至烘干筒，</w:t>
            </w:r>
            <w:r>
              <w:rPr>
                <w:rFonts w:hint="default" w:ascii="Times New Roman" w:hAnsi="Times New Roman" w:eastAsia="宋体" w:cs="Times New Roman"/>
                <w:color w:val="auto"/>
                <w:spacing w:val="-1"/>
                <w:szCs w:val="21"/>
                <w:lang w:val="en-US" w:eastAsia="zh-CN"/>
              </w:rPr>
              <w:t>骨料</w:t>
            </w:r>
            <w:r>
              <w:rPr>
                <w:rFonts w:hint="default" w:ascii="Times New Roman" w:hAnsi="Times New Roman" w:eastAsia="宋体" w:cs="Times New Roman"/>
                <w:color w:val="auto"/>
                <w:spacing w:val="-1"/>
                <w:szCs w:val="21"/>
              </w:rPr>
              <w:t>在烘干筒采用轻质燃油点火直接加热烘干，烘干热料经斗提提升机密闭提升至筛分机，经密闭筛分后进入密闭料仓。</w:t>
            </w:r>
            <w:r>
              <w:rPr>
                <w:rFonts w:hint="default" w:ascii="Times New Roman" w:hAnsi="Times New Roman" w:eastAsia="宋体" w:cs="Times New Roman"/>
                <w:color w:val="auto"/>
                <w:spacing w:val="-1"/>
                <w:szCs w:val="21"/>
                <w:lang w:val="en-US" w:eastAsia="zh-CN"/>
              </w:rPr>
              <w:t>烘干、</w:t>
            </w:r>
            <w:r>
              <w:rPr>
                <w:rFonts w:hint="default" w:ascii="Times New Roman" w:hAnsi="Times New Roman" w:eastAsia="宋体" w:cs="Times New Roman"/>
                <w:color w:val="auto"/>
                <w:spacing w:val="-1"/>
                <w:szCs w:val="21"/>
              </w:rPr>
              <w:t>筛分废气污染物经管道引至</w:t>
            </w:r>
            <w:r>
              <w:rPr>
                <w:rFonts w:hint="default" w:ascii="Times New Roman" w:hAnsi="Times New Roman" w:eastAsia="宋体" w:cs="Times New Roman"/>
                <w:color w:val="auto"/>
                <w:spacing w:val="-1"/>
                <w:szCs w:val="21"/>
                <w:lang w:val="en-US" w:eastAsia="zh-CN"/>
              </w:rPr>
              <w:t>除尘系统</w:t>
            </w:r>
            <w:r>
              <w:rPr>
                <w:rFonts w:hint="default" w:ascii="Times New Roman" w:hAnsi="Times New Roman" w:eastAsia="宋体" w:cs="Times New Roman"/>
                <w:color w:val="auto"/>
                <w:spacing w:val="-1"/>
                <w:szCs w:val="21"/>
                <w:lang w:eastAsia="zh-CN"/>
              </w:rPr>
              <w:t>（</w:t>
            </w:r>
            <w:r>
              <w:rPr>
                <w:rFonts w:hint="default" w:ascii="Times New Roman" w:hAnsi="Times New Roman" w:eastAsia="宋体" w:cs="Times New Roman"/>
                <w:color w:val="auto"/>
                <w:spacing w:val="-1"/>
                <w:szCs w:val="21"/>
                <w:lang w:val="en-US" w:eastAsia="zh-CN"/>
              </w:rPr>
              <w:t>一级重力除尘+二级布袋除尘</w:t>
            </w:r>
            <w:r>
              <w:rPr>
                <w:rFonts w:hint="default" w:ascii="Times New Roman" w:hAnsi="Times New Roman" w:eastAsia="宋体" w:cs="Times New Roman"/>
                <w:color w:val="auto"/>
                <w:spacing w:val="-1"/>
                <w:szCs w:val="21"/>
                <w:lang w:eastAsia="zh-CN"/>
              </w:rPr>
              <w:t>）</w:t>
            </w:r>
            <w:r>
              <w:rPr>
                <w:rFonts w:hint="default" w:ascii="Times New Roman" w:hAnsi="Times New Roman" w:eastAsia="宋体" w:cs="Times New Roman"/>
                <w:color w:val="auto"/>
                <w:spacing w:val="-1"/>
                <w:szCs w:val="21"/>
                <w:lang w:val="en-US" w:eastAsia="zh-CN"/>
              </w:rPr>
              <w:t>处理</w:t>
            </w:r>
            <w:r>
              <w:rPr>
                <w:rFonts w:hint="default" w:ascii="Times New Roman" w:hAnsi="Times New Roman" w:eastAsia="宋体" w:cs="Times New Roman"/>
                <w:color w:val="auto"/>
                <w:spacing w:val="-1"/>
                <w:szCs w:val="21"/>
              </w:rPr>
              <w:t>后通过</w:t>
            </w:r>
            <w:r>
              <w:rPr>
                <w:rFonts w:hint="default" w:ascii="Times New Roman" w:hAnsi="Times New Roman" w:cs="Times New Roman"/>
                <w:color w:val="auto"/>
                <w:spacing w:val="-1"/>
                <w:szCs w:val="21"/>
                <w:lang w:val="en-US" w:eastAsia="zh-CN"/>
              </w:rPr>
              <w:t>20</w:t>
            </w:r>
            <w:r>
              <w:rPr>
                <w:rFonts w:hint="default" w:ascii="Times New Roman" w:hAnsi="Times New Roman" w:eastAsia="宋体" w:cs="Times New Roman"/>
                <w:color w:val="auto"/>
                <w:spacing w:val="-1"/>
                <w:szCs w:val="21"/>
              </w:rPr>
              <w:t>m排气筒（</w:t>
            </w:r>
            <w:r>
              <w:rPr>
                <w:rFonts w:hint="default" w:ascii="Times New Roman" w:hAnsi="Times New Roman" w:eastAsia="宋体" w:cs="Times New Roman"/>
                <w:color w:val="auto"/>
                <w:spacing w:val="-1"/>
                <w:szCs w:val="21"/>
                <w:lang w:eastAsia="zh-CN"/>
              </w:rPr>
              <w:t>DA001</w:t>
            </w:r>
            <w:r>
              <w:rPr>
                <w:rFonts w:hint="default" w:ascii="Times New Roman" w:hAnsi="Times New Roman" w:eastAsia="宋体" w:cs="Times New Roman"/>
                <w:color w:val="auto"/>
                <w:spacing w:val="-1"/>
                <w:szCs w:val="21"/>
              </w:rPr>
              <w:t>）排放。</w:t>
            </w:r>
          </w:p>
          <w:p w14:paraId="174E4C01">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eastAsia="宋体" w:cs="Times New Roman"/>
                <w:b/>
                <w:bCs w:val="0"/>
                <w:color w:val="auto"/>
                <w:kern w:val="0"/>
                <w:szCs w:val="21"/>
                <w:lang w:val="en-US" w:eastAsia="zh-CN"/>
              </w:rPr>
              <w:t>轻质油燃烧废气：</w:t>
            </w:r>
            <w:r>
              <w:rPr>
                <w:rFonts w:hint="default" w:ascii="Times New Roman" w:hAnsi="Times New Roman" w:eastAsia="宋体" w:cs="Times New Roman"/>
                <w:color w:val="auto"/>
                <w:spacing w:val="-1"/>
                <w:kern w:val="2"/>
                <w:sz w:val="21"/>
                <w:szCs w:val="21"/>
                <w:lang w:val="en-US" w:eastAsia="zh-CN" w:bidi="ar-SA"/>
              </w:rPr>
              <w:t>骨料烘干燃烧器采用轻质油为燃料，</w:t>
            </w:r>
            <w:r>
              <w:rPr>
                <w:rFonts w:hint="default" w:ascii="Times New Roman" w:hAnsi="Times New Roman" w:cs="Times New Roman"/>
                <w:color w:val="auto"/>
                <w:spacing w:val="-1"/>
                <w:kern w:val="2"/>
                <w:sz w:val="21"/>
                <w:szCs w:val="21"/>
                <w:lang w:val="en-US" w:eastAsia="zh-CN" w:bidi="ar-SA"/>
              </w:rPr>
              <w:t>采用低氮燃烧技术</w:t>
            </w:r>
            <w:r>
              <w:rPr>
                <w:rFonts w:hint="default" w:ascii="Times New Roman" w:hAnsi="Times New Roman" w:eastAsia="宋体" w:cs="Times New Roman"/>
                <w:color w:val="auto"/>
                <w:spacing w:val="-1"/>
                <w:kern w:val="2"/>
                <w:sz w:val="21"/>
                <w:szCs w:val="21"/>
                <w:lang w:val="en-US" w:eastAsia="zh-CN" w:bidi="ar-SA"/>
              </w:rPr>
              <w:t>，</w:t>
            </w:r>
            <w:r>
              <w:rPr>
                <w:rFonts w:hint="default" w:ascii="Times New Roman" w:hAnsi="Times New Roman" w:eastAsia="宋体" w:cs="Times New Roman"/>
                <w:color w:val="auto"/>
                <w:spacing w:val="-1"/>
                <w:szCs w:val="21"/>
              </w:rPr>
              <w:t>经管道引至</w:t>
            </w:r>
            <w:r>
              <w:rPr>
                <w:rFonts w:hint="default" w:ascii="Times New Roman" w:hAnsi="Times New Roman" w:eastAsia="宋体" w:cs="Times New Roman"/>
                <w:color w:val="auto"/>
                <w:spacing w:val="-1"/>
                <w:szCs w:val="21"/>
                <w:lang w:val="en-US" w:eastAsia="zh-CN"/>
              </w:rPr>
              <w:t>除尘系统</w:t>
            </w:r>
            <w:r>
              <w:rPr>
                <w:rFonts w:hint="default" w:ascii="Times New Roman" w:hAnsi="Times New Roman" w:eastAsia="宋体" w:cs="Times New Roman"/>
                <w:color w:val="auto"/>
                <w:spacing w:val="-1"/>
                <w:szCs w:val="21"/>
                <w:lang w:eastAsia="zh-CN"/>
              </w:rPr>
              <w:t>（</w:t>
            </w:r>
            <w:r>
              <w:rPr>
                <w:rFonts w:hint="default" w:ascii="Times New Roman" w:hAnsi="Times New Roman" w:eastAsia="宋体" w:cs="Times New Roman"/>
                <w:color w:val="auto"/>
                <w:spacing w:val="-1"/>
                <w:szCs w:val="21"/>
                <w:lang w:val="en-US" w:eastAsia="zh-CN"/>
              </w:rPr>
              <w:t>一级重力除尘+二级布袋除尘</w:t>
            </w:r>
            <w:r>
              <w:rPr>
                <w:rFonts w:hint="default" w:ascii="Times New Roman" w:hAnsi="Times New Roman" w:eastAsia="宋体" w:cs="Times New Roman"/>
                <w:color w:val="auto"/>
                <w:spacing w:val="-1"/>
                <w:szCs w:val="21"/>
                <w:lang w:eastAsia="zh-CN"/>
              </w:rPr>
              <w:t>）</w:t>
            </w:r>
            <w:r>
              <w:rPr>
                <w:rFonts w:hint="default" w:ascii="Times New Roman" w:hAnsi="Times New Roman" w:eastAsia="宋体" w:cs="Times New Roman"/>
                <w:color w:val="auto"/>
                <w:spacing w:val="-1"/>
                <w:szCs w:val="21"/>
                <w:lang w:val="en-US" w:eastAsia="zh-CN"/>
              </w:rPr>
              <w:t>与</w:t>
            </w:r>
            <w:r>
              <w:rPr>
                <w:rFonts w:hint="default" w:ascii="Times New Roman" w:hAnsi="Times New Roman" w:eastAsia="宋体" w:cs="Times New Roman"/>
                <w:b w:val="0"/>
                <w:bCs/>
                <w:color w:val="auto"/>
                <w:kern w:val="0"/>
                <w:szCs w:val="21"/>
                <w:lang w:val="en-US" w:eastAsia="zh-CN"/>
              </w:rPr>
              <w:t>骨料烘干、筛分粉尘</w:t>
            </w:r>
            <w:r>
              <w:rPr>
                <w:rFonts w:hint="default" w:ascii="Times New Roman" w:hAnsi="Times New Roman" w:eastAsia="宋体" w:cs="Times New Roman"/>
                <w:color w:val="auto"/>
                <w:spacing w:val="-1"/>
                <w:szCs w:val="21"/>
              </w:rPr>
              <w:t>一并</w:t>
            </w:r>
            <w:r>
              <w:rPr>
                <w:rFonts w:hint="default" w:ascii="Times New Roman" w:hAnsi="Times New Roman" w:eastAsia="宋体" w:cs="Times New Roman"/>
                <w:color w:val="auto"/>
                <w:spacing w:val="-1"/>
                <w:szCs w:val="21"/>
                <w:lang w:val="en-US" w:eastAsia="zh-CN"/>
              </w:rPr>
              <w:t>处理</w:t>
            </w:r>
            <w:r>
              <w:rPr>
                <w:rFonts w:hint="default" w:ascii="Times New Roman" w:hAnsi="Times New Roman" w:eastAsia="宋体" w:cs="Times New Roman"/>
                <w:color w:val="auto"/>
                <w:spacing w:val="-1"/>
                <w:szCs w:val="21"/>
              </w:rPr>
              <w:t>后通过</w:t>
            </w:r>
            <w:r>
              <w:rPr>
                <w:rFonts w:hint="default" w:ascii="Times New Roman" w:hAnsi="Times New Roman" w:cs="Times New Roman"/>
                <w:color w:val="auto"/>
                <w:spacing w:val="-1"/>
                <w:szCs w:val="21"/>
                <w:lang w:val="en-US" w:eastAsia="zh-CN"/>
              </w:rPr>
              <w:t>20</w:t>
            </w:r>
            <w:r>
              <w:rPr>
                <w:rFonts w:hint="default" w:ascii="Times New Roman" w:hAnsi="Times New Roman" w:eastAsia="宋体" w:cs="Times New Roman"/>
                <w:color w:val="auto"/>
                <w:spacing w:val="-1"/>
                <w:szCs w:val="21"/>
              </w:rPr>
              <w:t>m排气筒（</w:t>
            </w:r>
            <w:r>
              <w:rPr>
                <w:rFonts w:hint="default" w:ascii="Times New Roman" w:hAnsi="Times New Roman" w:eastAsia="宋体" w:cs="Times New Roman"/>
                <w:color w:val="auto"/>
                <w:spacing w:val="-1"/>
                <w:szCs w:val="21"/>
                <w:lang w:eastAsia="zh-CN"/>
              </w:rPr>
              <w:t>DA001</w:t>
            </w:r>
            <w:r>
              <w:rPr>
                <w:rFonts w:hint="default" w:ascii="Times New Roman" w:hAnsi="Times New Roman" w:eastAsia="宋体" w:cs="Times New Roman"/>
                <w:color w:val="auto"/>
                <w:spacing w:val="-1"/>
                <w:szCs w:val="21"/>
              </w:rPr>
              <w:t>）排放</w:t>
            </w:r>
          </w:p>
        </w:tc>
        <w:tc>
          <w:tcPr>
            <w:tcW w:w="2047" w:type="dxa"/>
            <w:vAlign w:val="center"/>
          </w:tcPr>
          <w:p w14:paraId="209E994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lang w:eastAsia="zh-CN"/>
              </w:rPr>
              <w:t>运营期有组织排放：</w:t>
            </w: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、NOx、颗粒物</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沥青烟、</w:t>
            </w:r>
            <w:r>
              <w:rPr>
                <w:rFonts w:hint="default" w:ascii="Times New Roman" w:hAnsi="Times New Roman" w:cs="Times New Roman"/>
                <w:bCs/>
                <w:color w:val="auto"/>
                <w:sz w:val="21"/>
                <w:szCs w:val="21"/>
              </w:rPr>
              <w:t>苯并[a]芘</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lang w:val="en-US" w:eastAsia="zh-CN"/>
              </w:rPr>
              <w:t>VOC</w:t>
            </w:r>
            <w:r>
              <w:rPr>
                <w:rFonts w:hint="default" w:ascii="Times New Roman" w:hAnsi="Times New Roman" w:cs="Times New Roman"/>
                <w:bCs/>
                <w:color w:val="auto"/>
                <w:sz w:val="21"/>
                <w:szCs w:val="21"/>
                <w:vertAlign w:val="subscript"/>
                <w:lang w:val="en-US" w:eastAsia="zh-CN"/>
              </w:rPr>
              <w:t>S</w:t>
            </w:r>
            <w:r>
              <w:rPr>
                <w:rFonts w:hint="default" w:ascii="Times New Roman" w:hAnsi="Times New Roman" w:cs="Times New Roman"/>
                <w:bCs/>
                <w:color w:val="auto"/>
                <w:sz w:val="21"/>
                <w:szCs w:val="21"/>
                <w:vertAlign w:val="baseline"/>
                <w:lang w:val="en-US" w:eastAsia="zh-CN"/>
              </w:rPr>
              <w:t>（以非甲烷总烃计）执行</w:t>
            </w:r>
            <w:r>
              <w:rPr>
                <w:rFonts w:hint="default" w:ascii="Times New Roman" w:hAnsi="Times New Roman" w:cs="Times New Roman" w:eastAsiaTheme="minorEastAsia"/>
                <w:color w:val="auto"/>
                <w:szCs w:val="21"/>
                <w:lang w:eastAsia="zh-CN"/>
              </w:rPr>
              <w:t>《大气污染物综合排放标准》</w:t>
            </w:r>
            <w:r>
              <w:rPr>
                <w:rFonts w:hint="default" w:ascii="Times New Roman" w:hAnsi="Times New Roman" w:cs="Times New Roman" w:eastAsiaTheme="minorEastAsia"/>
                <w:color w:val="auto"/>
                <w:szCs w:val="21"/>
                <w:lang w:val="en-US" w:eastAsia="zh-CN"/>
              </w:rPr>
              <w:t>表2中二级排放限值；</w:t>
            </w:r>
            <w:r>
              <w:rPr>
                <w:rFonts w:hint="default" w:ascii="Times New Roman" w:hAnsi="Times New Roman" w:cs="Times New Roman" w:eastAsiaTheme="minorEastAsia"/>
                <w:color w:val="auto"/>
                <w:szCs w:val="21"/>
                <w:lang w:eastAsia="zh-CN"/>
              </w:rPr>
              <w:t>无组织排放：颗粒物</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沥青烟、</w:t>
            </w:r>
            <w:r>
              <w:rPr>
                <w:rFonts w:hint="default" w:ascii="Times New Roman" w:hAnsi="Times New Roman" w:cs="Times New Roman"/>
                <w:bCs/>
                <w:color w:val="auto"/>
                <w:sz w:val="21"/>
                <w:szCs w:val="21"/>
              </w:rPr>
              <w:t>苯并[a]芘</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lang w:val="en-US" w:eastAsia="zh-CN"/>
              </w:rPr>
              <w:t>VOC</w:t>
            </w:r>
            <w:r>
              <w:rPr>
                <w:rFonts w:hint="default" w:ascii="Times New Roman" w:hAnsi="Times New Roman" w:cs="Times New Roman"/>
                <w:bCs/>
                <w:color w:val="auto"/>
                <w:sz w:val="21"/>
                <w:szCs w:val="21"/>
                <w:vertAlign w:val="subscript"/>
                <w:lang w:val="en-US" w:eastAsia="zh-CN"/>
              </w:rPr>
              <w:t>S</w:t>
            </w:r>
            <w:r>
              <w:rPr>
                <w:rFonts w:hint="default" w:ascii="Times New Roman" w:hAnsi="Times New Roman" w:cs="Times New Roman"/>
                <w:bCs/>
                <w:color w:val="auto"/>
                <w:sz w:val="21"/>
                <w:szCs w:val="21"/>
                <w:vertAlign w:val="baseline"/>
                <w:lang w:val="en-US" w:eastAsia="zh-CN"/>
              </w:rPr>
              <w:t>（以非甲烷总烃计）</w:t>
            </w:r>
            <w:r>
              <w:rPr>
                <w:rFonts w:hint="default" w:ascii="Times New Roman" w:hAnsi="Times New Roman" w:cs="Times New Roman" w:eastAsiaTheme="minorEastAsia"/>
                <w:color w:val="auto"/>
                <w:szCs w:val="21"/>
                <w:lang w:eastAsia="zh-CN"/>
              </w:rPr>
              <w:t>执行《大气污染物综合排放标准》（GB16297-1996）</w:t>
            </w:r>
            <w:r>
              <w:rPr>
                <w:rFonts w:hint="default" w:ascii="Times New Roman" w:hAnsi="Times New Roman" w:cs="Times New Roman" w:eastAsiaTheme="minorEastAsia"/>
                <w:color w:val="auto"/>
                <w:szCs w:val="21"/>
                <w:lang w:val="en-US" w:eastAsia="zh-CN"/>
              </w:rPr>
              <w:t>表2</w:t>
            </w:r>
            <w:r>
              <w:rPr>
                <w:rFonts w:hint="default" w:ascii="Times New Roman" w:hAnsi="Times New Roman" w:cs="Times New Roman"/>
                <w:color w:val="auto"/>
                <w:szCs w:val="21"/>
              </w:rPr>
              <w:t>无组织排放监控浓度限值</w:t>
            </w:r>
            <w:r>
              <w:rPr>
                <w:rFonts w:hint="default" w:ascii="Times New Roman" w:hAnsi="Times New Roman" w:cs="Times New Roman" w:eastAsiaTheme="minorEastAsia"/>
                <w:color w:val="auto"/>
                <w:szCs w:val="21"/>
                <w:lang w:eastAsia="zh-CN"/>
              </w:rPr>
              <w:t>。</w:t>
            </w:r>
          </w:p>
        </w:tc>
      </w:tr>
      <w:tr w14:paraId="4564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0" w:hRule="atLeast"/>
          <w:jc w:val="center"/>
        </w:trPr>
        <w:tc>
          <w:tcPr>
            <w:tcW w:w="1377" w:type="dxa"/>
            <w:vMerge w:val="continue"/>
            <w:vAlign w:val="center"/>
          </w:tcPr>
          <w:p w14:paraId="4B2857D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p>
        </w:tc>
        <w:tc>
          <w:tcPr>
            <w:tcW w:w="1215" w:type="dxa"/>
            <w:vAlign w:val="center"/>
          </w:tcPr>
          <w:p w14:paraId="000DC40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0"/>
                <w:szCs w:val="21"/>
              </w:rPr>
            </w:pPr>
            <w:r>
              <w:rPr>
                <w:rFonts w:hint="default" w:ascii="Times New Roman" w:hAnsi="Times New Roman" w:eastAsia="宋体" w:cs="Times New Roman"/>
                <w:b w:val="0"/>
                <w:bCs/>
                <w:color w:val="auto"/>
                <w:kern w:val="0"/>
                <w:szCs w:val="21"/>
                <w:lang w:val="en-US" w:eastAsia="zh-CN"/>
              </w:rPr>
              <w:t>骨料堆场及装卸扬尘</w:t>
            </w:r>
          </w:p>
        </w:tc>
        <w:tc>
          <w:tcPr>
            <w:tcW w:w="870" w:type="dxa"/>
            <w:vAlign w:val="center"/>
          </w:tcPr>
          <w:p w14:paraId="267ABADB">
            <w:pPr>
              <w:keepNext w:val="0"/>
              <w:keepLines w:val="0"/>
              <w:pageBreakBefore w:val="0"/>
              <w:widowControl w:val="0"/>
              <w:kinsoku/>
              <w:wordWrap/>
              <w:overflowPunct/>
              <w:topLinePunct w:val="0"/>
              <w:autoSpaceDE/>
              <w:autoSpaceDN/>
              <w:bidi w:val="0"/>
              <w:adjustRightInd w:val="0"/>
              <w:snapToGrid w:val="0"/>
              <w:spacing w:line="240" w:lineRule="auto"/>
              <w:ind w:left="-48" w:leftChars="-23" w:right="-36" w:rightChars="-17"/>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颗粒物</w:t>
            </w:r>
          </w:p>
        </w:tc>
        <w:tc>
          <w:tcPr>
            <w:tcW w:w="3840" w:type="dxa"/>
            <w:shd w:val="clear" w:color="auto" w:fill="auto"/>
            <w:vAlign w:val="center"/>
          </w:tcPr>
          <w:p w14:paraId="62BB8D88">
            <w:pPr>
              <w:pStyle w:val="80"/>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color w:val="auto"/>
                <w:spacing w:val="-1"/>
                <w:szCs w:val="21"/>
                <w:lang w:val="en-US" w:eastAsia="zh-CN"/>
              </w:rPr>
              <w:t>骨料堆场均采取钢结构厂房（三面封闭+顶棚），料仓顶部安装多排喷雾降尘装置。</w:t>
            </w:r>
          </w:p>
        </w:tc>
        <w:tc>
          <w:tcPr>
            <w:tcW w:w="2047" w:type="dxa"/>
            <w:vMerge w:val="restart"/>
            <w:vAlign w:val="center"/>
          </w:tcPr>
          <w:p w14:paraId="2CA6849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lang w:eastAsia="zh-CN"/>
              </w:rPr>
              <w:t>执行《大气污染物综合排放标准》（GB16297-1996）</w:t>
            </w:r>
            <w:r>
              <w:rPr>
                <w:rFonts w:hint="default" w:ascii="Times New Roman" w:hAnsi="Times New Roman" w:cs="Times New Roman" w:eastAsiaTheme="minorEastAsia"/>
                <w:color w:val="auto"/>
                <w:szCs w:val="21"/>
                <w:lang w:val="en-US" w:eastAsia="zh-CN"/>
              </w:rPr>
              <w:t>表2</w:t>
            </w:r>
            <w:r>
              <w:rPr>
                <w:rFonts w:hint="default" w:ascii="Times New Roman" w:hAnsi="Times New Roman" w:cs="Times New Roman"/>
                <w:color w:val="auto"/>
                <w:szCs w:val="21"/>
              </w:rPr>
              <w:t>无组织排放监控浓度限值</w:t>
            </w:r>
            <w:r>
              <w:rPr>
                <w:rFonts w:hint="default" w:ascii="Times New Roman" w:hAnsi="Times New Roman" w:cs="Times New Roman" w:eastAsiaTheme="minorEastAsia"/>
                <w:color w:val="auto"/>
                <w:szCs w:val="21"/>
                <w:lang w:eastAsia="zh-CN"/>
              </w:rPr>
              <w:t>。</w:t>
            </w:r>
          </w:p>
        </w:tc>
      </w:tr>
      <w:tr w14:paraId="632A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0" w:hRule="atLeast"/>
          <w:jc w:val="center"/>
        </w:trPr>
        <w:tc>
          <w:tcPr>
            <w:tcW w:w="1377" w:type="dxa"/>
            <w:vMerge w:val="continue"/>
            <w:vAlign w:val="center"/>
          </w:tcPr>
          <w:p w14:paraId="20C9D35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p>
        </w:tc>
        <w:tc>
          <w:tcPr>
            <w:tcW w:w="1215" w:type="dxa"/>
            <w:vAlign w:val="center"/>
          </w:tcPr>
          <w:p w14:paraId="663CCAC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0"/>
                <w:szCs w:val="21"/>
              </w:rPr>
            </w:pPr>
            <w:r>
              <w:rPr>
                <w:rFonts w:hint="default" w:ascii="Times New Roman" w:hAnsi="Times New Roman" w:eastAsia="宋体" w:cs="Times New Roman"/>
                <w:b w:val="0"/>
                <w:bCs/>
                <w:color w:val="auto"/>
                <w:kern w:val="0"/>
                <w:szCs w:val="21"/>
                <w:lang w:val="en-US" w:eastAsia="zh-CN"/>
              </w:rPr>
              <w:t>运输道路扬尘</w:t>
            </w:r>
          </w:p>
        </w:tc>
        <w:tc>
          <w:tcPr>
            <w:tcW w:w="870" w:type="dxa"/>
            <w:vAlign w:val="center"/>
          </w:tcPr>
          <w:p w14:paraId="15FFE07D">
            <w:pPr>
              <w:keepNext w:val="0"/>
              <w:keepLines w:val="0"/>
              <w:pageBreakBefore w:val="0"/>
              <w:widowControl w:val="0"/>
              <w:kinsoku/>
              <w:wordWrap/>
              <w:overflowPunct/>
              <w:topLinePunct w:val="0"/>
              <w:autoSpaceDE/>
              <w:autoSpaceDN/>
              <w:bidi w:val="0"/>
              <w:adjustRightInd w:val="0"/>
              <w:snapToGrid w:val="0"/>
              <w:spacing w:line="240" w:lineRule="auto"/>
              <w:ind w:left="-48" w:leftChars="-23" w:right="-36" w:rightChars="-17"/>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颗粒物</w:t>
            </w:r>
          </w:p>
        </w:tc>
        <w:tc>
          <w:tcPr>
            <w:tcW w:w="3840" w:type="dxa"/>
            <w:shd w:val="clear" w:color="auto" w:fill="auto"/>
            <w:vAlign w:val="center"/>
          </w:tcPr>
          <w:p w14:paraId="4B77D5F6">
            <w:pPr>
              <w:pStyle w:val="80"/>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color w:val="auto"/>
                <w:spacing w:val="-1"/>
                <w:szCs w:val="21"/>
                <w:lang w:val="en-US" w:eastAsia="zh-CN"/>
              </w:rPr>
              <w:t>厂区路面硬化，设置雾炮机对路面洒水降尘，进出场口设置车辆冲洗平台。</w:t>
            </w:r>
          </w:p>
        </w:tc>
        <w:tc>
          <w:tcPr>
            <w:tcW w:w="2047" w:type="dxa"/>
            <w:vMerge w:val="continue"/>
            <w:vAlign w:val="center"/>
          </w:tcPr>
          <w:p w14:paraId="7578400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p>
        </w:tc>
      </w:tr>
      <w:tr w14:paraId="3CB5E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0" w:hRule="atLeast"/>
          <w:jc w:val="center"/>
        </w:trPr>
        <w:tc>
          <w:tcPr>
            <w:tcW w:w="1377" w:type="dxa"/>
            <w:vMerge w:val="continue"/>
            <w:vAlign w:val="center"/>
          </w:tcPr>
          <w:p w14:paraId="0B921A2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p>
        </w:tc>
        <w:tc>
          <w:tcPr>
            <w:tcW w:w="1215" w:type="dxa"/>
            <w:vAlign w:val="center"/>
          </w:tcPr>
          <w:p w14:paraId="7DB9835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0"/>
                <w:szCs w:val="21"/>
                <w:lang w:val="en-US" w:eastAsia="zh-CN"/>
              </w:rPr>
            </w:pPr>
            <w:r>
              <w:rPr>
                <w:rFonts w:hint="default" w:ascii="Times New Roman" w:hAnsi="Times New Roman" w:cs="Times New Roman"/>
                <w:b w:val="0"/>
                <w:bCs/>
                <w:color w:val="auto"/>
                <w:kern w:val="0"/>
                <w:szCs w:val="21"/>
                <w:lang w:val="en-US" w:eastAsia="zh-CN"/>
              </w:rPr>
              <w:t>汽车尾气</w:t>
            </w:r>
          </w:p>
        </w:tc>
        <w:tc>
          <w:tcPr>
            <w:tcW w:w="870" w:type="dxa"/>
            <w:vAlign w:val="center"/>
          </w:tcPr>
          <w:p w14:paraId="5B95D704">
            <w:pPr>
              <w:keepNext w:val="0"/>
              <w:keepLines w:val="0"/>
              <w:pageBreakBefore w:val="0"/>
              <w:widowControl w:val="0"/>
              <w:kinsoku/>
              <w:wordWrap/>
              <w:overflowPunct/>
              <w:topLinePunct w:val="0"/>
              <w:autoSpaceDE/>
              <w:autoSpaceDN/>
              <w:bidi w:val="0"/>
              <w:adjustRightInd w:val="0"/>
              <w:snapToGrid w:val="0"/>
              <w:spacing w:line="240" w:lineRule="auto"/>
              <w:ind w:left="-48" w:leftChars="-23" w:right="-36" w:rightChars="-17"/>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 w:val="21"/>
                <w:szCs w:val="21"/>
              </w:rPr>
              <w:t>CO、NOx、THC</w:t>
            </w:r>
          </w:p>
        </w:tc>
        <w:tc>
          <w:tcPr>
            <w:tcW w:w="3840" w:type="dxa"/>
            <w:shd w:val="clear" w:color="auto" w:fill="auto"/>
            <w:vAlign w:val="center"/>
          </w:tcPr>
          <w:p w14:paraId="2BA63776">
            <w:pPr>
              <w:pStyle w:val="80"/>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pacing w:val="-1"/>
                <w:kern w:val="2"/>
                <w:sz w:val="21"/>
                <w:szCs w:val="21"/>
                <w:lang w:val="en-US" w:eastAsia="zh-CN" w:bidi="ar-SA"/>
              </w:rPr>
            </w:pPr>
            <w:r>
              <w:rPr>
                <w:rFonts w:hint="default" w:ascii="Times New Roman" w:hAnsi="Times New Roman" w:eastAsia="宋体" w:cs="Times New Roman"/>
                <w:color w:val="auto"/>
                <w:spacing w:val="-1"/>
                <w:szCs w:val="21"/>
                <w:lang w:val="en-US" w:eastAsia="zh-CN"/>
              </w:rPr>
              <w:t>加强管理，减少怠速行驶。</w:t>
            </w:r>
          </w:p>
        </w:tc>
        <w:tc>
          <w:tcPr>
            <w:tcW w:w="2047" w:type="dxa"/>
            <w:vAlign w:val="center"/>
          </w:tcPr>
          <w:p w14:paraId="1602ABA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w:t>
            </w:r>
          </w:p>
        </w:tc>
      </w:tr>
      <w:tr w14:paraId="0A465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0" w:hRule="atLeast"/>
          <w:jc w:val="center"/>
        </w:trPr>
        <w:tc>
          <w:tcPr>
            <w:tcW w:w="1377" w:type="dxa"/>
            <w:vMerge w:val="continue"/>
            <w:vAlign w:val="center"/>
          </w:tcPr>
          <w:p w14:paraId="75B28AD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p>
        </w:tc>
        <w:tc>
          <w:tcPr>
            <w:tcW w:w="1215" w:type="dxa"/>
            <w:vAlign w:val="center"/>
          </w:tcPr>
          <w:p w14:paraId="41D6DAB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 w:val="0"/>
                <w:bCs/>
                <w:color w:val="auto"/>
                <w:kern w:val="0"/>
                <w:szCs w:val="21"/>
              </w:rPr>
            </w:pPr>
            <w:r>
              <w:rPr>
                <w:rFonts w:hint="default" w:ascii="Times New Roman" w:hAnsi="Times New Roman" w:cs="Times New Roman"/>
                <w:b w:val="0"/>
                <w:bCs/>
                <w:color w:val="auto"/>
                <w:lang w:val="en-US" w:eastAsia="zh-CN"/>
              </w:rPr>
              <w:t>食堂油烟</w:t>
            </w:r>
          </w:p>
        </w:tc>
        <w:tc>
          <w:tcPr>
            <w:tcW w:w="870" w:type="dxa"/>
            <w:vAlign w:val="center"/>
          </w:tcPr>
          <w:p w14:paraId="1A5D937C">
            <w:pPr>
              <w:keepNext w:val="0"/>
              <w:keepLines w:val="0"/>
              <w:pageBreakBefore w:val="0"/>
              <w:widowControl w:val="0"/>
              <w:kinsoku/>
              <w:wordWrap/>
              <w:overflowPunct/>
              <w:topLinePunct w:val="0"/>
              <w:autoSpaceDE/>
              <w:autoSpaceDN/>
              <w:bidi w:val="0"/>
              <w:adjustRightInd w:val="0"/>
              <w:snapToGrid w:val="0"/>
              <w:spacing w:line="240" w:lineRule="auto"/>
              <w:ind w:left="-48" w:leftChars="-23" w:right="-36" w:rightChars="-17"/>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油烟</w:t>
            </w:r>
          </w:p>
        </w:tc>
        <w:tc>
          <w:tcPr>
            <w:tcW w:w="3840" w:type="dxa"/>
            <w:shd w:val="clear" w:color="auto" w:fill="auto"/>
            <w:vAlign w:val="center"/>
          </w:tcPr>
          <w:p w14:paraId="735FF94B">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color w:val="auto"/>
                <w:sz w:val="21"/>
                <w:highlight w:val="none"/>
                <w:lang w:val="en-US" w:eastAsia="zh-CN"/>
              </w:rPr>
              <w:t>安装抽油烟机，食堂油烟</w:t>
            </w:r>
            <w:r>
              <w:rPr>
                <w:rFonts w:hint="default" w:ascii="Times New Roman" w:hAnsi="Times New Roman" w:eastAsia="宋体" w:cs="Times New Roman"/>
                <w:color w:val="auto"/>
                <w:spacing w:val="-6"/>
                <w:sz w:val="21"/>
                <w:highlight w:val="none"/>
              </w:rPr>
              <w:t>经自带过滤装置的抽油烟机处理后</w:t>
            </w:r>
            <w:r>
              <w:rPr>
                <w:rFonts w:hint="default" w:ascii="Times New Roman" w:hAnsi="Times New Roman" w:eastAsia="宋体" w:cs="Times New Roman"/>
                <w:color w:val="auto"/>
                <w:sz w:val="21"/>
                <w:highlight w:val="none"/>
              </w:rPr>
              <w:t>，</w:t>
            </w:r>
            <w:r>
              <w:rPr>
                <w:rFonts w:hint="default" w:ascii="Times New Roman" w:hAnsi="Times New Roman" w:eastAsia="宋体" w:cs="Times New Roman"/>
                <w:color w:val="auto"/>
                <w:sz w:val="21"/>
                <w:highlight w:val="none"/>
                <w:lang w:eastAsia="zh-CN"/>
              </w:rPr>
              <w:t>经烟管引至室外排放。</w:t>
            </w:r>
          </w:p>
        </w:tc>
        <w:tc>
          <w:tcPr>
            <w:tcW w:w="2047" w:type="dxa"/>
            <w:vAlign w:val="center"/>
          </w:tcPr>
          <w:p w14:paraId="11ABDEC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color w:val="auto"/>
                <w:sz w:val="21"/>
                <w:szCs w:val="21"/>
              </w:rPr>
              <w:t>《饮食业油烟排放标准》（GB 18483-2001）中相关标准</w:t>
            </w:r>
          </w:p>
        </w:tc>
      </w:tr>
      <w:tr w14:paraId="3855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0" w:hRule="atLeast"/>
          <w:jc w:val="center"/>
        </w:trPr>
        <w:tc>
          <w:tcPr>
            <w:tcW w:w="1377" w:type="dxa"/>
            <w:vMerge w:val="restart"/>
            <w:vAlign w:val="center"/>
          </w:tcPr>
          <w:p w14:paraId="0815828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地表水环境</w:t>
            </w:r>
          </w:p>
        </w:tc>
        <w:tc>
          <w:tcPr>
            <w:tcW w:w="1215" w:type="dxa"/>
            <w:vAlign w:val="center"/>
          </w:tcPr>
          <w:p w14:paraId="3C279F9A">
            <w:pPr>
              <w:keepNext w:val="0"/>
              <w:keepLines w:val="0"/>
              <w:pageBreakBefore w:val="0"/>
              <w:widowControl w:val="0"/>
              <w:kinsoku/>
              <w:wordWrap/>
              <w:overflowPunct/>
              <w:topLinePunct w:val="0"/>
              <w:autoSpaceDE/>
              <w:autoSpaceDN/>
              <w:bidi w:val="0"/>
              <w:adjustRightInd w:val="0"/>
              <w:snapToGrid w:val="0"/>
              <w:spacing w:line="240" w:lineRule="auto"/>
              <w:ind w:left="-48" w:leftChars="-23" w:right="-36" w:rightChars="-17"/>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生活污水</w:t>
            </w:r>
          </w:p>
        </w:tc>
        <w:tc>
          <w:tcPr>
            <w:tcW w:w="870" w:type="dxa"/>
            <w:vAlign w:val="center"/>
          </w:tcPr>
          <w:p w14:paraId="05009E48">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pH、COD、BOD</w:t>
            </w:r>
            <w:r>
              <w:rPr>
                <w:rFonts w:hint="default" w:ascii="Times New Roman" w:hAnsi="Times New Roman" w:cs="Times New Roman"/>
                <w:color w:val="auto"/>
                <w:szCs w:val="21"/>
                <w:vertAlign w:val="subscript"/>
              </w:rPr>
              <w:t>5</w:t>
            </w: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3840" w:type="dxa"/>
            <w:vAlign w:val="center"/>
          </w:tcPr>
          <w:p w14:paraId="022A56B8">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cs="Times New Roman"/>
                <w:color w:val="auto"/>
                <w:szCs w:val="21"/>
              </w:rPr>
            </w:pPr>
            <w:r>
              <w:rPr>
                <w:rFonts w:hint="default" w:ascii="Times New Roman" w:hAnsi="Times New Roman" w:eastAsia="宋体" w:cs="Times New Roman"/>
                <w:color w:val="auto"/>
                <w:spacing w:val="-1"/>
                <w:szCs w:val="21"/>
                <w:lang w:val="en-US" w:eastAsia="zh-CN"/>
              </w:rPr>
              <w:t>经化粪池</w:t>
            </w:r>
            <w:r>
              <w:rPr>
                <w:rFonts w:hint="default" w:ascii="Times New Roman" w:hAnsi="Times New Roman" w:cs="Times New Roman"/>
                <w:color w:val="auto"/>
                <w:spacing w:val="-1"/>
                <w:szCs w:val="21"/>
                <w:lang w:val="en-US" w:eastAsia="zh-CN"/>
              </w:rPr>
              <w:t>（5m</w:t>
            </w:r>
            <w:r>
              <w:rPr>
                <w:rFonts w:hint="default" w:ascii="Times New Roman" w:hAnsi="Times New Roman" w:cs="Times New Roman"/>
                <w:color w:val="auto"/>
                <w:spacing w:val="-1"/>
                <w:szCs w:val="21"/>
                <w:vertAlign w:val="superscript"/>
                <w:lang w:val="en-US" w:eastAsia="zh-CN"/>
              </w:rPr>
              <w:t>3</w:t>
            </w:r>
            <w:r>
              <w:rPr>
                <w:rFonts w:hint="default" w:ascii="Times New Roman" w:hAnsi="Times New Roman" w:cs="Times New Roman"/>
                <w:color w:val="auto"/>
                <w:spacing w:val="-1"/>
                <w:szCs w:val="21"/>
                <w:lang w:val="en-US" w:eastAsia="zh-CN"/>
              </w:rPr>
              <w:t>）</w:t>
            </w:r>
            <w:r>
              <w:rPr>
                <w:rFonts w:hint="default" w:ascii="Times New Roman" w:hAnsi="Times New Roman" w:eastAsia="宋体" w:cs="Times New Roman"/>
                <w:color w:val="auto"/>
                <w:spacing w:val="-1"/>
                <w:szCs w:val="21"/>
                <w:lang w:val="en-US" w:eastAsia="zh-CN"/>
              </w:rPr>
              <w:t>处理后用于农肥</w:t>
            </w:r>
          </w:p>
        </w:tc>
        <w:tc>
          <w:tcPr>
            <w:tcW w:w="2047" w:type="dxa"/>
            <w:vAlign w:val="center"/>
          </w:tcPr>
          <w:p w14:paraId="1641F32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w:t>
            </w:r>
          </w:p>
        </w:tc>
      </w:tr>
      <w:tr w14:paraId="7FA7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0" w:hRule="atLeast"/>
          <w:jc w:val="center"/>
        </w:trPr>
        <w:tc>
          <w:tcPr>
            <w:tcW w:w="1377" w:type="dxa"/>
            <w:vMerge w:val="continue"/>
            <w:vAlign w:val="center"/>
          </w:tcPr>
          <w:p w14:paraId="0222CCC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p>
        </w:tc>
        <w:tc>
          <w:tcPr>
            <w:tcW w:w="1215" w:type="dxa"/>
            <w:vAlign w:val="center"/>
          </w:tcPr>
          <w:p w14:paraId="599DBA95">
            <w:pPr>
              <w:keepNext w:val="0"/>
              <w:keepLines w:val="0"/>
              <w:pageBreakBefore w:val="0"/>
              <w:widowControl w:val="0"/>
              <w:kinsoku/>
              <w:wordWrap/>
              <w:overflowPunct/>
              <w:topLinePunct w:val="0"/>
              <w:autoSpaceDE/>
              <w:autoSpaceDN/>
              <w:bidi w:val="0"/>
              <w:adjustRightInd w:val="0"/>
              <w:snapToGrid w:val="0"/>
              <w:spacing w:line="240" w:lineRule="auto"/>
              <w:ind w:left="-48" w:leftChars="-23" w:right="-36" w:rightChars="-17"/>
              <w:jc w:val="center"/>
              <w:textAlignment w:val="auto"/>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eastAsia="zh-CN"/>
              </w:rPr>
              <w:t>生产废水</w:t>
            </w:r>
          </w:p>
        </w:tc>
        <w:tc>
          <w:tcPr>
            <w:tcW w:w="870" w:type="dxa"/>
            <w:vAlign w:val="center"/>
          </w:tcPr>
          <w:p w14:paraId="3B63E02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石油类</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SS</w:t>
            </w:r>
          </w:p>
        </w:tc>
        <w:tc>
          <w:tcPr>
            <w:tcW w:w="3840" w:type="dxa"/>
            <w:vAlign w:val="center"/>
          </w:tcPr>
          <w:p w14:paraId="33E364C7">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cs="Times New Roman"/>
                <w:color w:val="auto"/>
                <w:szCs w:val="21"/>
              </w:rPr>
            </w:pPr>
            <w:r>
              <w:rPr>
                <w:rFonts w:hint="default" w:ascii="Times New Roman" w:hAnsi="Times New Roman" w:eastAsia="宋体" w:cs="Times New Roman"/>
                <w:color w:val="auto"/>
                <w:szCs w:val="21"/>
              </w:rPr>
              <w:t>在场地</w:t>
            </w:r>
            <w:r>
              <w:rPr>
                <w:rFonts w:hint="default" w:ascii="Times New Roman" w:hAnsi="Times New Roman" w:eastAsia="宋体" w:cs="Times New Roman"/>
                <w:color w:val="auto"/>
                <w:szCs w:val="21"/>
                <w:lang w:val="en-US" w:eastAsia="zh-CN"/>
              </w:rPr>
              <w:t>东北侧地势低洼处</w:t>
            </w:r>
            <w:r>
              <w:rPr>
                <w:rFonts w:hint="default" w:ascii="Times New Roman" w:hAnsi="Times New Roman" w:eastAsia="宋体" w:cs="Times New Roman"/>
                <w:color w:val="auto"/>
                <w:szCs w:val="21"/>
              </w:rPr>
              <w:t>设置一个</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×3×</w:t>
            </w:r>
            <w:r>
              <w:rPr>
                <w:rFonts w:hint="eastAsia" w:ascii="Times New Roman" w:hAnsi="Times New Roman" w:cs="Times New Roman"/>
                <w:color w:val="auto"/>
                <w:szCs w:val="21"/>
                <w:lang w:val="en-US" w:eastAsia="zh-CN"/>
              </w:rPr>
              <w:t>2</w:t>
            </w:r>
            <w:r>
              <w:rPr>
                <w:rFonts w:hint="default" w:ascii="Times New Roman" w:hAnsi="Times New Roman" w:eastAsia="宋体" w:cs="Times New Roman"/>
                <w:color w:val="auto"/>
                <w:szCs w:val="21"/>
              </w:rPr>
              <w:t>m的</w:t>
            </w:r>
            <w:r>
              <w:rPr>
                <w:rFonts w:hint="default" w:ascii="Times New Roman" w:hAnsi="Times New Roman" w:eastAsia="宋体" w:cs="Times New Roman"/>
                <w:color w:val="auto"/>
                <w:szCs w:val="21"/>
                <w:lang w:val="en-US" w:eastAsia="zh-CN"/>
              </w:rPr>
              <w:t>三</w:t>
            </w:r>
            <w:r>
              <w:rPr>
                <w:rFonts w:hint="default" w:ascii="Times New Roman" w:hAnsi="Times New Roman" w:eastAsia="宋体" w:cs="Times New Roman"/>
                <w:color w:val="auto"/>
                <w:szCs w:val="21"/>
              </w:rPr>
              <w:t>级沉淀池（容积</w:t>
            </w:r>
            <w:r>
              <w:rPr>
                <w:rFonts w:hint="default" w:ascii="Times New Roman" w:hAnsi="Times New Roman" w:cs="Times New Roman"/>
                <w:color w:val="auto"/>
                <w:szCs w:val="21"/>
                <w:lang w:val="en-US" w:eastAsia="zh-CN"/>
              </w:rPr>
              <w:t>3</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r>
              <w:rPr>
                <w:rFonts w:hint="default" w:ascii="Times New Roman" w:hAnsi="Times New Roman" w:eastAsia="宋体" w:cs="Times New Roman"/>
                <w:bCs/>
                <w:color w:val="auto"/>
                <w:szCs w:val="21"/>
              </w:rPr>
              <w:t>，</w:t>
            </w:r>
            <w:r>
              <w:rPr>
                <w:rFonts w:hint="default" w:ascii="Times New Roman" w:hAnsi="Times New Roman" w:eastAsia="宋体" w:cs="Times New Roman"/>
                <w:bCs/>
                <w:color w:val="auto"/>
                <w:szCs w:val="21"/>
                <w:lang w:val="en-US" w:eastAsia="zh-CN"/>
              </w:rPr>
              <w:t>收集厂区的场地冲洗水，与车辆冲洗废水一起处理，不外排。</w:t>
            </w:r>
          </w:p>
        </w:tc>
        <w:tc>
          <w:tcPr>
            <w:tcW w:w="2047" w:type="dxa"/>
            <w:vAlign w:val="center"/>
          </w:tcPr>
          <w:p w14:paraId="0A86802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cs="Times New Roman"/>
                <w:color w:val="auto"/>
                <w:szCs w:val="21"/>
              </w:rPr>
              <w:t>循环使用，严禁外排</w:t>
            </w:r>
          </w:p>
        </w:tc>
      </w:tr>
      <w:tr w14:paraId="225D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0" w:hRule="atLeast"/>
          <w:jc w:val="center"/>
        </w:trPr>
        <w:tc>
          <w:tcPr>
            <w:tcW w:w="1377" w:type="dxa"/>
            <w:vMerge w:val="restart"/>
            <w:vAlign w:val="center"/>
          </w:tcPr>
          <w:p w14:paraId="0484554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声环境</w:t>
            </w:r>
          </w:p>
        </w:tc>
        <w:tc>
          <w:tcPr>
            <w:tcW w:w="1215" w:type="dxa"/>
            <w:vAlign w:val="center"/>
          </w:tcPr>
          <w:p w14:paraId="7F9DE02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车辆噪声</w:t>
            </w:r>
          </w:p>
        </w:tc>
        <w:tc>
          <w:tcPr>
            <w:tcW w:w="870" w:type="dxa"/>
            <w:vAlign w:val="center"/>
          </w:tcPr>
          <w:p w14:paraId="795BD58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噪声</w:t>
            </w:r>
          </w:p>
        </w:tc>
        <w:tc>
          <w:tcPr>
            <w:tcW w:w="3840" w:type="dxa"/>
            <w:vAlign w:val="center"/>
          </w:tcPr>
          <w:p w14:paraId="763F548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禁止超速、超载，减速慢行</w:t>
            </w:r>
          </w:p>
        </w:tc>
        <w:tc>
          <w:tcPr>
            <w:tcW w:w="2047" w:type="dxa"/>
            <w:vMerge w:val="restart"/>
            <w:vAlign w:val="center"/>
          </w:tcPr>
          <w:p w14:paraId="2134909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《工业企业厂界环境噪声排放标准》（GB12348-2008）</w:t>
            </w:r>
            <w:r>
              <w:rPr>
                <w:rFonts w:hint="default" w:ascii="Times New Roman" w:hAnsi="Times New Roman" w:cs="Times New Roman" w:eastAsiaTheme="minorEastAsia"/>
                <w:color w:val="auto"/>
                <w:szCs w:val="21"/>
                <w:lang w:val="en-US" w:eastAsia="zh-CN"/>
              </w:rPr>
              <w:t>2</w:t>
            </w:r>
            <w:r>
              <w:rPr>
                <w:rFonts w:hint="default" w:ascii="Times New Roman" w:hAnsi="Times New Roman" w:cs="Times New Roman" w:eastAsiaTheme="minorEastAsia"/>
                <w:color w:val="auto"/>
                <w:szCs w:val="21"/>
              </w:rPr>
              <w:t>类标准</w:t>
            </w:r>
          </w:p>
        </w:tc>
      </w:tr>
      <w:tr w14:paraId="6D6F4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0" w:hRule="atLeast"/>
          <w:jc w:val="center"/>
        </w:trPr>
        <w:tc>
          <w:tcPr>
            <w:tcW w:w="1377" w:type="dxa"/>
            <w:vMerge w:val="continue"/>
            <w:vAlign w:val="center"/>
          </w:tcPr>
          <w:p w14:paraId="48E15F8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p>
        </w:tc>
        <w:tc>
          <w:tcPr>
            <w:tcW w:w="1215" w:type="dxa"/>
            <w:vAlign w:val="center"/>
          </w:tcPr>
          <w:p w14:paraId="735AF47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设备噪声</w:t>
            </w:r>
          </w:p>
        </w:tc>
        <w:tc>
          <w:tcPr>
            <w:tcW w:w="870" w:type="dxa"/>
            <w:vAlign w:val="center"/>
          </w:tcPr>
          <w:p w14:paraId="092925C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噪声</w:t>
            </w:r>
          </w:p>
        </w:tc>
        <w:tc>
          <w:tcPr>
            <w:tcW w:w="3840" w:type="dxa"/>
            <w:vAlign w:val="center"/>
          </w:tcPr>
          <w:p w14:paraId="59550CC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选低噪声设备，采取基础减振、隔声措施</w:t>
            </w:r>
          </w:p>
        </w:tc>
        <w:tc>
          <w:tcPr>
            <w:tcW w:w="2047" w:type="dxa"/>
            <w:vMerge w:val="continue"/>
            <w:vAlign w:val="center"/>
          </w:tcPr>
          <w:p w14:paraId="234BA40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p>
        </w:tc>
      </w:tr>
      <w:tr w14:paraId="4DCE2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0" w:hRule="atLeast"/>
          <w:jc w:val="center"/>
        </w:trPr>
        <w:tc>
          <w:tcPr>
            <w:tcW w:w="1377" w:type="dxa"/>
            <w:vAlign w:val="center"/>
          </w:tcPr>
          <w:p w14:paraId="61738E7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电磁辐射</w:t>
            </w:r>
          </w:p>
        </w:tc>
        <w:tc>
          <w:tcPr>
            <w:tcW w:w="1215" w:type="dxa"/>
            <w:vAlign w:val="center"/>
          </w:tcPr>
          <w:p w14:paraId="6DA08AB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w:t>
            </w:r>
          </w:p>
        </w:tc>
        <w:tc>
          <w:tcPr>
            <w:tcW w:w="870" w:type="dxa"/>
            <w:vAlign w:val="center"/>
          </w:tcPr>
          <w:p w14:paraId="2B2F9E7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w:t>
            </w:r>
          </w:p>
        </w:tc>
        <w:tc>
          <w:tcPr>
            <w:tcW w:w="3840" w:type="dxa"/>
            <w:vAlign w:val="center"/>
          </w:tcPr>
          <w:p w14:paraId="69CA80B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w:t>
            </w:r>
          </w:p>
        </w:tc>
        <w:tc>
          <w:tcPr>
            <w:tcW w:w="2047" w:type="dxa"/>
            <w:vAlign w:val="center"/>
          </w:tcPr>
          <w:p w14:paraId="68F8FE4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w:t>
            </w:r>
          </w:p>
        </w:tc>
      </w:tr>
      <w:tr w14:paraId="1531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0" w:hRule="atLeast"/>
          <w:jc w:val="center"/>
        </w:trPr>
        <w:tc>
          <w:tcPr>
            <w:tcW w:w="1377" w:type="dxa"/>
            <w:vAlign w:val="center"/>
          </w:tcPr>
          <w:p w14:paraId="1FD9D6E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固体废物</w:t>
            </w:r>
          </w:p>
        </w:tc>
        <w:tc>
          <w:tcPr>
            <w:tcW w:w="7972" w:type="dxa"/>
            <w:gridSpan w:val="4"/>
            <w:vAlign w:val="center"/>
          </w:tcPr>
          <w:p w14:paraId="28028612">
            <w:pPr>
              <w:rPr>
                <w:rFonts w:hint="default" w:ascii="Times New Roman" w:hAnsi="Times New Roman" w:cs="Times New Roman"/>
                <w:color w:val="auto"/>
              </w:rPr>
            </w:pPr>
            <w:r>
              <w:rPr>
                <w:rFonts w:hint="default" w:ascii="Times New Roman" w:hAnsi="Times New Roman" w:cs="Times New Roman"/>
                <w:color w:val="auto"/>
              </w:rPr>
              <w:t>除尘器收尘：筒仓粉尘、搅拌主机粉尘经布袋除尘器收集处理后无组织排放。废矿粉集中收集暂存于搅拌楼东南角的废回收粉暂存场（面积3m</w:t>
            </w:r>
            <w:r>
              <w:rPr>
                <w:rFonts w:hint="default" w:ascii="Times New Roman" w:hAnsi="Times New Roman" w:cs="Times New Roman"/>
                <w:color w:val="auto"/>
                <w:vertAlign w:val="superscript"/>
              </w:rPr>
              <w:t>3</w:t>
            </w:r>
            <w:r>
              <w:rPr>
                <w:rFonts w:hint="default" w:ascii="Times New Roman" w:hAnsi="Times New Roman" w:cs="Times New Roman"/>
                <w:color w:val="auto"/>
              </w:rPr>
              <w:t>），外售至水泥厂。</w:t>
            </w:r>
          </w:p>
          <w:p w14:paraId="36331469">
            <w:pPr>
              <w:rPr>
                <w:rFonts w:hint="default" w:ascii="Times New Roman" w:hAnsi="Times New Roman" w:cs="Times New Roman"/>
                <w:color w:val="auto"/>
              </w:rPr>
            </w:pPr>
            <w:r>
              <w:rPr>
                <w:rFonts w:hint="default" w:ascii="Times New Roman" w:hAnsi="Times New Roman" w:cs="Times New Roman"/>
                <w:color w:val="auto"/>
              </w:rPr>
              <w:t>振筛分选的不合格碎石：集中收集暂存于搅拌楼东南角的废骨料暂存场（面积2m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default" w:ascii="Times New Roman" w:hAnsi="Times New Roman" w:cs="Times New Roman"/>
                <w:color w:val="auto"/>
                <w:szCs w:val="21"/>
                <w:lang w:val="en-US" w:eastAsia="zh-CN"/>
              </w:rPr>
              <w:t>定期拉回骨料厂家回收</w:t>
            </w:r>
            <w:r>
              <w:rPr>
                <w:rFonts w:hint="default" w:ascii="Times New Roman" w:hAnsi="Times New Roman" w:eastAsia="宋体" w:cs="Times New Roman"/>
                <w:color w:val="auto"/>
                <w:szCs w:val="21"/>
                <w:lang w:val="en-US" w:eastAsia="zh-CN"/>
              </w:rPr>
              <w:t>。</w:t>
            </w:r>
          </w:p>
          <w:p w14:paraId="378E7AFF">
            <w:pPr>
              <w:rPr>
                <w:rFonts w:hint="default" w:ascii="Times New Roman" w:hAnsi="Times New Roman" w:cs="Times New Roman"/>
                <w:color w:val="auto"/>
              </w:rPr>
            </w:pPr>
            <w:r>
              <w:rPr>
                <w:rFonts w:hint="default" w:ascii="Times New Roman" w:hAnsi="Times New Roman" w:cs="Times New Roman"/>
                <w:color w:val="auto"/>
                <w:lang w:eastAsia="zh-CN"/>
              </w:rPr>
              <w:t>拌和残渣</w:t>
            </w:r>
            <w:r>
              <w:rPr>
                <w:rFonts w:hint="default" w:ascii="Times New Roman" w:hAnsi="Times New Roman" w:cs="Times New Roman"/>
                <w:color w:val="auto"/>
              </w:rPr>
              <w:t>：</w:t>
            </w:r>
            <w:r>
              <w:rPr>
                <w:rFonts w:hint="default" w:ascii="Times New Roman" w:hAnsi="Times New Roman" w:eastAsia="宋体" w:cs="Times New Roman"/>
                <w:color w:val="auto"/>
                <w:szCs w:val="21"/>
                <w:lang w:val="en-US" w:eastAsia="zh-CN"/>
              </w:rPr>
              <w:t>及时</w:t>
            </w:r>
            <w:r>
              <w:rPr>
                <w:rFonts w:hint="default" w:ascii="Times New Roman" w:hAnsi="Times New Roman" w:eastAsia="宋体" w:cs="Times New Roman"/>
                <w:color w:val="auto"/>
                <w:szCs w:val="21"/>
              </w:rPr>
              <w:t>使用骨料覆盖回收，</w:t>
            </w:r>
            <w:r>
              <w:rPr>
                <w:rFonts w:hint="default" w:ascii="Times New Roman" w:hAnsi="Times New Roman" w:cs="Times New Roman"/>
                <w:color w:val="auto"/>
                <w:szCs w:val="21"/>
                <w:lang w:val="en-US" w:eastAsia="zh-CN"/>
              </w:rPr>
              <w:t>暂存至堆料场内，定期拉运至再生料厂。</w:t>
            </w:r>
          </w:p>
          <w:p w14:paraId="63175EA7">
            <w:pPr>
              <w:rPr>
                <w:rFonts w:hint="default" w:ascii="Times New Roman" w:hAnsi="Times New Roman" w:cs="Times New Roman"/>
                <w:color w:val="auto"/>
                <w:szCs w:val="21"/>
                <w:lang w:val="en-US" w:eastAsia="zh-CN"/>
              </w:rPr>
            </w:pPr>
            <w:r>
              <w:rPr>
                <w:rFonts w:hint="default" w:ascii="Times New Roman" w:hAnsi="Times New Roman" w:cs="Times New Roman"/>
                <w:color w:val="auto"/>
              </w:rPr>
              <w:t>不合格产品：</w:t>
            </w:r>
            <w:r>
              <w:rPr>
                <w:rFonts w:hint="default" w:ascii="Times New Roman" w:hAnsi="Times New Roman" w:eastAsia="宋体" w:cs="Times New Roman"/>
                <w:color w:val="auto"/>
                <w:szCs w:val="21"/>
              </w:rPr>
              <w:t>收集后</w:t>
            </w:r>
            <w:r>
              <w:rPr>
                <w:rFonts w:hint="default" w:ascii="Times New Roman" w:hAnsi="Times New Roman" w:cs="Times New Roman"/>
                <w:color w:val="auto"/>
                <w:szCs w:val="21"/>
                <w:lang w:val="en-US" w:eastAsia="zh-CN"/>
              </w:rPr>
              <w:t>定期拉运至再生料厂。</w:t>
            </w:r>
          </w:p>
          <w:p w14:paraId="2039B22B">
            <w:pPr>
              <w:rPr>
                <w:rFonts w:hint="default" w:ascii="Times New Roman" w:hAnsi="Times New Roman" w:cs="Times New Roman"/>
                <w:color w:val="auto"/>
              </w:rPr>
            </w:pPr>
            <w:r>
              <w:rPr>
                <w:rFonts w:hint="default" w:ascii="Times New Roman" w:hAnsi="Times New Roman" w:cs="Times New Roman"/>
                <w:color w:val="auto"/>
              </w:rPr>
              <w:t>沉淀池沉渣：定期清掏，外卖至砖厂。</w:t>
            </w:r>
          </w:p>
          <w:p w14:paraId="1386CE20">
            <w:pPr>
              <w:rPr>
                <w:rFonts w:hint="default" w:ascii="Times New Roman" w:hAnsi="Times New Roman" w:cs="Times New Roman"/>
                <w:color w:val="auto"/>
              </w:rPr>
            </w:pPr>
            <w:r>
              <w:rPr>
                <w:rFonts w:hint="default" w:ascii="Times New Roman" w:hAnsi="Times New Roman" w:cs="Times New Roman"/>
                <w:color w:val="auto"/>
              </w:rPr>
              <w:t>废机油、废机油桶：设置1个危废暂存间，面积约5m</w:t>
            </w:r>
            <w:r>
              <w:rPr>
                <w:rFonts w:hint="default" w:ascii="Times New Roman" w:hAnsi="Times New Roman" w:cs="Times New Roman"/>
                <w:color w:val="auto"/>
                <w:vertAlign w:val="superscript"/>
              </w:rPr>
              <w:t>2</w:t>
            </w:r>
            <w:r>
              <w:rPr>
                <w:rFonts w:hint="default" w:ascii="Times New Roman" w:hAnsi="Times New Roman" w:cs="Times New Roman"/>
                <w:color w:val="auto"/>
              </w:rPr>
              <w:t>。委托有危废资质的单位回收处理。</w:t>
            </w:r>
          </w:p>
          <w:p w14:paraId="32B8BBA9">
            <w:pPr>
              <w:rPr>
                <w:rFonts w:hint="default" w:ascii="Times New Roman" w:hAnsi="Times New Roman" w:cs="Times New Roman"/>
                <w:color w:val="auto"/>
              </w:rPr>
            </w:pPr>
            <w:r>
              <w:rPr>
                <w:rFonts w:hint="default" w:ascii="Times New Roman" w:hAnsi="Times New Roman" w:cs="Times New Roman"/>
                <w:color w:val="auto"/>
              </w:rPr>
              <w:t>废导热油：更换频率较低，委托有危废资质的单位回收处理。</w:t>
            </w:r>
          </w:p>
          <w:p w14:paraId="0F516C01">
            <w:pPr>
              <w:rPr>
                <w:rFonts w:hint="default" w:ascii="Times New Roman" w:hAnsi="Times New Roman" w:eastAsia="宋体" w:cs="Times New Roman"/>
                <w:color w:val="auto"/>
                <w:szCs w:val="21"/>
                <w:lang w:eastAsia="zh-CN"/>
              </w:rPr>
            </w:pPr>
            <w:r>
              <w:rPr>
                <w:rFonts w:hint="default" w:ascii="Times New Roman" w:hAnsi="Times New Roman" w:cs="Times New Roman"/>
                <w:color w:val="auto"/>
              </w:rPr>
              <w:t>生活垃圾：场内设垃圾桶收集，交由环卫部门清运处理。</w:t>
            </w:r>
          </w:p>
        </w:tc>
      </w:tr>
      <w:tr w14:paraId="5462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0" w:hRule="atLeast"/>
          <w:jc w:val="center"/>
        </w:trPr>
        <w:tc>
          <w:tcPr>
            <w:tcW w:w="1377" w:type="dxa"/>
            <w:vAlign w:val="center"/>
          </w:tcPr>
          <w:p w14:paraId="136C314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土壤及地下水污染防治措施</w:t>
            </w:r>
          </w:p>
        </w:tc>
        <w:tc>
          <w:tcPr>
            <w:tcW w:w="7972" w:type="dxa"/>
            <w:gridSpan w:val="4"/>
            <w:vAlign w:val="center"/>
          </w:tcPr>
          <w:p w14:paraId="5D71BB4E">
            <w:pPr>
              <w:keepNext w:val="0"/>
              <w:keepLines w:val="0"/>
              <w:pageBreakBefore w:val="0"/>
              <w:widowControl w:val="0"/>
              <w:kinsoku/>
              <w:wordWrap/>
              <w:overflowPunct/>
              <w:topLinePunct w:val="0"/>
              <w:autoSpaceDE/>
              <w:autoSpaceDN/>
              <w:bidi w:val="0"/>
              <w:spacing w:line="240" w:lineRule="auto"/>
              <w:ind w:firstLine="422" w:firstLineChars="200"/>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bCs/>
                <w:color w:val="auto"/>
                <w:szCs w:val="21"/>
              </w:rPr>
              <w:t>重点防渗区：</w:t>
            </w:r>
            <w:r>
              <w:rPr>
                <w:rFonts w:hint="default" w:ascii="Times New Roman" w:hAnsi="Times New Roman" w:cs="Times New Roman" w:eastAsiaTheme="minorEastAsia"/>
                <w:color w:val="auto"/>
                <w:szCs w:val="21"/>
              </w:rPr>
              <w:t>主要为危废暂存间、罐区。危废暂存间防渗技术要求为等效黏土防渗层M≥6.0m，K≤10</w:t>
            </w:r>
            <w:r>
              <w:rPr>
                <w:rFonts w:hint="default" w:ascii="Times New Roman" w:hAnsi="Times New Roman" w:cs="Times New Roman" w:eastAsiaTheme="minorEastAsia"/>
                <w:color w:val="auto"/>
                <w:szCs w:val="21"/>
                <w:vertAlign w:val="superscript"/>
              </w:rPr>
              <w:t>-10</w:t>
            </w:r>
            <w:r>
              <w:rPr>
                <w:rFonts w:hint="default" w:ascii="Times New Roman" w:hAnsi="Times New Roman" w:cs="Times New Roman" w:eastAsiaTheme="minorEastAsia"/>
                <w:color w:val="auto"/>
                <w:szCs w:val="21"/>
              </w:rPr>
              <w:t>cm/s的要求；罐区，防渗技术要求为等效粘土防渗层Mb≥6.0m，K≤10</w:t>
            </w:r>
            <w:r>
              <w:rPr>
                <w:rFonts w:hint="default" w:ascii="Times New Roman" w:hAnsi="Times New Roman" w:cs="Times New Roman" w:eastAsiaTheme="minorEastAsia"/>
                <w:color w:val="auto"/>
                <w:szCs w:val="21"/>
                <w:vertAlign w:val="superscript"/>
              </w:rPr>
              <w:t>-7</w:t>
            </w:r>
            <w:r>
              <w:rPr>
                <w:rFonts w:hint="default" w:ascii="Times New Roman" w:hAnsi="Times New Roman" w:cs="Times New Roman" w:eastAsiaTheme="minorEastAsia"/>
                <w:color w:val="auto"/>
                <w:szCs w:val="21"/>
              </w:rPr>
              <w:t>cm/s</w:t>
            </w:r>
            <w:r>
              <w:rPr>
                <w:rFonts w:hint="default" w:ascii="Times New Roman" w:hAnsi="Times New Roman" w:cs="Times New Roman"/>
                <w:color w:val="auto"/>
                <w:szCs w:val="21"/>
              </w:rPr>
              <w:t>；</w:t>
            </w:r>
          </w:p>
          <w:p w14:paraId="50FD2706">
            <w:pPr>
              <w:keepNext w:val="0"/>
              <w:keepLines w:val="0"/>
              <w:pageBreakBefore w:val="0"/>
              <w:widowControl w:val="0"/>
              <w:kinsoku/>
              <w:wordWrap/>
              <w:overflowPunct/>
              <w:topLinePunct w:val="0"/>
              <w:autoSpaceDE/>
              <w:autoSpaceDN/>
              <w:bidi w:val="0"/>
              <w:spacing w:line="240" w:lineRule="auto"/>
              <w:ind w:firstLine="422" w:firstLineChars="200"/>
              <w:textAlignment w:val="auto"/>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b/>
                <w:bCs/>
                <w:color w:val="auto"/>
                <w:szCs w:val="21"/>
                <w:lang w:eastAsia="zh-CN"/>
              </w:rPr>
              <w:t>一般防渗区：</w:t>
            </w:r>
            <w:r>
              <w:rPr>
                <w:rFonts w:hint="default" w:ascii="Times New Roman" w:hAnsi="Times New Roman" w:eastAsia="宋体" w:cs="Times New Roman"/>
                <w:color w:val="auto"/>
                <w:szCs w:val="21"/>
                <w:lang w:val="en-US" w:eastAsia="zh-CN" w:bidi="ar"/>
              </w:rPr>
              <w:t>沥青拌合楼、筒仓地面、</w:t>
            </w:r>
            <w:r>
              <w:rPr>
                <w:rFonts w:hint="default" w:ascii="Times New Roman" w:hAnsi="Times New Roman" w:cs="Times New Roman"/>
                <w:color w:val="auto"/>
                <w:szCs w:val="21"/>
                <w:lang w:val="en-US" w:eastAsia="zh-CN" w:bidi="ar"/>
              </w:rPr>
              <w:t>骨料堆场</w:t>
            </w:r>
            <w:r>
              <w:rPr>
                <w:rFonts w:hint="default" w:ascii="Times New Roman" w:hAnsi="Times New Roman" w:eastAsia="宋体" w:cs="Times New Roman"/>
                <w:color w:val="auto"/>
                <w:szCs w:val="21"/>
                <w:lang w:val="en-US" w:eastAsia="zh-CN" w:bidi="ar"/>
              </w:rPr>
              <w:t>、配料区、沉淀池、化粪池等</w:t>
            </w:r>
            <w:r>
              <w:rPr>
                <w:rFonts w:hint="default" w:ascii="Times New Roman" w:hAnsi="Times New Roman" w:cs="Times New Roman" w:eastAsiaTheme="minorEastAsia"/>
                <w:color w:val="auto"/>
                <w:szCs w:val="21"/>
                <w:lang w:eastAsia="zh-CN"/>
              </w:rPr>
              <w:t>，防渗技术要求为等效粘土防渗层Mb≥1.5m，K≤10</w:t>
            </w:r>
            <w:r>
              <w:rPr>
                <w:rFonts w:hint="default" w:ascii="Times New Roman" w:hAnsi="Times New Roman" w:cs="Times New Roman" w:eastAsiaTheme="minorEastAsia"/>
                <w:color w:val="auto"/>
                <w:szCs w:val="21"/>
                <w:vertAlign w:val="superscript"/>
                <w:lang w:eastAsia="zh-CN"/>
              </w:rPr>
              <w:t>-7</w:t>
            </w:r>
            <w:r>
              <w:rPr>
                <w:rFonts w:hint="default" w:ascii="Times New Roman" w:hAnsi="Times New Roman" w:cs="Times New Roman" w:eastAsiaTheme="minorEastAsia"/>
                <w:color w:val="auto"/>
                <w:szCs w:val="21"/>
                <w:lang w:eastAsia="zh-CN"/>
              </w:rPr>
              <w:t>cm/s。</w:t>
            </w:r>
          </w:p>
          <w:p w14:paraId="56EF5618">
            <w:pPr>
              <w:keepNext w:val="0"/>
              <w:keepLines w:val="0"/>
              <w:pageBreakBefore w:val="0"/>
              <w:widowControl w:val="0"/>
              <w:kinsoku/>
              <w:wordWrap/>
              <w:overflowPunct/>
              <w:topLinePunct w:val="0"/>
              <w:autoSpaceDE/>
              <w:autoSpaceDN/>
              <w:bidi w:val="0"/>
              <w:spacing w:line="240" w:lineRule="auto"/>
              <w:ind w:firstLine="422" w:firstLineChars="200"/>
              <w:textAlignment w:val="auto"/>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b/>
                <w:bCs/>
                <w:color w:val="auto"/>
                <w:szCs w:val="21"/>
                <w:lang w:eastAsia="zh-CN"/>
              </w:rPr>
              <w:t>简单防渗区：</w:t>
            </w:r>
            <w:r>
              <w:rPr>
                <w:rFonts w:hint="default" w:ascii="Times New Roman" w:hAnsi="Times New Roman" w:cs="Times New Roman" w:eastAsiaTheme="minorEastAsia"/>
                <w:color w:val="auto"/>
                <w:szCs w:val="21"/>
                <w:lang w:eastAsia="zh-CN"/>
              </w:rPr>
              <w:t>厂区道路、</w:t>
            </w:r>
            <w:r>
              <w:rPr>
                <w:rFonts w:hint="default" w:ascii="Times New Roman" w:hAnsi="Times New Roman" w:cs="Times New Roman" w:eastAsiaTheme="minorEastAsia"/>
                <w:color w:val="auto"/>
                <w:szCs w:val="21"/>
                <w:lang w:val="en-US" w:eastAsia="zh-CN"/>
              </w:rPr>
              <w:t>办公区域、</w:t>
            </w:r>
            <w:r>
              <w:rPr>
                <w:rFonts w:hint="default" w:ascii="Times New Roman" w:hAnsi="Times New Roman" w:cs="Times New Roman" w:eastAsiaTheme="minorEastAsia"/>
                <w:color w:val="auto"/>
                <w:szCs w:val="21"/>
                <w:lang w:eastAsia="zh-CN"/>
              </w:rPr>
              <w:t>门卫室等采取水泥地面硬化。</w:t>
            </w:r>
          </w:p>
        </w:tc>
      </w:tr>
      <w:tr w14:paraId="4637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0" w:hRule="atLeast"/>
          <w:jc w:val="center"/>
        </w:trPr>
        <w:tc>
          <w:tcPr>
            <w:tcW w:w="1377" w:type="dxa"/>
            <w:vAlign w:val="center"/>
          </w:tcPr>
          <w:p w14:paraId="57D0BD0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生态保护措施</w:t>
            </w:r>
          </w:p>
        </w:tc>
        <w:tc>
          <w:tcPr>
            <w:tcW w:w="7972" w:type="dxa"/>
            <w:gridSpan w:val="4"/>
            <w:vAlign w:val="center"/>
          </w:tcPr>
          <w:p w14:paraId="69D713F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w:t>
            </w:r>
          </w:p>
        </w:tc>
      </w:tr>
      <w:tr w14:paraId="76BFB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0" w:hRule="atLeast"/>
          <w:jc w:val="center"/>
        </w:trPr>
        <w:tc>
          <w:tcPr>
            <w:tcW w:w="1377" w:type="dxa"/>
            <w:vAlign w:val="center"/>
          </w:tcPr>
          <w:p w14:paraId="4DDD31D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环境风险</w:t>
            </w:r>
          </w:p>
          <w:p w14:paraId="2BAC60A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防范措施</w:t>
            </w:r>
          </w:p>
        </w:tc>
        <w:tc>
          <w:tcPr>
            <w:tcW w:w="7972" w:type="dxa"/>
            <w:gridSpan w:val="4"/>
            <w:vAlign w:val="center"/>
          </w:tcPr>
          <w:p w14:paraId="0EF8DD6D">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项目环保方面的负责部门对废气处理装置定期巡查；</w:t>
            </w:r>
            <w:r>
              <w:rPr>
                <w:rFonts w:hint="default" w:ascii="Times New Roman" w:hAnsi="Times New Roman" w:cs="Times New Roman" w:eastAsiaTheme="minorEastAsia"/>
                <w:color w:val="auto"/>
                <w:szCs w:val="21"/>
              </w:rPr>
              <w:t>重点防渗区做好地面防渗、防漏措施，</w:t>
            </w:r>
            <w:r>
              <w:rPr>
                <w:rFonts w:hint="default" w:ascii="Times New Roman" w:hAnsi="Times New Roman" w:cs="Times New Roman" w:eastAsiaTheme="minorEastAsia"/>
                <w:color w:val="auto"/>
                <w:szCs w:val="21"/>
                <w:lang w:val="en-US" w:eastAsia="zh-CN"/>
              </w:rPr>
              <w:t>罐区周围</w:t>
            </w:r>
            <w:r>
              <w:rPr>
                <w:rFonts w:hint="default" w:ascii="Times New Roman" w:hAnsi="Times New Roman" w:cs="Times New Roman" w:eastAsiaTheme="minorEastAsia"/>
                <w:color w:val="auto"/>
                <w:szCs w:val="21"/>
              </w:rPr>
              <w:t>设置</w:t>
            </w:r>
            <w:r>
              <w:rPr>
                <w:rFonts w:hint="default" w:ascii="Times New Roman" w:hAnsi="Times New Roman" w:cs="Times New Roman" w:eastAsiaTheme="minorEastAsia"/>
                <w:color w:val="auto"/>
                <w:szCs w:val="21"/>
                <w:lang w:val="en-US" w:eastAsia="zh-CN"/>
              </w:rPr>
              <w:t>20cm高的</w:t>
            </w:r>
            <w:r>
              <w:rPr>
                <w:rFonts w:hint="default" w:ascii="Times New Roman" w:hAnsi="Times New Roman" w:cs="Times New Roman" w:eastAsiaTheme="minorEastAsia"/>
                <w:color w:val="auto"/>
                <w:szCs w:val="21"/>
              </w:rPr>
              <w:t>防渗围堰，设置备用收容设施和防范物质；加强运输风险管理，设置警示标识，配备相应数量灭火器，开展员工安全培训；加强污染防治设施管理和维护；严格执行环评及相关法律法规要求，制定环境风险应急预案。</w:t>
            </w:r>
          </w:p>
        </w:tc>
      </w:tr>
      <w:tr w14:paraId="38F4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0" w:hRule="atLeast"/>
          <w:jc w:val="center"/>
        </w:trPr>
        <w:tc>
          <w:tcPr>
            <w:tcW w:w="1377" w:type="dxa"/>
            <w:vAlign w:val="center"/>
          </w:tcPr>
          <w:p w14:paraId="241C12F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其他环境</w:t>
            </w:r>
          </w:p>
          <w:p w14:paraId="0402126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管理要求</w:t>
            </w:r>
          </w:p>
        </w:tc>
        <w:tc>
          <w:tcPr>
            <w:tcW w:w="7972" w:type="dxa"/>
            <w:gridSpan w:val="4"/>
            <w:vAlign w:val="center"/>
          </w:tcPr>
          <w:p w14:paraId="31E73D0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w:t>
            </w:r>
          </w:p>
        </w:tc>
      </w:tr>
    </w:tbl>
    <w:p w14:paraId="6E2805B7">
      <w:pPr>
        <w:spacing w:line="360" w:lineRule="auto"/>
        <w:rPr>
          <w:rFonts w:hint="default" w:ascii="Times New Roman" w:hAnsi="Times New Roman" w:cs="Times New Roman"/>
          <w:b/>
          <w:color w:val="auto"/>
          <w:sz w:val="28"/>
          <w:szCs w:val="28"/>
        </w:rPr>
        <w:sectPr>
          <w:pgSz w:w="11906" w:h="16838"/>
          <w:pgMar w:top="1134" w:right="1134"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C3F29A1">
      <w:pPr>
        <w:pStyle w:val="64"/>
        <w:jc w:val="center"/>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六、结论</w:t>
      </w:r>
    </w:p>
    <w:tbl>
      <w:tblPr>
        <w:tblStyle w:val="2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44"/>
      </w:tblGrid>
      <w:tr w14:paraId="01D5CC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344" w:type="dxa"/>
            <w:shd w:val="clear" w:color="auto" w:fill="auto"/>
          </w:tcPr>
          <w:p w14:paraId="00B8592E">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1、建设项目环境可行性结论</w:t>
            </w:r>
          </w:p>
          <w:p w14:paraId="1B9FD89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天生镇沥青混凝土搅拌站基础建设项目</w:t>
            </w:r>
            <w:r>
              <w:rPr>
                <w:rFonts w:hint="default" w:ascii="Times New Roman" w:hAnsi="Times New Roman" w:cs="Times New Roman"/>
                <w:color w:val="auto"/>
                <w:sz w:val="24"/>
                <w:szCs w:val="24"/>
              </w:rPr>
              <w:t>建设符合国家产业政策，符合当地用地规划，项目建设区域无明显环境制约因素，选址合理，</w:t>
            </w:r>
            <w:r>
              <w:rPr>
                <w:rFonts w:hint="default" w:ascii="Times New Roman" w:hAnsi="Times New Roman" w:cs="Times New Roman"/>
                <w:color w:val="auto"/>
                <w:sz w:val="24"/>
                <w:szCs w:val="24"/>
                <w:lang w:eastAsia="zh-CN"/>
              </w:rPr>
              <w:t>总体</w:t>
            </w:r>
            <w:r>
              <w:rPr>
                <w:rFonts w:hint="default" w:ascii="Times New Roman" w:hAnsi="Times New Roman" w:cs="Times New Roman"/>
                <w:color w:val="auto"/>
                <w:sz w:val="24"/>
                <w:szCs w:val="24"/>
              </w:rPr>
              <w:t>布置合理；废水、废气、噪声、固体废物采取的污染防治措施技术可靠、经济可行。建设单位认真落实本报告中提出的各项污染防治措施和有关管理措施，保证环境保护措施的有效运行，可确保污染物稳定达标排放。从环保角度而言，本项目的建设是可行的。</w:t>
            </w:r>
          </w:p>
          <w:p w14:paraId="53EA3CDE">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2、建议</w:t>
            </w:r>
          </w:p>
          <w:p w14:paraId="4884065B">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（1）加强生产设施的日常管理工作及设施的维修、保养，确保生产的正常运行，避免因生产事故而对环境造成影响。</w:t>
            </w:r>
          </w:p>
          <w:p w14:paraId="0CF4C9C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（2）建立污染物管理档案，确保足够的环保资金，以实施污染物治理措施，确保废气、废水、厂界噪声达标排放。</w:t>
            </w:r>
          </w:p>
          <w:p w14:paraId="6FB5C479">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（3）对职工定期进行环境保护、清洁生产和环境风险防范等方面的宣传教育。</w:t>
            </w:r>
          </w:p>
          <w:p w14:paraId="51DE90B1">
            <w:pPr>
              <w:spacing w:line="360" w:lineRule="auto"/>
              <w:ind w:firstLine="480" w:firstLineChars="200"/>
              <w:rPr>
                <w:rFonts w:hint="default" w:ascii="Times New Roman" w:hAnsi="Times New Roman" w:cs="Times New Roman"/>
                <w:color w:val="auto"/>
                <w:sz w:val="24"/>
                <w:szCs w:val="24"/>
              </w:rPr>
            </w:pPr>
          </w:p>
          <w:p w14:paraId="188A2C5F">
            <w:pPr>
              <w:spacing w:line="360" w:lineRule="auto"/>
              <w:ind w:firstLine="480" w:firstLineChars="200"/>
              <w:rPr>
                <w:rFonts w:hint="default" w:ascii="Times New Roman" w:hAnsi="Times New Roman" w:cs="Times New Roman"/>
                <w:color w:val="auto"/>
                <w:sz w:val="24"/>
                <w:szCs w:val="24"/>
              </w:rPr>
            </w:pPr>
          </w:p>
          <w:p w14:paraId="691098D8">
            <w:pPr>
              <w:spacing w:line="360" w:lineRule="auto"/>
              <w:ind w:firstLine="480" w:firstLineChars="200"/>
              <w:rPr>
                <w:rFonts w:hint="default" w:ascii="Times New Roman" w:hAnsi="Times New Roman" w:cs="Times New Roman"/>
                <w:color w:val="auto"/>
                <w:sz w:val="24"/>
                <w:szCs w:val="24"/>
              </w:rPr>
            </w:pPr>
          </w:p>
          <w:p w14:paraId="6F5D1760">
            <w:pPr>
              <w:spacing w:line="360" w:lineRule="auto"/>
              <w:ind w:firstLine="480" w:firstLineChars="200"/>
              <w:rPr>
                <w:rFonts w:hint="default" w:ascii="Times New Roman" w:hAnsi="Times New Roman" w:cs="Times New Roman"/>
                <w:color w:val="auto"/>
                <w:sz w:val="24"/>
                <w:szCs w:val="24"/>
              </w:rPr>
            </w:pPr>
          </w:p>
          <w:p w14:paraId="1AEC2EA0">
            <w:pPr>
              <w:spacing w:line="360" w:lineRule="auto"/>
              <w:ind w:firstLine="480" w:firstLineChars="200"/>
              <w:rPr>
                <w:rFonts w:hint="default" w:ascii="Times New Roman" w:hAnsi="Times New Roman" w:cs="Times New Roman"/>
                <w:color w:val="auto"/>
                <w:sz w:val="24"/>
                <w:szCs w:val="24"/>
              </w:rPr>
            </w:pPr>
          </w:p>
          <w:p w14:paraId="47A16698">
            <w:pPr>
              <w:spacing w:line="360" w:lineRule="auto"/>
              <w:ind w:firstLine="480" w:firstLineChars="200"/>
              <w:rPr>
                <w:rFonts w:hint="default" w:ascii="Times New Roman" w:hAnsi="Times New Roman" w:cs="Times New Roman"/>
                <w:color w:val="auto"/>
                <w:sz w:val="24"/>
                <w:szCs w:val="24"/>
              </w:rPr>
            </w:pPr>
          </w:p>
          <w:p w14:paraId="7F6CA323">
            <w:pPr>
              <w:spacing w:line="360" w:lineRule="auto"/>
              <w:ind w:firstLine="480" w:firstLineChars="200"/>
              <w:rPr>
                <w:rFonts w:hint="default" w:ascii="Times New Roman" w:hAnsi="Times New Roman" w:cs="Times New Roman"/>
                <w:color w:val="auto"/>
                <w:sz w:val="24"/>
                <w:szCs w:val="24"/>
              </w:rPr>
            </w:pPr>
          </w:p>
          <w:p w14:paraId="75F4E82E">
            <w:pPr>
              <w:spacing w:line="360" w:lineRule="auto"/>
              <w:ind w:firstLine="480" w:firstLineChars="200"/>
              <w:rPr>
                <w:rFonts w:hint="default" w:ascii="Times New Roman" w:hAnsi="Times New Roman" w:cs="Times New Roman"/>
                <w:color w:val="auto"/>
                <w:sz w:val="24"/>
                <w:szCs w:val="24"/>
              </w:rPr>
            </w:pPr>
          </w:p>
          <w:p w14:paraId="0BDB6B83">
            <w:pPr>
              <w:spacing w:line="360" w:lineRule="auto"/>
              <w:ind w:firstLine="480" w:firstLineChars="200"/>
              <w:rPr>
                <w:rFonts w:hint="default" w:ascii="Times New Roman" w:hAnsi="Times New Roman" w:cs="Times New Roman"/>
                <w:color w:val="auto"/>
                <w:sz w:val="24"/>
                <w:szCs w:val="24"/>
              </w:rPr>
            </w:pPr>
          </w:p>
          <w:p w14:paraId="0E5A7E88">
            <w:pPr>
              <w:spacing w:line="360" w:lineRule="auto"/>
              <w:ind w:firstLine="480" w:firstLineChars="200"/>
              <w:rPr>
                <w:rFonts w:hint="default" w:ascii="Times New Roman" w:hAnsi="Times New Roman" w:cs="Times New Roman"/>
                <w:color w:val="auto"/>
                <w:sz w:val="24"/>
                <w:szCs w:val="24"/>
              </w:rPr>
            </w:pPr>
          </w:p>
          <w:p w14:paraId="07D3F80B">
            <w:pPr>
              <w:spacing w:line="360" w:lineRule="auto"/>
              <w:ind w:firstLine="480" w:firstLineChars="200"/>
              <w:rPr>
                <w:rFonts w:hint="default" w:ascii="Times New Roman" w:hAnsi="Times New Roman" w:cs="Times New Roman"/>
                <w:color w:val="auto"/>
                <w:sz w:val="24"/>
                <w:szCs w:val="24"/>
              </w:rPr>
            </w:pPr>
          </w:p>
          <w:p w14:paraId="1CB42484">
            <w:pPr>
              <w:spacing w:line="360" w:lineRule="auto"/>
              <w:ind w:firstLine="480" w:firstLineChars="200"/>
              <w:rPr>
                <w:rFonts w:hint="default" w:ascii="Times New Roman" w:hAnsi="Times New Roman" w:cs="Times New Roman"/>
                <w:color w:val="auto"/>
                <w:sz w:val="24"/>
                <w:szCs w:val="24"/>
              </w:rPr>
            </w:pPr>
          </w:p>
          <w:p w14:paraId="29EE9EFD">
            <w:pPr>
              <w:spacing w:line="360" w:lineRule="auto"/>
              <w:ind w:firstLine="480" w:firstLineChars="200"/>
              <w:rPr>
                <w:rFonts w:hint="default" w:ascii="Times New Roman" w:hAnsi="Times New Roman" w:cs="Times New Roman"/>
                <w:color w:val="auto"/>
                <w:sz w:val="24"/>
                <w:szCs w:val="24"/>
              </w:rPr>
            </w:pPr>
          </w:p>
          <w:p w14:paraId="5390676B">
            <w:pPr>
              <w:spacing w:line="360" w:lineRule="auto"/>
              <w:ind w:firstLine="480" w:firstLineChars="200"/>
              <w:rPr>
                <w:rFonts w:hint="default" w:ascii="Times New Roman" w:hAnsi="Times New Roman" w:cs="Times New Roman"/>
                <w:color w:val="auto"/>
                <w:sz w:val="24"/>
                <w:szCs w:val="24"/>
              </w:rPr>
            </w:pPr>
          </w:p>
          <w:p w14:paraId="180F2DB3">
            <w:pPr>
              <w:spacing w:line="360" w:lineRule="auto"/>
              <w:ind w:firstLine="480" w:firstLineChars="200"/>
              <w:rPr>
                <w:rFonts w:hint="default" w:ascii="Times New Roman" w:hAnsi="Times New Roman" w:cs="Times New Roman"/>
                <w:color w:val="auto"/>
                <w:sz w:val="24"/>
                <w:szCs w:val="24"/>
              </w:rPr>
            </w:pPr>
          </w:p>
          <w:p w14:paraId="4EB28B38">
            <w:pPr>
              <w:spacing w:line="360" w:lineRule="auto"/>
              <w:ind w:firstLine="480" w:firstLineChars="200"/>
              <w:rPr>
                <w:rFonts w:hint="default" w:ascii="Times New Roman" w:hAnsi="Times New Roman" w:cs="Times New Roman"/>
                <w:color w:val="auto"/>
                <w:sz w:val="24"/>
                <w:szCs w:val="24"/>
              </w:rPr>
            </w:pPr>
          </w:p>
          <w:p w14:paraId="4E6255D2">
            <w:pPr>
              <w:spacing w:line="360" w:lineRule="auto"/>
              <w:ind w:firstLine="480" w:firstLineChars="200"/>
              <w:rPr>
                <w:rFonts w:hint="default" w:ascii="Times New Roman" w:hAnsi="Times New Roman" w:cs="Times New Roman"/>
                <w:color w:val="auto"/>
                <w:sz w:val="24"/>
                <w:szCs w:val="24"/>
              </w:rPr>
            </w:pPr>
          </w:p>
        </w:tc>
      </w:tr>
    </w:tbl>
    <w:p w14:paraId="62577B32">
      <w:pPr>
        <w:rPr>
          <w:rFonts w:hint="default" w:ascii="Times New Roman" w:hAnsi="Times New Roman" w:cs="Times New Roman"/>
          <w:color w:val="auto"/>
          <w:sz w:val="24"/>
          <w:szCs w:val="24"/>
        </w:rPr>
        <w:sectPr>
          <w:pgSz w:w="11906" w:h="16838"/>
          <w:pgMar w:top="1134" w:right="1134"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294D985">
      <w:pPr>
        <w:pStyle w:val="64"/>
        <w:spacing w:line="240" w:lineRule="auto"/>
        <w:jc w:val="left"/>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附表</w:t>
      </w:r>
    </w:p>
    <w:p w14:paraId="6E9C4895">
      <w:pPr>
        <w:jc w:val="center"/>
        <w:rPr>
          <w:rFonts w:hint="default" w:ascii="Times New Roman" w:hAnsi="Times New Roman" w:eastAsia="方正小标宋_GBK" w:cs="Times New Roman"/>
          <w:color w:val="auto"/>
          <w:sz w:val="36"/>
          <w:szCs w:val="36"/>
        </w:rPr>
      </w:pPr>
      <w:r>
        <w:rPr>
          <w:rFonts w:hint="default" w:ascii="Times New Roman" w:hAnsi="Times New Roman" w:eastAsia="方正小标宋_GBK" w:cs="Times New Roman"/>
          <w:color w:val="auto"/>
          <w:sz w:val="36"/>
          <w:szCs w:val="36"/>
        </w:rPr>
        <w:t>建设项目污染物排放量汇总表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960"/>
        <w:gridCol w:w="1782"/>
        <w:gridCol w:w="1778"/>
        <w:gridCol w:w="1782"/>
        <w:gridCol w:w="1783"/>
        <w:gridCol w:w="1655"/>
        <w:gridCol w:w="1912"/>
        <w:gridCol w:w="1011"/>
      </w:tblGrid>
      <w:tr w14:paraId="3E0D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Align w:val="center"/>
          </w:tcPr>
          <w:p w14:paraId="55191693">
            <w:pPr>
              <w:spacing w:line="276" w:lineRule="auto"/>
              <w:jc w:val="center"/>
              <w:rPr>
                <w:rFonts w:hint="default" w:ascii="Times New Roman" w:hAnsi="Times New Roman" w:cs="Times New Roman"/>
                <w:color w:val="auto"/>
                <w:szCs w:val="21"/>
              </w:rPr>
            </w:pPr>
            <w:r>
              <w:rPr>
                <w:rFonts w:hint="default" w:ascii="Times New Roman" w:hAnsi="Times New Roman" w:eastAsia="方正小标宋_GBK" w:cs="Times New Roman"/>
                <w:color w:val="auto"/>
                <w:sz w:val="36"/>
                <w:szCs w:val="36"/>
              </w:rPr>
              <mc:AlternateContent>
                <mc:Choice Requires="wps">
                  <w:drawing>
                    <wp:anchor distT="0" distB="0" distL="114300" distR="114300" simplePos="0" relativeHeight="251661312" behindDoc="0" locked="0" layoutInCell="1" allowOverlap="1">
                      <wp:simplePos x="0" y="0"/>
                      <wp:positionH relativeFrom="column">
                        <wp:posOffset>-24765</wp:posOffset>
                      </wp:positionH>
                      <wp:positionV relativeFrom="paragraph">
                        <wp:posOffset>6350</wp:posOffset>
                      </wp:positionV>
                      <wp:extent cx="640715" cy="690880"/>
                      <wp:effectExtent l="3175" t="3175" r="3810" b="10795"/>
                      <wp:wrapNone/>
                      <wp:docPr id="1" name="直接连接符 1"/>
                      <wp:cNvGraphicFramePr/>
                      <a:graphic xmlns:a="http://schemas.openxmlformats.org/drawingml/2006/main">
                        <a:graphicData uri="http://schemas.microsoft.com/office/word/2010/wordprocessingShape">
                          <wps:wsp>
                            <wps:cNvCnPr/>
                            <wps:spPr>
                              <a:xfrm>
                                <a:off x="0" y="0"/>
                                <a:ext cx="640715" cy="690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5pt;margin-top:0.5pt;height:54.4pt;width:50.45pt;z-index:251661312;mso-width-relative:page;mso-height-relative:page;" filled="f" stroked="t" coordsize="21600,21600" o:gfxdata="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Aldtd1QAAAAcBAAAPAAAAAAAA&#10;AAEAIAAAACIAAABkcnMvZG93bnJldi54bWxQSwECFAAUAAAACACHTuJAuGMoZNwBAACeAwAADgAA&#10;AAAAAAABACAAAAAkAQAAZHJzL2Uyb0RvYy54bWxQSwUGAAAAAAYABgBZAQAAcgUAAAAA&#10;">
                      <v:fill on="f" focussize="0,0"/>
                      <v:stroke color="#000000 [3213]" joinstyle="round"/>
                      <v:imagedata o:title=""/>
                      <o:lock v:ext="edit" aspectratio="f"/>
                    </v:line>
                  </w:pict>
                </mc:Fallback>
              </mc:AlternateContent>
            </w:r>
            <w:r>
              <w:rPr>
                <w:rFonts w:hint="default" w:ascii="Times New Roman" w:hAnsi="Times New Roman" w:cs="Times New Roman"/>
                <w:color w:val="auto"/>
                <w:szCs w:val="21"/>
              </w:rPr>
              <w:t>项目</w:t>
            </w:r>
          </w:p>
          <w:p w14:paraId="5581B30E">
            <w:pPr>
              <w:spacing w:line="276" w:lineRule="auto"/>
              <w:jc w:val="center"/>
              <w:rPr>
                <w:rFonts w:hint="default" w:ascii="Times New Roman" w:hAnsi="Times New Roman" w:cs="Times New Roman"/>
                <w:color w:val="auto"/>
                <w:szCs w:val="21"/>
              </w:rPr>
            </w:pPr>
          </w:p>
          <w:p w14:paraId="4C166673">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分类</w:t>
            </w:r>
          </w:p>
        </w:tc>
        <w:tc>
          <w:tcPr>
            <w:tcW w:w="1960" w:type="dxa"/>
            <w:vAlign w:val="center"/>
          </w:tcPr>
          <w:p w14:paraId="05E8184B">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污染物名称</w:t>
            </w:r>
          </w:p>
        </w:tc>
        <w:tc>
          <w:tcPr>
            <w:tcW w:w="1782" w:type="dxa"/>
            <w:vAlign w:val="center"/>
          </w:tcPr>
          <w:p w14:paraId="0EF7B177">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现有工程</w:t>
            </w:r>
          </w:p>
          <w:p w14:paraId="4C865DCF">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排放量（固体废物产生量）①</w:t>
            </w:r>
          </w:p>
        </w:tc>
        <w:tc>
          <w:tcPr>
            <w:tcW w:w="1778" w:type="dxa"/>
            <w:vAlign w:val="center"/>
          </w:tcPr>
          <w:p w14:paraId="5583D61E">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现有工程</w:t>
            </w:r>
          </w:p>
          <w:p w14:paraId="0AB835DE">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许可排放量②</w:t>
            </w:r>
          </w:p>
        </w:tc>
        <w:tc>
          <w:tcPr>
            <w:tcW w:w="1782" w:type="dxa"/>
            <w:vAlign w:val="center"/>
          </w:tcPr>
          <w:p w14:paraId="42CD122F">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在建工程</w:t>
            </w:r>
          </w:p>
          <w:p w14:paraId="686CBE0D">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排放量（固体废物产生量）③</w:t>
            </w:r>
          </w:p>
        </w:tc>
        <w:tc>
          <w:tcPr>
            <w:tcW w:w="1783" w:type="dxa"/>
            <w:vAlign w:val="center"/>
          </w:tcPr>
          <w:p w14:paraId="618B9614">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w:t>
            </w:r>
          </w:p>
          <w:p w14:paraId="1175EB09">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排放量（固体废物产生量）④</w:t>
            </w:r>
          </w:p>
        </w:tc>
        <w:tc>
          <w:tcPr>
            <w:tcW w:w="1655" w:type="dxa"/>
            <w:vAlign w:val="center"/>
          </w:tcPr>
          <w:p w14:paraId="5D98725D">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以新带老削减量（新建项目不填）⑤</w:t>
            </w:r>
          </w:p>
        </w:tc>
        <w:tc>
          <w:tcPr>
            <w:tcW w:w="1912" w:type="dxa"/>
            <w:vAlign w:val="center"/>
          </w:tcPr>
          <w:p w14:paraId="1C9B6CDB">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本项目建成后</w:t>
            </w:r>
          </w:p>
          <w:p w14:paraId="3C336998">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全厂排放量（固体废物产生量）⑥</w:t>
            </w:r>
          </w:p>
        </w:tc>
        <w:tc>
          <w:tcPr>
            <w:tcW w:w="1011" w:type="dxa"/>
            <w:vAlign w:val="center"/>
          </w:tcPr>
          <w:p w14:paraId="0F5BD4A7">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变化量</w:t>
            </w:r>
          </w:p>
          <w:p w14:paraId="50AB7484">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⑦</w:t>
            </w:r>
          </w:p>
        </w:tc>
      </w:tr>
      <w:tr w14:paraId="1058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restart"/>
            <w:vAlign w:val="center"/>
          </w:tcPr>
          <w:p w14:paraId="7443E196">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废气</w:t>
            </w:r>
          </w:p>
        </w:tc>
        <w:tc>
          <w:tcPr>
            <w:tcW w:w="1960" w:type="dxa"/>
            <w:shd w:val="clear" w:color="auto" w:fill="auto"/>
            <w:vAlign w:val="center"/>
          </w:tcPr>
          <w:p w14:paraId="2CDF4367">
            <w:pPr>
              <w:bidi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颗粒物</w:t>
            </w:r>
          </w:p>
        </w:tc>
        <w:tc>
          <w:tcPr>
            <w:tcW w:w="1782" w:type="dxa"/>
            <w:vAlign w:val="center"/>
          </w:tcPr>
          <w:p w14:paraId="3E232122">
            <w:pPr>
              <w:widowControl/>
              <w:jc w:val="center"/>
              <w:textAlignment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cs="Times New Roman"/>
                <w:color w:val="auto"/>
                <w:szCs w:val="21"/>
              </w:rPr>
              <w:t>0</w:t>
            </w:r>
          </w:p>
        </w:tc>
        <w:tc>
          <w:tcPr>
            <w:tcW w:w="1778" w:type="dxa"/>
            <w:vAlign w:val="center"/>
          </w:tcPr>
          <w:p w14:paraId="1D7BD999">
            <w:pPr>
              <w:widowControl/>
              <w:jc w:val="center"/>
              <w:textAlignment w:val="center"/>
              <w:rPr>
                <w:rFonts w:hint="default" w:ascii="Times New Roman" w:hAnsi="Times New Roman" w:cs="Times New Roman"/>
                <w:color w:val="auto"/>
                <w:kern w:val="0"/>
                <w:sz w:val="22"/>
                <w:lang w:bidi="ar"/>
              </w:rPr>
            </w:pPr>
            <w:r>
              <w:rPr>
                <w:rFonts w:hint="default" w:ascii="Times New Roman" w:hAnsi="Times New Roman" w:cs="Times New Roman"/>
                <w:color w:val="auto"/>
                <w:szCs w:val="21"/>
              </w:rPr>
              <w:t>0</w:t>
            </w:r>
          </w:p>
        </w:tc>
        <w:tc>
          <w:tcPr>
            <w:tcW w:w="1782" w:type="dxa"/>
            <w:vAlign w:val="center"/>
          </w:tcPr>
          <w:p w14:paraId="05BA17C5">
            <w:pPr>
              <w:widowControl/>
              <w:jc w:val="center"/>
              <w:textAlignment w:val="center"/>
              <w:rPr>
                <w:rFonts w:hint="default" w:ascii="Times New Roman" w:hAnsi="Times New Roman" w:cs="Times New Roman"/>
                <w:color w:val="auto"/>
                <w:kern w:val="0"/>
                <w:sz w:val="22"/>
                <w:lang w:bidi="ar"/>
              </w:rPr>
            </w:pPr>
            <w:r>
              <w:rPr>
                <w:rFonts w:hint="default" w:ascii="Times New Roman" w:hAnsi="Times New Roman" w:cs="Times New Roman"/>
                <w:color w:val="auto"/>
                <w:szCs w:val="21"/>
              </w:rPr>
              <w:t>0</w:t>
            </w:r>
          </w:p>
        </w:tc>
        <w:tc>
          <w:tcPr>
            <w:tcW w:w="1783" w:type="dxa"/>
            <w:shd w:val="clear" w:color="auto" w:fill="auto"/>
            <w:vAlign w:val="center"/>
          </w:tcPr>
          <w:p w14:paraId="1DC587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0.6798</w:t>
            </w:r>
          </w:p>
        </w:tc>
        <w:tc>
          <w:tcPr>
            <w:tcW w:w="1655" w:type="dxa"/>
            <w:vAlign w:val="center"/>
          </w:tcPr>
          <w:p w14:paraId="5C1BBF2F">
            <w:pPr>
              <w:widowControl/>
              <w:jc w:val="center"/>
              <w:textAlignment w:val="center"/>
              <w:rPr>
                <w:rFonts w:hint="default" w:ascii="Times New Roman" w:hAnsi="Times New Roman" w:cs="Times New Roman"/>
                <w:color w:val="auto"/>
                <w:kern w:val="0"/>
                <w:sz w:val="22"/>
                <w:lang w:bidi="ar"/>
              </w:rPr>
            </w:pPr>
            <w:r>
              <w:rPr>
                <w:rFonts w:hint="default" w:ascii="Times New Roman" w:hAnsi="Times New Roman" w:cs="Times New Roman"/>
                <w:color w:val="auto"/>
                <w:szCs w:val="21"/>
              </w:rPr>
              <w:t>0</w:t>
            </w:r>
          </w:p>
        </w:tc>
        <w:tc>
          <w:tcPr>
            <w:tcW w:w="1912" w:type="dxa"/>
            <w:shd w:val="clear" w:color="auto" w:fill="auto"/>
            <w:vAlign w:val="center"/>
          </w:tcPr>
          <w:p w14:paraId="1E03C6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0.6798</w:t>
            </w:r>
          </w:p>
        </w:tc>
        <w:tc>
          <w:tcPr>
            <w:tcW w:w="1011" w:type="dxa"/>
            <w:vAlign w:val="center"/>
          </w:tcPr>
          <w:p w14:paraId="1491478F">
            <w:pPr>
              <w:widowControl/>
              <w:jc w:val="center"/>
              <w:textAlignment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cs="Times New Roman"/>
                <w:color w:val="auto"/>
                <w:szCs w:val="21"/>
              </w:rPr>
              <w:t>0</w:t>
            </w:r>
          </w:p>
        </w:tc>
      </w:tr>
      <w:tr w14:paraId="37237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14:paraId="3BC8D1AF">
            <w:pPr>
              <w:spacing w:line="276" w:lineRule="auto"/>
              <w:jc w:val="center"/>
              <w:rPr>
                <w:rFonts w:hint="default" w:ascii="Times New Roman" w:hAnsi="Times New Roman" w:cs="Times New Roman"/>
                <w:color w:val="auto"/>
                <w:szCs w:val="21"/>
              </w:rPr>
            </w:pPr>
          </w:p>
        </w:tc>
        <w:tc>
          <w:tcPr>
            <w:tcW w:w="1960" w:type="dxa"/>
            <w:shd w:val="clear" w:color="auto" w:fill="auto"/>
            <w:vAlign w:val="center"/>
          </w:tcPr>
          <w:p w14:paraId="45FD77C4">
            <w:pPr>
              <w:bidi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SO</w:t>
            </w:r>
            <w:r>
              <w:rPr>
                <w:rFonts w:hint="default" w:ascii="Times New Roman" w:hAnsi="Times New Roman" w:cs="Times New Roman"/>
                <w:color w:val="auto"/>
                <w:vertAlign w:val="subscript"/>
              </w:rPr>
              <w:t>2</w:t>
            </w:r>
          </w:p>
        </w:tc>
        <w:tc>
          <w:tcPr>
            <w:tcW w:w="1782" w:type="dxa"/>
            <w:vAlign w:val="center"/>
          </w:tcPr>
          <w:p w14:paraId="0C5AC80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78" w:type="dxa"/>
            <w:vAlign w:val="center"/>
          </w:tcPr>
          <w:p w14:paraId="78C6967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82" w:type="dxa"/>
            <w:vAlign w:val="center"/>
          </w:tcPr>
          <w:p w14:paraId="2B1BCB88">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83" w:type="dxa"/>
            <w:shd w:val="clear" w:color="auto" w:fill="auto"/>
            <w:vAlign w:val="center"/>
          </w:tcPr>
          <w:p w14:paraId="14B7A8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0.1520</w:t>
            </w:r>
          </w:p>
        </w:tc>
        <w:tc>
          <w:tcPr>
            <w:tcW w:w="1655" w:type="dxa"/>
            <w:vAlign w:val="center"/>
          </w:tcPr>
          <w:p w14:paraId="76100A51">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1912" w:type="dxa"/>
            <w:shd w:val="clear" w:color="auto" w:fill="auto"/>
            <w:vAlign w:val="center"/>
          </w:tcPr>
          <w:p w14:paraId="09DC7B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0.1520</w:t>
            </w:r>
          </w:p>
        </w:tc>
        <w:tc>
          <w:tcPr>
            <w:tcW w:w="1011" w:type="dxa"/>
            <w:vAlign w:val="center"/>
          </w:tcPr>
          <w:p w14:paraId="27E4663E">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r>
      <w:tr w14:paraId="6E942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14:paraId="4881B761">
            <w:pPr>
              <w:spacing w:line="276" w:lineRule="auto"/>
              <w:jc w:val="center"/>
              <w:rPr>
                <w:rFonts w:hint="default" w:ascii="Times New Roman" w:hAnsi="Times New Roman" w:cs="Times New Roman"/>
                <w:color w:val="auto"/>
                <w:szCs w:val="21"/>
              </w:rPr>
            </w:pPr>
          </w:p>
        </w:tc>
        <w:tc>
          <w:tcPr>
            <w:tcW w:w="1960" w:type="dxa"/>
            <w:shd w:val="clear" w:color="auto" w:fill="auto"/>
            <w:vAlign w:val="center"/>
          </w:tcPr>
          <w:p w14:paraId="01A7B072">
            <w:pPr>
              <w:bidi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NOx</w:t>
            </w:r>
          </w:p>
        </w:tc>
        <w:tc>
          <w:tcPr>
            <w:tcW w:w="1782" w:type="dxa"/>
            <w:vAlign w:val="center"/>
          </w:tcPr>
          <w:p w14:paraId="716EFDCA">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1778" w:type="dxa"/>
            <w:vAlign w:val="center"/>
          </w:tcPr>
          <w:p w14:paraId="73A0C139">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1782" w:type="dxa"/>
            <w:vAlign w:val="center"/>
          </w:tcPr>
          <w:p w14:paraId="1270B1D6">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1783" w:type="dxa"/>
            <w:shd w:val="clear" w:color="auto" w:fill="auto"/>
            <w:vAlign w:val="center"/>
          </w:tcPr>
          <w:p w14:paraId="0BBA1B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0.3680</w:t>
            </w:r>
          </w:p>
        </w:tc>
        <w:tc>
          <w:tcPr>
            <w:tcW w:w="1655" w:type="dxa"/>
            <w:vAlign w:val="center"/>
          </w:tcPr>
          <w:p w14:paraId="6FACDC35">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1912" w:type="dxa"/>
            <w:shd w:val="clear" w:color="auto" w:fill="auto"/>
            <w:vAlign w:val="center"/>
          </w:tcPr>
          <w:p w14:paraId="642280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0.3680</w:t>
            </w:r>
          </w:p>
        </w:tc>
        <w:tc>
          <w:tcPr>
            <w:tcW w:w="1011" w:type="dxa"/>
            <w:vAlign w:val="center"/>
          </w:tcPr>
          <w:p w14:paraId="024D1121">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r>
      <w:tr w14:paraId="05C9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14:paraId="7CD9F6C1">
            <w:pPr>
              <w:spacing w:line="276" w:lineRule="auto"/>
              <w:jc w:val="center"/>
              <w:rPr>
                <w:rFonts w:hint="default" w:ascii="Times New Roman" w:hAnsi="Times New Roman" w:cs="Times New Roman"/>
                <w:color w:val="auto"/>
                <w:szCs w:val="21"/>
              </w:rPr>
            </w:pPr>
          </w:p>
        </w:tc>
        <w:tc>
          <w:tcPr>
            <w:tcW w:w="1960" w:type="dxa"/>
            <w:shd w:val="clear" w:color="auto" w:fill="auto"/>
            <w:vAlign w:val="center"/>
          </w:tcPr>
          <w:p w14:paraId="60C80B1C">
            <w:pPr>
              <w:bidi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沥青烟</w:t>
            </w:r>
          </w:p>
        </w:tc>
        <w:tc>
          <w:tcPr>
            <w:tcW w:w="1782" w:type="dxa"/>
            <w:vAlign w:val="center"/>
          </w:tcPr>
          <w:p w14:paraId="776C46ED">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1778" w:type="dxa"/>
            <w:vAlign w:val="center"/>
          </w:tcPr>
          <w:p w14:paraId="510C874F">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1782" w:type="dxa"/>
            <w:vAlign w:val="center"/>
          </w:tcPr>
          <w:p w14:paraId="6639368D">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1783" w:type="dxa"/>
            <w:shd w:val="clear" w:color="auto" w:fill="auto"/>
            <w:vAlign w:val="center"/>
          </w:tcPr>
          <w:p w14:paraId="240628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0.0153</w:t>
            </w:r>
          </w:p>
        </w:tc>
        <w:tc>
          <w:tcPr>
            <w:tcW w:w="1655" w:type="dxa"/>
            <w:vAlign w:val="center"/>
          </w:tcPr>
          <w:p w14:paraId="0F9BF3A1">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1912" w:type="dxa"/>
            <w:shd w:val="clear" w:color="auto" w:fill="auto"/>
            <w:vAlign w:val="center"/>
          </w:tcPr>
          <w:p w14:paraId="39266B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0.0153</w:t>
            </w:r>
          </w:p>
        </w:tc>
        <w:tc>
          <w:tcPr>
            <w:tcW w:w="1011" w:type="dxa"/>
            <w:vAlign w:val="center"/>
          </w:tcPr>
          <w:p w14:paraId="37BF42FC">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r>
      <w:tr w14:paraId="5759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14:paraId="4CACADE6">
            <w:pPr>
              <w:spacing w:line="276" w:lineRule="auto"/>
              <w:jc w:val="center"/>
              <w:rPr>
                <w:rFonts w:hint="default" w:ascii="Times New Roman" w:hAnsi="Times New Roman" w:cs="Times New Roman"/>
                <w:color w:val="auto"/>
                <w:szCs w:val="21"/>
              </w:rPr>
            </w:pPr>
          </w:p>
        </w:tc>
        <w:tc>
          <w:tcPr>
            <w:tcW w:w="1960" w:type="dxa"/>
            <w:shd w:val="clear" w:color="auto" w:fill="auto"/>
            <w:vAlign w:val="center"/>
          </w:tcPr>
          <w:p w14:paraId="57D455E4">
            <w:pPr>
              <w:bidi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苯并[a]芘</w:t>
            </w:r>
          </w:p>
        </w:tc>
        <w:tc>
          <w:tcPr>
            <w:tcW w:w="1782" w:type="dxa"/>
            <w:vAlign w:val="center"/>
          </w:tcPr>
          <w:p w14:paraId="5A1E9668">
            <w:pPr>
              <w:widowControl/>
              <w:jc w:val="center"/>
              <w:textAlignment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cs="Times New Roman"/>
                <w:color w:val="auto"/>
                <w:szCs w:val="21"/>
              </w:rPr>
              <w:t>0</w:t>
            </w:r>
          </w:p>
        </w:tc>
        <w:tc>
          <w:tcPr>
            <w:tcW w:w="1778" w:type="dxa"/>
            <w:vAlign w:val="center"/>
          </w:tcPr>
          <w:p w14:paraId="2B8DDAE7">
            <w:pPr>
              <w:widowControl/>
              <w:jc w:val="center"/>
              <w:textAlignment w:val="center"/>
              <w:rPr>
                <w:rFonts w:hint="default" w:ascii="Times New Roman" w:hAnsi="Times New Roman" w:cs="Times New Roman"/>
                <w:color w:val="auto"/>
                <w:kern w:val="0"/>
                <w:sz w:val="22"/>
                <w:lang w:bidi="ar"/>
              </w:rPr>
            </w:pPr>
            <w:r>
              <w:rPr>
                <w:rFonts w:hint="default" w:ascii="Times New Roman" w:hAnsi="Times New Roman" w:cs="Times New Roman"/>
                <w:color w:val="auto"/>
                <w:szCs w:val="21"/>
              </w:rPr>
              <w:t>0</w:t>
            </w:r>
          </w:p>
        </w:tc>
        <w:tc>
          <w:tcPr>
            <w:tcW w:w="1782" w:type="dxa"/>
            <w:vAlign w:val="center"/>
          </w:tcPr>
          <w:p w14:paraId="6D8200FA">
            <w:pPr>
              <w:widowControl/>
              <w:jc w:val="center"/>
              <w:textAlignment w:val="center"/>
              <w:rPr>
                <w:rFonts w:hint="default" w:ascii="Times New Roman" w:hAnsi="Times New Roman" w:cs="Times New Roman"/>
                <w:color w:val="auto"/>
                <w:kern w:val="0"/>
                <w:sz w:val="22"/>
                <w:lang w:bidi="ar"/>
              </w:rPr>
            </w:pPr>
            <w:r>
              <w:rPr>
                <w:rFonts w:hint="default" w:ascii="Times New Roman" w:hAnsi="Times New Roman" w:cs="Times New Roman"/>
                <w:color w:val="auto"/>
                <w:szCs w:val="21"/>
              </w:rPr>
              <w:t>0</w:t>
            </w:r>
          </w:p>
        </w:tc>
        <w:tc>
          <w:tcPr>
            <w:tcW w:w="1783" w:type="dxa"/>
            <w:shd w:val="clear" w:color="auto" w:fill="auto"/>
            <w:vAlign w:val="center"/>
          </w:tcPr>
          <w:p w14:paraId="5F288C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3.067</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-7</w:t>
            </w:r>
          </w:p>
        </w:tc>
        <w:tc>
          <w:tcPr>
            <w:tcW w:w="1655" w:type="dxa"/>
            <w:vAlign w:val="center"/>
          </w:tcPr>
          <w:p w14:paraId="5C9370E7">
            <w:pPr>
              <w:widowControl/>
              <w:jc w:val="center"/>
              <w:textAlignment w:val="center"/>
              <w:rPr>
                <w:rFonts w:hint="default" w:ascii="Times New Roman" w:hAnsi="Times New Roman" w:cs="Times New Roman"/>
                <w:color w:val="auto"/>
                <w:kern w:val="0"/>
                <w:sz w:val="22"/>
                <w:lang w:bidi="ar"/>
              </w:rPr>
            </w:pPr>
            <w:r>
              <w:rPr>
                <w:rFonts w:hint="default" w:ascii="Times New Roman" w:hAnsi="Times New Roman" w:cs="Times New Roman"/>
                <w:color w:val="auto"/>
                <w:szCs w:val="21"/>
                <w:lang w:val="en-US" w:eastAsia="zh-CN"/>
              </w:rPr>
              <w:t>0</w:t>
            </w:r>
          </w:p>
        </w:tc>
        <w:tc>
          <w:tcPr>
            <w:tcW w:w="1912" w:type="dxa"/>
            <w:shd w:val="clear" w:color="auto" w:fill="auto"/>
            <w:vAlign w:val="center"/>
          </w:tcPr>
          <w:p w14:paraId="6F11BF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3.067</w:t>
            </w: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-7</w:t>
            </w:r>
          </w:p>
        </w:tc>
        <w:tc>
          <w:tcPr>
            <w:tcW w:w="1011" w:type="dxa"/>
            <w:vAlign w:val="center"/>
          </w:tcPr>
          <w:p w14:paraId="7B26FF6E">
            <w:pPr>
              <w:widowControl/>
              <w:jc w:val="center"/>
              <w:textAlignment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cs="Times New Roman"/>
                <w:color w:val="auto"/>
                <w:szCs w:val="21"/>
                <w:lang w:val="en-US" w:eastAsia="zh-CN"/>
              </w:rPr>
              <w:t>0</w:t>
            </w:r>
          </w:p>
        </w:tc>
      </w:tr>
      <w:tr w14:paraId="5D10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14:paraId="7C0E67C1">
            <w:pPr>
              <w:spacing w:line="276" w:lineRule="auto"/>
              <w:jc w:val="center"/>
              <w:rPr>
                <w:rFonts w:hint="default" w:ascii="Times New Roman" w:hAnsi="Times New Roman" w:cs="Times New Roman"/>
                <w:color w:val="auto"/>
                <w:szCs w:val="21"/>
              </w:rPr>
            </w:pPr>
          </w:p>
        </w:tc>
        <w:tc>
          <w:tcPr>
            <w:tcW w:w="1960" w:type="dxa"/>
            <w:shd w:val="clear" w:color="auto" w:fill="auto"/>
            <w:vAlign w:val="center"/>
          </w:tcPr>
          <w:p w14:paraId="0188B87C">
            <w:pPr>
              <w:bidi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rPr>
              <w:t>VOC</w:t>
            </w:r>
            <w:r>
              <w:rPr>
                <w:rFonts w:hint="default" w:ascii="Times New Roman" w:hAnsi="Times New Roman" w:cs="Times New Roman"/>
                <w:color w:val="auto"/>
                <w:lang w:val="en-US" w:eastAsia="zh-CN"/>
              </w:rPr>
              <w:t>s（以非甲烷总烃计）</w:t>
            </w:r>
          </w:p>
        </w:tc>
        <w:tc>
          <w:tcPr>
            <w:tcW w:w="1782" w:type="dxa"/>
            <w:vAlign w:val="center"/>
          </w:tcPr>
          <w:p w14:paraId="42037125">
            <w:pPr>
              <w:widowControl/>
              <w:jc w:val="center"/>
              <w:textAlignment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cs="Times New Roman"/>
                <w:color w:val="auto"/>
                <w:szCs w:val="21"/>
              </w:rPr>
              <w:t>0</w:t>
            </w:r>
          </w:p>
        </w:tc>
        <w:tc>
          <w:tcPr>
            <w:tcW w:w="1778" w:type="dxa"/>
            <w:vAlign w:val="center"/>
          </w:tcPr>
          <w:p w14:paraId="79E548A1">
            <w:pPr>
              <w:widowControl/>
              <w:jc w:val="center"/>
              <w:textAlignment w:val="center"/>
              <w:rPr>
                <w:rFonts w:hint="default" w:ascii="Times New Roman" w:hAnsi="Times New Roman" w:cs="Times New Roman"/>
                <w:color w:val="auto"/>
                <w:kern w:val="0"/>
                <w:sz w:val="22"/>
                <w:lang w:bidi="ar"/>
              </w:rPr>
            </w:pPr>
            <w:r>
              <w:rPr>
                <w:rFonts w:hint="default" w:ascii="Times New Roman" w:hAnsi="Times New Roman" w:cs="Times New Roman"/>
                <w:color w:val="auto"/>
                <w:szCs w:val="21"/>
              </w:rPr>
              <w:t>0</w:t>
            </w:r>
          </w:p>
        </w:tc>
        <w:tc>
          <w:tcPr>
            <w:tcW w:w="1782" w:type="dxa"/>
            <w:vAlign w:val="center"/>
          </w:tcPr>
          <w:p w14:paraId="0DBCC12B">
            <w:pPr>
              <w:widowControl/>
              <w:jc w:val="center"/>
              <w:textAlignment w:val="center"/>
              <w:rPr>
                <w:rFonts w:hint="default" w:ascii="Times New Roman" w:hAnsi="Times New Roman" w:cs="Times New Roman"/>
                <w:color w:val="auto"/>
                <w:kern w:val="0"/>
                <w:sz w:val="22"/>
                <w:lang w:bidi="ar"/>
              </w:rPr>
            </w:pPr>
            <w:r>
              <w:rPr>
                <w:rFonts w:hint="default" w:ascii="Times New Roman" w:hAnsi="Times New Roman" w:cs="Times New Roman"/>
                <w:color w:val="auto"/>
                <w:szCs w:val="21"/>
              </w:rPr>
              <w:t>0</w:t>
            </w:r>
          </w:p>
        </w:tc>
        <w:tc>
          <w:tcPr>
            <w:tcW w:w="1783" w:type="dxa"/>
            <w:shd w:val="clear" w:color="auto" w:fill="auto"/>
            <w:vAlign w:val="center"/>
          </w:tcPr>
          <w:p w14:paraId="7C084B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0.0108</w:t>
            </w:r>
          </w:p>
        </w:tc>
        <w:tc>
          <w:tcPr>
            <w:tcW w:w="1655" w:type="dxa"/>
            <w:vAlign w:val="center"/>
          </w:tcPr>
          <w:p w14:paraId="542EE74B">
            <w:pPr>
              <w:widowControl/>
              <w:jc w:val="center"/>
              <w:textAlignment w:val="center"/>
              <w:rPr>
                <w:rFonts w:hint="default" w:ascii="Times New Roman" w:hAnsi="Times New Roman" w:cs="Times New Roman"/>
                <w:color w:val="auto"/>
                <w:kern w:val="0"/>
                <w:sz w:val="22"/>
                <w:lang w:bidi="ar"/>
              </w:rPr>
            </w:pPr>
            <w:r>
              <w:rPr>
                <w:rFonts w:hint="default" w:ascii="Times New Roman" w:hAnsi="Times New Roman" w:cs="Times New Roman"/>
                <w:color w:val="auto"/>
                <w:szCs w:val="21"/>
              </w:rPr>
              <w:t>0</w:t>
            </w:r>
          </w:p>
        </w:tc>
        <w:tc>
          <w:tcPr>
            <w:tcW w:w="1912" w:type="dxa"/>
            <w:shd w:val="clear" w:color="auto" w:fill="auto"/>
            <w:vAlign w:val="center"/>
          </w:tcPr>
          <w:p w14:paraId="6CA474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0.0108</w:t>
            </w:r>
          </w:p>
        </w:tc>
        <w:tc>
          <w:tcPr>
            <w:tcW w:w="1011" w:type="dxa"/>
            <w:vAlign w:val="center"/>
          </w:tcPr>
          <w:p w14:paraId="0F867DA6">
            <w:pPr>
              <w:widowControl/>
              <w:jc w:val="center"/>
              <w:textAlignment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cs="Times New Roman"/>
                <w:color w:val="auto"/>
                <w:szCs w:val="21"/>
              </w:rPr>
              <w:t>0</w:t>
            </w:r>
          </w:p>
        </w:tc>
      </w:tr>
      <w:tr w14:paraId="5967E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14:paraId="49FAA691">
            <w:pPr>
              <w:spacing w:line="276" w:lineRule="auto"/>
              <w:jc w:val="center"/>
              <w:rPr>
                <w:rFonts w:hint="default" w:ascii="Times New Roman" w:hAnsi="Times New Roman" w:cs="Times New Roman"/>
                <w:color w:val="auto"/>
                <w:szCs w:val="21"/>
              </w:rPr>
            </w:pPr>
          </w:p>
        </w:tc>
        <w:tc>
          <w:tcPr>
            <w:tcW w:w="1960" w:type="dxa"/>
            <w:shd w:val="clear" w:color="auto" w:fill="auto"/>
            <w:vAlign w:val="center"/>
          </w:tcPr>
          <w:p w14:paraId="48ABED03">
            <w:pPr>
              <w:bidi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lang w:val="en-US" w:eastAsia="zh-CN"/>
              </w:rPr>
              <w:t>油烟</w:t>
            </w:r>
          </w:p>
        </w:tc>
        <w:tc>
          <w:tcPr>
            <w:tcW w:w="1782" w:type="dxa"/>
            <w:vAlign w:val="center"/>
          </w:tcPr>
          <w:p w14:paraId="3A630229">
            <w:pPr>
              <w:widowControl/>
              <w:jc w:val="center"/>
              <w:textAlignment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cs="Times New Roman"/>
                <w:color w:val="auto"/>
                <w:szCs w:val="21"/>
              </w:rPr>
              <w:t>0</w:t>
            </w:r>
          </w:p>
        </w:tc>
        <w:tc>
          <w:tcPr>
            <w:tcW w:w="1778" w:type="dxa"/>
            <w:vAlign w:val="center"/>
          </w:tcPr>
          <w:p w14:paraId="5C9C8008">
            <w:pPr>
              <w:widowControl/>
              <w:jc w:val="center"/>
              <w:textAlignment w:val="center"/>
              <w:rPr>
                <w:rFonts w:hint="default" w:ascii="Times New Roman" w:hAnsi="Times New Roman" w:cs="Times New Roman"/>
                <w:color w:val="auto"/>
                <w:kern w:val="0"/>
                <w:sz w:val="22"/>
                <w:lang w:bidi="ar"/>
              </w:rPr>
            </w:pPr>
            <w:r>
              <w:rPr>
                <w:rFonts w:hint="default" w:ascii="Times New Roman" w:hAnsi="Times New Roman" w:cs="Times New Roman"/>
                <w:color w:val="auto"/>
                <w:szCs w:val="21"/>
              </w:rPr>
              <w:t>0</w:t>
            </w:r>
          </w:p>
        </w:tc>
        <w:tc>
          <w:tcPr>
            <w:tcW w:w="1782" w:type="dxa"/>
            <w:vAlign w:val="center"/>
          </w:tcPr>
          <w:p w14:paraId="1EAB88FA">
            <w:pPr>
              <w:widowControl/>
              <w:jc w:val="center"/>
              <w:textAlignment w:val="center"/>
              <w:rPr>
                <w:rFonts w:hint="default" w:ascii="Times New Roman" w:hAnsi="Times New Roman" w:cs="Times New Roman"/>
                <w:color w:val="auto"/>
                <w:kern w:val="0"/>
                <w:sz w:val="22"/>
                <w:lang w:bidi="ar"/>
              </w:rPr>
            </w:pPr>
            <w:r>
              <w:rPr>
                <w:rFonts w:hint="default" w:ascii="Times New Roman" w:hAnsi="Times New Roman" w:cs="Times New Roman"/>
                <w:color w:val="auto"/>
                <w:szCs w:val="21"/>
              </w:rPr>
              <w:t>0</w:t>
            </w:r>
          </w:p>
        </w:tc>
        <w:tc>
          <w:tcPr>
            <w:tcW w:w="1783" w:type="dxa"/>
            <w:shd w:val="clear" w:color="auto" w:fill="auto"/>
            <w:vAlign w:val="center"/>
          </w:tcPr>
          <w:p w14:paraId="141B54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0.0004</w:t>
            </w:r>
          </w:p>
        </w:tc>
        <w:tc>
          <w:tcPr>
            <w:tcW w:w="1655" w:type="dxa"/>
            <w:vAlign w:val="center"/>
          </w:tcPr>
          <w:p w14:paraId="17BAF1A5">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0</w:t>
            </w:r>
          </w:p>
        </w:tc>
        <w:tc>
          <w:tcPr>
            <w:tcW w:w="1912" w:type="dxa"/>
            <w:shd w:val="clear" w:color="auto" w:fill="auto"/>
            <w:vAlign w:val="center"/>
          </w:tcPr>
          <w:p w14:paraId="57B808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0.0004</w:t>
            </w:r>
          </w:p>
        </w:tc>
        <w:tc>
          <w:tcPr>
            <w:tcW w:w="1011" w:type="dxa"/>
            <w:vAlign w:val="center"/>
          </w:tcPr>
          <w:p w14:paraId="1CFEBF3C">
            <w:pPr>
              <w:widowControl/>
              <w:jc w:val="center"/>
              <w:textAlignment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cs="Times New Roman"/>
                <w:color w:val="auto"/>
                <w:szCs w:val="21"/>
              </w:rPr>
              <w:t>0</w:t>
            </w:r>
          </w:p>
        </w:tc>
      </w:tr>
      <w:tr w14:paraId="4A32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restart"/>
            <w:vAlign w:val="center"/>
          </w:tcPr>
          <w:p w14:paraId="5DCE7E54">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1960" w:type="dxa"/>
            <w:vAlign w:val="center"/>
          </w:tcPr>
          <w:p w14:paraId="1724458C">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1782" w:type="dxa"/>
            <w:vAlign w:val="center"/>
          </w:tcPr>
          <w:p w14:paraId="33833D82">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c>
          <w:tcPr>
            <w:tcW w:w="1778" w:type="dxa"/>
            <w:vAlign w:val="center"/>
          </w:tcPr>
          <w:p w14:paraId="02FAB54C">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82" w:type="dxa"/>
            <w:vAlign w:val="center"/>
          </w:tcPr>
          <w:p w14:paraId="5AA4A4C0">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83" w:type="dxa"/>
            <w:vAlign w:val="center"/>
          </w:tcPr>
          <w:p w14:paraId="784917D7">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655" w:type="dxa"/>
            <w:vAlign w:val="center"/>
          </w:tcPr>
          <w:p w14:paraId="66D01D9B">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912" w:type="dxa"/>
            <w:vAlign w:val="center"/>
          </w:tcPr>
          <w:p w14:paraId="7A1C1DB8">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011" w:type="dxa"/>
            <w:vAlign w:val="center"/>
          </w:tcPr>
          <w:p w14:paraId="6B33AD27">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r>
      <w:tr w14:paraId="007EA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14:paraId="65627CDA">
            <w:pPr>
              <w:spacing w:line="276" w:lineRule="auto"/>
              <w:jc w:val="center"/>
              <w:rPr>
                <w:rFonts w:hint="default" w:ascii="Times New Roman" w:hAnsi="Times New Roman" w:cs="Times New Roman"/>
                <w:color w:val="auto"/>
                <w:szCs w:val="21"/>
              </w:rPr>
            </w:pPr>
          </w:p>
        </w:tc>
        <w:tc>
          <w:tcPr>
            <w:tcW w:w="1960" w:type="dxa"/>
            <w:vAlign w:val="center"/>
          </w:tcPr>
          <w:p w14:paraId="6FF68F2B">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1782" w:type="dxa"/>
            <w:vAlign w:val="center"/>
          </w:tcPr>
          <w:p w14:paraId="684FACD4">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c>
          <w:tcPr>
            <w:tcW w:w="1778" w:type="dxa"/>
            <w:vAlign w:val="center"/>
          </w:tcPr>
          <w:p w14:paraId="6E673693">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82" w:type="dxa"/>
            <w:vAlign w:val="center"/>
          </w:tcPr>
          <w:p w14:paraId="77A7DA23">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83" w:type="dxa"/>
            <w:vAlign w:val="center"/>
          </w:tcPr>
          <w:p w14:paraId="06DEB9CB">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655" w:type="dxa"/>
            <w:vAlign w:val="center"/>
          </w:tcPr>
          <w:p w14:paraId="4200F588">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912" w:type="dxa"/>
            <w:vAlign w:val="center"/>
          </w:tcPr>
          <w:p w14:paraId="0A1FEF1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011" w:type="dxa"/>
            <w:vAlign w:val="center"/>
          </w:tcPr>
          <w:p w14:paraId="49631BA7">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r>
      <w:tr w14:paraId="6B60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14:paraId="7CBE7083">
            <w:pPr>
              <w:spacing w:line="276" w:lineRule="auto"/>
              <w:jc w:val="center"/>
              <w:rPr>
                <w:rFonts w:hint="default" w:ascii="Times New Roman" w:hAnsi="Times New Roman" w:cs="Times New Roman"/>
                <w:color w:val="auto"/>
                <w:szCs w:val="21"/>
              </w:rPr>
            </w:pPr>
          </w:p>
        </w:tc>
        <w:tc>
          <w:tcPr>
            <w:tcW w:w="1960" w:type="dxa"/>
            <w:vAlign w:val="center"/>
          </w:tcPr>
          <w:p w14:paraId="58B34ABF">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TP</w:t>
            </w:r>
          </w:p>
        </w:tc>
        <w:tc>
          <w:tcPr>
            <w:tcW w:w="1782" w:type="dxa"/>
            <w:vAlign w:val="center"/>
          </w:tcPr>
          <w:p w14:paraId="097E0952">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c>
          <w:tcPr>
            <w:tcW w:w="1778" w:type="dxa"/>
            <w:vAlign w:val="center"/>
          </w:tcPr>
          <w:p w14:paraId="131E4894">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82" w:type="dxa"/>
            <w:vAlign w:val="center"/>
          </w:tcPr>
          <w:p w14:paraId="71263F5F">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83" w:type="dxa"/>
            <w:vAlign w:val="center"/>
          </w:tcPr>
          <w:p w14:paraId="0D4C283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655" w:type="dxa"/>
            <w:vAlign w:val="center"/>
          </w:tcPr>
          <w:p w14:paraId="7B5ED849">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912" w:type="dxa"/>
            <w:vAlign w:val="center"/>
          </w:tcPr>
          <w:p w14:paraId="0517E5E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011" w:type="dxa"/>
            <w:vAlign w:val="center"/>
          </w:tcPr>
          <w:p w14:paraId="7A0F256C">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r>
      <w:tr w14:paraId="40378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restart"/>
            <w:vAlign w:val="center"/>
          </w:tcPr>
          <w:p w14:paraId="1EDAEAB2">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一般工业</w:t>
            </w:r>
          </w:p>
          <w:p w14:paraId="78A535D1">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1960" w:type="dxa"/>
            <w:shd w:val="clear" w:color="auto" w:fill="auto"/>
            <w:vAlign w:val="center"/>
          </w:tcPr>
          <w:p w14:paraId="3E2EC5A4">
            <w:pPr>
              <w:autoSpaceDN w:val="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生活垃圾</w:t>
            </w:r>
          </w:p>
        </w:tc>
        <w:tc>
          <w:tcPr>
            <w:tcW w:w="1782" w:type="dxa"/>
            <w:vAlign w:val="center"/>
          </w:tcPr>
          <w:p w14:paraId="717DA0FC">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c>
          <w:tcPr>
            <w:tcW w:w="1778" w:type="dxa"/>
            <w:vAlign w:val="center"/>
          </w:tcPr>
          <w:p w14:paraId="4EB90ACB">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82" w:type="dxa"/>
            <w:vAlign w:val="center"/>
          </w:tcPr>
          <w:p w14:paraId="7D2452A2">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83" w:type="dxa"/>
            <w:shd w:val="clear" w:color="auto" w:fill="auto"/>
            <w:vAlign w:val="center"/>
          </w:tcPr>
          <w:p w14:paraId="22FE6B72">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0.75</w:t>
            </w:r>
          </w:p>
        </w:tc>
        <w:tc>
          <w:tcPr>
            <w:tcW w:w="1655" w:type="dxa"/>
            <w:vAlign w:val="center"/>
          </w:tcPr>
          <w:p w14:paraId="676DC156">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912" w:type="dxa"/>
            <w:shd w:val="clear" w:color="auto" w:fill="auto"/>
            <w:vAlign w:val="center"/>
          </w:tcPr>
          <w:p w14:paraId="14AB51BA">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0.75</w:t>
            </w:r>
          </w:p>
        </w:tc>
        <w:tc>
          <w:tcPr>
            <w:tcW w:w="1011" w:type="dxa"/>
            <w:vAlign w:val="center"/>
          </w:tcPr>
          <w:p w14:paraId="4BFDDA99">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r>
      <w:tr w14:paraId="1D57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14:paraId="5CEEE063">
            <w:pPr>
              <w:spacing w:line="276" w:lineRule="auto"/>
              <w:jc w:val="center"/>
              <w:rPr>
                <w:rFonts w:hint="default" w:ascii="Times New Roman" w:hAnsi="Times New Roman" w:cs="Times New Roman"/>
                <w:color w:val="auto"/>
                <w:szCs w:val="21"/>
              </w:rPr>
            </w:pPr>
          </w:p>
        </w:tc>
        <w:tc>
          <w:tcPr>
            <w:tcW w:w="1960" w:type="dxa"/>
            <w:shd w:val="clear" w:color="auto" w:fill="auto"/>
            <w:vAlign w:val="center"/>
          </w:tcPr>
          <w:p w14:paraId="4FEBB384">
            <w:pPr>
              <w:autoSpaceDN w:val="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除尘器收尘</w:t>
            </w:r>
          </w:p>
        </w:tc>
        <w:tc>
          <w:tcPr>
            <w:tcW w:w="1782" w:type="dxa"/>
            <w:vAlign w:val="center"/>
          </w:tcPr>
          <w:p w14:paraId="0959FBB2">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c>
          <w:tcPr>
            <w:tcW w:w="1778" w:type="dxa"/>
            <w:vAlign w:val="center"/>
          </w:tcPr>
          <w:p w14:paraId="33DE846A">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82" w:type="dxa"/>
            <w:vAlign w:val="center"/>
          </w:tcPr>
          <w:p w14:paraId="23370713">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83" w:type="dxa"/>
            <w:shd w:val="clear" w:color="auto" w:fill="auto"/>
            <w:vAlign w:val="center"/>
          </w:tcPr>
          <w:p w14:paraId="20C10C43">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bidi="ar"/>
              </w:rPr>
              <w:t>28.5</w:t>
            </w:r>
          </w:p>
        </w:tc>
        <w:tc>
          <w:tcPr>
            <w:tcW w:w="1655" w:type="dxa"/>
            <w:vAlign w:val="center"/>
          </w:tcPr>
          <w:p w14:paraId="6240CDF0">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912" w:type="dxa"/>
            <w:shd w:val="clear" w:color="auto" w:fill="auto"/>
            <w:vAlign w:val="center"/>
          </w:tcPr>
          <w:p w14:paraId="73743671">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bidi="ar"/>
              </w:rPr>
              <w:t>28.5</w:t>
            </w:r>
          </w:p>
        </w:tc>
        <w:tc>
          <w:tcPr>
            <w:tcW w:w="1011" w:type="dxa"/>
            <w:vAlign w:val="center"/>
          </w:tcPr>
          <w:p w14:paraId="3D4C83F9">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r>
      <w:tr w14:paraId="1038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14:paraId="48AEF434">
            <w:pPr>
              <w:spacing w:line="276" w:lineRule="auto"/>
              <w:jc w:val="center"/>
              <w:rPr>
                <w:rFonts w:hint="default" w:ascii="Times New Roman" w:hAnsi="Times New Roman" w:cs="Times New Roman"/>
                <w:color w:val="auto"/>
                <w:szCs w:val="21"/>
              </w:rPr>
            </w:pPr>
          </w:p>
        </w:tc>
        <w:tc>
          <w:tcPr>
            <w:tcW w:w="1960" w:type="dxa"/>
            <w:shd w:val="clear" w:color="auto" w:fill="auto"/>
            <w:vAlign w:val="center"/>
          </w:tcPr>
          <w:p w14:paraId="7218430B">
            <w:pPr>
              <w:autoSpaceDN w:val="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振筛分选的不合格碎石</w:t>
            </w:r>
          </w:p>
        </w:tc>
        <w:tc>
          <w:tcPr>
            <w:tcW w:w="1782" w:type="dxa"/>
            <w:vAlign w:val="center"/>
          </w:tcPr>
          <w:p w14:paraId="5C1E169D">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c>
          <w:tcPr>
            <w:tcW w:w="1778" w:type="dxa"/>
            <w:vAlign w:val="center"/>
          </w:tcPr>
          <w:p w14:paraId="0A09DBD2">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82" w:type="dxa"/>
            <w:vAlign w:val="center"/>
          </w:tcPr>
          <w:p w14:paraId="1BF48BB6">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83" w:type="dxa"/>
            <w:shd w:val="clear" w:color="auto" w:fill="auto"/>
            <w:vAlign w:val="center"/>
          </w:tcPr>
          <w:p w14:paraId="3CB928F7">
            <w:pPr>
              <w:tabs>
                <w:tab w:val="left" w:pos="1134"/>
              </w:tabs>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46</w:t>
            </w:r>
          </w:p>
        </w:tc>
        <w:tc>
          <w:tcPr>
            <w:tcW w:w="1655" w:type="dxa"/>
            <w:vAlign w:val="center"/>
          </w:tcPr>
          <w:p w14:paraId="1978E885">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912" w:type="dxa"/>
            <w:shd w:val="clear" w:color="auto" w:fill="auto"/>
            <w:vAlign w:val="center"/>
          </w:tcPr>
          <w:p w14:paraId="60D169FC">
            <w:pPr>
              <w:tabs>
                <w:tab w:val="left" w:pos="1134"/>
              </w:tabs>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46</w:t>
            </w:r>
          </w:p>
        </w:tc>
        <w:tc>
          <w:tcPr>
            <w:tcW w:w="1011" w:type="dxa"/>
            <w:vAlign w:val="center"/>
          </w:tcPr>
          <w:p w14:paraId="74976CD8">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r>
      <w:tr w14:paraId="07A3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14:paraId="29402B09">
            <w:pPr>
              <w:spacing w:line="276" w:lineRule="auto"/>
              <w:jc w:val="center"/>
              <w:rPr>
                <w:rFonts w:hint="default" w:ascii="Times New Roman" w:hAnsi="Times New Roman" w:cs="Times New Roman"/>
                <w:color w:val="auto"/>
                <w:szCs w:val="21"/>
              </w:rPr>
            </w:pPr>
          </w:p>
        </w:tc>
        <w:tc>
          <w:tcPr>
            <w:tcW w:w="1960" w:type="dxa"/>
            <w:shd w:val="clear" w:color="auto" w:fill="auto"/>
            <w:vAlign w:val="center"/>
          </w:tcPr>
          <w:p w14:paraId="2E8F452F">
            <w:pPr>
              <w:autoSpaceDN w:val="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拌和残渣</w:t>
            </w:r>
          </w:p>
        </w:tc>
        <w:tc>
          <w:tcPr>
            <w:tcW w:w="1782" w:type="dxa"/>
            <w:vAlign w:val="center"/>
          </w:tcPr>
          <w:p w14:paraId="6F802532">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1778" w:type="dxa"/>
            <w:vAlign w:val="center"/>
          </w:tcPr>
          <w:p w14:paraId="2AD18CCC">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1782" w:type="dxa"/>
            <w:vAlign w:val="center"/>
          </w:tcPr>
          <w:p w14:paraId="4FDD30FA">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1783" w:type="dxa"/>
            <w:shd w:val="clear" w:color="auto" w:fill="auto"/>
            <w:vAlign w:val="center"/>
          </w:tcPr>
          <w:p w14:paraId="7F56D31D">
            <w:pPr>
              <w:tabs>
                <w:tab w:val="left" w:pos="1134"/>
              </w:tabs>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0.2</w:t>
            </w:r>
          </w:p>
        </w:tc>
        <w:tc>
          <w:tcPr>
            <w:tcW w:w="1655" w:type="dxa"/>
            <w:vAlign w:val="center"/>
          </w:tcPr>
          <w:p w14:paraId="07151CFF">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1912" w:type="dxa"/>
            <w:shd w:val="clear" w:color="auto" w:fill="auto"/>
            <w:vAlign w:val="center"/>
          </w:tcPr>
          <w:p w14:paraId="16906E00">
            <w:pPr>
              <w:tabs>
                <w:tab w:val="left" w:pos="1134"/>
              </w:tabs>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0.2</w:t>
            </w:r>
          </w:p>
        </w:tc>
        <w:tc>
          <w:tcPr>
            <w:tcW w:w="1011" w:type="dxa"/>
            <w:vAlign w:val="center"/>
          </w:tcPr>
          <w:p w14:paraId="2878E90A">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r>
      <w:tr w14:paraId="277CF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14:paraId="77655D1C">
            <w:pPr>
              <w:spacing w:line="276" w:lineRule="auto"/>
              <w:jc w:val="center"/>
              <w:rPr>
                <w:rFonts w:hint="default" w:ascii="Times New Roman" w:hAnsi="Times New Roman" w:cs="Times New Roman"/>
                <w:color w:val="auto"/>
                <w:szCs w:val="21"/>
              </w:rPr>
            </w:pPr>
          </w:p>
        </w:tc>
        <w:tc>
          <w:tcPr>
            <w:tcW w:w="1960" w:type="dxa"/>
            <w:shd w:val="clear" w:color="auto" w:fill="auto"/>
            <w:vAlign w:val="center"/>
          </w:tcPr>
          <w:p w14:paraId="64BACE23">
            <w:pPr>
              <w:autoSpaceDN w:val="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不合格产品</w:t>
            </w:r>
          </w:p>
        </w:tc>
        <w:tc>
          <w:tcPr>
            <w:tcW w:w="1782" w:type="dxa"/>
            <w:vAlign w:val="center"/>
          </w:tcPr>
          <w:p w14:paraId="7AC8DEB9">
            <w:pPr>
              <w:spacing w:line="276"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w:t>
            </w:r>
          </w:p>
        </w:tc>
        <w:tc>
          <w:tcPr>
            <w:tcW w:w="1778" w:type="dxa"/>
            <w:vAlign w:val="center"/>
          </w:tcPr>
          <w:p w14:paraId="727BB2F8">
            <w:pPr>
              <w:spacing w:line="276"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w:t>
            </w:r>
          </w:p>
        </w:tc>
        <w:tc>
          <w:tcPr>
            <w:tcW w:w="1782" w:type="dxa"/>
            <w:vAlign w:val="center"/>
          </w:tcPr>
          <w:p w14:paraId="41DB34FA">
            <w:pPr>
              <w:spacing w:line="276"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w:t>
            </w:r>
          </w:p>
        </w:tc>
        <w:tc>
          <w:tcPr>
            <w:tcW w:w="1783" w:type="dxa"/>
            <w:shd w:val="clear" w:color="auto" w:fill="auto"/>
            <w:vAlign w:val="center"/>
          </w:tcPr>
          <w:p w14:paraId="2237111A">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 w:val="21"/>
                <w:szCs w:val="21"/>
                <w:vertAlign w:val="baseline"/>
                <w:lang w:val="en-US" w:eastAsia="zh-CN"/>
              </w:rPr>
              <w:t>5</w:t>
            </w:r>
          </w:p>
        </w:tc>
        <w:tc>
          <w:tcPr>
            <w:tcW w:w="1655" w:type="dxa"/>
            <w:vAlign w:val="center"/>
          </w:tcPr>
          <w:p w14:paraId="44EDF0FD">
            <w:pPr>
              <w:spacing w:line="276"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w:t>
            </w:r>
          </w:p>
        </w:tc>
        <w:tc>
          <w:tcPr>
            <w:tcW w:w="1912" w:type="dxa"/>
            <w:shd w:val="clear" w:color="auto" w:fill="auto"/>
            <w:vAlign w:val="center"/>
          </w:tcPr>
          <w:p w14:paraId="2456B5A0">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 w:val="21"/>
                <w:szCs w:val="21"/>
                <w:vertAlign w:val="baseline"/>
                <w:lang w:val="en-US" w:eastAsia="zh-CN"/>
              </w:rPr>
              <w:t>5</w:t>
            </w:r>
          </w:p>
        </w:tc>
        <w:tc>
          <w:tcPr>
            <w:tcW w:w="1011" w:type="dxa"/>
            <w:vAlign w:val="center"/>
          </w:tcPr>
          <w:p w14:paraId="3D0D15DB">
            <w:pPr>
              <w:spacing w:line="276"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w:t>
            </w:r>
          </w:p>
        </w:tc>
      </w:tr>
      <w:tr w14:paraId="6589D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14:paraId="7C46DDC8">
            <w:pPr>
              <w:spacing w:line="276" w:lineRule="auto"/>
              <w:jc w:val="center"/>
              <w:rPr>
                <w:rFonts w:hint="default" w:ascii="Times New Roman" w:hAnsi="Times New Roman" w:cs="Times New Roman"/>
                <w:color w:val="auto"/>
                <w:szCs w:val="21"/>
              </w:rPr>
            </w:pPr>
          </w:p>
        </w:tc>
        <w:tc>
          <w:tcPr>
            <w:tcW w:w="1960" w:type="dxa"/>
            <w:shd w:val="clear" w:color="auto" w:fill="auto"/>
            <w:vAlign w:val="center"/>
          </w:tcPr>
          <w:p w14:paraId="28DA2546">
            <w:pPr>
              <w:autoSpaceDN w:val="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沉淀池</w:t>
            </w:r>
            <w:r>
              <w:rPr>
                <w:rFonts w:hint="default" w:ascii="Times New Roman" w:hAnsi="Times New Roman" w:cs="Times New Roman"/>
                <w:color w:val="auto"/>
                <w:szCs w:val="21"/>
                <w:lang w:val="en-US" w:eastAsia="zh-CN"/>
              </w:rPr>
              <w:t>沉渣</w:t>
            </w:r>
          </w:p>
        </w:tc>
        <w:tc>
          <w:tcPr>
            <w:tcW w:w="1782" w:type="dxa"/>
            <w:vAlign w:val="center"/>
          </w:tcPr>
          <w:p w14:paraId="0C135720">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c>
          <w:tcPr>
            <w:tcW w:w="1778" w:type="dxa"/>
            <w:vAlign w:val="center"/>
          </w:tcPr>
          <w:p w14:paraId="0B05EC16">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82" w:type="dxa"/>
            <w:vAlign w:val="center"/>
          </w:tcPr>
          <w:p w14:paraId="10F9C297">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83" w:type="dxa"/>
            <w:shd w:val="clear" w:color="auto" w:fill="auto"/>
            <w:vAlign w:val="center"/>
          </w:tcPr>
          <w:p w14:paraId="68AB0926">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10</w:t>
            </w:r>
          </w:p>
        </w:tc>
        <w:tc>
          <w:tcPr>
            <w:tcW w:w="1655" w:type="dxa"/>
            <w:vAlign w:val="center"/>
          </w:tcPr>
          <w:p w14:paraId="0A410302">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912" w:type="dxa"/>
            <w:shd w:val="clear" w:color="auto" w:fill="auto"/>
            <w:vAlign w:val="center"/>
          </w:tcPr>
          <w:p w14:paraId="786FBBF0">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10</w:t>
            </w:r>
          </w:p>
        </w:tc>
        <w:tc>
          <w:tcPr>
            <w:tcW w:w="1011" w:type="dxa"/>
            <w:vAlign w:val="center"/>
          </w:tcPr>
          <w:p w14:paraId="43913133">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r>
      <w:tr w14:paraId="2D88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restart"/>
            <w:vAlign w:val="center"/>
          </w:tcPr>
          <w:p w14:paraId="6019CC8A">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危险废物</w:t>
            </w:r>
          </w:p>
        </w:tc>
        <w:tc>
          <w:tcPr>
            <w:tcW w:w="1960" w:type="dxa"/>
            <w:shd w:val="clear" w:color="auto" w:fill="auto"/>
            <w:vAlign w:val="center"/>
          </w:tcPr>
          <w:p w14:paraId="5F0DBC1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废机油</w:t>
            </w:r>
          </w:p>
        </w:tc>
        <w:tc>
          <w:tcPr>
            <w:tcW w:w="1782" w:type="dxa"/>
            <w:vAlign w:val="center"/>
          </w:tcPr>
          <w:p w14:paraId="29B00E61">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c>
          <w:tcPr>
            <w:tcW w:w="1778" w:type="dxa"/>
            <w:vAlign w:val="center"/>
          </w:tcPr>
          <w:p w14:paraId="0B57B2F6">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82" w:type="dxa"/>
            <w:vAlign w:val="center"/>
          </w:tcPr>
          <w:p w14:paraId="38363ED0">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83" w:type="dxa"/>
            <w:shd w:val="clear" w:color="auto" w:fill="auto"/>
            <w:vAlign w:val="center"/>
          </w:tcPr>
          <w:p w14:paraId="09DFA0B4">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w:t>
            </w:r>
            <w:r>
              <w:rPr>
                <w:rFonts w:hint="default" w:ascii="Times New Roman" w:hAnsi="Times New Roman" w:cs="Times New Roman"/>
                <w:color w:val="auto"/>
                <w:szCs w:val="21"/>
                <w:lang w:val="en-US" w:eastAsia="zh-CN"/>
              </w:rPr>
              <w:t>2</w:t>
            </w:r>
          </w:p>
        </w:tc>
        <w:tc>
          <w:tcPr>
            <w:tcW w:w="1655" w:type="dxa"/>
            <w:vAlign w:val="center"/>
          </w:tcPr>
          <w:p w14:paraId="79E15239">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912" w:type="dxa"/>
            <w:shd w:val="clear" w:color="auto" w:fill="auto"/>
            <w:vAlign w:val="center"/>
          </w:tcPr>
          <w:p w14:paraId="6DA10102">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w:t>
            </w:r>
            <w:r>
              <w:rPr>
                <w:rFonts w:hint="default" w:ascii="Times New Roman" w:hAnsi="Times New Roman" w:cs="Times New Roman"/>
                <w:color w:val="auto"/>
                <w:szCs w:val="21"/>
                <w:lang w:val="en-US" w:eastAsia="zh-CN"/>
              </w:rPr>
              <w:t>2</w:t>
            </w:r>
          </w:p>
        </w:tc>
        <w:tc>
          <w:tcPr>
            <w:tcW w:w="1011" w:type="dxa"/>
            <w:vAlign w:val="center"/>
          </w:tcPr>
          <w:p w14:paraId="44046C90">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r>
      <w:tr w14:paraId="78D1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14:paraId="106CCAF3">
            <w:pPr>
              <w:spacing w:line="276" w:lineRule="auto"/>
              <w:jc w:val="center"/>
              <w:rPr>
                <w:rFonts w:hint="default" w:ascii="Times New Roman" w:hAnsi="Times New Roman" w:cs="Times New Roman"/>
                <w:color w:val="auto"/>
                <w:szCs w:val="21"/>
              </w:rPr>
            </w:pPr>
          </w:p>
        </w:tc>
        <w:tc>
          <w:tcPr>
            <w:tcW w:w="1960" w:type="dxa"/>
            <w:shd w:val="clear" w:color="auto" w:fill="auto"/>
            <w:vAlign w:val="center"/>
          </w:tcPr>
          <w:p w14:paraId="545B061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废机油</w:t>
            </w:r>
            <w:r>
              <w:rPr>
                <w:rFonts w:hint="default" w:ascii="Times New Roman" w:hAnsi="Times New Roman" w:cs="Times New Roman"/>
                <w:color w:val="auto"/>
                <w:szCs w:val="21"/>
                <w:lang w:val="en-US" w:eastAsia="zh-CN"/>
              </w:rPr>
              <w:t>桶</w:t>
            </w:r>
          </w:p>
        </w:tc>
        <w:tc>
          <w:tcPr>
            <w:tcW w:w="1782" w:type="dxa"/>
            <w:vAlign w:val="center"/>
          </w:tcPr>
          <w:p w14:paraId="02089D64">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c>
          <w:tcPr>
            <w:tcW w:w="1778" w:type="dxa"/>
            <w:vAlign w:val="center"/>
          </w:tcPr>
          <w:p w14:paraId="60C09202">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82" w:type="dxa"/>
            <w:vAlign w:val="center"/>
          </w:tcPr>
          <w:p w14:paraId="6635A5D6">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83" w:type="dxa"/>
            <w:shd w:val="clear" w:color="auto" w:fill="auto"/>
            <w:vAlign w:val="center"/>
          </w:tcPr>
          <w:p w14:paraId="28ADBBA1">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0.05</w:t>
            </w:r>
          </w:p>
        </w:tc>
        <w:tc>
          <w:tcPr>
            <w:tcW w:w="1655" w:type="dxa"/>
            <w:vAlign w:val="center"/>
          </w:tcPr>
          <w:p w14:paraId="70944DAC">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912" w:type="dxa"/>
            <w:shd w:val="clear" w:color="auto" w:fill="auto"/>
            <w:vAlign w:val="center"/>
          </w:tcPr>
          <w:p w14:paraId="74BD895D">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0.05</w:t>
            </w:r>
          </w:p>
        </w:tc>
        <w:tc>
          <w:tcPr>
            <w:tcW w:w="1011" w:type="dxa"/>
            <w:vAlign w:val="center"/>
          </w:tcPr>
          <w:p w14:paraId="2CF0FF73">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r>
      <w:tr w14:paraId="2BC6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14:paraId="5C2F0FC3">
            <w:pPr>
              <w:spacing w:line="276" w:lineRule="auto"/>
              <w:jc w:val="center"/>
              <w:rPr>
                <w:rFonts w:hint="default" w:ascii="Times New Roman" w:hAnsi="Times New Roman" w:cs="Times New Roman"/>
                <w:color w:val="auto"/>
                <w:szCs w:val="21"/>
              </w:rPr>
            </w:pPr>
          </w:p>
        </w:tc>
        <w:tc>
          <w:tcPr>
            <w:tcW w:w="1960" w:type="dxa"/>
            <w:shd w:val="clear" w:color="auto" w:fill="auto"/>
            <w:vAlign w:val="center"/>
          </w:tcPr>
          <w:p w14:paraId="3069A23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i w:val="0"/>
                <w:iCs w:val="0"/>
                <w:color w:val="auto"/>
                <w:sz w:val="21"/>
                <w:szCs w:val="21"/>
                <w:lang w:val="en-US" w:eastAsia="zh-CN"/>
              </w:rPr>
              <w:t>老化导热油</w:t>
            </w:r>
          </w:p>
        </w:tc>
        <w:tc>
          <w:tcPr>
            <w:tcW w:w="1782" w:type="dxa"/>
            <w:vAlign w:val="center"/>
          </w:tcPr>
          <w:p w14:paraId="5DE711C4">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c>
          <w:tcPr>
            <w:tcW w:w="1778" w:type="dxa"/>
            <w:vAlign w:val="center"/>
          </w:tcPr>
          <w:p w14:paraId="1367B54B">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82" w:type="dxa"/>
            <w:vAlign w:val="center"/>
          </w:tcPr>
          <w:p w14:paraId="120EE5EB">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83" w:type="dxa"/>
            <w:shd w:val="clear" w:color="auto" w:fill="auto"/>
            <w:vAlign w:val="center"/>
          </w:tcPr>
          <w:p w14:paraId="188DE400">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1.5t/5年</w:t>
            </w:r>
          </w:p>
        </w:tc>
        <w:tc>
          <w:tcPr>
            <w:tcW w:w="1655" w:type="dxa"/>
            <w:vAlign w:val="center"/>
          </w:tcPr>
          <w:p w14:paraId="0F477E99">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912" w:type="dxa"/>
            <w:shd w:val="clear" w:color="auto" w:fill="auto"/>
            <w:vAlign w:val="center"/>
          </w:tcPr>
          <w:p w14:paraId="06BE97EB">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1.5t/5年</w:t>
            </w:r>
          </w:p>
        </w:tc>
        <w:tc>
          <w:tcPr>
            <w:tcW w:w="1011" w:type="dxa"/>
            <w:vAlign w:val="center"/>
          </w:tcPr>
          <w:p w14:paraId="0A5BB5DA">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r>
    </w:tbl>
    <w:p w14:paraId="04143FD0">
      <w:pPr>
        <w:rPr>
          <w:rFonts w:hint="default" w:ascii="Times New Roman" w:hAnsi="Times New Roman" w:cs="Times New Roman"/>
          <w:color w:val="auto"/>
          <w:sz w:val="24"/>
          <w:szCs w:val="24"/>
        </w:rPr>
      </w:pPr>
      <w:r>
        <w:rPr>
          <w:rFonts w:hint="default" w:ascii="Times New Roman" w:hAnsi="Times New Roman" w:cs="Times New Roman"/>
          <w:color w:val="auto"/>
          <w:szCs w:val="21"/>
        </w:rPr>
        <w:t>注：⑥=①+③+④-⑤；⑦=⑥-①</w:t>
      </w:r>
    </w:p>
    <w:sectPr>
      <w:pgSz w:w="16838" w:h="11906" w:orient="landscape"/>
      <w:pgMar w:top="1417" w:right="1134" w:bottom="1134" w:left="1134" w:header="851" w:footer="992" w:gutter="0"/>
      <w:pgBorders>
        <w:top w:val="none" w:sz="0" w:space="0"/>
        <w:left w:val="none" w:sz="0" w:space="0"/>
        <w:bottom w:val="none" w:sz="0" w:space="0"/>
        <w:right w:val="none" w:sz="0" w:space="0"/>
      </w:pgBorders>
      <w:pgNumType w:fmt="decimal"/>
      <w:cols w:space="0" w:num="1"/>
      <w:rtlGutter w:val="0"/>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30032D8-D9A2-4E41-8374-7F3BC960129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新宋体-18030">
    <w:altName w:val="宋体"/>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2" w:fontKey="{F58F14F6-2AF1-488C-87F5-E07495C1DD8F}"/>
  </w:font>
  <w:font w:name="方正小标宋_GBK">
    <w:panose1 w:val="02000000000000000000"/>
    <w:charset w:val="86"/>
    <w:family w:val="script"/>
    <w:pitch w:val="default"/>
    <w:sig w:usb0="A00002BF" w:usb1="38CF7CFA" w:usb2="00082016" w:usb3="00000000" w:csb0="00040001" w:csb1="00000000"/>
    <w:embedRegular r:id="rId3" w:fontKey="{53320715-7941-43E9-9F06-5B50DCABDB3C}"/>
  </w:font>
  <w:font w:name="楷体">
    <w:panose1 w:val="02010609060101010101"/>
    <w:charset w:val="86"/>
    <w:family w:val="modern"/>
    <w:pitch w:val="default"/>
    <w:sig w:usb0="800002BF" w:usb1="38CF7CFA" w:usb2="00000016" w:usb3="00000000" w:csb0="00040001" w:csb1="00000000"/>
    <w:embedRegular r:id="rId4" w:fontKey="{E092E931-7019-493D-B846-35622BAF2310}"/>
  </w:font>
  <w:font w:name="Wingdings 2">
    <w:panose1 w:val="05020102010507070707"/>
    <w:charset w:val="02"/>
    <w:family w:val="roman"/>
    <w:pitch w:val="default"/>
    <w:sig w:usb0="00000000" w:usb1="00000000" w:usb2="00000000" w:usb3="00000000" w:csb0="80000000" w:csb1="00000000"/>
    <w:embedRegular r:id="rId5" w:fontKey="{35995716-747A-419D-9D31-85F634784489}"/>
  </w:font>
  <w:font w:name="Helvetica">
    <w:altName w:val="Arial"/>
    <w:panose1 w:val="020B0604020202020204"/>
    <w:charset w:val="00"/>
    <w:family w:val="roman"/>
    <w:pitch w:val="default"/>
    <w:sig w:usb0="00000000" w:usb1="00000000" w:usb2="00000000" w:usb3="00000000" w:csb0="00000001" w:csb1="00000000"/>
    <w:embedRegular r:id="rId6" w:fontKey="{70F9043F-39B1-428F-B87A-E3967D4E2F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79B47">
    <w:pPr>
      <w:pStyle w:val="2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D31FCA">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06D31FCA">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7B9DD">
    <w:pPr>
      <w:pStyle w:val="2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A690E4">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AA690E4">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75BC6">
    <w:pPr>
      <w:pStyle w:val="2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5D48B3">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5A5D48B3">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27B45">
    <w:pPr>
      <w:pStyle w:val="2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763EA">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52763EA">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F9837">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BD69AE">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75BD69AE">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1055D">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0E64F1"/>
    <w:multiLevelType w:val="singleLevel"/>
    <w:tmpl w:val="8C0E64F1"/>
    <w:lvl w:ilvl="0" w:tentative="0">
      <w:start w:val="1"/>
      <w:numFmt w:val="decimal"/>
      <w:suff w:val="nothing"/>
      <w:lvlText w:val="%1、"/>
      <w:lvlJc w:val="left"/>
    </w:lvl>
  </w:abstractNum>
  <w:abstractNum w:abstractNumId="1">
    <w:nsid w:val="B279DB38"/>
    <w:multiLevelType w:val="singleLevel"/>
    <w:tmpl w:val="B279DB38"/>
    <w:lvl w:ilvl="0" w:tentative="0">
      <w:start w:val="2"/>
      <w:numFmt w:val="decimal"/>
      <w:suff w:val="nothing"/>
      <w:lvlText w:val="（%1）"/>
      <w:lvlJc w:val="left"/>
    </w:lvl>
  </w:abstractNum>
  <w:abstractNum w:abstractNumId="2">
    <w:nsid w:val="D10A3E76"/>
    <w:multiLevelType w:val="singleLevel"/>
    <w:tmpl w:val="D10A3E76"/>
    <w:lvl w:ilvl="0" w:tentative="0">
      <w:start w:val="2"/>
      <w:numFmt w:val="decimal"/>
      <w:suff w:val="nothing"/>
      <w:lvlText w:val="%1、"/>
      <w:lvlJc w:val="left"/>
    </w:lvl>
  </w:abstractNum>
  <w:abstractNum w:abstractNumId="3">
    <w:nsid w:val="00249775"/>
    <w:multiLevelType w:val="singleLevel"/>
    <w:tmpl w:val="00249775"/>
    <w:lvl w:ilvl="0" w:tentative="0">
      <w:start w:val="4"/>
      <w:numFmt w:val="chineseCounting"/>
      <w:suff w:val="nothing"/>
      <w:lvlText w:val="（%1）"/>
      <w:lvlJc w:val="left"/>
      <w:rPr>
        <w:rFonts w:hint="eastAsia"/>
      </w:rPr>
    </w:lvl>
  </w:abstractNum>
  <w:abstractNum w:abstractNumId="4">
    <w:nsid w:val="2CE4E91C"/>
    <w:multiLevelType w:val="singleLevel"/>
    <w:tmpl w:val="2CE4E91C"/>
    <w:lvl w:ilvl="0" w:tentative="0">
      <w:start w:val="6"/>
      <w:numFmt w:val="decimal"/>
      <w:suff w:val="nothing"/>
      <w:lvlText w:val="%1、"/>
      <w:lvlJc w:val="left"/>
    </w:lvl>
  </w:abstractNum>
  <w:abstractNum w:abstractNumId="5">
    <w:nsid w:val="343563B2"/>
    <w:multiLevelType w:val="singleLevel"/>
    <w:tmpl w:val="343563B2"/>
    <w:lvl w:ilvl="0" w:tentative="0">
      <w:start w:val="2"/>
      <w:numFmt w:val="decimal"/>
      <w:suff w:val="nothing"/>
      <w:lvlText w:val="（%1）"/>
      <w:lvlJc w:val="left"/>
    </w:lvl>
  </w:abstractNum>
  <w:abstractNum w:abstractNumId="6">
    <w:nsid w:val="4ECC83EA"/>
    <w:multiLevelType w:val="singleLevel"/>
    <w:tmpl w:val="4ECC83EA"/>
    <w:lvl w:ilvl="0" w:tentative="0">
      <w:start w:val="5"/>
      <w:numFmt w:val="decimal"/>
      <w:suff w:val="nothing"/>
      <w:lvlText w:val="%1、"/>
      <w:lvlJc w:val="left"/>
    </w:lvl>
  </w:abstractNum>
  <w:num w:numId="1">
    <w:abstractNumId w:val="1"/>
  </w:num>
  <w:num w:numId="2">
    <w:abstractNumId w:val="0"/>
  </w:num>
  <w:num w:numId="3">
    <w:abstractNumId w:val="4"/>
  </w:num>
  <w:num w:numId="4">
    <w:abstractNumId w:val="2"/>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hideSpellingErrors/>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5ZmJjMTc4MTQzZDdmZjliOWZjMmZjY2E2ZDU5NDkifQ=="/>
  </w:docVars>
  <w:rsids>
    <w:rsidRoot w:val="00172A27"/>
    <w:rsid w:val="00216591"/>
    <w:rsid w:val="0022181C"/>
    <w:rsid w:val="002D269B"/>
    <w:rsid w:val="004B42CF"/>
    <w:rsid w:val="0072234E"/>
    <w:rsid w:val="007F0A1D"/>
    <w:rsid w:val="00A72912"/>
    <w:rsid w:val="00AE0434"/>
    <w:rsid w:val="00BD2A40"/>
    <w:rsid w:val="00E57F05"/>
    <w:rsid w:val="00EA233A"/>
    <w:rsid w:val="00FE7B94"/>
    <w:rsid w:val="01356256"/>
    <w:rsid w:val="014D01C5"/>
    <w:rsid w:val="015B446F"/>
    <w:rsid w:val="018C33F1"/>
    <w:rsid w:val="019072B1"/>
    <w:rsid w:val="01923392"/>
    <w:rsid w:val="019B53E2"/>
    <w:rsid w:val="01A403EF"/>
    <w:rsid w:val="01D408F4"/>
    <w:rsid w:val="02261C62"/>
    <w:rsid w:val="025D50A8"/>
    <w:rsid w:val="02673100"/>
    <w:rsid w:val="02A93B2F"/>
    <w:rsid w:val="02B2421D"/>
    <w:rsid w:val="02E903CF"/>
    <w:rsid w:val="0308399F"/>
    <w:rsid w:val="031F2398"/>
    <w:rsid w:val="03491FFB"/>
    <w:rsid w:val="03513CF7"/>
    <w:rsid w:val="037C6A68"/>
    <w:rsid w:val="039203FC"/>
    <w:rsid w:val="03A67584"/>
    <w:rsid w:val="03A85D76"/>
    <w:rsid w:val="03BE6BB4"/>
    <w:rsid w:val="03C85BD1"/>
    <w:rsid w:val="03D1333D"/>
    <w:rsid w:val="03D35A8F"/>
    <w:rsid w:val="03F7264F"/>
    <w:rsid w:val="03FD05D6"/>
    <w:rsid w:val="04144835"/>
    <w:rsid w:val="04277401"/>
    <w:rsid w:val="042D1D11"/>
    <w:rsid w:val="04347E22"/>
    <w:rsid w:val="043B10FF"/>
    <w:rsid w:val="045621BB"/>
    <w:rsid w:val="045C1885"/>
    <w:rsid w:val="046754FD"/>
    <w:rsid w:val="046E0F72"/>
    <w:rsid w:val="04762137"/>
    <w:rsid w:val="047A39D5"/>
    <w:rsid w:val="04844854"/>
    <w:rsid w:val="048663D0"/>
    <w:rsid w:val="048C54B6"/>
    <w:rsid w:val="04956A61"/>
    <w:rsid w:val="04B1125C"/>
    <w:rsid w:val="04B35FA8"/>
    <w:rsid w:val="04C679B1"/>
    <w:rsid w:val="04D27F16"/>
    <w:rsid w:val="04E24497"/>
    <w:rsid w:val="05001013"/>
    <w:rsid w:val="05463143"/>
    <w:rsid w:val="05525017"/>
    <w:rsid w:val="057D30CC"/>
    <w:rsid w:val="05934C7F"/>
    <w:rsid w:val="059F6907"/>
    <w:rsid w:val="05E530D0"/>
    <w:rsid w:val="05F35C43"/>
    <w:rsid w:val="05FD14D7"/>
    <w:rsid w:val="060A0278"/>
    <w:rsid w:val="060A3E1B"/>
    <w:rsid w:val="060B63ED"/>
    <w:rsid w:val="06154F00"/>
    <w:rsid w:val="062749A5"/>
    <w:rsid w:val="067D1380"/>
    <w:rsid w:val="06C23411"/>
    <w:rsid w:val="06E253DA"/>
    <w:rsid w:val="06EA6D02"/>
    <w:rsid w:val="06F07F7E"/>
    <w:rsid w:val="0724760E"/>
    <w:rsid w:val="073E76BA"/>
    <w:rsid w:val="076F00B2"/>
    <w:rsid w:val="076F17EB"/>
    <w:rsid w:val="0788347E"/>
    <w:rsid w:val="079175B8"/>
    <w:rsid w:val="0792682E"/>
    <w:rsid w:val="07AC03DC"/>
    <w:rsid w:val="07EC2E3C"/>
    <w:rsid w:val="07FF7612"/>
    <w:rsid w:val="080A32C2"/>
    <w:rsid w:val="08140139"/>
    <w:rsid w:val="083F74D6"/>
    <w:rsid w:val="0849634E"/>
    <w:rsid w:val="0870581B"/>
    <w:rsid w:val="08780A23"/>
    <w:rsid w:val="088E6C0F"/>
    <w:rsid w:val="08964B56"/>
    <w:rsid w:val="08A23DEE"/>
    <w:rsid w:val="08B376D3"/>
    <w:rsid w:val="08BB45B4"/>
    <w:rsid w:val="08BB6A26"/>
    <w:rsid w:val="08BD33F4"/>
    <w:rsid w:val="08FA6221"/>
    <w:rsid w:val="09002002"/>
    <w:rsid w:val="093323A4"/>
    <w:rsid w:val="096A174A"/>
    <w:rsid w:val="097035F9"/>
    <w:rsid w:val="09AE532A"/>
    <w:rsid w:val="09D9246B"/>
    <w:rsid w:val="09DB4FED"/>
    <w:rsid w:val="0A116EE4"/>
    <w:rsid w:val="0A1977EC"/>
    <w:rsid w:val="0A36039E"/>
    <w:rsid w:val="0A5A7544"/>
    <w:rsid w:val="0A745CB9"/>
    <w:rsid w:val="0A855649"/>
    <w:rsid w:val="0AE0655C"/>
    <w:rsid w:val="0AE25FD4"/>
    <w:rsid w:val="0AFF565E"/>
    <w:rsid w:val="0B01641A"/>
    <w:rsid w:val="0B04792D"/>
    <w:rsid w:val="0B554891"/>
    <w:rsid w:val="0B5D1655"/>
    <w:rsid w:val="0B973D59"/>
    <w:rsid w:val="0BCB4B16"/>
    <w:rsid w:val="0BED2CDE"/>
    <w:rsid w:val="0C1F68B1"/>
    <w:rsid w:val="0C501FDB"/>
    <w:rsid w:val="0C696F16"/>
    <w:rsid w:val="0C970E9C"/>
    <w:rsid w:val="0CA5180B"/>
    <w:rsid w:val="0CAC0DEC"/>
    <w:rsid w:val="0CAF4438"/>
    <w:rsid w:val="0CC63514"/>
    <w:rsid w:val="0CE71E24"/>
    <w:rsid w:val="0CF300B5"/>
    <w:rsid w:val="0D103128"/>
    <w:rsid w:val="0D742BDF"/>
    <w:rsid w:val="0D7F3E0A"/>
    <w:rsid w:val="0DC24706"/>
    <w:rsid w:val="0DED47C3"/>
    <w:rsid w:val="0DF237FA"/>
    <w:rsid w:val="0E100954"/>
    <w:rsid w:val="0E3837AB"/>
    <w:rsid w:val="0E3F075D"/>
    <w:rsid w:val="0E4F5ED2"/>
    <w:rsid w:val="0E5E09FF"/>
    <w:rsid w:val="0E9266DC"/>
    <w:rsid w:val="0EBA74FF"/>
    <w:rsid w:val="0EBB3568"/>
    <w:rsid w:val="0EC07E23"/>
    <w:rsid w:val="0ED022E6"/>
    <w:rsid w:val="0F1A19E5"/>
    <w:rsid w:val="0F1B4006"/>
    <w:rsid w:val="0F550739"/>
    <w:rsid w:val="0F7D0D19"/>
    <w:rsid w:val="0F860BF8"/>
    <w:rsid w:val="0F8A2F10"/>
    <w:rsid w:val="0F8A5533"/>
    <w:rsid w:val="0F905898"/>
    <w:rsid w:val="0FC216E9"/>
    <w:rsid w:val="0FC3006F"/>
    <w:rsid w:val="0FCB093E"/>
    <w:rsid w:val="0FF451AA"/>
    <w:rsid w:val="1031756B"/>
    <w:rsid w:val="103947FE"/>
    <w:rsid w:val="106B4454"/>
    <w:rsid w:val="10941629"/>
    <w:rsid w:val="10B227A0"/>
    <w:rsid w:val="10C67501"/>
    <w:rsid w:val="10E226A5"/>
    <w:rsid w:val="11096D64"/>
    <w:rsid w:val="111E29D8"/>
    <w:rsid w:val="11290C5D"/>
    <w:rsid w:val="114333A1"/>
    <w:rsid w:val="114E3D92"/>
    <w:rsid w:val="11556555"/>
    <w:rsid w:val="11801A7A"/>
    <w:rsid w:val="11902A8A"/>
    <w:rsid w:val="11982635"/>
    <w:rsid w:val="11BF762C"/>
    <w:rsid w:val="11E33988"/>
    <w:rsid w:val="122F55A5"/>
    <w:rsid w:val="12305C0B"/>
    <w:rsid w:val="124D1F2C"/>
    <w:rsid w:val="12883761"/>
    <w:rsid w:val="1292638E"/>
    <w:rsid w:val="129640D0"/>
    <w:rsid w:val="129701D5"/>
    <w:rsid w:val="12993BC0"/>
    <w:rsid w:val="12AE427E"/>
    <w:rsid w:val="12B772C8"/>
    <w:rsid w:val="12F62DC0"/>
    <w:rsid w:val="130D0604"/>
    <w:rsid w:val="13102D34"/>
    <w:rsid w:val="131E40C5"/>
    <w:rsid w:val="13430DBC"/>
    <w:rsid w:val="13644434"/>
    <w:rsid w:val="137133DE"/>
    <w:rsid w:val="139640E6"/>
    <w:rsid w:val="13BF1262"/>
    <w:rsid w:val="13C16263"/>
    <w:rsid w:val="13C55819"/>
    <w:rsid w:val="14641329"/>
    <w:rsid w:val="14733F9D"/>
    <w:rsid w:val="148A142E"/>
    <w:rsid w:val="14A42B3E"/>
    <w:rsid w:val="14AF76CB"/>
    <w:rsid w:val="14B52807"/>
    <w:rsid w:val="14BD26AF"/>
    <w:rsid w:val="14D32865"/>
    <w:rsid w:val="14D568FB"/>
    <w:rsid w:val="14DE5B53"/>
    <w:rsid w:val="153F7689"/>
    <w:rsid w:val="154260C9"/>
    <w:rsid w:val="1557566D"/>
    <w:rsid w:val="156B2E59"/>
    <w:rsid w:val="157F5EC2"/>
    <w:rsid w:val="15862727"/>
    <w:rsid w:val="15B33D7D"/>
    <w:rsid w:val="15BC5AAE"/>
    <w:rsid w:val="15DD73BF"/>
    <w:rsid w:val="15EA5FFF"/>
    <w:rsid w:val="15F31DD8"/>
    <w:rsid w:val="165F3949"/>
    <w:rsid w:val="16642CB0"/>
    <w:rsid w:val="168756BA"/>
    <w:rsid w:val="16930589"/>
    <w:rsid w:val="169A1CB5"/>
    <w:rsid w:val="169D0DF0"/>
    <w:rsid w:val="169E1848"/>
    <w:rsid w:val="16BD6237"/>
    <w:rsid w:val="16E9271A"/>
    <w:rsid w:val="16F40D4B"/>
    <w:rsid w:val="16F86CF6"/>
    <w:rsid w:val="16FF3FC3"/>
    <w:rsid w:val="170A6E78"/>
    <w:rsid w:val="170E0F08"/>
    <w:rsid w:val="17352BDF"/>
    <w:rsid w:val="17394D6E"/>
    <w:rsid w:val="173C58DF"/>
    <w:rsid w:val="1767603B"/>
    <w:rsid w:val="177E15D6"/>
    <w:rsid w:val="17885FB1"/>
    <w:rsid w:val="179761F4"/>
    <w:rsid w:val="17A3655A"/>
    <w:rsid w:val="17B1375A"/>
    <w:rsid w:val="17C62C84"/>
    <w:rsid w:val="17CA5ABA"/>
    <w:rsid w:val="17D66D1D"/>
    <w:rsid w:val="17F453F5"/>
    <w:rsid w:val="1807337A"/>
    <w:rsid w:val="182E5BAC"/>
    <w:rsid w:val="183A3B72"/>
    <w:rsid w:val="183C74C7"/>
    <w:rsid w:val="18436F1E"/>
    <w:rsid w:val="184A231A"/>
    <w:rsid w:val="18524253"/>
    <w:rsid w:val="18643483"/>
    <w:rsid w:val="18643D4F"/>
    <w:rsid w:val="188D30A6"/>
    <w:rsid w:val="189019F4"/>
    <w:rsid w:val="18986B63"/>
    <w:rsid w:val="189D50AD"/>
    <w:rsid w:val="18CB084B"/>
    <w:rsid w:val="18CE4726"/>
    <w:rsid w:val="18ED2570"/>
    <w:rsid w:val="190A35F1"/>
    <w:rsid w:val="193A382E"/>
    <w:rsid w:val="194C03B8"/>
    <w:rsid w:val="195A66E6"/>
    <w:rsid w:val="195F4313"/>
    <w:rsid w:val="196E1442"/>
    <w:rsid w:val="19742ECC"/>
    <w:rsid w:val="198A4263"/>
    <w:rsid w:val="19A96D41"/>
    <w:rsid w:val="19B94F67"/>
    <w:rsid w:val="19BF5A2A"/>
    <w:rsid w:val="19D1117D"/>
    <w:rsid w:val="19D16284"/>
    <w:rsid w:val="19DB061A"/>
    <w:rsid w:val="19EB76AA"/>
    <w:rsid w:val="19EF056A"/>
    <w:rsid w:val="1A02029D"/>
    <w:rsid w:val="1A2A55F6"/>
    <w:rsid w:val="1A345F7C"/>
    <w:rsid w:val="1A5F3514"/>
    <w:rsid w:val="1B097335"/>
    <w:rsid w:val="1B191013"/>
    <w:rsid w:val="1B54344C"/>
    <w:rsid w:val="1B6215C7"/>
    <w:rsid w:val="1B6E6F53"/>
    <w:rsid w:val="1B745632"/>
    <w:rsid w:val="1B9B5F36"/>
    <w:rsid w:val="1BC0061C"/>
    <w:rsid w:val="1BC04C84"/>
    <w:rsid w:val="1BD27A95"/>
    <w:rsid w:val="1C046E7D"/>
    <w:rsid w:val="1C0D030A"/>
    <w:rsid w:val="1C197B20"/>
    <w:rsid w:val="1C254920"/>
    <w:rsid w:val="1C290792"/>
    <w:rsid w:val="1C331D6D"/>
    <w:rsid w:val="1C5B1EE6"/>
    <w:rsid w:val="1C5C6F84"/>
    <w:rsid w:val="1C5F51C6"/>
    <w:rsid w:val="1C642DDC"/>
    <w:rsid w:val="1C697A8C"/>
    <w:rsid w:val="1C7218DE"/>
    <w:rsid w:val="1C821221"/>
    <w:rsid w:val="1CC30E77"/>
    <w:rsid w:val="1CC4333A"/>
    <w:rsid w:val="1CCC570F"/>
    <w:rsid w:val="1CD8763F"/>
    <w:rsid w:val="1CDE4DCA"/>
    <w:rsid w:val="1CEC6473"/>
    <w:rsid w:val="1CEE4349"/>
    <w:rsid w:val="1D0D4151"/>
    <w:rsid w:val="1D214EDE"/>
    <w:rsid w:val="1D2E240F"/>
    <w:rsid w:val="1D525CCC"/>
    <w:rsid w:val="1D7A4ED8"/>
    <w:rsid w:val="1DC83B88"/>
    <w:rsid w:val="1DF12B02"/>
    <w:rsid w:val="1E032835"/>
    <w:rsid w:val="1E066CBC"/>
    <w:rsid w:val="1E0E054E"/>
    <w:rsid w:val="1E437ED5"/>
    <w:rsid w:val="1E4612FA"/>
    <w:rsid w:val="1E621D32"/>
    <w:rsid w:val="1E71154D"/>
    <w:rsid w:val="1E7C6661"/>
    <w:rsid w:val="1E88104D"/>
    <w:rsid w:val="1E8C2E1D"/>
    <w:rsid w:val="1E901C56"/>
    <w:rsid w:val="1EE46B96"/>
    <w:rsid w:val="1F252B47"/>
    <w:rsid w:val="1F274550"/>
    <w:rsid w:val="1F346EF3"/>
    <w:rsid w:val="1F5A21E2"/>
    <w:rsid w:val="1F63358C"/>
    <w:rsid w:val="1F7173BA"/>
    <w:rsid w:val="1F8A1EBA"/>
    <w:rsid w:val="1FAA77A0"/>
    <w:rsid w:val="1FB461D9"/>
    <w:rsid w:val="1FDC6E9A"/>
    <w:rsid w:val="1FE83A91"/>
    <w:rsid w:val="202B75B7"/>
    <w:rsid w:val="202E2662"/>
    <w:rsid w:val="20322BC6"/>
    <w:rsid w:val="20356B82"/>
    <w:rsid w:val="2036689C"/>
    <w:rsid w:val="203C5BB4"/>
    <w:rsid w:val="204809D3"/>
    <w:rsid w:val="20484530"/>
    <w:rsid w:val="20616F6D"/>
    <w:rsid w:val="20EF4FDF"/>
    <w:rsid w:val="210E40E5"/>
    <w:rsid w:val="210E5D66"/>
    <w:rsid w:val="2110019E"/>
    <w:rsid w:val="21162880"/>
    <w:rsid w:val="2166784D"/>
    <w:rsid w:val="21770A75"/>
    <w:rsid w:val="219979C0"/>
    <w:rsid w:val="21A73426"/>
    <w:rsid w:val="21DB379F"/>
    <w:rsid w:val="21E0212B"/>
    <w:rsid w:val="221B313D"/>
    <w:rsid w:val="221E0A8C"/>
    <w:rsid w:val="2232067B"/>
    <w:rsid w:val="225F32FD"/>
    <w:rsid w:val="22635E43"/>
    <w:rsid w:val="2264033B"/>
    <w:rsid w:val="226D3C33"/>
    <w:rsid w:val="22715FC0"/>
    <w:rsid w:val="22787407"/>
    <w:rsid w:val="22897104"/>
    <w:rsid w:val="2297472F"/>
    <w:rsid w:val="2298179E"/>
    <w:rsid w:val="22A52FAD"/>
    <w:rsid w:val="22E46079"/>
    <w:rsid w:val="22EF3388"/>
    <w:rsid w:val="22FE2645"/>
    <w:rsid w:val="23152DEF"/>
    <w:rsid w:val="231E76D3"/>
    <w:rsid w:val="231F5622"/>
    <w:rsid w:val="23204D36"/>
    <w:rsid w:val="232B2612"/>
    <w:rsid w:val="233D0598"/>
    <w:rsid w:val="2346744C"/>
    <w:rsid w:val="235D02F2"/>
    <w:rsid w:val="235D423C"/>
    <w:rsid w:val="235F406A"/>
    <w:rsid w:val="2360530D"/>
    <w:rsid w:val="237B192E"/>
    <w:rsid w:val="23A777BF"/>
    <w:rsid w:val="23DF164F"/>
    <w:rsid w:val="23FC752C"/>
    <w:rsid w:val="241430A6"/>
    <w:rsid w:val="24441479"/>
    <w:rsid w:val="246D684D"/>
    <w:rsid w:val="24816455"/>
    <w:rsid w:val="2489219E"/>
    <w:rsid w:val="24912155"/>
    <w:rsid w:val="2498725C"/>
    <w:rsid w:val="24D24C6B"/>
    <w:rsid w:val="24EF2F75"/>
    <w:rsid w:val="251E6C37"/>
    <w:rsid w:val="251F61A7"/>
    <w:rsid w:val="253B0837"/>
    <w:rsid w:val="253E6CD2"/>
    <w:rsid w:val="25453733"/>
    <w:rsid w:val="2556728C"/>
    <w:rsid w:val="25AC33FF"/>
    <w:rsid w:val="25C44658"/>
    <w:rsid w:val="25CD79B1"/>
    <w:rsid w:val="25F65A76"/>
    <w:rsid w:val="25F6798D"/>
    <w:rsid w:val="25F9405D"/>
    <w:rsid w:val="25FA26EF"/>
    <w:rsid w:val="26035421"/>
    <w:rsid w:val="2607207D"/>
    <w:rsid w:val="260B4945"/>
    <w:rsid w:val="26126494"/>
    <w:rsid w:val="26265313"/>
    <w:rsid w:val="267E25EB"/>
    <w:rsid w:val="268C5834"/>
    <w:rsid w:val="26971E09"/>
    <w:rsid w:val="269827B3"/>
    <w:rsid w:val="26A54F0B"/>
    <w:rsid w:val="26B239ED"/>
    <w:rsid w:val="26B4725E"/>
    <w:rsid w:val="26E8081A"/>
    <w:rsid w:val="26FE125B"/>
    <w:rsid w:val="27035CDF"/>
    <w:rsid w:val="2715782D"/>
    <w:rsid w:val="272810C9"/>
    <w:rsid w:val="272F6F40"/>
    <w:rsid w:val="27335167"/>
    <w:rsid w:val="273A27E8"/>
    <w:rsid w:val="273C3E31"/>
    <w:rsid w:val="273C4921"/>
    <w:rsid w:val="278C73F8"/>
    <w:rsid w:val="2794675D"/>
    <w:rsid w:val="27AF30E6"/>
    <w:rsid w:val="27B37F60"/>
    <w:rsid w:val="27EA49BC"/>
    <w:rsid w:val="28252CDB"/>
    <w:rsid w:val="282A6211"/>
    <w:rsid w:val="2841734C"/>
    <w:rsid w:val="285E03E3"/>
    <w:rsid w:val="289432FC"/>
    <w:rsid w:val="28A6443A"/>
    <w:rsid w:val="28BF330C"/>
    <w:rsid w:val="28CE0B54"/>
    <w:rsid w:val="28ED3EC6"/>
    <w:rsid w:val="29800CC8"/>
    <w:rsid w:val="29D84B76"/>
    <w:rsid w:val="2A0C264F"/>
    <w:rsid w:val="2A2D79E1"/>
    <w:rsid w:val="2A7F23FF"/>
    <w:rsid w:val="2A834AE2"/>
    <w:rsid w:val="2AEA62BD"/>
    <w:rsid w:val="2B187C6D"/>
    <w:rsid w:val="2B2427C4"/>
    <w:rsid w:val="2B4353BF"/>
    <w:rsid w:val="2B5705AB"/>
    <w:rsid w:val="2B7E1F2A"/>
    <w:rsid w:val="2B7F5708"/>
    <w:rsid w:val="2B98280F"/>
    <w:rsid w:val="2B9B27DC"/>
    <w:rsid w:val="2BA70CA4"/>
    <w:rsid w:val="2BE75544"/>
    <w:rsid w:val="2C0E0D23"/>
    <w:rsid w:val="2C2C3220"/>
    <w:rsid w:val="2C2C6020"/>
    <w:rsid w:val="2C31673C"/>
    <w:rsid w:val="2C6924EF"/>
    <w:rsid w:val="2C7A1F15"/>
    <w:rsid w:val="2C990BF4"/>
    <w:rsid w:val="2CAA2EA5"/>
    <w:rsid w:val="2CB82EC7"/>
    <w:rsid w:val="2CC7141B"/>
    <w:rsid w:val="2CE13D42"/>
    <w:rsid w:val="2CE8006E"/>
    <w:rsid w:val="2CF01329"/>
    <w:rsid w:val="2CF62FBE"/>
    <w:rsid w:val="2CFC6F76"/>
    <w:rsid w:val="2D28382A"/>
    <w:rsid w:val="2D2F75E7"/>
    <w:rsid w:val="2D4D39AA"/>
    <w:rsid w:val="2D5644CB"/>
    <w:rsid w:val="2D6C3F53"/>
    <w:rsid w:val="2D70414F"/>
    <w:rsid w:val="2D777494"/>
    <w:rsid w:val="2D811A87"/>
    <w:rsid w:val="2D9D410D"/>
    <w:rsid w:val="2DA10FB9"/>
    <w:rsid w:val="2DB52BEE"/>
    <w:rsid w:val="2DB52E1A"/>
    <w:rsid w:val="2DBC2049"/>
    <w:rsid w:val="2DBC3ED8"/>
    <w:rsid w:val="2DC96A53"/>
    <w:rsid w:val="2DFB52D7"/>
    <w:rsid w:val="2DFC01FE"/>
    <w:rsid w:val="2E0E6A8A"/>
    <w:rsid w:val="2E100B95"/>
    <w:rsid w:val="2E191891"/>
    <w:rsid w:val="2E2445EA"/>
    <w:rsid w:val="2E351D1B"/>
    <w:rsid w:val="2E3715A3"/>
    <w:rsid w:val="2E3F6F72"/>
    <w:rsid w:val="2E4137E6"/>
    <w:rsid w:val="2E445E65"/>
    <w:rsid w:val="2E5A0250"/>
    <w:rsid w:val="2E7150A1"/>
    <w:rsid w:val="2E777592"/>
    <w:rsid w:val="2E837E9B"/>
    <w:rsid w:val="2E975000"/>
    <w:rsid w:val="2EBB78BE"/>
    <w:rsid w:val="2EE333E2"/>
    <w:rsid w:val="2EF30CD1"/>
    <w:rsid w:val="2EFF4F92"/>
    <w:rsid w:val="2F2A4877"/>
    <w:rsid w:val="2F521E19"/>
    <w:rsid w:val="2F8B492B"/>
    <w:rsid w:val="2FAD520D"/>
    <w:rsid w:val="2FBA15D2"/>
    <w:rsid w:val="2FBE4C31"/>
    <w:rsid w:val="2FEB6CA8"/>
    <w:rsid w:val="2FF80CB0"/>
    <w:rsid w:val="30106AE3"/>
    <w:rsid w:val="302C1778"/>
    <w:rsid w:val="304E519B"/>
    <w:rsid w:val="30782C0F"/>
    <w:rsid w:val="3084180B"/>
    <w:rsid w:val="30A97C0F"/>
    <w:rsid w:val="30BC05FF"/>
    <w:rsid w:val="30D32C22"/>
    <w:rsid w:val="30EE2ED1"/>
    <w:rsid w:val="3105541E"/>
    <w:rsid w:val="31497C61"/>
    <w:rsid w:val="31541593"/>
    <w:rsid w:val="315F1BAC"/>
    <w:rsid w:val="31674C8B"/>
    <w:rsid w:val="317D3526"/>
    <w:rsid w:val="31A33CBC"/>
    <w:rsid w:val="31B823EA"/>
    <w:rsid w:val="31C14142"/>
    <w:rsid w:val="31D47EE9"/>
    <w:rsid w:val="31E02532"/>
    <w:rsid w:val="31EC39BD"/>
    <w:rsid w:val="320C7AB3"/>
    <w:rsid w:val="320D55D9"/>
    <w:rsid w:val="323344AD"/>
    <w:rsid w:val="324B42C8"/>
    <w:rsid w:val="324F7E02"/>
    <w:rsid w:val="32560280"/>
    <w:rsid w:val="32643E96"/>
    <w:rsid w:val="328B1E4F"/>
    <w:rsid w:val="3296233B"/>
    <w:rsid w:val="32AE0B6A"/>
    <w:rsid w:val="32C62C09"/>
    <w:rsid w:val="32D01E95"/>
    <w:rsid w:val="332560B6"/>
    <w:rsid w:val="332F0F2A"/>
    <w:rsid w:val="333F05D7"/>
    <w:rsid w:val="3353385C"/>
    <w:rsid w:val="33692A02"/>
    <w:rsid w:val="336A60A8"/>
    <w:rsid w:val="33890C8F"/>
    <w:rsid w:val="339A4C4A"/>
    <w:rsid w:val="33AC411B"/>
    <w:rsid w:val="33CE4708"/>
    <w:rsid w:val="33D479B3"/>
    <w:rsid w:val="33DA63E5"/>
    <w:rsid w:val="3402116D"/>
    <w:rsid w:val="3436523C"/>
    <w:rsid w:val="34395261"/>
    <w:rsid w:val="34522440"/>
    <w:rsid w:val="345319C9"/>
    <w:rsid w:val="34606693"/>
    <w:rsid w:val="34623BA9"/>
    <w:rsid w:val="3473361C"/>
    <w:rsid w:val="349F1146"/>
    <w:rsid w:val="349F77F9"/>
    <w:rsid w:val="34C374A3"/>
    <w:rsid w:val="34F7100A"/>
    <w:rsid w:val="35136C90"/>
    <w:rsid w:val="35156C7E"/>
    <w:rsid w:val="35332B07"/>
    <w:rsid w:val="353B1CFC"/>
    <w:rsid w:val="35505F08"/>
    <w:rsid w:val="355A42F8"/>
    <w:rsid w:val="35644C94"/>
    <w:rsid w:val="357E0FA8"/>
    <w:rsid w:val="358E3180"/>
    <w:rsid w:val="35973B37"/>
    <w:rsid w:val="3598340C"/>
    <w:rsid w:val="35A23EF2"/>
    <w:rsid w:val="35E83ED1"/>
    <w:rsid w:val="363253B0"/>
    <w:rsid w:val="363A3E57"/>
    <w:rsid w:val="363E4A48"/>
    <w:rsid w:val="364A0BAA"/>
    <w:rsid w:val="365732C7"/>
    <w:rsid w:val="366A4DA8"/>
    <w:rsid w:val="366E24FE"/>
    <w:rsid w:val="368D0806"/>
    <w:rsid w:val="36AB6AC3"/>
    <w:rsid w:val="36B10C29"/>
    <w:rsid w:val="36B35EC9"/>
    <w:rsid w:val="36BB1AA7"/>
    <w:rsid w:val="36C0299E"/>
    <w:rsid w:val="36FA0FB7"/>
    <w:rsid w:val="3735067C"/>
    <w:rsid w:val="37540A4E"/>
    <w:rsid w:val="37A56BB4"/>
    <w:rsid w:val="37B02C8E"/>
    <w:rsid w:val="37B87D95"/>
    <w:rsid w:val="38002AE5"/>
    <w:rsid w:val="38003798"/>
    <w:rsid w:val="38042FDA"/>
    <w:rsid w:val="38277341"/>
    <w:rsid w:val="383C4F0B"/>
    <w:rsid w:val="38486A80"/>
    <w:rsid w:val="38545D10"/>
    <w:rsid w:val="38827BCE"/>
    <w:rsid w:val="38CF2791"/>
    <w:rsid w:val="38D62BC9"/>
    <w:rsid w:val="38E93B42"/>
    <w:rsid w:val="38F35529"/>
    <w:rsid w:val="38F614DB"/>
    <w:rsid w:val="38F80D91"/>
    <w:rsid w:val="390601FF"/>
    <w:rsid w:val="391F0360"/>
    <w:rsid w:val="394C1291"/>
    <w:rsid w:val="398D0123"/>
    <w:rsid w:val="3996651A"/>
    <w:rsid w:val="39A03465"/>
    <w:rsid w:val="39AB5E03"/>
    <w:rsid w:val="39B0341A"/>
    <w:rsid w:val="39E0416A"/>
    <w:rsid w:val="39EB7D79"/>
    <w:rsid w:val="3A16719C"/>
    <w:rsid w:val="3A506B8C"/>
    <w:rsid w:val="3AA328F4"/>
    <w:rsid w:val="3ABE122A"/>
    <w:rsid w:val="3AD77C5F"/>
    <w:rsid w:val="3AD81A2B"/>
    <w:rsid w:val="3AEF376B"/>
    <w:rsid w:val="3B0752BB"/>
    <w:rsid w:val="3B0E5DB7"/>
    <w:rsid w:val="3B4952E7"/>
    <w:rsid w:val="3B600FB0"/>
    <w:rsid w:val="3B607406"/>
    <w:rsid w:val="3BA84157"/>
    <w:rsid w:val="3BB15227"/>
    <w:rsid w:val="3BC608E5"/>
    <w:rsid w:val="3BD31641"/>
    <w:rsid w:val="3BD83E3D"/>
    <w:rsid w:val="3BE41159"/>
    <w:rsid w:val="3C011D0B"/>
    <w:rsid w:val="3C024AF7"/>
    <w:rsid w:val="3C056D6F"/>
    <w:rsid w:val="3C073B18"/>
    <w:rsid w:val="3C110C7D"/>
    <w:rsid w:val="3C187054"/>
    <w:rsid w:val="3C2C49CA"/>
    <w:rsid w:val="3C4446CA"/>
    <w:rsid w:val="3C5462DE"/>
    <w:rsid w:val="3C6F7681"/>
    <w:rsid w:val="3CAE5441"/>
    <w:rsid w:val="3CC1743F"/>
    <w:rsid w:val="3CE84208"/>
    <w:rsid w:val="3D082130"/>
    <w:rsid w:val="3D3D68F9"/>
    <w:rsid w:val="3D45031D"/>
    <w:rsid w:val="3D4659FF"/>
    <w:rsid w:val="3D536596"/>
    <w:rsid w:val="3D602501"/>
    <w:rsid w:val="3D7F1352"/>
    <w:rsid w:val="3DA013EA"/>
    <w:rsid w:val="3DAB60B8"/>
    <w:rsid w:val="3DBC415D"/>
    <w:rsid w:val="3DC72AE0"/>
    <w:rsid w:val="3DD12A7B"/>
    <w:rsid w:val="3DE0520D"/>
    <w:rsid w:val="3DF31B27"/>
    <w:rsid w:val="3E1960BA"/>
    <w:rsid w:val="3E733C64"/>
    <w:rsid w:val="3E75253C"/>
    <w:rsid w:val="3E7930C6"/>
    <w:rsid w:val="3E815385"/>
    <w:rsid w:val="3E9739EC"/>
    <w:rsid w:val="3EBB0897"/>
    <w:rsid w:val="3ECA6436"/>
    <w:rsid w:val="3EDB2EC1"/>
    <w:rsid w:val="3EE766E7"/>
    <w:rsid w:val="3F08346D"/>
    <w:rsid w:val="3F0D16CB"/>
    <w:rsid w:val="3F1A6771"/>
    <w:rsid w:val="3F367F1D"/>
    <w:rsid w:val="3F544847"/>
    <w:rsid w:val="3F5E247E"/>
    <w:rsid w:val="3FD37B9B"/>
    <w:rsid w:val="3FD80FD4"/>
    <w:rsid w:val="3FDF2CFD"/>
    <w:rsid w:val="3FF84B8B"/>
    <w:rsid w:val="3FFE2932"/>
    <w:rsid w:val="4030069C"/>
    <w:rsid w:val="403F018B"/>
    <w:rsid w:val="405A5E8D"/>
    <w:rsid w:val="405E4DBB"/>
    <w:rsid w:val="407A02DD"/>
    <w:rsid w:val="407C1DBD"/>
    <w:rsid w:val="40876CB2"/>
    <w:rsid w:val="408E6618"/>
    <w:rsid w:val="40B00A76"/>
    <w:rsid w:val="40C20322"/>
    <w:rsid w:val="40CD5440"/>
    <w:rsid w:val="40E24BE0"/>
    <w:rsid w:val="40E358EE"/>
    <w:rsid w:val="4112311C"/>
    <w:rsid w:val="415154E2"/>
    <w:rsid w:val="41555FA0"/>
    <w:rsid w:val="41564B68"/>
    <w:rsid w:val="417A2CF6"/>
    <w:rsid w:val="417B245C"/>
    <w:rsid w:val="41825A27"/>
    <w:rsid w:val="41A24067"/>
    <w:rsid w:val="41AF1D77"/>
    <w:rsid w:val="41AF6E44"/>
    <w:rsid w:val="41B65345"/>
    <w:rsid w:val="41B70282"/>
    <w:rsid w:val="41C96147"/>
    <w:rsid w:val="41F3353D"/>
    <w:rsid w:val="42372B1B"/>
    <w:rsid w:val="42823479"/>
    <w:rsid w:val="42D461F4"/>
    <w:rsid w:val="42FA74B4"/>
    <w:rsid w:val="432264B1"/>
    <w:rsid w:val="433778DB"/>
    <w:rsid w:val="43526A49"/>
    <w:rsid w:val="4365731F"/>
    <w:rsid w:val="436E662B"/>
    <w:rsid w:val="438F7FE1"/>
    <w:rsid w:val="43BC21D2"/>
    <w:rsid w:val="43BD2420"/>
    <w:rsid w:val="43EE7018"/>
    <w:rsid w:val="44156B63"/>
    <w:rsid w:val="44354C47"/>
    <w:rsid w:val="444155E5"/>
    <w:rsid w:val="44454B35"/>
    <w:rsid w:val="446E021C"/>
    <w:rsid w:val="448043C7"/>
    <w:rsid w:val="448C4299"/>
    <w:rsid w:val="44C96CDC"/>
    <w:rsid w:val="44DE0E60"/>
    <w:rsid w:val="44ED7CA9"/>
    <w:rsid w:val="450B7121"/>
    <w:rsid w:val="45576F7C"/>
    <w:rsid w:val="45636D7B"/>
    <w:rsid w:val="457277D5"/>
    <w:rsid w:val="458E6FA8"/>
    <w:rsid w:val="4597723C"/>
    <w:rsid w:val="45B341C7"/>
    <w:rsid w:val="45D3296A"/>
    <w:rsid w:val="461A0599"/>
    <w:rsid w:val="46252A99"/>
    <w:rsid w:val="46276946"/>
    <w:rsid w:val="466A1AA5"/>
    <w:rsid w:val="467F070E"/>
    <w:rsid w:val="46863A8E"/>
    <w:rsid w:val="46957C1F"/>
    <w:rsid w:val="46C74E32"/>
    <w:rsid w:val="46E666CD"/>
    <w:rsid w:val="46EF1FBF"/>
    <w:rsid w:val="46F10BCE"/>
    <w:rsid w:val="47032343"/>
    <w:rsid w:val="47032616"/>
    <w:rsid w:val="470A0E14"/>
    <w:rsid w:val="470A221E"/>
    <w:rsid w:val="4725265A"/>
    <w:rsid w:val="47525B10"/>
    <w:rsid w:val="47530C5A"/>
    <w:rsid w:val="475C5BA9"/>
    <w:rsid w:val="475F18C4"/>
    <w:rsid w:val="47655843"/>
    <w:rsid w:val="47943C23"/>
    <w:rsid w:val="47AB6AD4"/>
    <w:rsid w:val="47BC567F"/>
    <w:rsid w:val="47BE01B6"/>
    <w:rsid w:val="47C22C96"/>
    <w:rsid w:val="47CB141F"/>
    <w:rsid w:val="47CE1987"/>
    <w:rsid w:val="47CE3967"/>
    <w:rsid w:val="47D32328"/>
    <w:rsid w:val="47ED75E7"/>
    <w:rsid w:val="48372FBE"/>
    <w:rsid w:val="48813F45"/>
    <w:rsid w:val="488D7A30"/>
    <w:rsid w:val="48D20EAB"/>
    <w:rsid w:val="48D2515B"/>
    <w:rsid w:val="48D500DC"/>
    <w:rsid w:val="48D630BB"/>
    <w:rsid w:val="48F644CD"/>
    <w:rsid w:val="48FD4067"/>
    <w:rsid w:val="48FD54A4"/>
    <w:rsid w:val="491868E5"/>
    <w:rsid w:val="493F20C4"/>
    <w:rsid w:val="4947745F"/>
    <w:rsid w:val="49500FA3"/>
    <w:rsid w:val="49A21355"/>
    <w:rsid w:val="49A44CD1"/>
    <w:rsid w:val="49AF724A"/>
    <w:rsid w:val="49DF0F37"/>
    <w:rsid w:val="49E87BA2"/>
    <w:rsid w:val="49EC2564"/>
    <w:rsid w:val="4A05407D"/>
    <w:rsid w:val="4A070A2A"/>
    <w:rsid w:val="4A1C33E4"/>
    <w:rsid w:val="4A303DAC"/>
    <w:rsid w:val="4A317673"/>
    <w:rsid w:val="4A453824"/>
    <w:rsid w:val="4A4B039E"/>
    <w:rsid w:val="4A4C35D1"/>
    <w:rsid w:val="4A65307B"/>
    <w:rsid w:val="4A6F1EE4"/>
    <w:rsid w:val="4AA6056C"/>
    <w:rsid w:val="4AB531C6"/>
    <w:rsid w:val="4B0949E0"/>
    <w:rsid w:val="4B144C44"/>
    <w:rsid w:val="4B175D92"/>
    <w:rsid w:val="4B27285E"/>
    <w:rsid w:val="4B337392"/>
    <w:rsid w:val="4B5D25A1"/>
    <w:rsid w:val="4B6B2235"/>
    <w:rsid w:val="4B734150"/>
    <w:rsid w:val="4BBC5C4E"/>
    <w:rsid w:val="4BC27029"/>
    <w:rsid w:val="4BF11ABA"/>
    <w:rsid w:val="4BF535B2"/>
    <w:rsid w:val="4BF71323"/>
    <w:rsid w:val="4C093EF4"/>
    <w:rsid w:val="4C1F06D9"/>
    <w:rsid w:val="4C22306A"/>
    <w:rsid w:val="4C345911"/>
    <w:rsid w:val="4C47099A"/>
    <w:rsid w:val="4C641F38"/>
    <w:rsid w:val="4C7107E7"/>
    <w:rsid w:val="4C8B732C"/>
    <w:rsid w:val="4C8E49B2"/>
    <w:rsid w:val="4C9D25E2"/>
    <w:rsid w:val="4CB50C59"/>
    <w:rsid w:val="4CB83397"/>
    <w:rsid w:val="4CE60873"/>
    <w:rsid w:val="4D0E4287"/>
    <w:rsid w:val="4D164422"/>
    <w:rsid w:val="4D1C122D"/>
    <w:rsid w:val="4D384193"/>
    <w:rsid w:val="4D3F35A8"/>
    <w:rsid w:val="4D4B54DB"/>
    <w:rsid w:val="4D5B6D37"/>
    <w:rsid w:val="4D6B0C4B"/>
    <w:rsid w:val="4D6E2F78"/>
    <w:rsid w:val="4D8F2CF2"/>
    <w:rsid w:val="4D94552B"/>
    <w:rsid w:val="4D9848FB"/>
    <w:rsid w:val="4DA34C90"/>
    <w:rsid w:val="4DA822EC"/>
    <w:rsid w:val="4DAD5255"/>
    <w:rsid w:val="4DB03CD4"/>
    <w:rsid w:val="4E496301"/>
    <w:rsid w:val="4E821888"/>
    <w:rsid w:val="4E892302"/>
    <w:rsid w:val="4E9953DA"/>
    <w:rsid w:val="4E9E788D"/>
    <w:rsid w:val="4EBD4EA8"/>
    <w:rsid w:val="4EF83441"/>
    <w:rsid w:val="4F0A3BFF"/>
    <w:rsid w:val="4F0C738D"/>
    <w:rsid w:val="4F3D70A6"/>
    <w:rsid w:val="4F7928B9"/>
    <w:rsid w:val="4F9A1550"/>
    <w:rsid w:val="4F9C201E"/>
    <w:rsid w:val="4FE13ED5"/>
    <w:rsid w:val="501257DD"/>
    <w:rsid w:val="501B6505"/>
    <w:rsid w:val="50373FE9"/>
    <w:rsid w:val="50424664"/>
    <w:rsid w:val="50777E56"/>
    <w:rsid w:val="50887558"/>
    <w:rsid w:val="50913A01"/>
    <w:rsid w:val="50B27620"/>
    <w:rsid w:val="50F32807"/>
    <w:rsid w:val="50F53E45"/>
    <w:rsid w:val="51145BE4"/>
    <w:rsid w:val="5144296E"/>
    <w:rsid w:val="51BE0F64"/>
    <w:rsid w:val="51C969CF"/>
    <w:rsid w:val="51CB4C89"/>
    <w:rsid w:val="51F162B1"/>
    <w:rsid w:val="521C3C79"/>
    <w:rsid w:val="523C3645"/>
    <w:rsid w:val="525C2E42"/>
    <w:rsid w:val="52707F76"/>
    <w:rsid w:val="528079D5"/>
    <w:rsid w:val="528B0128"/>
    <w:rsid w:val="52B26761"/>
    <w:rsid w:val="52BD763A"/>
    <w:rsid w:val="52DC6673"/>
    <w:rsid w:val="52F21F55"/>
    <w:rsid w:val="531A3B9B"/>
    <w:rsid w:val="531C441B"/>
    <w:rsid w:val="531F6F64"/>
    <w:rsid w:val="534C4C5D"/>
    <w:rsid w:val="53787950"/>
    <w:rsid w:val="537F5871"/>
    <w:rsid w:val="53B316E5"/>
    <w:rsid w:val="53C35FF9"/>
    <w:rsid w:val="53D15169"/>
    <w:rsid w:val="53EB28B2"/>
    <w:rsid w:val="53F1576C"/>
    <w:rsid w:val="53F73CC7"/>
    <w:rsid w:val="54061831"/>
    <w:rsid w:val="54106B37"/>
    <w:rsid w:val="54295E4B"/>
    <w:rsid w:val="543D75D3"/>
    <w:rsid w:val="5455505E"/>
    <w:rsid w:val="54772BF5"/>
    <w:rsid w:val="5479292E"/>
    <w:rsid w:val="547F30B4"/>
    <w:rsid w:val="54B55930"/>
    <w:rsid w:val="54C455C1"/>
    <w:rsid w:val="54D651D3"/>
    <w:rsid w:val="54D80532"/>
    <w:rsid w:val="54DA0ED8"/>
    <w:rsid w:val="54E018B4"/>
    <w:rsid w:val="54EB2AE6"/>
    <w:rsid w:val="5506014C"/>
    <w:rsid w:val="552A3C28"/>
    <w:rsid w:val="552C2EC0"/>
    <w:rsid w:val="552D3719"/>
    <w:rsid w:val="55484093"/>
    <w:rsid w:val="55495A00"/>
    <w:rsid w:val="55A47B8D"/>
    <w:rsid w:val="55BF27D5"/>
    <w:rsid w:val="55E12602"/>
    <w:rsid w:val="562B64D0"/>
    <w:rsid w:val="563247AC"/>
    <w:rsid w:val="5632508D"/>
    <w:rsid w:val="56335076"/>
    <w:rsid w:val="563F54B2"/>
    <w:rsid w:val="56521E26"/>
    <w:rsid w:val="565E627F"/>
    <w:rsid w:val="566118CC"/>
    <w:rsid w:val="56A90484"/>
    <w:rsid w:val="56B7773E"/>
    <w:rsid w:val="56C33933"/>
    <w:rsid w:val="56CF3B20"/>
    <w:rsid w:val="56DA2E7A"/>
    <w:rsid w:val="5741475B"/>
    <w:rsid w:val="574E51CC"/>
    <w:rsid w:val="575C28F0"/>
    <w:rsid w:val="57607266"/>
    <w:rsid w:val="5778511F"/>
    <w:rsid w:val="5779648C"/>
    <w:rsid w:val="577C4C8D"/>
    <w:rsid w:val="577E46FF"/>
    <w:rsid w:val="57A37CC2"/>
    <w:rsid w:val="57AF0D88"/>
    <w:rsid w:val="57D47581"/>
    <w:rsid w:val="57ED5B36"/>
    <w:rsid w:val="582A0D9F"/>
    <w:rsid w:val="582D3B06"/>
    <w:rsid w:val="58785834"/>
    <w:rsid w:val="587B1C2F"/>
    <w:rsid w:val="5886386C"/>
    <w:rsid w:val="589363C3"/>
    <w:rsid w:val="58975A79"/>
    <w:rsid w:val="589D0BB5"/>
    <w:rsid w:val="58B245CD"/>
    <w:rsid w:val="58B364BE"/>
    <w:rsid w:val="58D5133F"/>
    <w:rsid w:val="595B4D4E"/>
    <w:rsid w:val="59627F23"/>
    <w:rsid w:val="596630C7"/>
    <w:rsid w:val="598E16B8"/>
    <w:rsid w:val="599872CC"/>
    <w:rsid w:val="59C96098"/>
    <w:rsid w:val="59CD090A"/>
    <w:rsid w:val="59E44CEE"/>
    <w:rsid w:val="59EC5950"/>
    <w:rsid w:val="59ED50B1"/>
    <w:rsid w:val="59F83548"/>
    <w:rsid w:val="5A0D3A00"/>
    <w:rsid w:val="5A176E08"/>
    <w:rsid w:val="5A186922"/>
    <w:rsid w:val="5A2F1CE1"/>
    <w:rsid w:val="5A4B5FB9"/>
    <w:rsid w:val="5A7A55B2"/>
    <w:rsid w:val="5A7F219A"/>
    <w:rsid w:val="5AE66844"/>
    <w:rsid w:val="5AED244D"/>
    <w:rsid w:val="5AF0364E"/>
    <w:rsid w:val="5AF076C2"/>
    <w:rsid w:val="5B297BBA"/>
    <w:rsid w:val="5B3C6463"/>
    <w:rsid w:val="5B5D3CA8"/>
    <w:rsid w:val="5B8B5268"/>
    <w:rsid w:val="5BAE4664"/>
    <w:rsid w:val="5C0C22DA"/>
    <w:rsid w:val="5C137B4A"/>
    <w:rsid w:val="5C164F06"/>
    <w:rsid w:val="5C231444"/>
    <w:rsid w:val="5C3E4C3F"/>
    <w:rsid w:val="5C47619F"/>
    <w:rsid w:val="5C7B120D"/>
    <w:rsid w:val="5C942762"/>
    <w:rsid w:val="5CA442C0"/>
    <w:rsid w:val="5CD230BF"/>
    <w:rsid w:val="5CD31B06"/>
    <w:rsid w:val="5CE65615"/>
    <w:rsid w:val="5D126DFC"/>
    <w:rsid w:val="5D1A538B"/>
    <w:rsid w:val="5D2C42B6"/>
    <w:rsid w:val="5D521F6E"/>
    <w:rsid w:val="5D53514F"/>
    <w:rsid w:val="5D58169F"/>
    <w:rsid w:val="5D5C2327"/>
    <w:rsid w:val="5D804D2D"/>
    <w:rsid w:val="5D826A79"/>
    <w:rsid w:val="5D8D3526"/>
    <w:rsid w:val="5DB524FD"/>
    <w:rsid w:val="5DD07EB1"/>
    <w:rsid w:val="5DD159CA"/>
    <w:rsid w:val="5DD76917"/>
    <w:rsid w:val="5DE51034"/>
    <w:rsid w:val="5DE63E66"/>
    <w:rsid w:val="5DF37EB0"/>
    <w:rsid w:val="5DFB43B4"/>
    <w:rsid w:val="5E056FE1"/>
    <w:rsid w:val="5E086AD1"/>
    <w:rsid w:val="5E524F38"/>
    <w:rsid w:val="5E547E42"/>
    <w:rsid w:val="5E95681E"/>
    <w:rsid w:val="5E9B16F3"/>
    <w:rsid w:val="5EA00D1F"/>
    <w:rsid w:val="5EAE07E6"/>
    <w:rsid w:val="5EB55E70"/>
    <w:rsid w:val="5ECF75EF"/>
    <w:rsid w:val="5EE515BE"/>
    <w:rsid w:val="5F10721B"/>
    <w:rsid w:val="5F154116"/>
    <w:rsid w:val="5F22098F"/>
    <w:rsid w:val="5F4552BC"/>
    <w:rsid w:val="5F553F98"/>
    <w:rsid w:val="5F67751E"/>
    <w:rsid w:val="5F9817A7"/>
    <w:rsid w:val="5F9D15B2"/>
    <w:rsid w:val="5FC15525"/>
    <w:rsid w:val="5FD502D9"/>
    <w:rsid w:val="5FE743B0"/>
    <w:rsid w:val="60324C6F"/>
    <w:rsid w:val="60762418"/>
    <w:rsid w:val="609C6B55"/>
    <w:rsid w:val="613F6CAD"/>
    <w:rsid w:val="61591C9F"/>
    <w:rsid w:val="6163767F"/>
    <w:rsid w:val="617B77AB"/>
    <w:rsid w:val="617F635C"/>
    <w:rsid w:val="619C2EE2"/>
    <w:rsid w:val="61AE5BE1"/>
    <w:rsid w:val="61B2798E"/>
    <w:rsid w:val="62092E18"/>
    <w:rsid w:val="62116118"/>
    <w:rsid w:val="622E56DE"/>
    <w:rsid w:val="623B2D26"/>
    <w:rsid w:val="623F0207"/>
    <w:rsid w:val="624A31D3"/>
    <w:rsid w:val="62614A02"/>
    <w:rsid w:val="6271541F"/>
    <w:rsid w:val="629B6165"/>
    <w:rsid w:val="62B67D2C"/>
    <w:rsid w:val="630E06E5"/>
    <w:rsid w:val="631629A5"/>
    <w:rsid w:val="632E7E4C"/>
    <w:rsid w:val="63304B4A"/>
    <w:rsid w:val="63727074"/>
    <w:rsid w:val="637F15E3"/>
    <w:rsid w:val="63916E31"/>
    <w:rsid w:val="63A70B3A"/>
    <w:rsid w:val="63CB4253"/>
    <w:rsid w:val="63D86475"/>
    <w:rsid w:val="641712A0"/>
    <w:rsid w:val="64284626"/>
    <w:rsid w:val="642B5DF6"/>
    <w:rsid w:val="642E5820"/>
    <w:rsid w:val="644359E9"/>
    <w:rsid w:val="645B2BD9"/>
    <w:rsid w:val="6468651B"/>
    <w:rsid w:val="64C01EB3"/>
    <w:rsid w:val="64D94D23"/>
    <w:rsid w:val="65040526"/>
    <w:rsid w:val="65630C65"/>
    <w:rsid w:val="65886CE5"/>
    <w:rsid w:val="659E7BA9"/>
    <w:rsid w:val="65CD0D2C"/>
    <w:rsid w:val="65DB76BB"/>
    <w:rsid w:val="65F8567D"/>
    <w:rsid w:val="65FC2CD6"/>
    <w:rsid w:val="660B20D8"/>
    <w:rsid w:val="661B34FB"/>
    <w:rsid w:val="662D3578"/>
    <w:rsid w:val="662D5327"/>
    <w:rsid w:val="663331E5"/>
    <w:rsid w:val="66417024"/>
    <w:rsid w:val="66486604"/>
    <w:rsid w:val="66742976"/>
    <w:rsid w:val="668514A2"/>
    <w:rsid w:val="66D93700"/>
    <w:rsid w:val="670B38C3"/>
    <w:rsid w:val="67265187"/>
    <w:rsid w:val="67326333"/>
    <w:rsid w:val="674372DD"/>
    <w:rsid w:val="674833B0"/>
    <w:rsid w:val="67530DBD"/>
    <w:rsid w:val="67551A66"/>
    <w:rsid w:val="6755564A"/>
    <w:rsid w:val="676F3B1E"/>
    <w:rsid w:val="677069B1"/>
    <w:rsid w:val="677B4A1E"/>
    <w:rsid w:val="6791456F"/>
    <w:rsid w:val="679738F9"/>
    <w:rsid w:val="67A80FF0"/>
    <w:rsid w:val="67B76864"/>
    <w:rsid w:val="67BD29E7"/>
    <w:rsid w:val="67D802AE"/>
    <w:rsid w:val="67F45B27"/>
    <w:rsid w:val="683530B2"/>
    <w:rsid w:val="683C5CF5"/>
    <w:rsid w:val="68442DFB"/>
    <w:rsid w:val="686B482C"/>
    <w:rsid w:val="6890743A"/>
    <w:rsid w:val="68B04D43"/>
    <w:rsid w:val="68B86079"/>
    <w:rsid w:val="68C22A13"/>
    <w:rsid w:val="68C83A2C"/>
    <w:rsid w:val="68DB550E"/>
    <w:rsid w:val="68F45CA7"/>
    <w:rsid w:val="69023B32"/>
    <w:rsid w:val="69197DE4"/>
    <w:rsid w:val="69222494"/>
    <w:rsid w:val="69376F91"/>
    <w:rsid w:val="69407353"/>
    <w:rsid w:val="69440F89"/>
    <w:rsid w:val="69507C32"/>
    <w:rsid w:val="6962420F"/>
    <w:rsid w:val="69810EEC"/>
    <w:rsid w:val="698A24DE"/>
    <w:rsid w:val="699D27C3"/>
    <w:rsid w:val="69B10A98"/>
    <w:rsid w:val="69BF1E7E"/>
    <w:rsid w:val="6A3008B5"/>
    <w:rsid w:val="6A452E15"/>
    <w:rsid w:val="6A5112B5"/>
    <w:rsid w:val="6A617270"/>
    <w:rsid w:val="6A634624"/>
    <w:rsid w:val="6AB26922"/>
    <w:rsid w:val="6AB976EA"/>
    <w:rsid w:val="6AC90DF4"/>
    <w:rsid w:val="6ACD0A30"/>
    <w:rsid w:val="6B1E7F12"/>
    <w:rsid w:val="6B2D7B77"/>
    <w:rsid w:val="6B405AFC"/>
    <w:rsid w:val="6B7829B8"/>
    <w:rsid w:val="6C270112"/>
    <w:rsid w:val="6C305B70"/>
    <w:rsid w:val="6C454825"/>
    <w:rsid w:val="6C841E4F"/>
    <w:rsid w:val="6C907F88"/>
    <w:rsid w:val="6CA20189"/>
    <w:rsid w:val="6CC44862"/>
    <w:rsid w:val="6D115436"/>
    <w:rsid w:val="6D127584"/>
    <w:rsid w:val="6D36185D"/>
    <w:rsid w:val="6D64508B"/>
    <w:rsid w:val="6D7A6751"/>
    <w:rsid w:val="6DC347C2"/>
    <w:rsid w:val="6E133FEF"/>
    <w:rsid w:val="6E146DCC"/>
    <w:rsid w:val="6E31797E"/>
    <w:rsid w:val="6E4B6DF3"/>
    <w:rsid w:val="6E6D0115"/>
    <w:rsid w:val="6E8672DE"/>
    <w:rsid w:val="6E930E8C"/>
    <w:rsid w:val="6EA82B4B"/>
    <w:rsid w:val="6EB00CC5"/>
    <w:rsid w:val="6EF916AB"/>
    <w:rsid w:val="6F025877"/>
    <w:rsid w:val="6F2F210F"/>
    <w:rsid w:val="6F395598"/>
    <w:rsid w:val="6F3B7749"/>
    <w:rsid w:val="6F4F3F62"/>
    <w:rsid w:val="6F535138"/>
    <w:rsid w:val="6F551878"/>
    <w:rsid w:val="6F5F77DA"/>
    <w:rsid w:val="6F6278D4"/>
    <w:rsid w:val="6F912B37"/>
    <w:rsid w:val="6F9838A8"/>
    <w:rsid w:val="6FB62831"/>
    <w:rsid w:val="6FEE5088"/>
    <w:rsid w:val="70145B47"/>
    <w:rsid w:val="70161521"/>
    <w:rsid w:val="702E49BF"/>
    <w:rsid w:val="704B67CC"/>
    <w:rsid w:val="705D2851"/>
    <w:rsid w:val="7064228D"/>
    <w:rsid w:val="70757397"/>
    <w:rsid w:val="707D5A9E"/>
    <w:rsid w:val="708705CE"/>
    <w:rsid w:val="708B6CE2"/>
    <w:rsid w:val="70907212"/>
    <w:rsid w:val="70A84617"/>
    <w:rsid w:val="70DB33FC"/>
    <w:rsid w:val="70E45A9C"/>
    <w:rsid w:val="713A216C"/>
    <w:rsid w:val="7148477D"/>
    <w:rsid w:val="71520337"/>
    <w:rsid w:val="7153560E"/>
    <w:rsid w:val="71546DE3"/>
    <w:rsid w:val="71591E00"/>
    <w:rsid w:val="71C2733F"/>
    <w:rsid w:val="71C80186"/>
    <w:rsid w:val="71CC6C20"/>
    <w:rsid w:val="71DC0CAE"/>
    <w:rsid w:val="71E35250"/>
    <w:rsid w:val="71F313C9"/>
    <w:rsid w:val="71F96A05"/>
    <w:rsid w:val="7241746E"/>
    <w:rsid w:val="72516841"/>
    <w:rsid w:val="72542898"/>
    <w:rsid w:val="726061AF"/>
    <w:rsid w:val="72653A15"/>
    <w:rsid w:val="72783187"/>
    <w:rsid w:val="727873D4"/>
    <w:rsid w:val="727F1191"/>
    <w:rsid w:val="72A362F0"/>
    <w:rsid w:val="72E74AAF"/>
    <w:rsid w:val="730B2E93"/>
    <w:rsid w:val="73123F60"/>
    <w:rsid w:val="73226DDA"/>
    <w:rsid w:val="734D708D"/>
    <w:rsid w:val="735A5F8F"/>
    <w:rsid w:val="735F14A2"/>
    <w:rsid w:val="737E5413"/>
    <w:rsid w:val="738C4A56"/>
    <w:rsid w:val="739D7782"/>
    <w:rsid w:val="73CD1C56"/>
    <w:rsid w:val="73CD3902"/>
    <w:rsid w:val="73D50958"/>
    <w:rsid w:val="74070402"/>
    <w:rsid w:val="74091017"/>
    <w:rsid w:val="7423420D"/>
    <w:rsid w:val="7425475C"/>
    <w:rsid w:val="74303E89"/>
    <w:rsid w:val="74470FE4"/>
    <w:rsid w:val="74570872"/>
    <w:rsid w:val="74AA4797"/>
    <w:rsid w:val="74C96B62"/>
    <w:rsid w:val="74D35D58"/>
    <w:rsid w:val="74D77440"/>
    <w:rsid w:val="74EE65C9"/>
    <w:rsid w:val="75191295"/>
    <w:rsid w:val="75387C4F"/>
    <w:rsid w:val="754427A9"/>
    <w:rsid w:val="7546725C"/>
    <w:rsid w:val="754901AC"/>
    <w:rsid w:val="756F450E"/>
    <w:rsid w:val="757271FA"/>
    <w:rsid w:val="75773BDB"/>
    <w:rsid w:val="75796C51"/>
    <w:rsid w:val="75A964EC"/>
    <w:rsid w:val="75B07D22"/>
    <w:rsid w:val="75B33426"/>
    <w:rsid w:val="76071671"/>
    <w:rsid w:val="76087F7A"/>
    <w:rsid w:val="763C386B"/>
    <w:rsid w:val="764E56D6"/>
    <w:rsid w:val="76593F16"/>
    <w:rsid w:val="76726D86"/>
    <w:rsid w:val="769136B0"/>
    <w:rsid w:val="76967512"/>
    <w:rsid w:val="769935ED"/>
    <w:rsid w:val="76A827A7"/>
    <w:rsid w:val="76D24009"/>
    <w:rsid w:val="76F12BB2"/>
    <w:rsid w:val="76F8372F"/>
    <w:rsid w:val="773329B9"/>
    <w:rsid w:val="776440E7"/>
    <w:rsid w:val="777C4360"/>
    <w:rsid w:val="77881EB9"/>
    <w:rsid w:val="77AF4370"/>
    <w:rsid w:val="77C61D92"/>
    <w:rsid w:val="77D5197D"/>
    <w:rsid w:val="77F10C8A"/>
    <w:rsid w:val="77F20AD0"/>
    <w:rsid w:val="785931B9"/>
    <w:rsid w:val="7861761C"/>
    <w:rsid w:val="789B1D4A"/>
    <w:rsid w:val="78B74F24"/>
    <w:rsid w:val="78D67AA0"/>
    <w:rsid w:val="78EB1843"/>
    <w:rsid w:val="790A14F7"/>
    <w:rsid w:val="790E7239"/>
    <w:rsid w:val="79247013"/>
    <w:rsid w:val="792A25EA"/>
    <w:rsid w:val="79652BD2"/>
    <w:rsid w:val="798E7DF6"/>
    <w:rsid w:val="79B35AD0"/>
    <w:rsid w:val="79F724A3"/>
    <w:rsid w:val="7A033AB9"/>
    <w:rsid w:val="7A046A47"/>
    <w:rsid w:val="7AB16063"/>
    <w:rsid w:val="7AF114BA"/>
    <w:rsid w:val="7AF91823"/>
    <w:rsid w:val="7AF95E99"/>
    <w:rsid w:val="7B087CB8"/>
    <w:rsid w:val="7B1F572E"/>
    <w:rsid w:val="7B222136"/>
    <w:rsid w:val="7B2717B4"/>
    <w:rsid w:val="7B3905D7"/>
    <w:rsid w:val="7B3A1BF7"/>
    <w:rsid w:val="7B4D6C02"/>
    <w:rsid w:val="7B8C43A0"/>
    <w:rsid w:val="7B9D02F6"/>
    <w:rsid w:val="7BC02341"/>
    <w:rsid w:val="7BC45EE8"/>
    <w:rsid w:val="7BCB2E11"/>
    <w:rsid w:val="7BFC5A6F"/>
    <w:rsid w:val="7C194E7F"/>
    <w:rsid w:val="7C2B3C5E"/>
    <w:rsid w:val="7C413482"/>
    <w:rsid w:val="7C43544C"/>
    <w:rsid w:val="7C484810"/>
    <w:rsid w:val="7C555C01"/>
    <w:rsid w:val="7C75312C"/>
    <w:rsid w:val="7CC74B22"/>
    <w:rsid w:val="7CC974B5"/>
    <w:rsid w:val="7CCF6680"/>
    <w:rsid w:val="7CDE5175"/>
    <w:rsid w:val="7CE33567"/>
    <w:rsid w:val="7CED360A"/>
    <w:rsid w:val="7CF71AB3"/>
    <w:rsid w:val="7D176621"/>
    <w:rsid w:val="7D1943FF"/>
    <w:rsid w:val="7D1E6E14"/>
    <w:rsid w:val="7D235B7B"/>
    <w:rsid w:val="7D32101D"/>
    <w:rsid w:val="7D416415"/>
    <w:rsid w:val="7D6878F6"/>
    <w:rsid w:val="7D710CC8"/>
    <w:rsid w:val="7D742E9D"/>
    <w:rsid w:val="7D9B3CF1"/>
    <w:rsid w:val="7DA23B71"/>
    <w:rsid w:val="7DBD3EFF"/>
    <w:rsid w:val="7DE00EDA"/>
    <w:rsid w:val="7DEC0AD7"/>
    <w:rsid w:val="7E3C2153"/>
    <w:rsid w:val="7E4A24AC"/>
    <w:rsid w:val="7ED625A7"/>
    <w:rsid w:val="7EE047B3"/>
    <w:rsid w:val="7EF81464"/>
    <w:rsid w:val="7EFF5812"/>
    <w:rsid w:val="7F196938"/>
    <w:rsid w:val="7F621288"/>
    <w:rsid w:val="7F6C4828"/>
    <w:rsid w:val="7F6C75F1"/>
    <w:rsid w:val="7F6D458E"/>
    <w:rsid w:val="7FC43F12"/>
    <w:rsid w:val="7FCE14D1"/>
    <w:rsid w:val="7FD05249"/>
    <w:rsid w:val="7FE9293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0" w:name="footnote text"/>
    <w:lsdException w:qFormat="1" w:uiPriority="99" w:semiHidden="0" w:name="annotation text"/>
    <w:lsdException w:qFormat="1" w:uiPriority="99" w:semiHidden="0" w:name="header"/>
    <w:lsdException w:qFormat="1" w:uiPriority="99" w:semiHidden="0" w:name="footer"/>
    <w:lsdException w:qFormat="1" w:uiPriority="99" w:semiHidden="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qFormat="1" w:uiPriority="99" w:semiHidden="0" w:name="Salutation"/>
    <w:lsdException w:uiPriority="0" w:name="Date"/>
    <w:lsdException w:qFormat="1" w:unhideWhenUsed="0" w:uiPriority="0" w:semiHidden="0" w:name="Body Text First Indent"/>
    <w:lsdException w:qFormat="1" w:uiPriority="99"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iPriority="0" w:semiHidden="0" w:name="Body Text Indent 3"/>
    <w:lsdException w:uiPriority="0" w:name="Block Text"/>
    <w:lsdException w:qFormat="1" w:uiPriority="0" w:semiHidden="0" w:name="Hyperlink"/>
    <w:lsdException w:qFormat="1" w:uiPriority="0" w:semiHidden="0" w:name="FollowedHyperlink"/>
    <w:lsdException w:qFormat="1" w:unhideWhenUsed="0" w:uiPriority="99" w:semiHidden="0" w:name="Strong"/>
    <w:lsdException w:qFormat="1" w:unhideWhenUsed="0" w:uiPriority="20" w:semiHidden="0" w:name="Emphasis"/>
    <w:lsdException w:qFormat="1" w:uiPriority="99" w:semiHidden="0" w:name="Document Map"/>
    <w:lsdException w:qFormat="1"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黑体"/>
      <w:kern w:val="2"/>
      <w:sz w:val="21"/>
      <w:szCs w:val="22"/>
      <w:lang w:val="en-US" w:eastAsia="zh-CN" w:bidi="ar-SA"/>
    </w:rPr>
  </w:style>
  <w:style w:type="paragraph" w:styleId="2">
    <w:name w:val="heading 1"/>
    <w:basedOn w:val="1"/>
    <w:next w:val="3"/>
    <w:qFormat/>
    <w:uiPriority w:val="0"/>
    <w:pPr>
      <w:keepNext/>
      <w:keepLines/>
      <w:spacing w:line="360" w:lineRule="auto"/>
      <w:outlineLvl w:val="0"/>
    </w:pPr>
    <w:rPr>
      <w:b/>
      <w:kern w:val="44"/>
      <w:sz w:val="28"/>
    </w:rPr>
  </w:style>
  <w:style w:type="paragraph" w:styleId="4">
    <w:name w:val="heading 2"/>
    <w:basedOn w:val="1"/>
    <w:next w:val="1"/>
    <w:autoRedefine/>
    <w:unhideWhenUsed/>
    <w:qFormat/>
    <w:uiPriority w:val="0"/>
    <w:pPr>
      <w:keepNext/>
      <w:keepLines/>
      <w:spacing w:line="360" w:lineRule="auto"/>
      <w:jc w:val="left"/>
      <w:outlineLvl w:val="1"/>
    </w:pPr>
    <w:rPr>
      <w:b/>
      <w:bCs/>
      <w:sz w:val="24"/>
      <w:szCs w:val="32"/>
    </w:rPr>
  </w:style>
  <w:style w:type="paragraph" w:styleId="5">
    <w:name w:val="heading 3"/>
    <w:basedOn w:val="1"/>
    <w:next w:val="1"/>
    <w:unhideWhenUsed/>
    <w:qFormat/>
    <w:uiPriority w:val="9"/>
    <w:pPr>
      <w:spacing w:line="360" w:lineRule="auto"/>
      <w:jc w:val="left"/>
      <w:outlineLvl w:val="2"/>
    </w:pPr>
    <w:rPr>
      <w:rFonts w:hint="eastAsia" w:ascii="宋体" w:hAnsi="宋体" w:cs="Times New Roman"/>
      <w:b/>
      <w:bCs/>
      <w:kern w:val="0"/>
      <w:sz w:val="24"/>
      <w:szCs w:val="27"/>
    </w:rPr>
  </w:style>
  <w:style w:type="paragraph" w:styleId="6">
    <w:name w:val="heading 4"/>
    <w:basedOn w:val="1"/>
    <w:next w:val="1"/>
    <w:qFormat/>
    <w:uiPriority w:val="9"/>
    <w:pPr>
      <w:keepNext/>
      <w:keepLines/>
      <w:spacing w:before="280" w:after="290" w:line="376" w:lineRule="auto"/>
      <w:outlineLvl w:val="3"/>
    </w:pPr>
    <w:rPr>
      <w:rFonts w:ascii="Cambria" w:hAnsi="Cambria" w:cs="宋体"/>
      <w:b/>
      <w:bCs/>
      <w:sz w:val="28"/>
      <w:szCs w:val="28"/>
    </w:rPr>
  </w:style>
  <w:style w:type="character" w:default="1" w:styleId="31">
    <w:name w:val="Default Paragraph Font"/>
    <w:unhideWhenUsed/>
    <w:qFormat/>
    <w:uiPriority w:val="1"/>
  </w:style>
  <w:style w:type="table" w:default="1" w:styleId="29">
    <w:name w:val="Normal Table"/>
    <w:autoRedefine/>
    <w:unhideWhenUsed/>
    <w:qFormat/>
    <w:uiPriority w:val="99"/>
    <w:tblPr>
      <w:tblCellMar>
        <w:top w:w="0" w:type="dxa"/>
        <w:left w:w="108" w:type="dxa"/>
        <w:bottom w:w="0" w:type="dxa"/>
        <w:right w:w="108" w:type="dxa"/>
      </w:tblCellMar>
    </w:tblPr>
  </w:style>
  <w:style w:type="paragraph" w:customStyle="1" w:styleId="3">
    <w:name w:val="rpt_正文"/>
    <w:qFormat/>
    <w:uiPriority w:val="0"/>
    <w:pPr>
      <w:spacing w:line="400" w:lineRule="exact"/>
      <w:ind w:firstLine="480" w:firstLineChars="200"/>
    </w:pPr>
    <w:rPr>
      <w:rFonts w:ascii="Times New Roman" w:hAnsi="Times New Roman" w:eastAsia="宋体" w:cs="宋体"/>
      <w:kern w:val="2"/>
      <w:sz w:val="24"/>
      <w:lang w:val="en-US" w:eastAsia="zh-CN" w:bidi="ar-SA"/>
    </w:rPr>
  </w:style>
  <w:style w:type="paragraph" w:styleId="7">
    <w:name w:val="Normal Indent"/>
    <w:basedOn w:val="1"/>
    <w:next w:val="1"/>
    <w:qFormat/>
    <w:uiPriority w:val="0"/>
    <w:rPr>
      <w:sz w:val="28"/>
    </w:rPr>
  </w:style>
  <w:style w:type="paragraph" w:styleId="8">
    <w:name w:val="caption"/>
    <w:basedOn w:val="1"/>
    <w:next w:val="1"/>
    <w:autoRedefine/>
    <w:qFormat/>
    <w:uiPriority w:val="0"/>
    <w:rPr>
      <w:rFonts w:ascii="Arial" w:hAnsi="Arial" w:eastAsia="黑体" w:cs="Arial"/>
      <w:sz w:val="20"/>
      <w:szCs w:val="20"/>
    </w:rPr>
  </w:style>
  <w:style w:type="paragraph" w:styleId="9">
    <w:name w:val="Document Map"/>
    <w:basedOn w:val="1"/>
    <w:link w:val="47"/>
    <w:autoRedefine/>
    <w:unhideWhenUsed/>
    <w:qFormat/>
    <w:uiPriority w:val="99"/>
    <w:rPr>
      <w:rFonts w:ascii="宋体"/>
      <w:sz w:val="18"/>
      <w:szCs w:val="18"/>
    </w:rPr>
  </w:style>
  <w:style w:type="paragraph" w:styleId="10">
    <w:name w:val="toa heading"/>
    <w:basedOn w:val="1"/>
    <w:next w:val="1"/>
    <w:autoRedefine/>
    <w:qFormat/>
    <w:uiPriority w:val="0"/>
    <w:pPr>
      <w:spacing w:before="120"/>
    </w:pPr>
    <w:rPr>
      <w:rFonts w:ascii="Arial" w:hAnsi="Arial" w:cs="Arial"/>
    </w:rPr>
  </w:style>
  <w:style w:type="paragraph" w:styleId="11">
    <w:name w:val="annotation text"/>
    <w:basedOn w:val="1"/>
    <w:link w:val="45"/>
    <w:autoRedefine/>
    <w:unhideWhenUsed/>
    <w:qFormat/>
    <w:uiPriority w:val="99"/>
    <w:pPr>
      <w:jc w:val="left"/>
    </w:pPr>
  </w:style>
  <w:style w:type="paragraph" w:styleId="12">
    <w:name w:val="Salutation"/>
    <w:basedOn w:val="1"/>
    <w:next w:val="1"/>
    <w:unhideWhenUsed/>
    <w:qFormat/>
    <w:uiPriority w:val="99"/>
  </w:style>
  <w:style w:type="paragraph" w:styleId="13">
    <w:name w:val="Body Text"/>
    <w:basedOn w:val="1"/>
    <w:next w:val="14"/>
    <w:link w:val="48"/>
    <w:autoRedefine/>
    <w:qFormat/>
    <w:uiPriority w:val="0"/>
    <w:pPr>
      <w:spacing w:after="120"/>
    </w:pPr>
    <w:rPr>
      <w:rFonts w:cs="Times New Roman"/>
      <w:kern w:val="0"/>
      <w:sz w:val="20"/>
      <w:szCs w:val="24"/>
    </w:rPr>
  </w:style>
  <w:style w:type="paragraph" w:styleId="14">
    <w:name w:val="Body Text First Indent 2"/>
    <w:basedOn w:val="15"/>
    <w:next w:val="1"/>
    <w:autoRedefine/>
    <w:unhideWhenUsed/>
    <w:qFormat/>
    <w:uiPriority w:val="99"/>
    <w:pPr>
      <w:widowControl/>
      <w:ind w:firstLine="420" w:firstLineChars="200"/>
      <w:jc w:val="left"/>
    </w:pPr>
  </w:style>
  <w:style w:type="paragraph" w:styleId="15">
    <w:name w:val="Body Text Indent"/>
    <w:basedOn w:val="1"/>
    <w:next w:val="1"/>
    <w:link w:val="49"/>
    <w:autoRedefine/>
    <w:unhideWhenUsed/>
    <w:qFormat/>
    <w:uiPriority w:val="99"/>
    <w:pPr>
      <w:spacing w:after="120"/>
      <w:ind w:left="420" w:leftChars="200"/>
    </w:pPr>
  </w:style>
  <w:style w:type="paragraph" w:styleId="16">
    <w:name w:val="Plain Text"/>
    <w:basedOn w:val="1"/>
    <w:link w:val="63"/>
    <w:autoRedefine/>
    <w:unhideWhenUsed/>
    <w:qFormat/>
    <w:uiPriority w:val="99"/>
    <w:rPr>
      <w:rFonts w:ascii="宋体" w:hAnsi="Courier New" w:cs="Courier New"/>
      <w:szCs w:val="21"/>
    </w:rPr>
  </w:style>
  <w:style w:type="paragraph" w:styleId="17">
    <w:name w:val="Body Text Indent 2"/>
    <w:basedOn w:val="1"/>
    <w:next w:val="18"/>
    <w:autoRedefine/>
    <w:qFormat/>
    <w:uiPriority w:val="0"/>
    <w:pPr>
      <w:spacing w:after="120" w:line="480" w:lineRule="auto"/>
      <w:ind w:left="420" w:leftChars="200"/>
    </w:pPr>
  </w:style>
  <w:style w:type="paragraph" w:customStyle="1" w:styleId="18">
    <w:name w:val="正文4"/>
    <w:autoRedefine/>
    <w:qFormat/>
    <w:uiPriority w:val="0"/>
    <w:pPr>
      <w:spacing w:line="360" w:lineRule="auto"/>
      <w:ind w:firstLine="720" w:firstLineChars="200"/>
      <w:jc w:val="both"/>
    </w:pPr>
    <w:rPr>
      <w:rFonts w:ascii="Times New Roman" w:hAnsi="Times New Roman" w:eastAsia="宋体" w:cs="Times New Roman"/>
      <w:kern w:val="2"/>
      <w:sz w:val="21"/>
      <w:szCs w:val="21"/>
      <w:lang w:val="en-US" w:eastAsia="zh-CN" w:bidi="ar-SA"/>
    </w:rPr>
  </w:style>
  <w:style w:type="paragraph" w:styleId="19">
    <w:name w:val="Balloon Text"/>
    <w:basedOn w:val="1"/>
    <w:link w:val="50"/>
    <w:autoRedefine/>
    <w:unhideWhenUsed/>
    <w:qFormat/>
    <w:uiPriority w:val="99"/>
    <w:rPr>
      <w:sz w:val="18"/>
      <w:szCs w:val="18"/>
    </w:rPr>
  </w:style>
  <w:style w:type="paragraph" w:styleId="20">
    <w:name w:val="footer"/>
    <w:basedOn w:val="1"/>
    <w:link w:val="51"/>
    <w:autoRedefine/>
    <w:unhideWhenUsed/>
    <w:qFormat/>
    <w:uiPriority w:val="99"/>
    <w:pPr>
      <w:tabs>
        <w:tab w:val="center" w:pos="4153"/>
        <w:tab w:val="right" w:pos="8306"/>
      </w:tabs>
      <w:snapToGrid w:val="0"/>
      <w:jc w:val="left"/>
    </w:pPr>
    <w:rPr>
      <w:sz w:val="18"/>
      <w:szCs w:val="18"/>
    </w:rPr>
  </w:style>
  <w:style w:type="paragraph" w:styleId="21">
    <w:name w:val="header"/>
    <w:basedOn w:val="1"/>
    <w:next w:val="1"/>
    <w:link w:val="5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index heading"/>
    <w:basedOn w:val="1"/>
    <w:next w:val="23"/>
    <w:autoRedefine/>
    <w:unhideWhenUsed/>
    <w:qFormat/>
    <w:uiPriority w:val="99"/>
  </w:style>
  <w:style w:type="paragraph" w:styleId="23">
    <w:name w:val="index 1"/>
    <w:basedOn w:val="1"/>
    <w:next w:val="1"/>
    <w:autoRedefine/>
    <w:unhideWhenUsed/>
    <w:qFormat/>
    <w:uiPriority w:val="99"/>
    <w:pPr>
      <w:spacing w:line="360" w:lineRule="auto"/>
      <w:ind w:firstLine="422" w:firstLineChars="200"/>
      <w:jc w:val="center"/>
    </w:pPr>
    <w:rPr>
      <w:b/>
      <w:bCs/>
    </w:rPr>
  </w:style>
  <w:style w:type="paragraph" w:styleId="24">
    <w:name w:val="Body Text Indent 3"/>
    <w:basedOn w:val="1"/>
    <w:link w:val="69"/>
    <w:autoRedefine/>
    <w:unhideWhenUsed/>
    <w:qFormat/>
    <w:uiPriority w:val="0"/>
    <w:pPr>
      <w:spacing w:after="120"/>
      <w:ind w:left="420" w:leftChars="200"/>
    </w:pPr>
    <w:rPr>
      <w:rFonts w:cs="Times New Roman"/>
      <w:sz w:val="16"/>
      <w:szCs w:val="16"/>
      <w:lang w:val="zh-CN"/>
    </w:rPr>
  </w:style>
  <w:style w:type="paragraph" w:styleId="25">
    <w:name w:val="table of figures"/>
    <w:basedOn w:val="1"/>
    <w:next w:val="1"/>
    <w:autoRedefine/>
    <w:qFormat/>
    <w:uiPriority w:val="0"/>
    <w:pPr>
      <w:ind w:left="200" w:leftChars="200" w:hanging="200" w:hangingChars="200"/>
    </w:pPr>
    <w:rPr>
      <w:szCs w:val="24"/>
    </w:rPr>
  </w:style>
  <w:style w:type="paragraph" w:styleId="26">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7">
    <w:name w:val="annotation subject"/>
    <w:basedOn w:val="11"/>
    <w:next w:val="11"/>
    <w:link w:val="46"/>
    <w:autoRedefine/>
    <w:unhideWhenUsed/>
    <w:qFormat/>
    <w:uiPriority w:val="99"/>
    <w:rPr>
      <w:b/>
      <w:bCs/>
    </w:rPr>
  </w:style>
  <w:style w:type="paragraph" w:styleId="28">
    <w:name w:val="Body Text First Indent"/>
    <w:next w:val="1"/>
    <w:qFormat/>
    <w:uiPriority w:val="0"/>
    <w:pPr>
      <w:widowControl w:val="0"/>
      <w:spacing w:after="120" w:line="240" w:lineRule="auto"/>
      <w:ind w:firstLine="420" w:firstLineChars="100"/>
      <w:jc w:val="both"/>
    </w:pPr>
    <w:rPr>
      <w:rFonts w:ascii="Times New Roman" w:hAnsi="Times New Roman" w:eastAsia="宋体" w:cs="Times New Roman"/>
      <w:kern w:val="0"/>
      <w:sz w:val="28"/>
      <w:szCs w:val="24"/>
      <w:lang w:val="en-US" w:eastAsia="zh-CN" w:bidi="ar-SA"/>
    </w:rPr>
  </w:style>
  <w:style w:type="table" w:styleId="30">
    <w:name w:val="Table Grid"/>
    <w:basedOn w:val="2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autoRedefine/>
    <w:qFormat/>
    <w:uiPriority w:val="99"/>
  </w:style>
  <w:style w:type="character" w:styleId="33">
    <w:name w:val="FollowedHyperlink"/>
    <w:basedOn w:val="31"/>
    <w:autoRedefine/>
    <w:unhideWhenUsed/>
    <w:qFormat/>
    <w:uiPriority w:val="0"/>
    <w:rPr>
      <w:color w:val="800080"/>
      <w:u w:val="none"/>
    </w:rPr>
  </w:style>
  <w:style w:type="character" w:styleId="34">
    <w:name w:val="Emphasis"/>
    <w:basedOn w:val="31"/>
    <w:autoRedefine/>
    <w:qFormat/>
    <w:uiPriority w:val="20"/>
  </w:style>
  <w:style w:type="character" w:styleId="35">
    <w:name w:val="Hyperlink"/>
    <w:basedOn w:val="31"/>
    <w:autoRedefine/>
    <w:unhideWhenUsed/>
    <w:qFormat/>
    <w:uiPriority w:val="0"/>
    <w:rPr>
      <w:color w:val="0000FF"/>
      <w:u w:val="none"/>
    </w:rPr>
  </w:style>
  <w:style w:type="character" w:styleId="36">
    <w:name w:val="annotation reference"/>
    <w:basedOn w:val="31"/>
    <w:autoRedefine/>
    <w:unhideWhenUsed/>
    <w:qFormat/>
    <w:uiPriority w:val="99"/>
    <w:rPr>
      <w:sz w:val="21"/>
      <w:szCs w:val="21"/>
    </w:rPr>
  </w:style>
  <w:style w:type="paragraph" w:customStyle="1" w:styleId="37">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8">
    <w:name w:val="表格文字"/>
    <w:basedOn w:val="1"/>
    <w:next w:val="1"/>
    <w:autoRedefine/>
    <w:qFormat/>
    <w:uiPriority w:val="99"/>
    <w:pPr>
      <w:jc w:val="center"/>
    </w:pPr>
    <w:rPr>
      <w:rFonts w:ascii="仿宋_GB2312" w:hAnsi="Arial Black" w:eastAsia="仿宋_GB2312"/>
      <w:kern w:val="44"/>
    </w:rPr>
  </w:style>
  <w:style w:type="paragraph" w:customStyle="1" w:styleId="39">
    <w:name w:val="Default"/>
    <w:basedOn w:val="40"/>
    <w:autoRedefine/>
    <w:qFormat/>
    <w:uiPriority w:val="0"/>
    <w:pPr>
      <w:tabs>
        <w:tab w:val="left" w:pos="377"/>
      </w:tabs>
      <w:autoSpaceDE w:val="0"/>
      <w:autoSpaceDN w:val="0"/>
      <w:adjustRightInd w:val="0"/>
    </w:pPr>
    <w:rPr>
      <w:rFonts w:hAnsi="Times New Roman" w:cs="宋体"/>
      <w:color w:val="000000"/>
      <w:sz w:val="24"/>
      <w:szCs w:val="24"/>
    </w:rPr>
  </w:style>
  <w:style w:type="paragraph" w:customStyle="1" w:styleId="40">
    <w:name w:val="纯文本1"/>
    <w:basedOn w:val="1"/>
    <w:autoRedefine/>
    <w:qFormat/>
    <w:uiPriority w:val="0"/>
    <w:rPr>
      <w:rFonts w:ascii="宋体" w:hAnsi="Courier New"/>
    </w:rPr>
  </w:style>
  <w:style w:type="paragraph" w:customStyle="1" w:styleId="41">
    <w:name w:val="简单回函地址"/>
    <w:basedOn w:val="1"/>
    <w:next w:val="42"/>
    <w:autoRedefine/>
    <w:qFormat/>
    <w:uiPriority w:val="0"/>
    <w:pPr>
      <w:widowControl/>
    </w:pPr>
    <w:rPr>
      <w:rFonts w:ascii="宋体" w:hAnsi="宋体" w:cs="宋体"/>
      <w:kern w:val="0"/>
      <w:szCs w:val="20"/>
    </w:rPr>
  </w:style>
  <w:style w:type="paragraph" w:customStyle="1" w:styleId="42">
    <w:name w:val="正文2"/>
    <w:basedOn w:val="15"/>
    <w:next w:val="1"/>
    <w:autoRedefine/>
    <w:qFormat/>
    <w:uiPriority w:val="0"/>
    <w:pPr>
      <w:spacing w:line="360" w:lineRule="auto"/>
    </w:pPr>
    <w:rPr>
      <w:rFonts w:eastAsia="仿宋_GB2312"/>
      <w:szCs w:val="28"/>
      <w:lang w:val="zh-CN"/>
    </w:rPr>
  </w:style>
  <w:style w:type="paragraph" w:customStyle="1" w:styleId="43">
    <w:name w:val="表（或图）标题 样式 宋体 五号 居中 SL CON"/>
    <w:basedOn w:val="1"/>
    <w:qFormat/>
    <w:uiPriority w:val="0"/>
    <w:pPr>
      <w:widowControl/>
      <w:tabs>
        <w:tab w:val="left" w:pos="377"/>
      </w:tabs>
      <w:spacing w:before="100" w:beforeAutospacing="1" w:line="360" w:lineRule="auto"/>
      <w:jc w:val="center"/>
    </w:pPr>
    <w:rPr>
      <w:rFonts w:ascii="宋体" w:hAnsi="宋体" w:cs="宋体"/>
      <w:b/>
      <w:kern w:val="0"/>
      <w:szCs w:val="20"/>
    </w:rPr>
  </w:style>
  <w:style w:type="paragraph" w:customStyle="1" w:styleId="44">
    <w:name w:val="xl27"/>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rPr>
  </w:style>
  <w:style w:type="character" w:customStyle="1" w:styleId="45">
    <w:name w:val="批注文字 字符"/>
    <w:basedOn w:val="31"/>
    <w:link w:val="11"/>
    <w:autoRedefine/>
    <w:semiHidden/>
    <w:qFormat/>
    <w:uiPriority w:val="99"/>
  </w:style>
  <w:style w:type="character" w:customStyle="1" w:styleId="46">
    <w:name w:val="批注主题 字符"/>
    <w:link w:val="27"/>
    <w:autoRedefine/>
    <w:semiHidden/>
    <w:qFormat/>
    <w:uiPriority w:val="99"/>
    <w:rPr>
      <w:b/>
      <w:bCs/>
    </w:rPr>
  </w:style>
  <w:style w:type="character" w:customStyle="1" w:styleId="47">
    <w:name w:val="文档结构图 字符"/>
    <w:link w:val="9"/>
    <w:autoRedefine/>
    <w:semiHidden/>
    <w:qFormat/>
    <w:uiPriority w:val="99"/>
    <w:rPr>
      <w:rFonts w:ascii="宋体" w:eastAsia="宋体"/>
      <w:sz w:val="18"/>
      <w:szCs w:val="18"/>
    </w:rPr>
  </w:style>
  <w:style w:type="character" w:customStyle="1" w:styleId="48">
    <w:name w:val="正文文本 字符"/>
    <w:link w:val="13"/>
    <w:autoRedefine/>
    <w:qFormat/>
    <w:uiPriority w:val="0"/>
    <w:rPr>
      <w:szCs w:val="24"/>
    </w:rPr>
  </w:style>
  <w:style w:type="character" w:customStyle="1" w:styleId="49">
    <w:name w:val="正文文本缩进 字符"/>
    <w:basedOn w:val="31"/>
    <w:link w:val="15"/>
    <w:autoRedefine/>
    <w:semiHidden/>
    <w:qFormat/>
    <w:uiPriority w:val="99"/>
  </w:style>
  <w:style w:type="character" w:customStyle="1" w:styleId="50">
    <w:name w:val="批注框文本 字符"/>
    <w:link w:val="19"/>
    <w:autoRedefine/>
    <w:semiHidden/>
    <w:qFormat/>
    <w:uiPriority w:val="99"/>
    <w:rPr>
      <w:sz w:val="18"/>
      <w:szCs w:val="18"/>
    </w:rPr>
  </w:style>
  <w:style w:type="character" w:customStyle="1" w:styleId="51">
    <w:name w:val="页脚 字符"/>
    <w:link w:val="20"/>
    <w:autoRedefine/>
    <w:qFormat/>
    <w:uiPriority w:val="99"/>
    <w:rPr>
      <w:sz w:val="18"/>
      <w:szCs w:val="18"/>
    </w:rPr>
  </w:style>
  <w:style w:type="character" w:customStyle="1" w:styleId="52">
    <w:name w:val="页眉 字符"/>
    <w:link w:val="21"/>
    <w:autoRedefine/>
    <w:qFormat/>
    <w:uiPriority w:val="99"/>
    <w:rPr>
      <w:sz w:val="18"/>
      <w:szCs w:val="18"/>
    </w:rPr>
  </w:style>
  <w:style w:type="paragraph" w:customStyle="1" w:styleId="53">
    <w:name w:val="表格文字2"/>
    <w:basedOn w:val="1"/>
    <w:autoRedefine/>
    <w:qFormat/>
    <w:uiPriority w:val="0"/>
    <w:pPr>
      <w:adjustRightInd w:val="0"/>
      <w:spacing w:before="60"/>
      <w:jc w:val="center"/>
      <w:textAlignment w:val="baseline"/>
    </w:pPr>
    <w:rPr>
      <w:rFonts w:ascii="宋体" w:cs="Times New Roman"/>
      <w:kern w:val="0"/>
      <w:sz w:val="24"/>
      <w:szCs w:val="20"/>
    </w:rPr>
  </w:style>
  <w:style w:type="paragraph" w:customStyle="1" w:styleId="54">
    <w:name w:val="表"/>
    <w:basedOn w:val="1"/>
    <w:autoRedefine/>
    <w:qFormat/>
    <w:uiPriority w:val="0"/>
    <w:pPr>
      <w:spacing w:line="240" w:lineRule="exact"/>
    </w:pPr>
    <w:rPr>
      <w:rFonts w:ascii="仿宋_GB2312" w:hAnsi="宋体" w:eastAsia="仿宋_GB2312" w:cs="Times New Roman"/>
      <w:sz w:val="18"/>
      <w:szCs w:val="20"/>
    </w:rPr>
  </w:style>
  <w:style w:type="paragraph" w:customStyle="1" w:styleId="55">
    <w:name w:val="表格内容"/>
    <w:basedOn w:val="1"/>
    <w:next w:val="2"/>
    <w:link w:val="56"/>
    <w:qFormat/>
    <w:uiPriority w:val="0"/>
    <w:pPr>
      <w:jc w:val="center"/>
    </w:pPr>
    <w:rPr>
      <w:rFonts w:eastAsia="Times New Roman" w:cs="Times New Roman"/>
      <w:kern w:val="0"/>
      <w:sz w:val="20"/>
      <w:szCs w:val="21"/>
    </w:rPr>
  </w:style>
  <w:style w:type="character" w:customStyle="1" w:styleId="56">
    <w:name w:val="表格内容 Char"/>
    <w:link w:val="55"/>
    <w:autoRedefine/>
    <w:qFormat/>
    <w:uiPriority w:val="0"/>
    <w:rPr>
      <w:rFonts w:ascii="Times New Roman" w:hAnsi="Times New Roman" w:eastAsia="Times New Roman" w:cs="Times New Roman"/>
      <w:szCs w:val="21"/>
    </w:rPr>
  </w:style>
  <w:style w:type="paragraph" w:customStyle="1" w:styleId="57">
    <w:name w:val="表格首行"/>
    <w:basedOn w:val="1"/>
    <w:next w:val="1"/>
    <w:qFormat/>
    <w:uiPriority w:val="0"/>
    <w:pPr>
      <w:jc w:val="center"/>
    </w:pPr>
    <w:rPr>
      <w:rFonts w:cs="宋体"/>
      <w:b/>
      <w:szCs w:val="20"/>
    </w:rPr>
  </w:style>
  <w:style w:type="paragraph" w:customStyle="1" w:styleId="58">
    <w:name w:val="正文-欣欣"/>
    <w:basedOn w:val="16"/>
    <w:next w:val="1"/>
    <w:qFormat/>
    <w:uiPriority w:val="0"/>
    <w:pPr>
      <w:adjustRightInd w:val="0"/>
      <w:spacing w:line="360" w:lineRule="auto"/>
      <w:ind w:firstLine="200" w:firstLineChars="200"/>
    </w:pPr>
    <w:rPr>
      <w:rFonts w:cs="Times New Roman"/>
      <w:sz w:val="24"/>
      <w:szCs w:val="30"/>
    </w:rPr>
  </w:style>
  <w:style w:type="character" w:customStyle="1" w:styleId="59">
    <w:name w:val="正文文本 Char1"/>
    <w:basedOn w:val="31"/>
    <w:semiHidden/>
    <w:qFormat/>
    <w:uiPriority w:val="99"/>
  </w:style>
  <w:style w:type="character" w:customStyle="1" w:styleId="60">
    <w:name w:val="占位符文本1"/>
    <w:semiHidden/>
    <w:qFormat/>
    <w:uiPriority w:val="99"/>
    <w:rPr>
      <w:color w:val="808080"/>
    </w:rPr>
  </w:style>
  <w:style w:type="table" w:customStyle="1" w:styleId="61">
    <w:name w:val="网格型1"/>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
    <w:name w:val="网格型2"/>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3">
    <w:name w:val="纯文本 字符"/>
    <w:link w:val="16"/>
    <w:semiHidden/>
    <w:qFormat/>
    <w:uiPriority w:val="99"/>
    <w:rPr>
      <w:rFonts w:ascii="宋体" w:hAnsi="Courier New" w:cs="Courier New"/>
      <w:kern w:val="2"/>
      <w:sz w:val="21"/>
      <w:szCs w:val="21"/>
    </w:rPr>
  </w:style>
  <w:style w:type="paragraph" w:customStyle="1" w:styleId="64">
    <w:name w:val="章节目录"/>
    <w:basedOn w:val="1"/>
    <w:link w:val="65"/>
    <w:qFormat/>
    <w:uiPriority w:val="0"/>
    <w:pPr>
      <w:spacing w:line="360" w:lineRule="auto"/>
      <w:outlineLvl w:val="0"/>
    </w:pPr>
    <w:rPr>
      <w:b/>
      <w:sz w:val="28"/>
      <w:szCs w:val="28"/>
    </w:rPr>
  </w:style>
  <w:style w:type="character" w:customStyle="1" w:styleId="65">
    <w:name w:val="章节目录 Char"/>
    <w:link w:val="64"/>
    <w:autoRedefine/>
    <w:qFormat/>
    <w:uiPriority w:val="0"/>
    <w:rPr>
      <w:rFonts w:cs="黑体"/>
      <w:b/>
      <w:kern w:val="2"/>
      <w:sz w:val="28"/>
      <w:szCs w:val="28"/>
    </w:rPr>
  </w:style>
  <w:style w:type="paragraph" w:customStyle="1" w:styleId="66">
    <w:name w:val="Char4 Char Char Char Char Char Char1"/>
    <w:basedOn w:val="1"/>
    <w:autoRedefine/>
    <w:qFormat/>
    <w:uiPriority w:val="0"/>
    <w:pPr>
      <w:spacing w:line="360" w:lineRule="auto"/>
      <w:ind w:firstLine="200" w:firstLineChars="200"/>
    </w:pPr>
    <w:rPr>
      <w:rFonts w:ascii="宋体" w:hAnsi="宋体" w:cs="宋体"/>
      <w:sz w:val="24"/>
      <w:szCs w:val="24"/>
    </w:rPr>
  </w:style>
  <w:style w:type="paragraph" w:customStyle="1" w:styleId="67">
    <w:name w:val="表头"/>
    <w:basedOn w:val="1"/>
    <w:link w:val="68"/>
    <w:qFormat/>
    <w:uiPriority w:val="0"/>
    <w:pPr>
      <w:spacing w:line="360" w:lineRule="auto"/>
      <w:jc w:val="center"/>
    </w:pPr>
    <w:rPr>
      <w:rFonts w:eastAsia="黑体" w:cs="Times New Roman"/>
      <w:color w:val="FF0000"/>
      <w:szCs w:val="21"/>
    </w:rPr>
  </w:style>
  <w:style w:type="character" w:customStyle="1" w:styleId="68">
    <w:name w:val="表头 Char"/>
    <w:link w:val="67"/>
    <w:autoRedefine/>
    <w:qFormat/>
    <w:uiPriority w:val="0"/>
    <w:rPr>
      <w:rFonts w:eastAsia="黑体"/>
      <w:color w:val="FF0000"/>
      <w:kern w:val="2"/>
      <w:sz w:val="21"/>
      <w:szCs w:val="21"/>
    </w:rPr>
  </w:style>
  <w:style w:type="character" w:customStyle="1" w:styleId="69">
    <w:name w:val="正文文本缩进 3 字符"/>
    <w:link w:val="24"/>
    <w:autoRedefine/>
    <w:qFormat/>
    <w:uiPriority w:val="0"/>
    <w:rPr>
      <w:kern w:val="2"/>
      <w:sz w:val="16"/>
      <w:szCs w:val="16"/>
      <w:lang w:val="zh-CN" w:eastAsia="zh-CN"/>
    </w:rPr>
  </w:style>
  <w:style w:type="paragraph" w:customStyle="1" w:styleId="70">
    <w:name w:val="四级标题"/>
    <w:basedOn w:val="1"/>
    <w:link w:val="71"/>
    <w:qFormat/>
    <w:uiPriority w:val="0"/>
    <w:pPr>
      <w:spacing w:line="360" w:lineRule="auto"/>
      <w:ind w:firstLine="200" w:firstLineChars="200"/>
      <w:outlineLvl w:val="3"/>
    </w:pPr>
    <w:rPr>
      <w:rFonts w:cs="Times New Roman"/>
      <w:b/>
      <w:sz w:val="24"/>
      <w:szCs w:val="24"/>
    </w:rPr>
  </w:style>
  <w:style w:type="character" w:customStyle="1" w:styleId="71">
    <w:name w:val="四级标题 Char"/>
    <w:link w:val="70"/>
    <w:autoRedefine/>
    <w:qFormat/>
    <w:uiPriority w:val="0"/>
    <w:rPr>
      <w:b/>
      <w:kern w:val="2"/>
      <w:sz w:val="24"/>
      <w:szCs w:val="24"/>
    </w:rPr>
  </w:style>
  <w:style w:type="paragraph" w:customStyle="1" w:styleId="72">
    <w:name w:val="报告表格"/>
    <w:basedOn w:val="1"/>
    <w:link w:val="73"/>
    <w:qFormat/>
    <w:uiPriority w:val="0"/>
    <w:pPr>
      <w:autoSpaceDE w:val="0"/>
      <w:autoSpaceDN w:val="0"/>
      <w:adjustRightInd w:val="0"/>
      <w:spacing w:before="40" w:after="40"/>
      <w:jc w:val="center"/>
      <w:textAlignment w:val="bottom"/>
    </w:pPr>
    <w:rPr>
      <w:rFonts w:cs="Times New Roman"/>
      <w:kern w:val="0"/>
      <w:szCs w:val="20"/>
    </w:rPr>
  </w:style>
  <w:style w:type="character" w:customStyle="1" w:styleId="73">
    <w:name w:val="报告表格 Char"/>
    <w:link w:val="72"/>
    <w:autoRedefine/>
    <w:qFormat/>
    <w:uiPriority w:val="0"/>
    <w:rPr>
      <w:sz w:val="21"/>
    </w:rPr>
  </w:style>
  <w:style w:type="paragraph" w:customStyle="1" w:styleId="74">
    <w:name w:val="List Paragraph"/>
    <w:basedOn w:val="1"/>
    <w:autoRedefine/>
    <w:qFormat/>
    <w:uiPriority w:val="99"/>
    <w:pPr>
      <w:ind w:firstLine="420" w:firstLineChars="200"/>
    </w:pPr>
  </w:style>
  <w:style w:type="paragraph" w:customStyle="1" w:styleId="75">
    <w:name w:val="宋-正文"/>
    <w:basedOn w:val="1"/>
    <w:qFormat/>
    <w:uiPriority w:val="0"/>
    <w:pPr>
      <w:autoSpaceDE w:val="0"/>
      <w:autoSpaceDN w:val="0"/>
      <w:adjustRightInd w:val="0"/>
      <w:spacing w:line="360" w:lineRule="auto"/>
      <w:ind w:firstLine="200" w:firstLineChars="200"/>
    </w:pPr>
    <w:rPr>
      <w:kern w:val="0"/>
      <w:sz w:val="24"/>
    </w:rPr>
  </w:style>
  <w:style w:type="paragraph" w:customStyle="1" w:styleId="76">
    <w:name w:val="报告"/>
    <w:basedOn w:val="1"/>
    <w:qFormat/>
    <w:uiPriority w:val="0"/>
    <w:pPr>
      <w:spacing w:beforeLines="30" w:afterLines="30" w:line="400" w:lineRule="atLeast"/>
      <w:ind w:firstLine="200" w:firstLineChars="200"/>
    </w:pPr>
    <w:rPr>
      <w:rFonts w:ascii="Calibri" w:hAnsi="Calibri" w:cs="Times New Roman"/>
      <w:sz w:val="24"/>
    </w:rPr>
  </w:style>
  <w:style w:type="paragraph" w:customStyle="1" w:styleId="77">
    <w:name w:val="A表内文字"/>
    <w:basedOn w:val="1"/>
    <w:next w:val="1"/>
    <w:qFormat/>
    <w:uiPriority w:val="0"/>
    <w:pPr>
      <w:autoSpaceDE w:val="0"/>
      <w:autoSpaceDN w:val="0"/>
      <w:adjustRightInd w:val="0"/>
      <w:jc w:val="center"/>
    </w:pPr>
    <w:rPr>
      <w:rFonts w:cs="Times New Roman"/>
      <w:szCs w:val="24"/>
    </w:rPr>
  </w:style>
  <w:style w:type="paragraph" w:customStyle="1" w:styleId="78">
    <w:name w:val="表1"/>
    <w:basedOn w:val="1"/>
    <w:qFormat/>
    <w:uiPriority w:val="0"/>
    <w:pPr>
      <w:spacing w:line="260" w:lineRule="exact"/>
      <w:jc w:val="center"/>
    </w:pPr>
    <w:rPr>
      <w:sz w:val="18"/>
      <w:szCs w:val="20"/>
    </w:rPr>
  </w:style>
  <w:style w:type="paragraph" w:customStyle="1" w:styleId="79">
    <w:name w:val="正文-蓝色"/>
    <w:basedOn w:val="58"/>
    <w:next w:val="1"/>
    <w:qFormat/>
    <w:uiPriority w:val="0"/>
    <w:rPr>
      <w:color w:val="FF0000"/>
      <w:szCs w:val="28"/>
    </w:rPr>
  </w:style>
  <w:style w:type="paragraph" w:customStyle="1" w:styleId="80">
    <w:name w:val="1、L表内字"/>
    <w:basedOn w:val="1"/>
    <w:autoRedefine/>
    <w:qFormat/>
    <w:uiPriority w:val="0"/>
    <w:pPr>
      <w:adjustRightInd w:val="0"/>
      <w:snapToGrid w:val="0"/>
      <w:jc w:val="center"/>
    </w:pPr>
    <w:rPr>
      <w:color w:val="000000"/>
      <w:szCs w:val="21"/>
    </w:rPr>
  </w:style>
  <w:style w:type="paragraph" w:customStyle="1" w:styleId="81">
    <w:name w:val="表内字"/>
    <w:basedOn w:val="1"/>
    <w:autoRedefine/>
    <w:qFormat/>
    <w:uiPriority w:val="0"/>
    <w:pPr>
      <w:jc w:val="center"/>
    </w:pPr>
    <w:rPr>
      <w:szCs w:val="18"/>
    </w:rPr>
  </w:style>
  <w:style w:type="paragraph" w:customStyle="1" w:styleId="82">
    <w:name w:val="rpt_表项"/>
    <w:basedOn w:val="1"/>
    <w:qFormat/>
    <w:uiPriority w:val="0"/>
    <w:pPr>
      <w:spacing w:before="60" w:after="60"/>
      <w:jc w:val="center"/>
    </w:pPr>
    <w:rPr>
      <w:rFonts w:cs="宋体"/>
      <w:sz w:val="22"/>
      <w:szCs w:val="20"/>
    </w:rPr>
  </w:style>
  <w:style w:type="paragraph" w:customStyle="1" w:styleId="83">
    <w:name w:val="样式 表格 32 + 首行缩进:  2 字符"/>
    <w:basedOn w:val="1"/>
    <w:qFormat/>
    <w:uiPriority w:val="0"/>
    <w:pPr>
      <w:autoSpaceDE w:val="0"/>
      <w:autoSpaceDN w:val="0"/>
      <w:adjustRightInd w:val="0"/>
      <w:spacing w:line="0" w:lineRule="atLeast"/>
      <w:jc w:val="center"/>
      <w:textAlignment w:val="baseline"/>
    </w:pPr>
    <w:rPr>
      <w:szCs w:val="21"/>
    </w:rPr>
  </w:style>
  <w:style w:type="character" w:customStyle="1" w:styleId="84">
    <w:name w:val="NormalCharacter"/>
    <w:semiHidden/>
    <w:qFormat/>
    <w:uiPriority w:val="0"/>
  </w:style>
  <w:style w:type="paragraph" w:customStyle="1" w:styleId="85">
    <w:name w:val="龚艺正文"/>
    <w:basedOn w:val="1"/>
    <w:qFormat/>
    <w:uiPriority w:val="0"/>
    <w:pPr>
      <w:overflowPunct w:val="0"/>
      <w:spacing w:line="360" w:lineRule="auto"/>
      <w:ind w:firstLine="200" w:firstLineChars="200"/>
      <w:textAlignment w:val="baseline"/>
    </w:pPr>
    <w:rPr>
      <w:color w:val="000000"/>
      <w:sz w:val="24"/>
    </w:rPr>
  </w:style>
  <w:style w:type="paragraph" w:customStyle="1" w:styleId="86">
    <w:name w:val="宋-表名"/>
    <w:basedOn w:val="87"/>
    <w:next w:val="87"/>
    <w:qFormat/>
    <w:uiPriority w:val="1"/>
    <w:pPr>
      <w:spacing w:line="240" w:lineRule="auto"/>
      <w:ind w:firstLine="0"/>
      <w:jc w:val="center"/>
    </w:pPr>
    <w:rPr>
      <w:b/>
      <w:sz w:val="21"/>
    </w:rPr>
  </w:style>
  <w:style w:type="paragraph" w:customStyle="1" w:styleId="87">
    <w:name w:val="A6正文"/>
    <w:basedOn w:val="1"/>
    <w:autoRedefine/>
    <w:qFormat/>
    <w:uiPriority w:val="2"/>
    <w:pPr>
      <w:spacing w:line="360" w:lineRule="auto"/>
      <w:ind w:firstLine="482"/>
    </w:pPr>
    <w:rPr>
      <w:sz w:val="24"/>
    </w:rPr>
  </w:style>
  <w:style w:type="paragraph" w:customStyle="1" w:styleId="88">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89">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90">
    <w:name w:val="Table Grid_0"/>
    <w:basedOn w:val="29"/>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1">
    <w:name w:val="No Spacing"/>
    <w:qFormat/>
    <w:uiPriority w:val="1"/>
    <w:pPr>
      <w:widowControl w:val="0"/>
      <w:spacing w:beforeLines="50" w:afterLines="50" w:line="360" w:lineRule="auto"/>
      <w:jc w:val="both"/>
    </w:pPr>
    <w:rPr>
      <w:rFonts w:ascii="Calibri" w:hAnsi="Calibri" w:eastAsia="宋体" w:cs="Times New Roman"/>
      <w:kern w:val="2"/>
      <w:sz w:val="24"/>
      <w:szCs w:val="22"/>
      <w:lang w:val="en-US" w:eastAsia="zh-CN" w:bidi="ar-SA"/>
    </w:rPr>
  </w:style>
  <w:style w:type="character" w:customStyle="1" w:styleId="92">
    <w:name w:val="disabled"/>
    <w:basedOn w:val="31"/>
    <w:qFormat/>
    <w:uiPriority w:val="0"/>
    <w:rPr>
      <w:vanish/>
    </w:rPr>
  </w:style>
  <w:style w:type="character" w:customStyle="1" w:styleId="93">
    <w:name w:val="znspantitle"/>
    <w:basedOn w:val="31"/>
    <w:autoRedefine/>
    <w:qFormat/>
    <w:uiPriority w:val="0"/>
    <w:rPr>
      <w:b/>
      <w:bCs/>
      <w:color w:val="333333"/>
    </w:rPr>
  </w:style>
  <w:style w:type="character" w:customStyle="1" w:styleId="94">
    <w:name w:val="fontstyle01"/>
    <w:qFormat/>
    <w:uiPriority w:val="0"/>
    <w:rPr>
      <w:rFonts w:ascii="宋体" w:hAnsi="宋体" w:eastAsia="宋体" w:cs="宋体"/>
      <w:color w:val="000000"/>
      <w:kern w:val="0"/>
      <w:sz w:val="24"/>
      <w:szCs w:val="24"/>
    </w:rPr>
  </w:style>
  <w:style w:type="paragraph" w:customStyle="1" w:styleId="95">
    <w:name w:val="纯文本3"/>
    <w:basedOn w:val="1"/>
    <w:qFormat/>
    <w:uiPriority w:val="0"/>
    <w:pPr>
      <w:adjustRightInd w:val="0"/>
      <w:spacing w:line="312" w:lineRule="atLeast"/>
      <w:textAlignment w:val="baseline"/>
    </w:pPr>
    <w:rPr>
      <w:caps/>
      <w:kern w:val="0"/>
      <w:szCs w:val="20"/>
    </w:rPr>
  </w:style>
  <w:style w:type="paragraph" w:customStyle="1" w:styleId="96">
    <w:name w:val="+++正文、"/>
    <w:basedOn w:val="1"/>
    <w:qFormat/>
    <w:uiPriority w:val="0"/>
    <w:pPr>
      <w:autoSpaceDE w:val="0"/>
      <w:autoSpaceDN w:val="0"/>
      <w:adjustRightInd w:val="0"/>
      <w:spacing w:line="360" w:lineRule="auto"/>
      <w:ind w:firstLine="200" w:firstLineChars="200"/>
    </w:pPr>
    <w:rPr>
      <w:rFonts w:ascii="Calibri" w:hAnsi="Calibri" w:cs="Times New Roman"/>
      <w:sz w:val="24"/>
      <w:szCs w:val="24"/>
    </w:rPr>
  </w:style>
  <w:style w:type="paragraph" w:customStyle="1" w:styleId="97">
    <w:name w:val="标准正文"/>
    <w:qFormat/>
    <w:uiPriority w:val="0"/>
    <w:pPr>
      <w:keepNext/>
      <w:keepLines/>
      <w:snapToGrid w:val="0"/>
      <w:spacing w:before="50" w:beforeLines="50" w:after="50" w:afterLines="50" w:line="360" w:lineRule="auto"/>
      <w:ind w:firstLine="200" w:firstLineChars="200"/>
      <w:jc w:val="both"/>
    </w:pPr>
    <w:rPr>
      <w:rFonts w:ascii="Times New Roman" w:hAnsi="Times New Roman" w:eastAsia="宋体" w:cs="Times New Roman"/>
      <w:sz w:val="24"/>
      <w:szCs w:val="24"/>
      <w:lang w:val="en-US" w:eastAsia="zh-CN" w:bidi="ar-SA"/>
    </w:rPr>
  </w:style>
  <w:style w:type="character" w:customStyle="1" w:styleId="98">
    <w:name w:val="font61"/>
    <w:basedOn w:val="31"/>
    <w:qFormat/>
    <w:uiPriority w:val="0"/>
    <w:rPr>
      <w:rFonts w:hint="eastAsia" w:ascii="宋体" w:hAnsi="宋体" w:eastAsia="宋体" w:cs="宋体"/>
      <w:color w:val="000000"/>
      <w:sz w:val="28"/>
      <w:szCs w:val="28"/>
      <w:u w:val="none"/>
      <w:vertAlign w:val="superscript"/>
    </w:rPr>
  </w:style>
  <w:style w:type="character" w:customStyle="1" w:styleId="99">
    <w:name w:val="font51"/>
    <w:basedOn w:val="31"/>
    <w:autoRedefine/>
    <w:qFormat/>
    <w:uiPriority w:val="0"/>
    <w:rPr>
      <w:rFonts w:ascii="Calibri" w:hAnsi="Calibri" w:cs="Calibri"/>
      <w:color w:val="000000"/>
      <w:sz w:val="28"/>
      <w:szCs w:val="28"/>
      <w:u w:val="none"/>
    </w:rPr>
  </w:style>
  <w:style w:type="character" w:customStyle="1" w:styleId="100">
    <w:name w:val="font71"/>
    <w:basedOn w:val="31"/>
    <w:autoRedefine/>
    <w:qFormat/>
    <w:uiPriority w:val="0"/>
    <w:rPr>
      <w:rFonts w:hint="eastAsia" w:ascii="宋体" w:hAnsi="宋体" w:eastAsia="宋体" w:cs="宋体"/>
      <w:color w:val="000000"/>
      <w:sz w:val="28"/>
      <w:szCs w:val="28"/>
      <w:u w:val="none"/>
    </w:rPr>
  </w:style>
  <w:style w:type="character" w:customStyle="1" w:styleId="101">
    <w:name w:val="font21"/>
    <w:basedOn w:val="31"/>
    <w:qFormat/>
    <w:uiPriority w:val="0"/>
    <w:rPr>
      <w:rFonts w:hint="eastAsia" w:ascii="宋体" w:hAnsi="宋体" w:eastAsia="宋体" w:cs="宋体"/>
      <w:color w:val="000000"/>
      <w:sz w:val="18"/>
      <w:szCs w:val="18"/>
      <w:u w:val="none"/>
    </w:rPr>
  </w:style>
  <w:style w:type="paragraph" w:customStyle="1" w:styleId="102">
    <w:name w:val="小四缩进2"/>
    <w:basedOn w:val="1"/>
    <w:autoRedefine/>
    <w:qFormat/>
    <w:uiPriority w:val="0"/>
    <w:pPr>
      <w:adjustRightInd w:val="0"/>
      <w:snapToGrid w:val="0"/>
      <w:spacing w:line="360" w:lineRule="auto"/>
      <w:ind w:firstLine="480" w:firstLineChars="200"/>
    </w:pPr>
    <w:rPr>
      <w:rFonts w:ascii="Calibri" w:hAnsi="Calibri" w:cs="Calibri"/>
      <w:sz w:val="24"/>
      <w:szCs w:val="24"/>
    </w:rPr>
  </w:style>
  <w:style w:type="paragraph" w:customStyle="1" w:styleId="103">
    <w:name w:val="Normal_44"/>
    <w:qFormat/>
    <w:uiPriority w:val="0"/>
    <w:pPr>
      <w:spacing w:before="120" w:after="240"/>
      <w:jc w:val="both"/>
    </w:pPr>
    <w:rPr>
      <w:rFonts w:ascii="Calibri" w:hAnsi="Calibri" w:eastAsia="Calibri" w:cs="Times New Roman"/>
      <w:sz w:val="22"/>
      <w:szCs w:val="22"/>
      <w:lang w:val="ru-RU" w:eastAsia="en-US" w:bidi="ar-SA"/>
    </w:rPr>
  </w:style>
  <w:style w:type="paragraph" w:customStyle="1" w:styleId="104">
    <w:name w:val="表格"/>
    <w:basedOn w:val="1"/>
    <w:qFormat/>
    <w:uiPriority w:val="0"/>
    <w:pPr>
      <w:jc w:val="center"/>
    </w:pPr>
    <w:rPr>
      <w:szCs w:val="21"/>
    </w:rPr>
  </w:style>
  <w:style w:type="paragraph" w:customStyle="1" w:styleId="105">
    <w:name w:val="无间隔1"/>
    <w:next w:val="1"/>
    <w:qFormat/>
    <w:uiPriority w:val="0"/>
    <w:pPr>
      <w:widowControl w:val="0"/>
      <w:jc w:val="center"/>
    </w:pPr>
    <w:rPr>
      <w:rFonts w:ascii="Times New Roman" w:hAnsi="Times New Roman" w:eastAsia="宋体" w:cs="Times New Roman"/>
      <w:kern w:val="2"/>
      <w:sz w:val="21"/>
      <w:szCs w:val="22"/>
      <w:lang w:val="en-US" w:eastAsia="zh-CN" w:bidi="ar-SA"/>
    </w:rPr>
  </w:style>
  <w:style w:type="character" w:customStyle="1" w:styleId="106">
    <w:name w:val="font11"/>
    <w:basedOn w:val="31"/>
    <w:autoRedefine/>
    <w:qFormat/>
    <w:uiPriority w:val="0"/>
    <w:rPr>
      <w:rFonts w:hint="default" w:ascii="Times New Roman" w:hAnsi="Times New Roman" w:cs="Times New Roman"/>
      <w:color w:val="000000"/>
      <w:sz w:val="21"/>
      <w:szCs w:val="21"/>
      <w:u w:val="none"/>
    </w:rPr>
  </w:style>
  <w:style w:type="character" w:customStyle="1" w:styleId="107">
    <w:name w:val="font31"/>
    <w:basedOn w:val="31"/>
    <w:autoRedefine/>
    <w:qFormat/>
    <w:uiPriority w:val="0"/>
    <w:rPr>
      <w:rFonts w:hint="eastAsia" w:ascii="宋体" w:hAnsi="宋体" w:eastAsia="宋体" w:cs="宋体"/>
      <w:color w:val="000000"/>
      <w:sz w:val="21"/>
      <w:szCs w:val="21"/>
      <w:u w:val="none"/>
    </w:rPr>
  </w:style>
  <w:style w:type="paragraph" w:customStyle="1" w:styleId="108">
    <w:name w:val="样式 小四 居中 行距: 固定值 24 磅"/>
    <w:basedOn w:val="1"/>
    <w:qFormat/>
    <w:uiPriority w:val="0"/>
    <w:pPr>
      <w:spacing w:line="360" w:lineRule="auto"/>
      <w:jc w:val="center"/>
    </w:pPr>
    <w:rPr>
      <w:rFonts w:cs="宋体"/>
      <w:sz w:val="24"/>
      <w:szCs w:val="20"/>
    </w:rPr>
  </w:style>
  <w:style w:type="paragraph" w:customStyle="1" w:styleId="109">
    <w:name w:val="rpt_Cover_项目名称"/>
    <w:basedOn w:val="110"/>
    <w:qFormat/>
    <w:uiPriority w:val="0"/>
  </w:style>
  <w:style w:type="paragraph" w:customStyle="1" w:styleId="110">
    <w:name w:val="rpt_Cover_项目内容"/>
    <w:basedOn w:val="1"/>
    <w:autoRedefine/>
    <w:qFormat/>
    <w:uiPriority w:val="0"/>
    <w:rPr>
      <w:sz w:val="30"/>
      <w:szCs w:val="30"/>
    </w:rPr>
  </w:style>
  <w:style w:type="paragraph" w:customStyle="1" w:styleId="111">
    <w:name w:val="报告正文"/>
    <w:basedOn w:val="1"/>
    <w:autoRedefine/>
    <w:qFormat/>
    <w:uiPriority w:val="0"/>
    <w:pPr>
      <w:adjustRightInd w:val="0"/>
      <w:snapToGrid w:val="0"/>
      <w:spacing w:line="360" w:lineRule="auto"/>
      <w:ind w:firstLine="200" w:firstLineChars="200"/>
    </w:pPr>
    <w:rPr>
      <w:sz w:val="24"/>
    </w:rPr>
  </w:style>
  <w:style w:type="paragraph" w:customStyle="1" w:styleId="112">
    <w:name w:val="Table Paragraph"/>
    <w:basedOn w:val="1"/>
    <w:qFormat/>
    <w:uiPriority w:val="1"/>
    <w:rPr>
      <w:rFonts w:ascii="宋体" w:hAnsi="宋体" w:cs="宋体"/>
      <w:lang w:val="zh-CN" w:bidi="zh-CN"/>
    </w:rPr>
  </w:style>
  <w:style w:type="paragraph" w:customStyle="1" w:styleId="113">
    <w:name w:val="表格内文字"/>
    <w:basedOn w:val="1"/>
    <w:next w:val="1"/>
    <w:qFormat/>
    <w:uiPriority w:val="0"/>
    <w:pPr>
      <w:jc w:val="center"/>
    </w:pPr>
  </w:style>
  <w:style w:type="paragraph" w:customStyle="1" w:styleId="114">
    <w:name w:val="_Style 4"/>
    <w:qFormat/>
    <w:uiPriority w:val="1"/>
    <w:pPr>
      <w:widowControl w:val="0"/>
      <w:spacing w:line="440" w:lineRule="exact"/>
      <w:jc w:val="both"/>
    </w:pPr>
    <w:rPr>
      <w:rFonts w:ascii="Times New Roman" w:hAnsi="Times New Roman" w:eastAsia="仿宋_GB2312" w:cs="Times New Roman"/>
      <w:kern w:val="2"/>
      <w:sz w:val="24"/>
      <w:szCs w:val="24"/>
      <w:lang w:val="en-US" w:eastAsia="zh-CN" w:bidi="ar-SA"/>
    </w:rPr>
  </w:style>
  <w:style w:type="character" w:customStyle="1" w:styleId="115">
    <w:name w:val="font01"/>
    <w:basedOn w:val="31"/>
    <w:qFormat/>
    <w:uiPriority w:val="0"/>
    <w:rPr>
      <w:rFonts w:hint="eastAsia" w:ascii="宋体" w:hAnsi="宋体" w:eastAsia="宋体" w:cs="宋体"/>
      <w:b/>
      <w:bCs/>
      <w:color w:val="000000"/>
      <w:sz w:val="21"/>
      <w:szCs w:val="21"/>
      <w:u w:val="none"/>
    </w:rPr>
  </w:style>
  <w:style w:type="paragraph" w:customStyle="1" w:styleId="116">
    <w:name w:val="正文首行缩进1"/>
    <w:basedOn w:val="13"/>
    <w:autoRedefine/>
    <w:qFormat/>
    <w:uiPriority w:val="0"/>
    <w:pPr>
      <w:ind w:firstLine="420" w:firstLineChars="100"/>
    </w:pPr>
    <w:rPr>
      <w:szCs w:val="21"/>
    </w:rPr>
  </w:style>
  <w:style w:type="table" w:customStyle="1" w:styleId="117">
    <w:name w:val="Table Normal"/>
    <w:unhideWhenUsed/>
    <w:qFormat/>
    <w:uiPriority w:val="0"/>
    <w:tblPr>
      <w:tblCellMar>
        <w:top w:w="0" w:type="dxa"/>
        <w:left w:w="0" w:type="dxa"/>
        <w:bottom w:w="0" w:type="dxa"/>
        <w:right w:w="0" w:type="dxa"/>
      </w:tblCellMar>
    </w:tblPr>
  </w:style>
  <w:style w:type="paragraph" w:customStyle="1" w:styleId="118">
    <w:name w:val="表格内容居中"/>
    <w:autoRedefine/>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character" w:customStyle="1" w:styleId="119">
    <w:name w:val="font41"/>
    <w:basedOn w:val="31"/>
    <w:qFormat/>
    <w:uiPriority w:val="0"/>
    <w:rPr>
      <w:rFonts w:hint="default" w:ascii="Times New Roman" w:hAnsi="Times New Roman" w:cs="Times New Roman"/>
      <w:color w:val="000000"/>
      <w:sz w:val="18"/>
      <w:szCs w:val="18"/>
      <w:u w:val="none"/>
      <w:vertAlign w:val="subscript"/>
    </w:rPr>
  </w:style>
  <w:style w:type="paragraph" w:customStyle="1" w:styleId="120">
    <w:name w:val="Table Text"/>
    <w:basedOn w:val="1"/>
    <w:semiHidden/>
    <w:qFormat/>
    <w:uiPriority w:val="0"/>
    <w:rPr>
      <w:rFonts w:ascii="宋体" w:hAnsi="宋体" w:eastAsia="宋体" w:cs="宋体"/>
      <w:sz w:val="24"/>
      <w:szCs w:val="24"/>
      <w:lang w:val="en-US" w:eastAsia="en-US" w:bidi="ar-SA"/>
    </w:rPr>
  </w:style>
  <w:style w:type="paragraph" w:customStyle="1" w:styleId="121">
    <w:name w:val="样式 合发肉禽正文 + 首行缩进:  2 字符"/>
    <w:basedOn w:val="1"/>
    <w:qFormat/>
    <w:uiPriority w:val="0"/>
    <w:pPr>
      <w:widowControl/>
      <w:shd w:val="clear" w:color="auto" w:fill="FFFFFF"/>
      <w:spacing w:before="60" w:after="60" w:line="360" w:lineRule="auto"/>
      <w:ind w:firstLine="200" w:firstLineChars="200"/>
    </w:pPr>
    <w:rPr>
      <w:rFonts w:ascii="宋体" w:hAnsi="宋体" w:cs="宋体"/>
      <w:kern w:val="0"/>
      <w:sz w:val="24"/>
      <w:szCs w:val="20"/>
    </w:rPr>
  </w:style>
  <w:style w:type="paragraph" w:customStyle="1" w:styleId="122">
    <w:name w:val="正文1"/>
    <w:basedOn w:val="1"/>
    <w:qFormat/>
    <w:uiPriority w:val="0"/>
    <w:pPr>
      <w:spacing w:line="360" w:lineRule="auto"/>
      <w:jc w:val="center"/>
    </w:pPr>
    <w:rPr>
      <w:rFonts w:ascii="宋体" w:hAnsi="宋体" w:cs="宋体"/>
      <w:sz w:val="24"/>
    </w:rPr>
  </w:style>
  <w:style w:type="paragraph" w:customStyle="1" w:styleId="123">
    <w:name w:val="0000表头"/>
    <w:basedOn w:val="1"/>
    <w:qFormat/>
    <w:uiPriority w:val="0"/>
    <w:pPr>
      <w:adjustRightInd w:val="0"/>
      <w:spacing w:line="440" w:lineRule="exact"/>
      <w:ind w:firstLine="0" w:firstLineChars="0"/>
      <w:jc w:val="center"/>
    </w:pPr>
    <w:rPr>
      <w:rFonts w:ascii="Times New Roman" w:hAnsi="Times New Roman" w:eastAsia="宋体"/>
      <w:b/>
      <w:bCs/>
      <w:snapToGrid w:val="0"/>
      <w:kern w:val="0"/>
      <w:sz w:val="21"/>
      <w:szCs w:val="21"/>
    </w:rPr>
  </w:style>
  <w:style w:type="paragraph" w:customStyle="1" w:styleId="124">
    <w:name w:val="文本"/>
    <w:next w:val="17"/>
    <w:qFormat/>
    <w:uiPriority w:val="0"/>
    <w:pPr>
      <w:widowControl w:val="0"/>
      <w:spacing w:line="360" w:lineRule="auto"/>
      <w:ind w:firstLine="495"/>
      <w:jc w:val="both"/>
    </w:pPr>
    <w:rPr>
      <w:rFonts w:ascii="Times New Roman" w:hAnsi="Times New Roman" w:eastAsia="宋体" w:cs="Times New Roman"/>
      <w:kern w:val="2"/>
      <w:sz w:val="24"/>
      <w:szCs w:val="20"/>
      <w:lang w:val="en-US" w:eastAsia="zh-CN" w:bidi="ar-SA"/>
    </w:rPr>
  </w:style>
  <w:style w:type="paragraph" w:customStyle="1" w:styleId="125">
    <w:name w:val="Date1"/>
    <w:basedOn w:val="1"/>
    <w:next w:val="1"/>
    <w:qFormat/>
    <w:uiPriority w:val="0"/>
    <w:pPr>
      <w:ind w:left="2500" w:leftChars="2500"/>
    </w:pPr>
  </w:style>
  <w:style w:type="character" w:customStyle="1" w:styleId="126">
    <w:name w:val="【正文】 Char Char"/>
    <w:qFormat/>
    <w:uiPriority w:val="0"/>
    <w:rPr>
      <w:rFonts w:ascii="Times New Roman" w:hAnsi="Times New Roman" w:eastAsia="宋体" w:cs="宋体"/>
      <w:color w:val="000000"/>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7.wmf"/><Relationship Id="rId30" Type="http://schemas.openxmlformats.org/officeDocument/2006/relationships/oleObject" Target="embeddings/oleObject5.bin"/><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wmf"/><Relationship Id="rId25" Type="http://schemas.openxmlformats.org/officeDocument/2006/relationships/oleObject" Target="embeddings/oleObject4.bin"/><Relationship Id="rId24" Type="http://schemas.openxmlformats.org/officeDocument/2006/relationships/image" Target="media/image12.wmf"/><Relationship Id="rId23" Type="http://schemas.openxmlformats.org/officeDocument/2006/relationships/oleObject" Target="embeddings/oleObject3.bin"/><Relationship Id="rId22" Type="http://schemas.openxmlformats.org/officeDocument/2006/relationships/image" Target="media/image11.wmf"/><Relationship Id="rId21" Type="http://schemas.openxmlformats.org/officeDocument/2006/relationships/oleObject" Target="embeddings/oleObject2.bin"/><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wmf"/><Relationship Id="rId15" Type="http://schemas.openxmlformats.org/officeDocument/2006/relationships/oleObject" Target="embeddings/oleObject1.bin"/><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99</Pages>
  <Words>21734</Words>
  <Characters>22643</Characters>
  <Lines>872</Lines>
  <Paragraphs>245</Paragraphs>
  <TotalTime>30</TotalTime>
  <ScaleCrop>false</ScaleCrop>
  <LinksUpToDate>false</LinksUpToDate>
  <CharactersWithSpaces>22771</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2015-07-01T08:58:00Z</dcterms:created>
  <dc:creator>Yc.</dc:creator>
  <cp:lastModifiedBy>Administrator</cp:lastModifiedBy>
  <cp:lastPrinted>2025-07-18T06:05:00Z</cp:lastPrinted>
  <dcterms:modified xsi:type="dcterms:W3CDTF">2025-07-25T06:54:29Z</dcterms:modified>
  <dc:title>建设项目环境影响报告表</dc:title>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1865583A0984400CA16602230C8ED8B0_13</vt:lpwstr>
  </property>
  <property fmtid="{D5CDD505-2E9C-101B-9397-08002B2CF9AE}" pid="4" name="KSOTemplateDocerSaveRecord">
    <vt:lpwstr>eyJoZGlkIjoiYjQyMjhkYTYyOTE5MzZkNTk3MjI4ZjVjYWI2MzM3NjkifQ==</vt:lpwstr>
  </property>
</Properties>
</file>