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79C84BF5">
      <w:pPr>
        <w:rPr>
          <w:rFonts w:hint="default" w:ascii="Times New Roman" w:hAnsi="Times New Roman" w:eastAsia="仿宋_GB2312" w:cs="Times New Roman"/>
          <w:color w:val="auto"/>
          <w:sz w:val="36"/>
          <w:szCs w:val="36"/>
        </w:rPr>
      </w:pPr>
    </w:p>
    <w:p w14:paraId="6A36FA7A">
      <w:pPr>
        <w:rPr>
          <w:rFonts w:hint="default" w:ascii="Times New Roman" w:hAnsi="Times New Roman" w:eastAsia="仿宋_GB2312" w:cs="Times New Roman"/>
          <w:color w:val="auto"/>
          <w:sz w:val="36"/>
          <w:szCs w:val="36"/>
        </w:rPr>
      </w:pPr>
    </w:p>
    <w:p w14:paraId="6CDDE604">
      <w:pPr>
        <w:rPr>
          <w:rFonts w:hint="default" w:ascii="Times New Roman" w:hAnsi="Times New Roman" w:eastAsia="仿宋_GB2312" w:cs="Times New Roman"/>
          <w:color w:val="auto"/>
          <w:sz w:val="36"/>
          <w:szCs w:val="36"/>
        </w:rPr>
      </w:pPr>
    </w:p>
    <w:p w14:paraId="605E3876">
      <w:pPr>
        <w:pStyle w:val="7"/>
        <w:rPr>
          <w:rFonts w:hint="default" w:ascii="Times New Roman" w:hAnsi="Times New Roman" w:cs="Times New Roman"/>
          <w:color w:val="auto"/>
        </w:rPr>
      </w:pPr>
    </w:p>
    <w:p w14:paraId="1372130E">
      <w:pPr>
        <w:adjustRightInd w:val="0"/>
        <w:snapToGrid w:val="0"/>
        <w:jc w:val="center"/>
        <w:outlineLvl w:val="0"/>
        <w:rPr>
          <w:rFonts w:hint="default" w:ascii="Times New Roman" w:hAnsi="Times New Roman" w:eastAsia="方正小标宋_GBK" w:cs="Times New Roman"/>
          <w:bCs/>
          <w:color w:val="auto"/>
          <w:sz w:val="72"/>
          <w:szCs w:val="72"/>
        </w:rPr>
      </w:pPr>
      <w:bookmarkStart w:id="0" w:name="_Toc18770"/>
      <w:r>
        <w:rPr>
          <w:rFonts w:hint="default" w:ascii="Times New Roman" w:hAnsi="Times New Roman" w:eastAsia="方正小标宋_GBK" w:cs="Times New Roman"/>
          <w:bCs/>
          <w:color w:val="auto"/>
          <w:sz w:val="72"/>
          <w:szCs w:val="72"/>
        </w:rPr>
        <w:t>建设项目环境影响报告表</w:t>
      </w:r>
      <w:bookmarkEnd w:id="0"/>
    </w:p>
    <w:p w14:paraId="2D40B1F8">
      <w:pPr>
        <w:adjustRightInd w:val="0"/>
        <w:snapToGrid w:val="0"/>
        <w:spacing w:before="192" w:beforeLines="80"/>
        <w:jc w:val="center"/>
        <w:rPr>
          <w:rFonts w:hint="default" w:ascii="Times New Roman" w:hAnsi="Times New Roman" w:eastAsia="楷体_GB2312" w:cs="Times New Roman"/>
          <w:b/>
          <w:bCs w:val="0"/>
          <w:color w:val="auto"/>
          <w:sz w:val="48"/>
          <w:szCs w:val="48"/>
        </w:rPr>
      </w:pPr>
      <w:r>
        <w:rPr>
          <w:rFonts w:hint="default" w:ascii="Times New Roman" w:hAnsi="Times New Roman" w:eastAsia="楷体_GB2312" w:cs="Times New Roman"/>
          <w:b/>
          <w:bCs w:val="0"/>
          <w:color w:val="auto"/>
          <w:sz w:val="48"/>
          <w:szCs w:val="48"/>
        </w:rPr>
        <w:t>（生态影响类）</w:t>
      </w:r>
    </w:p>
    <w:p w14:paraId="7BDF3D2B">
      <w:pPr>
        <w:adjustRightInd w:val="0"/>
        <w:snapToGrid w:val="0"/>
        <w:spacing w:before="192" w:beforeLines="80"/>
        <w:jc w:val="center"/>
        <w:rPr>
          <w:rFonts w:hint="default" w:ascii="Times New Roman" w:hAnsi="Times New Roman" w:eastAsia="楷体_GB2312" w:cs="Times New Roman"/>
          <w:b/>
          <w:bCs w:val="0"/>
          <w:color w:val="auto"/>
          <w:sz w:val="48"/>
          <w:szCs w:val="48"/>
        </w:rPr>
      </w:pPr>
      <w:bookmarkStart w:id="1" w:name="_Toc2486"/>
      <w:r>
        <w:rPr>
          <w:rFonts w:hint="default" w:ascii="Times New Roman" w:hAnsi="Times New Roman" w:eastAsia="楷体_GB2312" w:cs="Times New Roman"/>
          <w:b/>
          <w:bCs w:val="0"/>
          <w:color w:val="auto"/>
          <w:sz w:val="48"/>
          <w:szCs w:val="48"/>
        </w:rPr>
        <w:t>（</w:t>
      </w:r>
      <w:r>
        <w:rPr>
          <w:rFonts w:hint="eastAsia" w:ascii="宋体" w:hAnsi="宋体" w:eastAsia="宋体" w:cs="宋体"/>
          <w:b/>
          <w:bCs w:val="0"/>
          <w:color w:val="auto"/>
          <w:sz w:val="48"/>
          <w:szCs w:val="48"/>
          <w:lang w:val="en-US" w:eastAsia="zh-CN"/>
        </w:rPr>
        <w:t>公示本</w:t>
      </w:r>
      <w:r>
        <w:rPr>
          <w:rFonts w:hint="default" w:ascii="Times New Roman" w:hAnsi="Times New Roman" w:eastAsia="楷体_GB2312" w:cs="Times New Roman"/>
          <w:b/>
          <w:bCs w:val="0"/>
          <w:color w:val="auto"/>
          <w:sz w:val="48"/>
          <w:szCs w:val="48"/>
        </w:rPr>
        <w:t>）</w:t>
      </w:r>
      <w:bookmarkEnd w:id="1"/>
    </w:p>
    <w:p w14:paraId="2D43F295">
      <w:pPr>
        <w:jc w:val="center"/>
        <w:rPr>
          <w:rFonts w:hint="default" w:ascii="Times New Roman" w:hAnsi="Times New Roman" w:eastAsia="仿宋" w:cs="Times New Roman"/>
          <w:color w:val="auto"/>
          <w:sz w:val="52"/>
          <w:szCs w:val="52"/>
        </w:rPr>
      </w:pPr>
    </w:p>
    <w:p w14:paraId="32159CD8">
      <w:pPr>
        <w:ind w:firstLine="1040"/>
        <w:rPr>
          <w:rFonts w:hint="default" w:ascii="Times New Roman" w:hAnsi="Times New Roman" w:eastAsia="仿宋" w:cs="Times New Roman"/>
          <w:color w:val="auto"/>
          <w:sz w:val="44"/>
          <w:szCs w:val="44"/>
        </w:rPr>
      </w:pPr>
    </w:p>
    <w:p w14:paraId="4A0DF830">
      <w:pPr>
        <w:ind w:firstLine="1040"/>
        <w:rPr>
          <w:rFonts w:hint="default" w:ascii="Times New Roman" w:hAnsi="Times New Roman" w:eastAsia="仿宋" w:cs="Times New Roman"/>
          <w:color w:val="auto"/>
          <w:sz w:val="44"/>
          <w:szCs w:val="44"/>
        </w:rPr>
      </w:pPr>
    </w:p>
    <w:p w14:paraId="23E13513">
      <w:pPr>
        <w:ind w:firstLine="1040"/>
        <w:rPr>
          <w:rFonts w:hint="default" w:ascii="Times New Roman" w:hAnsi="Times New Roman" w:eastAsia="仿宋" w:cs="Times New Roman"/>
          <w:color w:val="auto"/>
          <w:sz w:val="44"/>
          <w:szCs w:val="44"/>
        </w:rPr>
      </w:pPr>
    </w:p>
    <w:p w14:paraId="1FF69072">
      <w:pPr>
        <w:pStyle w:val="7"/>
        <w:rPr>
          <w:rFonts w:hint="default" w:ascii="Times New Roman" w:hAnsi="Times New Roman" w:cs="Times New Roman"/>
          <w:color w:val="auto"/>
        </w:rPr>
      </w:pPr>
    </w:p>
    <w:p w14:paraId="4AB5A061">
      <w:pPr>
        <w:ind w:firstLine="1040"/>
        <w:rPr>
          <w:rFonts w:hint="default" w:ascii="Times New Roman" w:hAnsi="Times New Roman" w:eastAsia="仿宋" w:cs="Times New Roman"/>
          <w:color w:val="auto"/>
          <w:sz w:val="44"/>
          <w:szCs w:val="44"/>
        </w:rPr>
      </w:pPr>
    </w:p>
    <w:p w14:paraId="192C17C3">
      <w:pPr>
        <w:keepNext w:val="0"/>
        <w:keepLines w:val="0"/>
        <w:pageBreakBefore w:val="0"/>
        <w:widowControl w:val="0"/>
        <w:kinsoku/>
        <w:wordWrap/>
        <w:overflowPunct/>
        <w:topLinePunct w:val="0"/>
        <w:autoSpaceDE/>
        <w:autoSpaceDN/>
        <w:bidi w:val="0"/>
        <w:adjustRightInd w:val="0"/>
        <w:snapToGrid w:val="0"/>
        <w:spacing w:line="288" w:lineRule="auto"/>
        <w:ind w:left="1800" w:hanging="1800" w:hangingChars="500"/>
        <w:jc w:val="left"/>
        <w:textAlignment w:val="auto"/>
        <w:rPr>
          <w:rFonts w:hint="default" w:ascii="Times New Roman" w:hAnsi="Times New Roman" w:eastAsia="仿宋" w:cs="Times New Roman"/>
          <w:b w:val="0"/>
          <w:bCs w:val="0"/>
          <w:color w:val="auto"/>
          <w:sz w:val="36"/>
          <w:szCs w:val="36"/>
          <w:u w:val="single"/>
          <w:lang w:val="en-US" w:eastAsia="zh-CN"/>
        </w:rPr>
      </w:pPr>
      <w:r>
        <w:rPr>
          <w:rFonts w:hint="default" w:ascii="Times New Roman" w:hAnsi="Times New Roman" w:eastAsia="仿宋" w:cs="Times New Roman"/>
          <w:b w:val="0"/>
          <w:bCs w:val="0"/>
          <w:color w:val="auto"/>
          <w:sz w:val="36"/>
          <w:szCs w:val="36"/>
        </w:rPr>
        <w:t>项目名称：</w:t>
      </w:r>
      <w:r>
        <w:rPr>
          <w:rFonts w:hint="default" w:ascii="Times New Roman" w:hAnsi="Times New Roman" w:eastAsia="仿宋" w:cs="Times New Roman"/>
          <w:b w:val="0"/>
          <w:bCs w:val="0"/>
          <w:color w:val="auto"/>
          <w:sz w:val="36"/>
          <w:szCs w:val="36"/>
          <w:u w:val="single"/>
          <w:lang w:val="en-US" w:eastAsia="zh-CN"/>
        </w:rPr>
        <w:t xml:space="preserve">     </w:t>
      </w:r>
      <w:r>
        <w:rPr>
          <w:rFonts w:hint="default" w:ascii="Times New Roman" w:hAnsi="Times New Roman" w:eastAsia="仿宋" w:cs="Times New Roman"/>
          <w:b w:val="0"/>
          <w:bCs w:val="0"/>
          <w:color w:val="auto"/>
          <w:sz w:val="36"/>
          <w:szCs w:val="36"/>
          <w:u w:val="single"/>
        </w:rPr>
        <w:t>宣汉县中部片区乡村振兴</w:t>
      </w:r>
      <w:r>
        <w:rPr>
          <w:rFonts w:hint="default" w:ascii="Times New Roman" w:hAnsi="Times New Roman" w:eastAsia="仿宋" w:cs="Times New Roman"/>
          <w:b w:val="0"/>
          <w:bCs w:val="0"/>
          <w:color w:val="auto"/>
          <w:sz w:val="36"/>
          <w:szCs w:val="36"/>
          <w:u w:val="single"/>
          <w:lang w:val="en-US" w:eastAsia="zh-CN"/>
        </w:rPr>
        <w:t>·</w:t>
      </w:r>
      <w:r>
        <w:rPr>
          <w:rFonts w:hint="default" w:ascii="Times New Roman" w:hAnsi="Times New Roman" w:eastAsia="仿宋" w:cs="Times New Roman"/>
          <w:b w:val="0"/>
          <w:bCs w:val="0"/>
          <w:color w:val="auto"/>
          <w:sz w:val="36"/>
          <w:szCs w:val="36"/>
          <w:u w:val="single"/>
        </w:rPr>
        <w:t>千万工程示范带建设项目一标段</w:t>
      </w:r>
      <w:r>
        <w:rPr>
          <w:rFonts w:hint="default" w:ascii="Times New Roman" w:hAnsi="Times New Roman" w:eastAsia="仿宋" w:cs="Times New Roman"/>
          <w:b w:val="0"/>
          <w:bCs w:val="0"/>
          <w:color w:val="auto"/>
          <w:sz w:val="36"/>
          <w:szCs w:val="36"/>
          <w:u w:val="single"/>
          <w:lang w:val="en-US" w:eastAsia="zh-CN"/>
        </w:rPr>
        <w:t xml:space="preserve">     </w:t>
      </w:r>
    </w:p>
    <w:p w14:paraId="3703938D">
      <w:pPr>
        <w:adjustRightInd w:val="0"/>
        <w:snapToGrid w:val="0"/>
        <w:spacing w:line="288" w:lineRule="auto"/>
        <w:jc w:val="left"/>
        <w:rPr>
          <w:rFonts w:hint="default" w:ascii="Times New Roman" w:hAnsi="Times New Roman" w:eastAsia="仿宋" w:cs="Times New Roman"/>
          <w:b w:val="0"/>
          <w:bCs w:val="0"/>
          <w:color w:val="auto"/>
          <w:sz w:val="36"/>
          <w:szCs w:val="36"/>
          <w:u w:val="single"/>
          <w:lang w:val="en-US" w:eastAsia="zh-CN"/>
        </w:rPr>
      </w:pPr>
      <w:r>
        <w:rPr>
          <w:rFonts w:hint="default" w:ascii="Times New Roman" w:hAnsi="Times New Roman" w:eastAsia="仿宋" w:cs="Times New Roman"/>
          <w:b w:val="0"/>
          <w:bCs w:val="0"/>
          <w:color w:val="auto"/>
          <w:sz w:val="36"/>
          <w:szCs w:val="36"/>
        </w:rPr>
        <w:t>建设单位（盖章）：</w:t>
      </w:r>
      <w:r>
        <w:rPr>
          <w:rFonts w:hint="default" w:ascii="Times New Roman" w:hAnsi="Times New Roman" w:eastAsia="仿宋" w:cs="Times New Roman"/>
          <w:b w:val="0"/>
          <w:bCs w:val="0"/>
          <w:color w:val="auto"/>
          <w:sz w:val="36"/>
          <w:szCs w:val="36"/>
          <w:u w:val="single"/>
          <w:lang w:val="en-US" w:eastAsia="zh-CN"/>
        </w:rPr>
        <w:t xml:space="preserve">    四川宣宏实业有限公司     </w:t>
      </w:r>
    </w:p>
    <w:p w14:paraId="07A21AD7">
      <w:pPr>
        <w:adjustRightInd w:val="0"/>
        <w:snapToGrid w:val="0"/>
        <w:spacing w:line="288" w:lineRule="auto"/>
        <w:jc w:val="left"/>
        <w:rPr>
          <w:rFonts w:hint="default" w:ascii="Times New Roman" w:hAnsi="Times New Roman" w:eastAsia="仿宋" w:cs="Times New Roman"/>
          <w:b w:val="0"/>
          <w:bCs w:val="0"/>
          <w:color w:val="auto"/>
          <w:sz w:val="36"/>
          <w:szCs w:val="36"/>
          <w:u w:val="single"/>
          <w:lang w:val="en-US" w:eastAsia="zh-CN"/>
        </w:rPr>
      </w:pPr>
      <w:r>
        <w:rPr>
          <w:rFonts w:hint="default" w:ascii="Times New Roman" w:hAnsi="Times New Roman" w:eastAsia="仿宋" w:cs="Times New Roman"/>
          <w:b w:val="0"/>
          <w:bCs w:val="0"/>
          <w:color w:val="auto"/>
          <w:sz w:val="36"/>
          <w:szCs w:val="36"/>
        </w:rPr>
        <w:t>编制日期：</w:t>
      </w:r>
      <w:r>
        <w:rPr>
          <w:rFonts w:hint="default" w:ascii="Times New Roman" w:hAnsi="Times New Roman" w:eastAsia="仿宋" w:cs="Times New Roman"/>
          <w:b w:val="0"/>
          <w:bCs w:val="0"/>
          <w:color w:val="auto"/>
          <w:sz w:val="36"/>
          <w:szCs w:val="36"/>
          <w:u w:val="single"/>
          <w:lang w:val="en-US" w:eastAsia="zh-CN"/>
        </w:rPr>
        <w:t xml:space="preserve">             </w:t>
      </w:r>
      <w:r>
        <w:rPr>
          <w:rFonts w:hint="default" w:ascii="Times New Roman" w:hAnsi="Times New Roman" w:eastAsia="仿宋" w:cs="Times New Roman"/>
          <w:b w:val="0"/>
          <w:bCs w:val="0"/>
          <w:color w:val="auto"/>
          <w:sz w:val="36"/>
          <w:szCs w:val="36"/>
          <w:u w:val="single"/>
        </w:rPr>
        <w:t>202</w:t>
      </w:r>
      <w:r>
        <w:rPr>
          <w:rFonts w:hint="default" w:ascii="Times New Roman" w:hAnsi="Times New Roman" w:eastAsia="仿宋" w:cs="Times New Roman"/>
          <w:b w:val="0"/>
          <w:bCs w:val="0"/>
          <w:color w:val="auto"/>
          <w:sz w:val="36"/>
          <w:szCs w:val="36"/>
          <w:u w:val="single"/>
          <w:lang w:val="en-US" w:eastAsia="zh-CN"/>
        </w:rPr>
        <w:t>5</w:t>
      </w:r>
      <w:r>
        <w:rPr>
          <w:rFonts w:hint="default" w:ascii="Times New Roman" w:hAnsi="Times New Roman" w:eastAsia="仿宋" w:cs="Times New Roman"/>
          <w:b w:val="0"/>
          <w:bCs w:val="0"/>
          <w:color w:val="auto"/>
          <w:sz w:val="36"/>
          <w:szCs w:val="36"/>
          <w:u w:val="single"/>
        </w:rPr>
        <w:t>年</w:t>
      </w:r>
      <w:r>
        <w:rPr>
          <w:rFonts w:hint="default" w:ascii="Times New Roman" w:hAnsi="Times New Roman" w:eastAsia="仿宋" w:cs="Times New Roman"/>
          <w:b w:val="0"/>
          <w:bCs w:val="0"/>
          <w:color w:val="auto"/>
          <w:sz w:val="36"/>
          <w:szCs w:val="36"/>
          <w:u w:val="single"/>
          <w:lang w:val="en-US" w:eastAsia="zh-CN"/>
        </w:rPr>
        <w:t>05</w:t>
      </w:r>
      <w:r>
        <w:rPr>
          <w:rFonts w:hint="default" w:ascii="Times New Roman" w:hAnsi="Times New Roman" w:eastAsia="仿宋" w:cs="Times New Roman"/>
          <w:b w:val="0"/>
          <w:bCs w:val="0"/>
          <w:color w:val="auto"/>
          <w:sz w:val="36"/>
          <w:szCs w:val="36"/>
          <w:u w:val="single"/>
        </w:rPr>
        <w:t>月</w:t>
      </w:r>
      <w:r>
        <w:rPr>
          <w:rFonts w:hint="default" w:ascii="Times New Roman" w:hAnsi="Times New Roman" w:eastAsia="仿宋" w:cs="Times New Roman"/>
          <w:b w:val="0"/>
          <w:bCs w:val="0"/>
          <w:color w:val="auto"/>
          <w:sz w:val="36"/>
          <w:szCs w:val="36"/>
          <w:u w:val="single"/>
          <w:lang w:val="en-US" w:eastAsia="zh-CN"/>
        </w:rPr>
        <w:t xml:space="preserve">             </w:t>
      </w:r>
    </w:p>
    <w:p w14:paraId="79523D63">
      <w:pPr>
        <w:adjustRightInd w:val="0"/>
        <w:snapToGrid w:val="0"/>
        <w:spacing w:line="288" w:lineRule="auto"/>
        <w:jc w:val="left"/>
        <w:rPr>
          <w:rFonts w:hint="default" w:ascii="Times New Roman" w:hAnsi="Times New Roman" w:eastAsia="仿宋_GB2312" w:cs="Times New Roman"/>
          <w:color w:val="auto"/>
          <w:sz w:val="36"/>
          <w:szCs w:val="36"/>
          <w:u w:val="single"/>
        </w:rPr>
      </w:pPr>
      <w:bookmarkStart w:id="2" w:name="_Hlk57884087"/>
    </w:p>
    <w:p w14:paraId="3476ECFF">
      <w:pPr>
        <w:adjustRightInd w:val="0"/>
        <w:snapToGrid w:val="0"/>
        <w:spacing w:line="288" w:lineRule="auto"/>
        <w:ind w:firstLine="1040"/>
        <w:rPr>
          <w:rFonts w:hint="default" w:ascii="Times New Roman" w:hAnsi="Times New Roman" w:eastAsia="仿宋_GB2312" w:cs="Times New Roman"/>
          <w:color w:val="auto"/>
          <w:sz w:val="36"/>
          <w:szCs w:val="36"/>
        </w:rPr>
      </w:pPr>
    </w:p>
    <w:p w14:paraId="4786234F">
      <w:pPr>
        <w:adjustRightInd w:val="0"/>
        <w:snapToGrid w:val="0"/>
        <w:spacing w:line="288" w:lineRule="auto"/>
        <w:ind w:firstLine="1040"/>
        <w:rPr>
          <w:rFonts w:hint="default" w:ascii="Times New Roman" w:hAnsi="Times New Roman" w:eastAsia="仿宋_GB2312" w:cs="Times New Roman"/>
          <w:color w:val="auto"/>
          <w:sz w:val="36"/>
          <w:szCs w:val="36"/>
        </w:rPr>
      </w:pPr>
    </w:p>
    <w:p w14:paraId="596F2FEB">
      <w:pPr>
        <w:rPr>
          <w:rFonts w:hint="default" w:ascii="Times New Roman" w:hAnsi="Times New Roman" w:cs="Times New Roman"/>
          <w:color w:val="auto"/>
        </w:rPr>
      </w:pPr>
    </w:p>
    <w:p w14:paraId="4C0C1208">
      <w:pPr>
        <w:pStyle w:val="7"/>
        <w:rPr>
          <w:rFonts w:hint="default" w:ascii="Times New Roman" w:hAnsi="Times New Roman" w:cs="Times New Roman"/>
          <w:color w:val="auto"/>
        </w:rPr>
      </w:pPr>
    </w:p>
    <w:bookmarkEnd w:id="2"/>
    <w:p w14:paraId="783CE58B">
      <w:pPr>
        <w:adjustRightInd w:val="0"/>
        <w:snapToGrid w:val="0"/>
        <w:spacing w:line="288" w:lineRule="auto"/>
        <w:jc w:val="center"/>
        <w:outlineLvl w:val="0"/>
        <w:rPr>
          <w:rFonts w:hint="default" w:ascii="Times New Roman" w:hAnsi="Times New Roman" w:eastAsia="楷体" w:cs="Times New Roman"/>
          <w:color w:val="auto"/>
          <w:sz w:val="36"/>
          <w:szCs w:val="36"/>
        </w:rPr>
      </w:pPr>
      <w:bookmarkStart w:id="3" w:name="_Toc30237"/>
      <w:r>
        <w:rPr>
          <w:rFonts w:hint="default" w:ascii="Times New Roman" w:hAnsi="Times New Roman" w:eastAsia="楷体" w:cs="Times New Roman"/>
          <w:color w:val="auto"/>
          <w:sz w:val="36"/>
          <w:szCs w:val="36"/>
        </w:rPr>
        <w:t>中华人民共和国生态环境部制</w:t>
      </w:r>
      <w:bookmarkEnd w:id="3"/>
    </w:p>
    <w:p w14:paraId="35897ECD">
      <w:pPr>
        <w:adjustRightInd w:val="0"/>
        <w:snapToGrid w:val="0"/>
        <w:spacing w:line="288" w:lineRule="auto"/>
        <w:ind w:firstLine="1040"/>
        <w:rPr>
          <w:rFonts w:hint="default" w:ascii="Times New Roman" w:hAnsi="Times New Roman" w:eastAsia="楷体" w:cs="Times New Roman"/>
          <w:color w:val="auto"/>
          <w:sz w:val="36"/>
          <w:szCs w:val="36"/>
        </w:rPr>
        <w:sectPr>
          <w:headerReference r:id="rId5" w:type="first"/>
          <w:footerReference r:id="rId8" w:type="first"/>
          <w:headerReference r:id="rId3" w:type="default"/>
          <w:footerReference r:id="rId6" w:type="default"/>
          <w:headerReference r:id="rId4" w:type="even"/>
          <w:footerReference r:id="rId7" w:type="even"/>
          <w:pgSz w:w="11906" w:h="16838"/>
          <w:pgMar w:top="1701" w:right="1531" w:bottom="1701" w:left="1531" w:header="851" w:footer="1077" w:gutter="0"/>
          <w:pgNumType w:fmt="decimal" w:start="3"/>
          <w:cols w:space="720" w:num="1"/>
          <w:docGrid w:linePitch="312" w:charSpace="0"/>
        </w:sectPr>
      </w:pPr>
    </w:p>
    <w:sdt>
      <w:sdtPr>
        <w:rPr>
          <w:rFonts w:hint="default" w:ascii="Times New Roman" w:hAnsi="Times New Roman" w:cs="Times New Roman"/>
          <w:color w:val="auto"/>
        </w:rPr>
        <w:id w:val="147456498"/>
        <w15:color w:val="DBDBDB"/>
        <w:docPartObj>
          <w:docPartGallery w:val="Table of Contents"/>
          <w:docPartUnique/>
        </w:docPartObj>
      </w:sdtPr>
      <w:sdtEndPr>
        <w:rPr>
          <w:rFonts w:hint="default" w:ascii="Times New Roman" w:hAnsi="Times New Roman" w:cs="Times New Roman"/>
          <w:color w:val="auto"/>
        </w:rPr>
      </w:sdtEndPr>
      <w:sdtContent>
        <w:p w14:paraId="25C8940B">
          <w:pPr>
            <w:jc w:val="center"/>
            <w:rPr>
              <w:rFonts w:hint="default" w:ascii="Times New Roman" w:hAnsi="Times New Roman" w:eastAsia="黑体" w:cs="Times New Roman"/>
              <w:color w:val="auto"/>
              <w:sz w:val="28"/>
              <w:szCs w:val="28"/>
            </w:rPr>
          </w:pPr>
          <w:r>
            <w:rPr>
              <w:rFonts w:hint="default" w:ascii="Times New Roman" w:hAnsi="Times New Roman" w:eastAsia="黑体" w:cs="Times New Roman"/>
              <w:color w:val="auto"/>
              <w:sz w:val="28"/>
              <w:szCs w:val="28"/>
            </w:rPr>
            <w:t>目录</w:t>
          </w:r>
        </w:p>
        <w:p w14:paraId="4203B762">
          <w:pPr>
            <w:pStyle w:val="91"/>
            <w:tabs>
              <w:tab w:val="right" w:leader="dot" w:pos="8844"/>
            </w:tabs>
            <w:rPr>
              <w:rFonts w:hint="default" w:ascii="Times New Roman" w:hAnsi="Times New Roman" w:cs="Times New Roman"/>
              <w:color w:val="auto"/>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TOC \o "1-1" \h \u </w:instrText>
          </w:r>
          <w:r>
            <w:rPr>
              <w:rFonts w:hint="default" w:ascii="Times New Roman" w:hAnsi="Times New Roman" w:cs="Times New Roman"/>
              <w:color w:val="auto"/>
            </w:rPr>
            <w:fldChar w:fldCharType="separate"/>
          </w:r>
        </w:p>
        <w:p w14:paraId="080B06BF">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"_Toc17065"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一、建设项目基本情况</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_Toc17065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3C1E41B9">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"_Toc24650"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二、建设内容</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_Toc24650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6565D51D">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"_Toc727"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三、生态环境现状、环境保护目标及评价标准</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_Toc727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90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158FCB10">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"_Toc7441"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四、生态环境影响分析</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_Toc7441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101</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03449463">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"_Toc11310"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五、主要生态环境保护措施</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_Toc11310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119</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2E78AD58">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"_Toc31531"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六、生态环境保护措施监督检查清单</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_Toc31531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140</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42948ED0">
          <w:pPr>
            <w:pStyle w:val="91"/>
            <w:tabs>
              <w:tab w:val="right" w:leader="dot" w:pos="8844"/>
            </w:tabs>
            <w:spacing w:line="360" w:lineRule="auto"/>
            <w:rPr>
              <w:rFonts w:hint="default" w:ascii="Times New Roman" w:hAnsi="Times New Roman" w:cs="Times New Roman"/>
              <w:color w:val="auto"/>
              <w:sz w:val="24"/>
              <w:szCs w:val="24"/>
            </w:rPr>
          </w:pPr>
          <w:r>
            <w:rPr>
              <w:rFonts w:hint="default" w:ascii="Times New Roman" w:hAnsi="Times New Roman" w:cs="Times New Roman"/>
              <w:color w:val="auto"/>
            </w:rPr>
            <w:fldChar w:fldCharType="begin"/>
          </w:r>
          <w:r>
            <w:rPr>
              <w:rFonts w:hint="default" w:ascii="Times New Roman" w:hAnsi="Times New Roman" w:cs="Times New Roman"/>
              <w:color w:val="auto"/>
            </w:rPr>
            <w:instrText xml:space="preserve"> HYPERLINK \l "_Toc6187" </w:instrText>
          </w:r>
          <w:r>
            <w:rPr>
              <w:rFonts w:hint="default" w:ascii="Times New Roman" w:hAnsi="Times New Roman" w:cs="Times New Roman"/>
              <w:color w:val="auto"/>
            </w:rPr>
            <w:fldChar w:fldCharType="separate"/>
          </w:r>
          <w:r>
            <w:rPr>
              <w:rFonts w:hint="default" w:ascii="Times New Roman" w:hAnsi="Times New Roman" w:cs="Times New Roman"/>
              <w:snapToGrid w:val="0"/>
              <w:color w:val="auto"/>
              <w:sz w:val="24"/>
              <w:szCs w:val="24"/>
            </w:rPr>
            <w:t>七、结论</w:t>
          </w:r>
          <w:r>
            <w:rPr>
              <w:rFonts w:hint="default" w:ascii="Times New Roman" w:hAnsi="Times New Roman" w:cs="Times New Roman"/>
              <w:color w:val="auto"/>
              <w:sz w:val="24"/>
              <w:szCs w:val="24"/>
            </w:rPr>
            <w:tab/>
          </w:r>
          <w:r>
            <w:rPr>
              <w:rFonts w:hint="default" w:ascii="Times New Roman" w:hAnsi="Times New Roman" w:cs="Times New Roman"/>
              <w:color w:val="auto"/>
              <w:sz w:val="24"/>
              <w:szCs w:val="24"/>
            </w:rPr>
            <w:fldChar w:fldCharType="begin"/>
          </w:r>
          <w:r>
            <w:rPr>
              <w:rFonts w:hint="default" w:ascii="Times New Roman" w:hAnsi="Times New Roman" w:cs="Times New Roman"/>
              <w:color w:val="auto"/>
              <w:sz w:val="24"/>
              <w:szCs w:val="24"/>
            </w:rPr>
            <w:instrText xml:space="preserve"> PAGEREF _Toc6187 \h </w:instrText>
          </w:r>
          <w:r>
            <w:rPr>
              <w:rFonts w:hint="default" w:ascii="Times New Roman" w:hAnsi="Times New Roman" w:cs="Times New Roman"/>
              <w:color w:val="auto"/>
              <w:sz w:val="24"/>
              <w:szCs w:val="24"/>
            </w:rPr>
            <w:fldChar w:fldCharType="separate"/>
          </w:r>
          <w:r>
            <w:rPr>
              <w:rFonts w:hint="default" w:ascii="Times New Roman" w:hAnsi="Times New Roman" w:cs="Times New Roman"/>
              <w:color w:val="auto"/>
              <w:sz w:val="24"/>
              <w:szCs w:val="24"/>
            </w:rPr>
            <w:t>143</w:t>
          </w:r>
          <w:r>
            <w:rPr>
              <w:rFonts w:hint="default" w:ascii="Times New Roman" w:hAnsi="Times New Roman" w:cs="Times New Roman"/>
              <w:color w:val="auto"/>
              <w:sz w:val="24"/>
              <w:szCs w:val="24"/>
            </w:rPr>
            <w:fldChar w:fldCharType="end"/>
          </w:r>
          <w:r>
            <w:rPr>
              <w:rFonts w:hint="default" w:ascii="Times New Roman" w:hAnsi="Times New Roman" w:cs="Times New Roman"/>
              <w:color w:val="auto"/>
              <w:sz w:val="24"/>
              <w:szCs w:val="24"/>
            </w:rPr>
            <w:fldChar w:fldCharType="end"/>
          </w:r>
        </w:p>
        <w:p w14:paraId="4B6D9E4D">
          <w:pPr>
            <w:rPr>
              <w:rFonts w:hint="default" w:ascii="Times New Roman" w:hAnsi="Times New Roman" w:cs="Times New Roman"/>
              <w:color w:val="auto"/>
            </w:rPr>
          </w:pPr>
          <w:r>
            <w:rPr>
              <w:rFonts w:hint="default" w:ascii="Times New Roman" w:hAnsi="Times New Roman" w:cs="Times New Roman"/>
              <w:color w:val="auto"/>
            </w:rPr>
            <w:fldChar w:fldCharType="end"/>
          </w:r>
        </w:p>
      </w:sdtContent>
    </w:sdt>
    <w:p w14:paraId="177A4A45">
      <w:pPr>
        <w:spacing w:line="360" w:lineRule="auto"/>
        <w:rPr>
          <w:rFonts w:hint="default" w:ascii="Times New Roman" w:hAnsi="Times New Roman" w:cs="Times New Roman"/>
          <w:b/>
          <w:bCs/>
          <w:color w:val="auto"/>
        </w:rPr>
        <w:sectPr>
          <w:footerReference r:id="rId9" w:type="default"/>
          <w:pgSz w:w="11906" w:h="16838"/>
          <w:pgMar w:top="1701" w:right="1531" w:bottom="1701" w:left="1531" w:header="851" w:footer="1077" w:gutter="0"/>
          <w:pgNumType w:fmt="decimal" w:start="1"/>
          <w:cols w:space="720" w:num="1"/>
          <w:docGrid w:linePitch="312" w:charSpace="0"/>
        </w:sectPr>
      </w:pPr>
    </w:p>
    <w:p w14:paraId="67B8563C">
      <w:pPr>
        <w:autoSpaceDE w:val="0"/>
        <w:autoSpaceDN w:val="0"/>
        <w:adjustRightInd w:val="0"/>
        <w:snapToGrid w:val="0"/>
        <w:spacing w:line="460" w:lineRule="exact"/>
        <w:ind w:firstLine="482" w:firstLineChars="200"/>
        <w:jc w:val="left"/>
        <w:rPr>
          <w:rFonts w:hint="default" w:ascii="Times New Roman" w:hAnsi="Times New Roman" w:cs="Times New Roman"/>
          <w:b/>
          <w:bCs/>
          <w:color w:val="auto"/>
          <w:kern w:val="0"/>
          <w:sz w:val="24"/>
          <w:szCs w:val="24"/>
          <w:lang w:bidi="ar"/>
        </w:rPr>
      </w:pPr>
      <w:r>
        <w:rPr>
          <w:rFonts w:hint="default" w:ascii="Times New Roman" w:hAnsi="Times New Roman" w:cs="Times New Roman"/>
          <w:b/>
          <w:bCs/>
          <w:color w:val="auto"/>
          <w:kern w:val="0"/>
          <w:sz w:val="24"/>
          <w:szCs w:val="24"/>
          <w:lang w:bidi="ar"/>
        </w:rPr>
        <w:t>附图：</w:t>
      </w:r>
    </w:p>
    <w:p w14:paraId="6B466AA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 项目地理位置图</w:t>
      </w:r>
    </w:p>
    <w:p w14:paraId="7299061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 路线走向图</w:t>
      </w:r>
    </w:p>
    <w:p w14:paraId="31DDEF8C">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val="en-US" w:eastAsia="zh-CN" w:bidi="ar"/>
        </w:rPr>
        <w:t xml:space="preserve">附图3 </w:t>
      </w:r>
      <w:r>
        <w:rPr>
          <w:rFonts w:hint="default" w:ascii="Times New Roman" w:hAnsi="Times New Roman" w:cs="Times New Roman"/>
          <w:color w:val="auto"/>
          <w:kern w:val="0"/>
          <w:sz w:val="24"/>
          <w:szCs w:val="24"/>
          <w:lang w:bidi="ar"/>
        </w:rPr>
        <w:t>宣汉县水系图</w:t>
      </w:r>
    </w:p>
    <w:p w14:paraId="182C17EA">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附图4 宣汉县国土空间规划分区图</w:t>
      </w:r>
    </w:p>
    <w:p w14:paraId="59609F5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附图5 项目与达州环境管控单元位置关系图</w:t>
      </w:r>
    </w:p>
    <w:p w14:paraId="0C9A244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附图6 项目外环境关系图</w:t>
      </w:r>
    </w:p>
    <w:p w14:paraId="49A07893">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附图7 平面布置图</w:t>
      </w:r>
    </w:p>
    <w:p w14:paraId="4A76BC69">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附图8 项目平面布置总图</w:t>
      </w:r>
    </w:p>
    <w:p w14:paraId="060B9C6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附件9 路线纵断面图</w:t>
      </w:r>
    </w:p>
    <w:p w14:paraId="047F276C">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附图10 路基段标准横断面图</w:t>
      </w:r>
    </w:p>
    <w:p w14:paraId="19F507D7">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附图11 桥梁断标准横断面图</w:t>
      </w:r>
    </w:p>
    <w:p w14:paraId="20F6A7F3">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附图12 隧道段标准横断面</w:t>
      </w:r>
    </w:p>
    <w:p w14:paraId="6B830AF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附图13 噪声监测点位图</w:t>
      </w:r>
    </w:p>
    <w:p w14:paraId="16CD0183">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附图14 施工场地、材料堆场平面图</w:t>
      </w:r>
    </w:p>
    <w:p w14:paraId="2148E0F3">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附图15 K0+258~+300左侧弃土场及施工便道平面布置图</w:t>
      </w:r>
    </w:p>
    <w:p w14:paraId="3043470D">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附图16 K1+743~+797左侧弃土场及施工便道平面布置图</w:t>
      </w:r>
    </w:p>
    <w:p w14:paraId="5C9CDECC">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附图17 施工场地内部平面布置图</w:t>
      </w:r>
    </w:p>
    <w:p w14:paraId="5D6BB5D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附图18 路基、路面排水系统图</w:t>
      </w:r>
    </w:p>
    <w:p w14:paraId="1EDDE70A">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附图19 路基、路面截水沟、排水沟</w:t>
      </w:r>
    </w:p>
    <w:p w14:paraId="793966C8">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附图20 典型生态措施保护图</w:t>
      </w:r>
    </w:p>
    <w:p w14:paraId="71C5D57E">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附图21 宣汉县中部片区乡村振兴·千万工程示范带建设项目（杏树村道路）拟使用林地现状图</w:t>
      </w:r>
    </w:p>
    <w:p w14:paraId="55ABC364">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附图22 文家湾跨燃气管线大桥施工图桥址平面图</w:t>
      </w:r>
    </w:p>
    <w:p w14:paraId="35F39382">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附图23 文家湾跨燃气管线大桥施工图总布置图</w:t>
      </w:r>
    </w:p>
    <w:p w14:paraId="1035FD5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附图24 文家湾跨燃气管线大桥桥墩构造图</w:t>
      </w:r>
    </w:p>
    <w:p w14:paraId="06BF9D56">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附图25 K2+304.668 1-2.5m钢筋混凝土框架涵设计图</w:t>
      </w:r>
    </w:p>
    <w:p w14:paraId="1144AF16">
      <w:pPr>
        <w:autoSpaceDE w:val="0"/>
        <w:autoSpaceDN w:val="0"/>
        <w:adjustRightInd w:val="0"/>
        <w:snapToGrid w:val="0"/>
        <w:spacing w:line="460" w:lineRule="exact"/>
        <w:ind w:firstLine="480" w:firstLineChars="200"/>
        <w:jc w:val="left"/>
        <w:rPr>
          <w:rFonts w:hint="eastAsia" w:cs="Times New Roman"/>
          <w:color w:val="auto"/>
          <w:kern w:val="0"/>
          <w:sz w:val="24"/>
          <w:szCs w:val="24"/>
          <w:lang w:val="en-US" w:eastAsia="zh-CN" w:bidi="ar"/>
        </w:rPr>
      </w:pPr>
      <w:r>
        <w:rPr>
          <w:rFonts w:hint="eastAsia" w:cs="Times New Roman"/>
          <w:color w:val="auto"/>
          <w:kern w:val="0"/>
          <w:sz w:val="24"/>
          <w:szCs w:val="24"/>
          <w:lang w:val="en-US" w:eastAsia="zh-CN" w:bidi="ar"/>
        </w:rPr>
        <w:t>附图26 植被类型图</w:t>
      </w:r>
    </w:p>
    <w:p w14:paraId="20B433A1">
      <w:pPr>
        <w:autoSpaceDE w:val="0"/>
        <w:autoSpaceDN w:val="0"/>
        <w:adjustRightInd w:val="0"/>
        <w:snapToGrid w:val="0"/>
        <w:spacing w:line="460" w:lineRule="exact"/>
        <w:ind w:firstLine="480" w:firstLineChars="200"/>
        <w:jc w:val="left"/>
        <w:rPr>
          <w:rFonts w:hint="default" w:cs="Times New Roman"/>
          <w:color w:val="auto"/>
          <w:kern w:val="0"/>
          <w:sz w:val="24"/>
          <w:szCs w:val="24"/>
          <w:lang w:val="en-US" w:eastAsia="zh-CN" w:bidi="ar"/>
        </w:rPr>
      </w:pPr>
      <w:r>
        <w:rPr>
          <w:rFonts w:hint="eastAsia" w:cs="Times New Roman"/>
          <w:color w:val="auto"/>
          <w:kern w:val="0"/>
          <w:sz w:val="24"/>
          <w:szCs w:val="24"/>
          <w:lang w:val="en-US" w:eastAsia="zh-CN" w:bidi="ar"/>
        </w:rPr>
        <w:t>附图27 土地利用现状图</w:t>
      </w:r>
    </w:p>
    <w:p w14:paraId="2D589A5F">
      <w:pPr>
        <w:autoSpaceDE w:val="0"/>
        <w:autoSpaceDN w:val="0"/>
        <w:adjustRightInd w:val="0"/>
        <w:snapToGrid w:val="0"/>
        <w:spacing w:line="460" w:lineRule="exact"/>
        <w:ind w:firstLine="482" w:firstLineChars="200"/>
        <w:jc w:val="left"/>
        <w:rPr>
          <w:rFonts w:hint="default" w:ascii="Times New Roman" w:hAnsi="Times New Roman" w:cs="Times New Roman"/>
          <w:b/>
          <w:bCs/>
          <w:color w:val="auto"/>
          <w:kern w:val="0"/>
          <w:sz w:val="24"/>
          <w:szCs w:val="24"/>
          <w:lang w:bidi="ar"/>
        </w:rPr>
      </w:pPr>
      <w:r>
        <w:rPr>
          <w:rFonts w:hint="default" w:ascii="Times New Roman" w:hAnsi="Times New Roman" w:cs="Times New Roman"/>
          <w:b/>
          <w:bCs/>
          <w:color w:val="auto"/>
          <w:kern w:val="0"/>
          <w:sz w:val="24"/>
          <w:szCs w:val="24"/>
          <w:lang w:bidi="ar"/>
        </w:rPr>
        <w:t>附件：</w:t>
      </w:r>
    </w:p>
    <w:p w14:paraId="1942BEC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附件1</w:t>
      </w:r>
      <w:r>
        <w:rPr>
          <w:rFonts w:hint="default" w:ascii="Times New Roman" w:hAnsi="Times New Roman" w:cs="Times New Roman"/>
          <w:color w:val="auto"/>
          <w:kern w:val="0"/>
          <w:sz w:val="24"/>
          <w:szCs w:val="24"/>
          <w:lang w:val="en-US" w:eastAsia="zh-CN" w:bidi="ar"/>
        </w:rPr>
        <w:t xml:space="preserve"> </w:t>
      </w:r>
      <w:r>
        <w:rPr>
          <w:rFonts w:hint="default" w:ascii="Times New Roman" w:hAnsi="Times New Roman" w:cs="Times New Roman"/>
          <w:color w:val="auto"/>
          <w:kern w:val="0"/>
          <w:sz w:val="24"/>
          <w:szCs w:val="24"/>
          <w:lang w:bidi="ar"/>
        </w:rPr>
        <w:t>委托书</w:t>
      </w:r>
    </w:p>
    <w:p w14:paraId="131885B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附件2 营业执照</w:t>
      </w:r>
    </w:p>
    <w:p w14:paraId="51B24918">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附件3 法人身份证</w:t>
      </w:r>
    </w:p>
    <w:p w14:paraId="4F42778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bidi="ar"/>
        </w:rPr>
        <w:t>附件</w:t>
      </w:r>
      <w:bookmarkStart w:id="4" w:name="_Toc32095"/>
      <w:r>
        <w:rPr>
          <w:rFonts w:hint="default" w:ascii="Times New Roman" w:hAnsi="Times New Roman" w:cs="Times New Roman"/>
          <w:color w:val="auto"/>
          <w:kern w:val="0"/>
          <w:sz w:val="24"/>
          <w:szCs w:val="24"/>
          <w:lang w:val="en-US" w:eastAsia="zh-CN" w:bidi="ar"/>
        </w:rPr>
        <w:t xml:space="preserve">4 </w:t>
      </w:r>
      <w:bookmarkEnd w:id="4"/>
      <w:r>
        <w:rPr>
          <w:rFonts w:hint="default" w:ascii="Times New Roman" w:hAnsi="Times New Roman" w:cs="Times New Roman"/>
          <w:color w:val="auto"/>
          <w:kern w:val="0"/>
          <w:sz w:val="24"/>
          <w:szCs w:val="24"/>
          <w:lang w:val="en-US" w:eastAsia="zh-CN" w:bidi="ar"/>
        </w:rPr>
        <w:t>关于宣汉县中部片区乡村振兴·千万工程示范带建设项目核准的批复</w:t>
      </w:r>
    </w:p>
    <w:p w14:paraId="22700BBA">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附件5 关于宣汉县中部片区乡村振兴·千万工程示范带建设项目不涉及新增建设用地的情况说明</w:t>
      </w:r>
    </w:p>
    <w:p w14:paraId="0FCE2C73">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附件6 不涉及饮用水水源保护地的说明</w:t>
      </w:r>
    </w:p>
    <w:p w14:paraId="77974B44">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附件7 不涉及生态红线、基本农田的说明</w:t>
      </w:r>
    </w:p>
    <w:p w14:paraId="5BFAFE22">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附件8 不涉及古树名木、自然保护区、风景名胜区、天然林、公益林的说明</w:t>
      </w:r>
    </w:p>
    <w:p w14:paraId="328BE162">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附件9 关于宣汉县中部片区乡村振兴·千万工程示范带建设项目一标段A段施工图设计及预算的批复</w:t>
      </w:r>
    </w:p>
    <w:p w14:paraId="1B4D6964">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附件10 关于宣汉县中部片区乡村振兴·千万工程示范带建设项目水土保持方案报告书的批复</w:t>
      </w:r>
    </w:p>
    <w:p w14:paraId="652E0A2C">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附件11 四川正达凯新材料有限公司关于四川宣宏实业有限公司征求道路跨越我司天然气管道施工是否存在安全隐患的复函</w:t>
      </w:r>
    </w:p>
    <w:p w14:paraId="141D9784">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附件12 宣汉县普光镇杏树村农村道路工程跨越正达凯输气管线安全风险评估报告结论及专家意见</w:t>
      </w:r>
    </w:p>
    <w:p w14:paraId="6338EE92">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附件13 关于征求宣汉县普光镇杏树村农村道路跨越中原油田普光分公司天然气管道是否存在安全隐患的复函</w:t>
      </w:r>
    </w:p>
    <w:p w14:paraId="154195FA">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附件14 宣汉县普光镇杏树村农村道路工程跨越普胡线输气管道安全风险评估报告结论及专家意见</w:t>
      </w:r>
    </w:p>
    <w:p w14:paraId="07B2DD1D">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附件15 关于拟新建宣汉县</w:t>
      </w:r>
      <w:r>
        <w:rPr>
          <w:rFonts w:hint="default" w:ascii="Times New Roman" w:hAnsi="Times New Roman" w:cs="Times New Roman"/>
          <w:i/>
          <w:iCs/>
          <w:color w:val="auto"/>
          <w:kern w:val="0"/>
          <w:sz w:val="24"/>
          <w:szCs w:val="24"/>
          <w:lang w:val="en-US" w:eastAsia="zh-CN" w:bidi="ar"/>
        </w:rPr>
        <w:t>普</w:t>
      </w:r>
      <w:r>
        <w:rPr>
          <w:rFonts w:hint="default" w:ascii="Times New Roman" w:hAnsi="Times New Roman" w:cs="Times New Roman"/>
          <w:color w:val="auto"/>
          <w:kern w:val="0"/>
          <w:sz w:val="24"/>
          <w:szCs w:val="24"/>
          <w:lang w:val="en-US" w:eastAsia="zh-CN" w:bidi="ar"/>
        </w:rPr>
        <w:t>光镇杏树村农村道路跨越川东北-川西联络天然气管道意见的函</w:t>
      </w:r>
    </w:p>
    <w:p w14:paraId="288C08C5">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附件16 宣汉县普光镇杏树村农村道路工程跨越川东北-川西联络线管道安全风险评估报告结论及专家意见</w:t>
      </w:r>
    </w:p>
    <w:p w14:paraId="473916DE">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附件17 中国铁路西安局集团有限公司关于中国石油长庆油田第二采气厂天然气管道下穿包西铁路等2项工程有关事宜的复函</w:t>
      </w:r>
    </w:p>
    <w:p w14:paraId="7195B7EC">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eastAsia" w:cs="Times New Roman"/>
          <w:color w:val="auto"/>
          <w:kern w:val="0"/>
          <w:sz w:val="24"/>
          <w:szCs w:val="24"/>
          <w:lang w:val="en-US" w:eastAsia="zh-CN" w:bidi="ar"/>
        </w:rPr>
        <w:t>附件18 达州普光建设开发有限公司关于宣汉县中部片区乡村振兴·千万工程示范带建设项目一标段道路接铁路专用线进场道路的回函</w:t>
      </w:r>
    </w:p>
    <w:p w14:paraId="1EDA8802">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附件1</w:t>
      </w:r>
      <w:r>
        <w:rPr>
          <w:rFonts w:hint="eastAsia" w:cs="Times New Roman"/>
          <w:color w:val="auto"/>
          <w:kern w:val="0"/>
          <w:sz w:val="24"/>
          <w:szCs w:val="24"/>
          <w:lang w:val="en-US" w:eastAsia="zh-CN" w:bidi="ar"/>
        </w:rPr>
        <w:t>9</w:t>
      </w:r>
      <w:r>
        <w:rPr>
          <w:rFonts w:hint="default" w:ascii="Times New Roman" w:hAnsi="Times New Roman" w:cs="Times New Roman"/>
          <w:color w:val="auto"/>
          <w:kern w:val="0"/>
          <w:sz w:val="24"/>
          <w:szCs w:val="24"/>
          <w:lang w:val="en-US" w:eastAsia="zh-CN" w:bidi="ar"/>
        </w:rPr>
        <w:t xml:space="preserve"> 情况说明</w:t>
      </w:r>
    </w:p>
    <w:p w14:paraId="53A4D736">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w:t>
      </w:r>
      <w:r>
        <w:rPr>
          <w:rFonts w:hint="eastAsia" w:cs="Times New Roman"/>
          <w:color w:val="auto"/>
          <w:kern w:val="0"/>
          <w:sz w:val="24"/>
          <w:szCs w:val="24"/>
          <w:lang w:val="en-US" w:eastAsia="zh-CN" w:bidi="ar"/>
        </w:rPr>
        <w:t>20</w:t>
      </w:r>
      <w:r>
        <w:rPr>
          <w:rFonts w:hint="default" w:ascii="Times New Roman" w:hAnsi="Times New Roman" w:cs="Times New Roman"/>
          <w:color w:val="auto"/>
          <w:kern w:val="0"/>
          <w:sz w:val="24"/>
          <w:szCs w:val="24"/>
          <w:lang w:val="en-US" w:eastAsia="zh-CN" w:bidi="ar"/>
        </w:rPr>
        <w:t xml:space="preserve"> 监测报告</w:t>
      </w:r>
    </w:p>
    <w:p w14:paraId="0DA7171B">
      <w:pPr>
        <w:autoSpaceDE w:val="0"/>
        <w:autoSpaceDN w:val="0"/>
        <w:adjustRightInd w:val="0"/>
        <w:snapToGrid w:val="0"/>
        <w:spacing w:line="460" w:lineRule="exact"/>
        <w:ind w:firstLine="480" w:firstLineChars="200"/>
        <w:jc w:val="left"/>
        <w:rPr>
          <w:rFonts w:hint="default" w:ascii="Times New Roman" w:hAnsi="Times New Roman" w:cs="Times New Roman"/>
          <w:color w:val="auto"/>
          <w:kern w:val="0"/>
          <w:sz w:val="24"/>
          <w:szCs w:val="24"/>
          <w:lang w:val="en-US" w:eastAsia="zh-CN" w:bidi="ar"/>
        </w:rPr>
      </w:pPr>
      <w:r>
        <w:rPr>
          <w:rFonts w:hint="default" w:ascii="Times New Roman" w:hAnsi="Times New Roman" w:cs="Times New Roman"/>
          <w:color w:val="auto"/>
          <w:kern w:val="0"/>
          <w:sz w:val="24"/>
          <w:szCs w:val="24"/>
          <w:lang w:val="en-US" w:eastAsia="zh-CN" w:bidi="ar"/>
        </w:rPr>
        <w:t>附件2</w:t>
      </w:r>
      <w:r>
        <w:rPr>
          <w:rFonts w:hint="eastAsia" w:cs="Times New Roman"/>
          <w:color w:val="auto"/>
          <w:kern w:val="0"/>
          <w:sz w:val="24"/>
          <w:szCs w:val="24"/>
          <w:lang w:val="en-US" w:eastAsia="zh-CN" w:bidi="ar"/>
        </w:rPr>
        <w:t>1</w:t>
      </w:r>
      <w:r>
        <w:rPr>
          <w:rFonts w:hint="default" w:ascii="Times New Roman" w:hAnsi="Times New Roman" w:cs="Times New Roman"/>
          <w:color w:val="auto"/>
          <w:kern w:val="0"/>
          <w:sz w:val="24"/>
          <w:szCs w:val="24"/>
          <w:lang w:val="en-US" w:eastAsia="zh-CN" w:bidi="ar"/>
        </w:rPr>
        <w:t xml:space="preserve"> 专家评审意见</w:t>
      </w:r>
    </w:p>
    <w:p w14:paraId="397D0DCF">
      <w:pPr>
        <w:spacing w:line="360" w:lineRule="auto"/>
        <w:ind w:firstLine="420" w:firstLineChars="200"/>
        <w:rPr>
          <w:rFonts w:hint="default" w:ascii="Times New Roman" w:hAnsi="Times New Roman" w:eastAsia="宋体" w:cs="Times New Roman"/>
          <w:color w:val="auto"/>
          <w:lang w:eastAsia="zh-CN"/>
        </w:rPr>
      </w:pPr>
    </w:p>
    <w:p w14:paraId="0F43F2E6">
      <w:pPr>
        <w:pStyle w:val="20"/>
        <w:jc w:val="both"/>
        <w:rPr>
          <w:rFonts w:hint="default" w:ascii="Times New Roman" w:hAnsi="Times New Roman" w:eastAsia="黑体" w:cs="Times New Roman"/>
          <w:snapToGrid w:val="0"/>
          <w:color w:val="auto"/>
          <w:sz w:val="30"/>
          <w:szCs w:val="30"/>
        </w:rPr>
        <w:sectPr>
          <w:footerReference r:id="rId10" w:type="default"/>
          <w:pgSz w:w="11906" w:h="16838"/>
          <w:pgMar w:top="1701" w:right="1531" w:bottom="1701" w:left="1531" w:header="851" w:footer="1077" w:gutter="0"/>
          <w:pgNumType w:fmt="decimal" w:start="1"/>
          <w:cols w:space="720" w:num="1"/>
          <w:docGrid w:linePitch="312" w:charSpace="0"/>
        </w:sectPr>
      </w:pPr>
    </w:p>
    <w:p w14:paraId="606DE97A">
      <w:pPr>
        <w:pStyle w:val="20"/>
        <w:jc w:val="center"/>
        <w:outlineLvl w:val="0"/>
        <w:rPr>
          <w:rFonts w:hint="default" w:ascii="Times New Roman" w:hAnsi="Times New Roman" w:eastAsia="黑体" w:cs="Times New Roman"/>
          <w:snapToGrid w:val="0"/>
          <w:color w:val="auto"/>
          <w:sz w:val="30"/>
          <w:szCs w:val="30"/>
        </w:rPr>
      </w:pPr>
      <w:bookmarkStart w:id="5" w:name="_Toc17065"/>
      <w:bookmarkStart w:id="6" w:name="_Toc24650"/>
      <w:r>
        <w:rPr>
          <w:rFonts w:hint="default" w:ascii="Times New Roman" w:hAnsi="Times New Roman" w:eastAsia="黑体" w:cs="Times New Roman"/>
          <w:snapToGrid w:val="0"/>
          <w:color w:val="auto"/>
          <w:sz w:val="30"/>
          <w:szCs w:val="30"/>
          <w:lang w:val="en-US" w:eastAsia="zh-CN"/>
        </w:rPr>
        <w:t xml:space="preserve"> </w:t>
      </w:r>
      <w:r>
        <w:rPr>
          <w:rFonts w:hint="default" w:ascii="Times New Roman" w:hAnsi="Times New Roman" w:eastAsia="黑体" w:cs="Times New Roman"/>
          <w:snapToGrid w:val="0"/>
          <w:color w:val="auto"/>
          <w:sz w:val="30"/>
          <w:szCs w:val="30"/>
        </w:rPr>
        <w:t>一、建设项目基本情况</w:t>
      </w:r>
      <w:bookmarkEnd w:id="5"/>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949"/>
        <w:gridCol w:w="3614"/>
        <w:gridCol w:w="1815"/>
        <w:gridCol w:w="2492"/>
      </w:tblGrid>
      <w:tr w14:paraId="35CD5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26AA85E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建设项目名称</w:t>
            </w:r>
          </w:p>
        </w:tc>
        <w:tc>
          <w:tcPr>
            <w:tcW w:w="7921" w:type="dxa"/>
            <w:gridSpan w:val="3"/>
            <w:vAlign w:val="center"/>
          </w:tcPr>
          <w:p w14:paraId="5AEC55BF">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宣汉县中部片区乡村振兴</w:t>
            </w:r>
            <w:r>
              <w:rPr>
                <w:rFonts w:hint="default" w:ascii="Times New Roman" w:hAnsi="Times New Roman" w:cs="Times New Roman"/>
                <w:color w:val="auto"/>
                <w:szCs w:val="21"/>
                <w:lang w:val="en-US" w:eastAsia="zh-CN"/>
              </w:rPr>
              <w:t>·</w:t>
            </w:r>
            <w:r>
              <w:rPr>
                <w:rFonts w:hint="default" w:ascii="Times New Roman" w:hAnsi="Times New Roman" w:cs="Times New Roman"/>
                <w:color w:val="auto"/>
                <w:szCs w:val="21"/>
              </w:rPr>
              <w:t>千万工程示范带建设项目一标段</w:t>
            </w:r>
          </w:p>
        </w:tc>
      </w:tr>
      <w:tr w14:paraId="5222F4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43DD31F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项目代码</w:t>
            </w:r>
          </w:p>
        </w:tc>
        <w:tc>
          <w:tcPr>
            <w:tcW w:w="7921" w:type="dxa"/>
            <w:gridSpan w:val="3"/>
            <w:vAlign w:val="center"/>
          </w:tcPr>
          <w:p w14:paraId="2E023560">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宣发改审[2024]180号</w:t>
            </w:r>
          </w:p>
        </w:tc>
      </w:tr>
      <w:tr w14:paraId="3D5061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329D1FA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建设单位联系人</w:t>
            </w:r>
          </w:p>
        </w:tc>
        <w:tc>
          <w:tcPr>
            <w:tcW w:w="3614" w:type="dxa"/>
            <w:vAlign w:val="center"/>
          </w:tcPr>
          <w:p w14:paraId="175C0EC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黎立</w:t>
            </w:r>
          </w:p>
        </w:tc>
        <w:tc>
          <w:tcPr>
            <w:tcW w:w="1815" w:type="dxa"/>
            <w:vAlign w:val="center"/>
          </w:tcPr>
          <w:p w14:paraId="506BCCE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联系方式</w:t>
            </w:r>
          </w:p>
        </w:tc>
        <w:tc>
          <w:tcPr>
            <w:tcW w:w="2492" w:type="dxa"/>
            <w:vAlign w:val="center"/>
          </w:tcPr>
          <w:p w14:paraId="1DE7500F">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15508209029</w:t>
            </w:r>
          </w:p>
        </w:tc>
      </w:tr>
      <w:tr w14:paraId="66469F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6FC7EE1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建设地点</w:t>
            </w:r>
          </w:p>
        </w:tc>
        <w:tc>
          <w:tcPr>
            <w:tcW w:w="7921" w:type="dxa"/>
            <w:gridSpan w:val="3"/>
            <w:vAlign w:val="center"/>
          </w:tcPr>
          <w:p w14:paraId="66AF4BA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达州市宣汉县普光杏树村5社至6社</w:t>
            </w:r>
          </w:p>
        </w:tc>
      </w:tr>
      <w:tr w14:paraId="4558D4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01C069F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地理坐标</w:t>
            </w:r>
          </w:p>
        </w:tc>
        <w:tc>
          <w:tcPr>
            <w:tcW w:w="7921" w:type="dxa"/>
            <w:gridSpan w:val="3"/>
            <w:vAlign w:val="center"/>
          </w:tcPr>
          <w:p w14:paraId="358C4BA8">
            <w:pPr>
              <w:jc w:val="center"/>
              <w:rPr>
                <w:rFonts w:hint="default" w:ascii="Times New Roman" w:hAnsi="Times New Roman" w:cs="Times New Roman"/>
                <w:color w:val="auto"/>
              </w:rPr>
            </w:pPr>
            <w:r>
              <w:rPr>
                <w:rFonts w:hint="default" w:ascii="Times New Roman" w:hAnsi="Times New Roman" w:cs="Times New Roman"/>
                <w:color w:val="auto"/>
              </w:rPr>
              <w:t>项目起点：</w:t>
            </w:r>
            <w:r>
              <w:rPr>
                <w:rFonts w:hint="default" w:ascii="Times New Roman" w:hAnsi="Times New Roman" w:cs="Times New Roman"/>
                <w:color w:val="auto"/>
                <w:u w:val="single"/>
              </w:rPr>
              <w:t>10</w:t>
            </w:r>
            <w:r>
              <w:rPr>
                <w:rFonts w:hint="default" w:ascii="Times New Roman" w:hAnsi="Times New Roman" w:cs="Times New Roman"/>
                <w:color w:val="auto"/>
                <w:u w:val="single"/>
                <w:lang w:val="en-US" w:eastAsia="zh-CN"/>
              </w:rPr>
              <w:t>7</w:t>
            </w:r>
            <w:r>
              <w:rPr>
                <w:rFonts w:hint="default" w:ascii="Times New Roman" w:hAnsi="Times New Roman" w:cs="Times New Roman"/>
                <w:color w:val="auto"/>
              </w:rPr>
              <w:t>度</w:t>
            </w:r>
            <w:r>
              <w:rPr>
                <w:rFonts w:hint="default" w:ascii="Times New Roman" w:hAnsi="Times New Roman" w:cs="Times New Roman"/>
                <w:color w:val="auto"/>
                <w:u w:val="single"/>
                <w:lang w:val="en-US" w:eastAsia="zh-CN"/>
              </w:rPr>
              <w:t>41</w:t>
            </w:r>
            <w:r>
              <w:rPr>
                <w:rFonts w:hint="default" w:ascii="Times New Roman" w:hAnsi="Times New Roman" w:cs="Times New Roman"/>
                <w:color w:val="auto"/>
              </w:rPr>
              <w:t>分</w:t>
            </w:r>
            <w:r>
              <w:rPr>
                <w:rFonts w:hint="default" w:ascii="Times New Roman" w:hAnsi="Times New Roman" w:cs="Times New Roman"/>
                <w:color w:val="auto"/>
                <w:u w:val="single"/>
                <w:lang w:val="en-US" w:eastAsia="zh-CN"/>
              </w:rPr>
              <w:t>25.4626</w:t>
            </w:r>
            <w:r>
              <w:rPr>
                <w:rFonts w:hint="default" w:ascii="Times New Roman" w:hAnsi="Times New Roman" w:cs="Times New Roman"/>
                <w:color w:val="auto"/>
              </w:rPr>
              <w:t>秒，</w:t>
            </w:r>
            <w:r>
              <w:rPr>
                <w:rFonts w:hint="default" w:ascii="Times New Roman" w:hAnsi="Times New Roman" w:cs="Times New Roman"/>
                <w:color w:val="auto"/>
                <w:u w:val="single"/>
                <w:lang w:val="en-US" w:eastAsia="zh-CN"/>
              </w:rPr>
              <w:t>31</w:t>
            </w:r>
            <w:r>
              <w:rPr>
                <w:rFonts w:hint="default" w:ascii="Times New Roman" w:hAnsi="Times New Roman" w:cs="Times New Roman"/>
                <w:color w:val="auto"/>
              </w:rPr>
              <w:t>度</w:t>
            </w:r>
            <w:r>
              <w:rPr>
                <w:rFonts w:hint="default" w:ascii="Times New Roman" w:hAnsi="Times New Roman" w:cs="Times New Roman"/>
                <w:color w:val="auto"/>
                <w:u w:val="single"/>
                <w:lang w:val="en-US" w:eastAsia="zh-CN"/>
              </w:rPr>
              <w:t>31</w:t>
            </w:r>
            <w:r>
              <w:rPr>
                <w:rFonts w:hint="default" w:ascii="Times New Roman" w:hAnsi="Times New Roman" w:cs="Times New Roman"/>
                <w:color w:val="auto"/>
              </w:rPr>
              <w:t>分</w:t>
            </w:r>
            <w:r>
              <w:rPr>
                <w:rFonts w:hint="default" w:ascii="Times New Roman" w:hAnsi="Times New Roman" w:cs="Times New Roman"/>
                <w:color w:val="auto"/>
                <w:u w:val="single"/>
                <w:lang w:val="en-US" w:eastAsia="zh-CN"/>
              </w:rPr>
              <w:t>21.8183</w:t>
            </w:r>
            <w:r>
              <w:rPr>
                <w:rFonts w:hint="default" w:ascii="Times New Roman" w:hAnsi="Times New Roman" w:cs="Times New Roman"/>
                <w:color w:val="auto"/>
              </w:rPr>
              <w:t>秒</w:t>
            </w:r>
          </w:p>
          <w:p w14:paraId="7371DFCC">
            <w:pPr>
              <w:jc w:val="center"/>
              <w:rPr>
                <w:rFonts w:hint="default" w:ascii="Times New Roman" w:hAnsi="Times New Roman" w:cs="Times New Roman"/>
                <w:color w:val="auto"/>
              </w:rPr>
            </w:pPr>
            <w:r>
              <w:rPr>
                <w:rFonts w:hint="default" w:ascii="Times New Roman" w:hAnsi="Times New Roman" w:cs="Times New Roman"/>
                <w:color w:val="auto"/>
                <w:szCs w:val="21"/>
                <w:lang w:val="en-US" w:eastAsia="zh-CN"/>
              </w:rPr>
              <w:t>主路终点</w:t>
            </w:r>
            <w:r>
              <w:rPr>
                <w:rFonts w:hint="default" w:ascii="Times New Roman" w:hAnsi="Times New Roman" w:cs="Times New Roman"/>
                <w:color w:val="auto"/>
                <w:szCs w:val="21"/>
              </w:rPr>
              <w:t>：</w:t>
            </w:r>
            <w:r>
              <w:rPr>
                <w:rFonts w:hint="default" w:ascii="Times New Roman" w:hAnsi="Times New Roman" w:cs="Times New Roman"/>
                <w:color w:val="auto"/>
                <w:u w:val="single"/>
              </w:rPr>
              <w:t>107</w:t>
            </w:r>
            <w:r>
              <w:rPr>
                <w:rFonts w:hint="default" w:ascii="Times New Roman" w:hAnsi="Times New Roman" w:cs="Times New Roman"/>
                <w:color w:val="auto"/>
              </w:rPr>
              <w:t>度</w:t>
            </w:r>
            <w:r>
              <w:rPr>
                <w:rFonts w:hint="default" w:ascii="Times New Roman" w:hAnsi="Times New Roman" w:cs="Times New Roman"/>
                <w:color w:val="auto"/>
                <w:u w:val="single"/>
                <w:lang w:val="en-US" w:eastAsia="zh-CN"/>
              </w:rPr>
              <w:t>41</w:t>
            </w:r>
            <w:r>
              <w:rPr>
                <w:rFonts w:hint="default" w:ascii="Times New Roman" w:hAnsi="Times New Roman" w:cs="Times New Roman"/>
                <w:color w:val="auto"/>
              </w:rPr>
              <w:t>分</w:t>
            </w:r>
            <w:r>
              <w:rPr>
                <w:rFonts w:hint="default" w:ascii="Times New Roman" w:hAnsi="Times New Roman" w:cs="Times New Roman"/>
                <w:color w:val="auto"/>
                <w:u w:val="single"/>
                <w:lang w:val="en-US" w:eastAsia="zh-CN"/>
              </w:rPr>
              <w:t>48.7673</w:t>
            </w:r>
            <w:r>
              <w:rPr>
                <w:rFonts w:hint="default" w:ascii="Times New Roman" w:hAnsi="Times New Roman" w:cs="Times New Roman"/>
                <w:color w:val="auto"/>
              </w:rPr>
              <w:t>秒，</w:t>
            </w:r>
            <w:r>
              <w:rPr>
                <w:rFonts w:hint="default" w:ascii="Times New Roman" w:hAnsi="Times New Roman" w:cs="Times New Roman"/>
                <w:color w:val="auto"/>
                <w:u w:val="single"/>
              </w:rPr>
              <w:t>31</w:t>
            </w:r>
            <w:r>
              <w:rPr>
                <w:rFonts w:hint="default" w:ascii="Times New Roman" w:hAnsi="Times New Roman" w:cs="Times New Roman"/>
                <w:color w:val="auto"/>
              </w:rPr>
              <w:t>度</w:t>
            </w:r>
            <w:r>
              <w:rPr>
                <w:rFonts w:hint="default" w:ascii="Times New Roman" w:hAnsi="Times New Roman" w:cs="Times New Roman"/>
                <w:color w:val="auto"/>
                <w:u w:val="single"/>
                <w:lang w:val="en-US" w:eastAsia="zh-CN"/>
              </w:rPr>
              <w:t>32</w:t>
            </w:r>
            <w:r>
              <w:rPr>
                <w:rFonts w:hint="default" w:ascii="Times New Roman" w:hAnsi="Times New Roman" w:cs="Times New Roman"/>
                <w:color w:val="auto"/>
              </w:rPr>
              <w:t>分</w:t>
            </w:r>
            <w:r>
              <w:rPr>
                <w:rFonts w:hint="default" w:ascii="Times New Roman" w:hAnsi="Times New Roman" w:cs="Times New Roman"/>
                <w:color w:val="auto"/>
                <w:u w:val="single"/>
                <w:lang w:val="en-US" w:eastAsia="zh-CN"/>
              </w:rPr>
              <w:t>40.6913</w:t>
            </w:r>
            <w:r>
              <w:rPr>
                <w:rFonts w:hint="default" w:ascii="Times New Roman" w:hAnsi="Times New Roman" w:cs="Times New Roman"/>
                <w:color w:val="auto"/>
              </w:rPr>
              <w:t>秒</w:t>
            </w:r>
          </w:p>
          <w:p w14:paraId="33A7E9A9">
            <w:pPr>
              <w:jc w:val="center"/>
              <w:rPr>
                <w:rFonts w:hint="default" w:ascii="Times New Roman" w:hAnsi="Times New Roman" w:cs="Times New Roman"/>
                <w:color w:val="auto"/>
              </w:rPr>
            </w:pPr>
            <w:r>
              <w:rPr>
                <w:rFonts w:hint="default" w:ascii="Times New Roman" w:hAnsi="Times New Roman" w:cs="Times New Roman"/>
                <w:color w:val="auto"/>
                <w:szCs w:val="21"/>
                <w:lang w:val="en-US" w:eastAsia="zh-CN"/>
              </w:rPr>
              <w:t>支线终点</w:t>
            </w:r>
            <w:r>
              <w:rPr>
                <w:rFonts w:hint="default" w:ascii="Times New Roman" w:hAnsi="Times New Roman" w:cs="Times New Roman"/>
                <w:color w:val="auto"/>
                <w:szCs w:val="21"/>
              </w:rPr>
              <w:t>：</w:t>
            </w:r>
            <w:r>
              <w:rPr>
                <w:rFonts w:hint="default" w:ascii="Times New Roman" w:hAnsi="Times New Roman" w:cs="Times New Roman"/>
                <w:color w:val="auto"/>
                <w:szCs w:val="21"/>
                <w:u w:val="single"/>
              </w:rPr>
              <w:t>107</w:t>
            </w:r>
            <w:r>
              <w:rPr>
                <w:rFonts w:hint="default" w:ascii="Times New Roman" w:hAnsi="Times New Roman" w:cs="Times New Roman"/>
                <w:color w:val="auto"/>
                <w:szCs w:val="21"/>
              </w:rPr>
              <w:t>度</w:t>
            </w:r>
            <w:r>
              <w:rPr>
                <w:rFonts w:hint="default" w:ascii="Times New Roman" w:hAnsi="Times New Roman" w:cs="Times New Roman"/>
                <w:color w:val="auto"/>
                <w:szCs w:val="21"/>
                <w:u w:val="single"/>
              </w:rPr>
              <w:t>41</w:t>
            </w:r>
            <w:r>
              <w:rPr>
                <w:rFonts w:hint="default" w:ascii="Times New Roman" w:hAnsi="Times New Roman" w:cs="Times New Roman"/>
                <w:color w:val="auto"/>
                <w:szCs w:val="21"/>
              </w:rPr>
              <w:t>分</w:t>
            </w:r>
            <w:r>
              <w:rPr>
                <w:rFonts w:hint="default" w:ascii="Times New Roman" w:hAnsi="Times New Roman" w:cs="Times New Roman"/>
                <w:color w:val="auto"/>
                <w:szCs w:val="21"/>
                <w:u w:val="single"/>
              </w:rPr>
              <w:t>47.5265</w:t>
            </w:r>
            <w:r>
              <w:rPr>
                <w:rFonts w:hint="default" w:ascii="Times New Roman" w:hAnsi="Times New Roman" w:cs="Times New Roman"/>
                <w:color w:val="auto"/>
                <w:szCs w:val="21"/>
              </w:rPr>
              <w:t>秒，</w:t>
            </w:r>
            <w:r>
              <w:rPr>
                <w:rFonts w:hint="default" w:ascii="Times New Roman" w:hAnsi="Times New Roman" w:cs="Times New Roman"/>
                <w:color w:val="auto"/>
                <w:szCs w:val="21"/>
                <w:u w:val="single"/>
              </w:rPr>
              <w:t>31</w:t>
            </w:r>
            <w:r>
              <w:rPr>
                <w:rFonts w:hint="default" w:ascii="Times New Roman" w:hAnsi="Times New Roman" w:cs="Times New Roman"/>
                <w:color w:val="auto"/>
                <w:szCs w:val="21"/>
              </w:rPr>
              <w:t>度</w:t>
            </w:r>
            <w:r>
              <w:rPr>
                <w:rFonts w:hint="default" w:ascii="Times New Roman" w:hAnsi="Times New Roman" w:cs="Times New Roman"/>
                <w:color w:val="auto"/>
                <w:szCs w:val="21"/>
                <w:u w:val="single"/>
              </w:rPr>
              <w:t>32</w:t>
            </w:r>
            <w:r>
              <w:rPr>
                <w:rFonts w:hint="default" w:ascii="Times New Roman" w:hAnsi="Times New Roman" w:cs="Times New Roman"/>
                <w:color w:val="auto"/>
                <w:szCs w:val="21"/>
              </w:rPr>
              <w:t>分</w:t>
            </w:r>
            <w:r>
              <w:rPr>
                <w:rFonts w:hint="default" w:ascii="Times New Roman" w:hAnsi="Times New Roman" w:cs="Times New Roman"/>
                <w:color w:val="auto"/>
                <w:szCs w:val="21"/>
                <w:u w:val="single"/>
              </w:rPr>
              <w:t>34.0717</w:t>
            </w:r>
            <w:r>
              <w:rPr>
                <w:rFonts w:hint="default" w:ascii="Times New Roman" w:hAnsi="Times New Roman" w:cs="Times New Roman"/>
                <w:color w:val="auto"/>
                <w:szCs w:val="21"/>
              </w:rPr>
              <w:t>秒</w:t>
            </w:r>
          </w:p>
        </w:tc>
      </w:tr>
      <w:tr w14:paraId="491CBC1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949" w:type="dxa"/>
            <w:tcMar>
              <w:top w:w="16" w:type="dxa"/>
              <w:left w:w="16" w:type="dxa"/>
              <w:right w:w="16" w:type="dxa"/>
            </w:tcMar>
            <w:vAlign w:val="center"/>
          </w:tcPr>
          <w:p w14:paraId="0CF9D60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7E810AD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行业类别</w:t>
            </w:r>
          </w:p>
        </w:tc>
        <w:tc>
          <w:tcPr>
            <w:tcW w:w="3614" w:type="dxa"/>
            <w:vAlign w:val="center"/>
          </w:tcPr>
          <w:p w14:paraId="3C24F5D3">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“130、等级公路（不含维护；不含生命救援、应急保通工程以及国防交通保障项目；不含改扩建四级公路）”的“其他（配套设施除外；不涉及环境敏感区的三、四级公路除外）”</w:t>
            </w:r>
          </w:p>
        </w:tc>
        <w:tc>
          <w:tcPr>
            <w:tcW w:w="1815" w:type="dxa"/>
            <w:vAlign w:val="center"/>
          </w:tcPr>
          <w:p w14:paraId="014CA5F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用地（用海）面积（m</w:t>
            </w:r>
            <w:r>
              <w:rPr>
                <w:rFonts w:hint="default" w:ascii="Times New Roman" w:hAnsi="Times New Roman" w:cs="Times New Roman"/>
                <w:color w:val="auto"/>
                <w:szCs w:val="21"/>
                <w:vertAlign w:val="superscript"/>
              </w:rPr>
              <w:t>2</w:t>
            </w:r>
            <w:r>
              <w:rPr>
                <w:rFonts w:hint="default" w:ascii="Times New Roman" w:hAnsi="Times New Roman" w:cs="Times New Roman"/>
                <w:color w:val="auto"/>
                <w:szCs w:val="21"/>
              </w:rPr>
              <w:t>）/长度（km）</w:t>
            </w:r>
          </w:p>
        </w:tc>
        <w:tc>
          <w:tcPr>
            <w:tcW w:w="2492" w:type="dxa"/>
            <w:vAlign w:val="center"/>
          </w:tcPr>
          <w:p w14:paraId="05396B64">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工程总占地8.</w:t>
            </w:r>
            <w:r>
              <w:rPr>
                <w:rFonts w:hint="default" w:ascii="Times New Roman" w:hAnsi="Times New Roman" w:cs="Times New Roman"/>
                <w:color w:val="auto"/>
                <w:szCs w:val="21"/>
                <w:lang w:val="en-US" w:eastAsia="zh-CN"/>
              </w:rPr>
              <w:t>57</w:t>
            </w:r>
            <w:r>
              <w:rPr>
                <w:rFonts w:hint="default" w:ascii="Times New Roman" w:hAnsi="Times New Roman" w:eastAsia="宋体" w:cs="Times New Roman"/>
                <w:color w:val="auto"/>
                <w:szCs w:val="21"/>
                <w:lang w:val="en-US" w:eastAsia="zh-CN"/>
              </w:rPr>
              <w:t>hm</w:t>
            </w:r>
            <w:r>
              <w:rPr>
                <w:rFonts w:hint="default" w:ascii="Times New Roman" w:hAnsi="Times New Roman" w:cs="Times New Roman"/>
                <w:color w:val="auto"/>
                <w:szCs w:val="21"/>
                <w:vertAlign w:val="superscript"/>
                <w:lang w:val="en-US" w:eastAsia="zh-CN"/>
              </w:rPr>
              <w:t>2</w:t>
            </w:r>
            <w:r>
              <w:rPr>
                <w:rFonts w:hint="default" w:ascii="Times New Roman" w:hAnsi="Times New Roman" w:eastAsia="宋体" w:cs="Times New Roman"/>
                <w:color w:val="auto"/>
                <w:szCs w:val="21"/>
                <w:lang w:val="en-US" w:eastAsia="zh-CN"/>
              </w:rPr>
              <w:t>，其中永久占地4.24hm</w:t>
            </w:r>
            <w:r>
              <w:rPr>
                <w:rFonts w:hint="default" w:ascii="Times New Roman" w:hAnsi="Times New Roman" w:cs="Times New Roman"/>
                <w:color w:val="auto"/>
                <w:szCs w:val="21"/>
                <w:vertAlign w:val="superscript"/>
                <w:lang w:val="en-US" w:eastAsia="zh-CN"/>
              </w:rPr>
              <w:t>2</w:t>
            </w:r>
            <w:r>
              <w:rPr>
                <w:rFonts w:hint="default" w:ascii="Times New Roman" w:hAnsi="Times New Roman" w:eastAsia="宋体" w:cs="Times New Roman"/>
                <w:color w:val="auto"/>
                <w:szCs w:val="21"/>
                <w:lang w:val="en-US" w:eastAsia="zh-CN"/>
              </w:rPr>
              <w:t>，临时占地</w:t>
            </w:r>
            <w:r>
              <w:rPr>
                <w:rFonts w:hint="default" w:ascii="Times New Roman" w:hAnsi="Times New Roman" w:cs="Times New Roman"/>
                <w:color w:val="auto"/>
                <w:szCs w:val="21"/>
                <w:lang w:val="en-US" w:eastAsia="zh-CN"/>
              </w:rPr>
              <w:t>4.33</w:t>
            </w:r>
            <w:r>
              <w:rPr>
                <w:rFonts w:hint="default" w:ascii="Times New Roman" w:hAnsi="Times New Roman" w:eastAsia="宋体" w:cs="Times New Roman"/>
                <w:color w:val="auto"/>
                <w:szCs w:val="21"/>
                <w:lang w:val="en-US" w:eastAsia="zh-CN"/>
              </w:rPr>
              <w:t>hm</w:t>
            </w:r>
            <w:r>
              <w:rPr>
                <w:rFonts w:hint="default" w:ascii="Times New Roman" w:hAnsi="Times New Roman" w:cs="Times New Roman"/>
                <w:color w:val="auto"/>
                <w:szCs w:val="21"/>
                <w:vertAlign w:val="superscript"/>
                <w:lang w:val="en-US" w:eastAsia="zh-CN"/>
              </w:rPr>
              <w:t>2</w:t>
            </w:r>
            <w:r>
              <w:rPr>
                <w:rFonts w:hint="default" w:ascii="Times New Roman" w:hAnsi="Times New Roman" w:eastAsia="宋体" w:cs="Times New Roman"/>
                <w:color w:val="auto"/>
                <w:szCs w:val="21"/>
                <w:lang w:val="en-US" w:eastAsia="zh-CN"/>
              </w:rPr>
              <w:t>。</w:t>
            </w:r>
          </w:p>
        </w:tc>
      </w:tr>
      <w:tr w14:paraId="706BE2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949" w:type="dxa"/>
            <w:tcMar>
              <w:top w:w="16" w:type="dxa"/>
              <w:left w:w="16" w:type="dxa"/>
              <w:right w:w="16" w:type="dxa"/>
            </w:tcMar>
            <w:vAlign w:val="center"/>
          </w:tcPr>
          <w:p w14:paraId="2C99893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建设性质</w:t>
            </w:r>
          </w:p>
        </w:tc>
        <w:tc>
          <w:tcPr>
            <w:tcW w:w="3614" w:type="dxa"/>
            <w:vAlign w:val="center"/>
          </w:tcPr>
          <w:p w14:paraId="4C470AD3">
            <w:pPr>
              <w:jc w:val="left"/>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新建</w:t>
            </w:r>
          </w:p>
          <w:p w14:paraId="28599653">
            <w:pPr>
              <w:jc w:val="left"/>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改建</w:t>
            </w:r>
          </w:p>
          <w:p w14:paraId="294BA0CB">
            <w:pPr>
              <w:jc w:val="left"/>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扩建</w:t>
            </w:r>
          </w:p>
          <w:p w14:paraId="023F86C7">
            <w:pPr>
              <w:jc w:val="left"/>
              <w:rPr>
                <w:rFonts w:hint="default" w:ascii="Times New Roman" w:hAnsi="Times New Roman" w:cs="Times New Roman"/>
                <w:color w:val="auto"/>
                <w:szCs w:val="21"/>
              </w:rPr>
            </w:pPr>
            <w:r>
              <w:rPr>
                <w:rFonts w:hint="default" w:ascii="Times New Roman" w:hAnsi="Times New Roman" w:cs="Times New Roman"/>
                <w:color w:val="auto"/>
                <w:szCs w:val="21"/>
                <w:lang w:eastAsia="zh-CN"/>
              </w:rPr>
              <w:t>□</w:t>
            </w:r>
            <w:r>
              <w:rPr>
                <w:rFonts w:hint="default" w:ascii="Times New Roman" w:hAnsi="Times New Roman" w:cs="Times New Roman"/>
                <w:color w:val="auto"/>
                <w:szCs w:val="21"/>
              </w:rPr>
              <w:t>技术改造</w:t>
            </w:r>
          </w:p>
        </w:tc>
        <w:tc>
          <w:tcPr>
            <w:tcW w:w="1815" w:type="dxa"/>
            <w:vAlign w:val="center"/>
          </w:tcPr>
          <w:p w14:paraId="796A9A06">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建设项目</w:t>
            </w:r>
          </w:p>
          <w:p w14:paraId="7382680B">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申报情形</w:t>
            </w:r>
          </w:p>
        </w:tc>
        <w:tc>
          <w:tcPr>
            <w:tcW w:w="2492" w:type="dxa"/>
            <w:vAlign w:val="center"/>
          </w:tcPr>
          <w:p w14:paraId="0BB08493">
            <w:pPr>
              <w:jc w:val="left"/>
              <w:rPr>
                <w:rFonts w:hint="default" w:ascii="Times New Roman" w:hAnsi="Times New Roman" w:cs="Times New Roman"/>
                <w:color w:val="auto"/>
                <w:szCs w:val="21"/>
              </w:rPr>
            </w:pPr>
            <w:r>
              <w:rPr>
                <w:rFonts w:hint="default" w:ascii="Times New Roman" w:hAnsi="Times New Roman" w:cs="Times New Roman"/>
                <w:color w:val="auto"/>
                <w:szCs w:val="21"/>
              </w:rPr>
              <w:t>☑首次申报项目</w:t>
            </w:r>
          </w:p>
          <w:p w14:paraId="4CC51CF0">
            <w:pPr>
              <w:jc w:val="left"/>
              <w:rPr>
                <w:rFonts w:hint="default" w:ascii="Times New Roman" w:hAnsi="Times New Roman" w:cs="Times New Roman"/>
                <w:color w:val="auto"/>
                <w:szCs w:val="21"/>
              </w:rPr>
            </w:pPr>
            <w:r>
              <w:rPr>
                <w:rFonts w:hint="default" w:ascii="Times New Roman" w:hAnsi="Times New Roman" w:cs="Times New Roman"/>
                <w:color w:val="auto"/>
                <w:szCs w:val="21"/>
              </w:rPr>
              <w:t>□不予批准后再次申报项目</w:t>
            </w:r>
          </w:p>
          <w:p w14:paraId="63C9D85E">
            <w:pPr>
              <w:jc w:val="left"/>
              <w:rPr>
                <w:rFonts w:hint="default" w:ascii="Times New Roman" w:hAnsi="Times New Roman" w:cs="Times New Roman"/>
                <w:color w:val="auto"/>
                <w:szCs w:val="21"/>
              </w:rPr>
            </w:pPr>
            <w:r>
              <w:rPr>
                <w:rFonts w:hint="default" w:ascii="Times New Roman" w:hAnsi="Times New Roman" w:cs="Times New Roman"/>
                <w:color w:val="auto"/>
                <w:szCs w:val="21"/>
              </w:rPr>
              <w:t>□超五年重新审核项目</w:t>
            </w:r>
          </w:p>
          <w:p w14:paraId="6B580B91">
            <w:pPr>
              <w:jc w:val="left"/>
              <w:rPr>
                <w:rFonts w:hint="default" w:ascii="Times New Roman" w:hAnsi="Times New Roman" w:cs="Times New Roman"/>
                <w:color w:val="auto"/>
                <w:szCs w:val="21"/>
              </w:rPr>
            </w:pPr>
            <w:r>
              <w:rPr>
                <w:rFonts w:hint="default" w:ascii="Times New Roman" w:hAnsi="Times New Roman" w:cs="Times New Roman"/>
                <w:color w:val="auto"/>
                <w:szCs w:val="21"/>
              </w:rPr>
              <w:t>□重大变动重新报批项目</w:t>
            </w:r>
          </w:p>
        </w:tc>
      </w:tr>
      <w:tr w14:paraId="673849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949" w:type="dxa"/>
            <w:tcMar>
              <w:top w:w="16" w:type="dxa"/>
              <w:left w:w="16" w:type="dxa"/>
              <w:right w:w="16" w:type="dxa"/>
            </w:tcMar>
            <w:vAlign w:val="center"/>
          </w:tcPr>
          <w:p w14:paraId="291F34CE">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0ABAAC4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备案）部门（选填）</w:t>
            </w:r>
          </w:p>
        </w:tc>
        <w:tc>
          <w:tcPr>
            <w:tcW w:w="3614" w:type="dxa"/>
            <w:vAlign w:val="center"/>
          </w:tcPr>
          <w:p w14:paraId="2B52911D">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宣汉县发展和改革局</w:t>
            </w:r>
          </w:p>
        </w:tc>
        <w:tc>
          <w:tcPr>
            <w:tcW w:w="1815" w:type="dxa"/>
            <w:vAlign w:val="center"/>
          </w:tcPr>
          <w:p w14:paraId="3368884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项目审批（核准/</w:t>
            </w:r>
          </w:p>
          <w:p w14:paraId="6AF3785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备案）文号（选填）</w:t>
            </w:r>
          </w:p>
        </w:tc>
        <w:tc>
          <w:tcPr>
            <w:tcW w:w="2492" w:type="dxa"/>
            <w:vAlign w:val="center"/>
          </w:tcPr>
          <w:p w14:paraId="691CB041">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宣发改审[2024]180号</w:t>
            </w:r>
          </w:p>
        </w:tc>
      </w:tr>
      <w:tr w14:paraId="06B1D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4FCB5AE7">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总投资（万元）</w:t>
            </w:r>
          </w:p>
        </w:tc>
        <w:tc>
          <w:tcPr>
            <w:tcW w:w="3614" w:type="dxa"/>
            <w:vAlign w:val="center"/>
          </w:tcPr>
          <w:p w14:paraId="6CD2304F">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eastAsia="宋体" w:cs="Times New Roman"/>
                <w:color w:val="auto"/>
                <w:szCs w:val="21"/>
                <w:lang w:val="en-US" w:eastAsia="zh-CN"/>
              </w:rPr>
              <w:t>14712.3</w:t>
            </w:r>
          </w:p>
        </w:tc>
        <w:tc>
          <w:tcPr>
            <w:tcW w:w="1815" w:type="dxa"/>
            <w:tcMar>
              <w:top w:w="16" w:type="dxa"/>
              <w:left w:w="16" w:type="dxa"/>
              <w:right w:w="16" w:type="dxa"/>
            </w:tcMar>
            <w:vAlign w:val="center"/>
          </w:tcPr>
          <w:p w14:paraId="27B98402">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环保投资（万元）</w:t>
            </w:r>
          </w:p>
        </w:tc>
        <w:tc>
          <w:tcPr>
            <w:tcW w:w="2492" w:type="dxa"/>
            <w:vAlign w:val="center"/>
          </w:tcPr>
          <w:p w14:paraId="1C92AE3E">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lang w:val="en-US" w:eastAsia="zh-CN"/>
              </w:rPr>
              <w:t>194</w:t>
            </w:r>
          </w:p>
        </w:tc>
      </w:tr>
      <w:tr w14:paraId="1E352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2E650FD8">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环保投资占比（%）</w:t>
            </w:r>
          </w:p>
        </w:tc>
        <w:tc>
          <w:tcPr>
            <w:tcW w:w="3614" w:type="dxa"/>
            <w:vAlign w:val="center"/>
          </w:tcPr>
          <w:p w14:paraId="3359FC55">
            <w:pPr>
              <w:adjustRightInd w:val="0"/>
              <w:snapToGrid w:val="0"/>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1.32</w:t>
            </w:r>
          </w:p>
        </w:tc>
        <w:tc>
          <w:tcPr>
            <w:tcW w:w="1815" w:type="dxa"/>
            <w:tcMar>
              <w:top w:w="16" w:type="dxa"/>
              <w:left w:w="16" w:type="dxa"/>
              <w:right w:w="16" w:type="dxa"/>
            </w:tcMar>
            <w:vAlign w:val="center"/>
          </w:tcPr>
          <w:p w14:paraId="79B7A9AA">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施工工期</w:t>
            </w:r>
          </w:p>
        </w:tc>
        <w:tc>
          <w:tcPr>
            <w:tcW w:w="2492" w:type="dxa"/>
            <w:vAlign w:val="center"/>
          </w:tcPr>
          <w:p w14:paraId="10FA4235">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8</w:t>
            </w:r>
            <w:r>
              <w:rPr>
                <w:rFonts w:hint="default" w:ascii="Times New Roman" w:hAnsi="Times New Roman" w:cs="Times New Roman"/>
                <w:color w:val="auto"/>
                <w:szCs w:val="21"/>
              </w:rPr>
              <w:t>个月</w:t>
            </w:r>
          </w:p>
        </w:tc>
      </w:tr>
      <w:tr w14:paraId="65C919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949" w:type="dxa"/>
            <w:tcMar>
              <w:top w:w="16" w:type="dxa"/>
              <w:left w:w="16" w:type="dxa"/>
              <w:right w:w="16" w:type="dxa"/>
            </w:tcMar>
            <w:vAlign w:val="center"/>
          </w:tcPr>
          <w:p w14:paraId="3579AC9C">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是否开工建设</w:t>
            </w:r>
          </w:p>
        </w:tc>
        <w:tc>
          <w:tcPr>
            <w:tcW w:w="7921" w:type="dxa"/>
            <w:gridSpan w:val="3"/>
            <w:vAlign w:val="center"/>
          </w:tcPr>
          <w:p w14:paraId="02751EDF">
            <w:pPr>
              <w:adjustRightInd w:val="0"/>
              <w:snapToGrid w:val="0"/>
              <w:rPr>
                <w:rFonts w:hint="default" w:ascii="Times New Roman" w:hAnsi="Times New Roman" w:cs="Times New Roman"/>
                <w:color w:val="auto"/>
                <w:szCs w:val="21"/>
              </w:rPr>
            </w:pPr>
            <w:r>
              <w:rPr>
                <w:rFonts w:hint="default" w:ascii="Times New Roman" w:hAnsi="Times New Roman" w:cs="Times New Roman"/>
                <w:color w:val="auto"/>
                <w:szCs w:val="21"/>
              </w:rPr>
              <w:t>☑否</w:t>
            </w:r>
          </w:p>
          <w:p w14:paraId="4251ECD1">
            <w:pPr>
              <w:adjustRightInd w:val="0"/>
              <w:snapToGrid w:val="0"/>
              <w:jc w:val="left"/>
              <w:rPr>
                <w:rFonts w:hint="default" w:ascii="Times New Roman" w:hAnsi="Times New Roman" w:eastAsia="宋体" w:cs="Times New Roman"/>
                <w:color w:val="auto"/>
                <w:szCs w:val="21"/>
                <w:lang w:eastAsia="zh-CN"/>
              </w:rPr>
            </w:pPr>
            <w:r>
              <w:rPr>
                <w:rFonts w:hint="default" w:ascii="Times New Roman" w:hAnsi="Times New Roman" w:cs="Times New Roman"/>
                <w:color w:val="auto"/>
                <w:szCs w:val="21"/>
              </w:rPr>
              <w:t>□是：</w:t>
            </w:r>
          </w:p>
        </w:tc>
      </w:tr>
      <w:tr w14:paraId="5E84DC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49" w:type="dxa"/>
            <w:vAlign w:val="center"/>
          </w:tcPr>
          <w:p w14:paraId="2D3AB76D">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专项评价设置情况</w:t>
            </w:r>
          </w:p>
        </w:tc>
        <w:tc>
          <w:tcPr>
            <w:tcW w:w="7921" w:type="dxa"/>
            <w:gridSpan w:val="3"/>
            <w:vAlign w:val="center"/>
          </w:tcPr>
          <w:p w14:paraId="4D831FB6">
            <w:pPr>
              <w:autoSpaceDE w:val="0"/>
              <w:autoSpaceDN w:val="0"/>
              <w:adjustRightInd w:val="0"/>
              <w:snapToGrid w:val="0"/>
              <w:spacing w:line="460" w:lineRule="exact"/>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表1-1</w:t>
            </w:r>
            <w:r>
              <w:rPr>
                <w:rFonts w:hint="default" w:ascii="Times New Roman" w:hAnsi="Times New Roman" w:cs="Times New Roman"/>
                <w:b/>
                <w:bCs/>
                <w:color w:val="auto"/>
                <w:kern w:val="0"/>
                <w:szCs w:val="21"/>
                <w:lang w:val="en-US" w:eastAsia="zh-CN"/>
              </w:rPr>
              <w:t xml:space="preserve"> </w:t>
            </w:r>
            <w:r>
              <w:rPr>
                <w:rFonts w:hint="default" w:ascii="Times New Roman" w:hAnsi="Times New Roman" w:cs="Times New Roman"/>
                <w:b/>
                <w:bCs/>
                <w:color w:val="auto"/>
                <w:kern w:val="0"/>
                <w:szCs w:val="21"/>
              </w:rPr>
              <w:t>专项评价设置原则表</w:t>
            </w:r>
          </w:p>
          <w:tbl>
            <w:tblPr>
              <w:tblStyle w:val="24"/>
              <w:tblW w:w="769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4"/>
              <w:gridCol w:w="5244"/>
              <w:gridCol w:w="1515"/>
            </w:tblGrid>
            <w:tr w14:paraId="13C9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24DB437E">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专项评价的类别</w:t>
                  </w:r>
                </w:p>
              </w:tc>
              <w:tc>
                <w:tcPr>
                  <w:tcW w:w="5244" w:type="dxa"/>
                  <w:vAlign w:val="center"/>
                </w:tcPr>
                <w:p w14:paraId="11DFB4F3">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涉及项目类别</w:t>
                  </w:r>
                </w:p>
              </w:tc>
              <w:tc>
                <w:tcPr>
                  <w:tcW w:w="1515" w:type="dxa"/>
                  <w:vAlign w:val="center"/>
                </w:tcPr>
                <w:p w14:paraId="692F846E">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w:t>
                  </w:r>
                </w:p>
              </w:tc>
            </w:tr>
            <w:tr w14:paraId="3F98BE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1E027AE0">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地表水</w:t>
                  </w:r>
                </w:p>
              </w:tc>
              <w:tc>
                <w:tcPr>
                  <w:tcW w:w="5244" w:type="dxa"/>
                  <w:vAlign w:val="center"/>
                </w:tcPr>
                <w:p w14:paraId="475D8473">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水力发电：引水式发电、涉及调峰发电的项目；人工湖、人工湿地：全部；</w:t>
                  </w:r>
                </w:p>
                <w:p w14:paraId="07EE788C">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水库：全部；</w:t>
                  </w:r>
                </w:p>
                <w:p w14:paraId="53C5D26C">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引水工程：全部（配套的管线工程等除外）；</w:t>
                  </w:r>
                </w:p>
                <w:p w14:paraId="3F1B9CA5">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防洪除涝工程：包含水库的项目；</w:t>
                  </w:r>
                </w:p>
                <w:p w14:paraId="57F50842">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河湖整治：涉及清淤且底泥存在重金属污染的项目</w:t>
                  </w:r>
                </w:p>
              </w:tc>
              <w:tc>
                <w:tcPr>
                  <w:tcW w:w="1515" w:type="dxa"/>
                  <w:vAlign w:val="center"/>
                </w:tcPr>
                <w:p w14:paraId="1DE7370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不涉及</w:t>
                  </w:r>
                </w:p>
              </w:tc>
            </w:tr>
            <w:tr w14:paraId="47149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608D2E0F">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地下水</w:t>
                  </w:r>
                </w:p>
              </w:tc>
              <w:tc>
                <w:tcPr>
                  <w:tcW w:w="5244" w:type="dxa"/>
                  <w:vAlign w:val="center"/>
                </w:tcPr>
                <w:p w14:paraId="175C531D">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陆地石油和天然气开采：全部；</w:t>
                  </w:r>
                </w:p>
                <w:p w14:paraId="12908596">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地下水（含矿泉水）开采：全部；</w:t>
                  </w:r>
                </w:p>
                <w:p w14:paraId="15C1A203">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水利、水电、交通等：含穿越可溶岩地层隧道的项目</w:t>
                  </w:r>
                </w:p>
              </w:tc>
              <w:tc>
                <w:tcPr>
                  <w:tcW w:w="1515" w:type="dxa"/>
                  <w:vAlign w:val="center"/>
                </w:tcPr>
                <w:p w14:paraId="5E97DAB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不涉及</w:t>
                  </w:r>
                </w:p>
              </w:tc>
            </w:tr>
            <w:tr w14:paraId="22E83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7501F08E">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w:t>
                  </w:r>
                </w:p>
              </w:tc>
              <w:tc>
                <w:tcPr>
                  <w:tcW w:w="5244" w:type="dxa"/>
                  <w:vAlign w:val="center"/>
                </w:tcPr>
                <w:p w14:paraId="797C79CB">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涉及环境敏感区（不包括饮用水水源保护区，以居住、医疗卫生、文化教育、科研、行政办公为主要功能的区域，以及文物保护单位）的项目</w:t>
                  </w:r>
                </w:p>
              </w:tc>
              <w:tc>
                <w:tcPr>
                  <w:tcW w:w="1515" w:type="dxa"/>
                  <w:vAlign w:val="center"/>
                </w:tcPr>
                <w:p w14:paraId="2A48E23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不涉及</w:t>
                  </w:r>
                </w:p>
              </w:tc>
            </w:tr>
            <w:tr w14:paraId="054CB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48E7C7B7">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大气</w:t>
                  </w:r>
                </w:p>
              </w:tc>
              <w:tc>
                <w:tcPr>
                  <w:tcW w:w="5244" w:type="dxa"/>
                  <w:vAlign w:val="center"/>
                </w:tcPr>
                <w:p w14:paraId="17CD5B83">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油气、液体化工码头：全部；</w:t>
                  </w:r>
                </w:p>
                <w:p w14:paraId="6C2E18D7">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干散货（含煤炭、矿石）、件杂、多用途、通用码头：涉及粉尘、挥发性有机物排放的项目</w:t>
                  </w:r>
                </w:p>
              </w:tc>
              <w:tc>
                <w:tcPr>
                  <w:tcW w:w="1515" w:type="dxa"/>
                  <w:vAlign w:val="center"/>
                </w:tcPr>
                <w:p w14:paraId="42B2B878">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不涉及</w:t>
                  </w:r>
                </w:p>
              </w:tc>
            </w:tr>
            <w:tr w14:paraId="5C4E2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934" w:type="dxa"/>
                  <w:vAlign w:val="center"/>
                </w:tcPr>
                <w:p w14:paraId="1BD4DBA7">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噪声</w:t>
                  </w:r>
                </w:p>
              </w:tc>
              <w:tc>
                <w:tcPr>
                  <w:tcW w:w="5244" w:type="dxa"/>
                  <w:vAlign w:val="center"/>
                </w:tcPr>
                <w:p w14:paraId="372CF992">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公路、铁路、机场等交通运输业涉及环境敏感区（以居住、医疗卫生、文化教育、科研、行政办公为主要功能的区域）的项目；</w:t>
                  </w:r>
                </w:p>
                <w:p w14:paraId="535F0AEF">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城市道路（不含维护，不含支路、人行天桥、人行地道）：全部</w:t>
                  </w:r>
                </w:p>
              </w:tc>
              <w:tc>
                <w:tcPr>
                  <w:tcW w:w="1515" w:type="dxa"/>
                  <w:vAlign w:val="center"/>
                </w:tcPr>
                <w:p w14:paraId="4C397EBA">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本项目沿途涉及多处居民点，为环境敏感区，需开展噪声环境影响专项评价</w:t>
                  </w:r>
                </w:p>
              </w:tc>
            </w:tr>
            <w:tr w14:paraId="0C3F19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934" w:type="dxa"/>
                  <w:vAlign w:val="center"/>
                </w:tcPr>
                <w:p w14:paraId="1476DB26">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环境风险</w:t>
                  </w:r>
                </w:p>
              </w:tc>
              <w:tc>
                <w:tcPr>
                  <w:tcW w:w="5244" w:type="dxa"/>
                  <w:vAlign w:val="center"/>
                </w:tcPr>
                <w:p w14:paraId="6C54CD73">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石油和天然气开采：全部；</w:t>
                  </w:r>
                </w:p>
                <w:p w14:paraId="6A9B9CF5">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油气、液体化工码头：全部；</w:t>
                  </w:r>
                </w:p>
                <w:p w14:paraId="5ABEFBAE">
                  <w:pPr>
                    <w:autoSpaceDE w:val="0"/>
                    <w:autoSpaceDN w:val="0"/>
                    <w:adjustRightInd w:val="0"/>
                    <w:snapToGrid w:val="0"/>
                    <w:jc w:val="left"/>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原油、成品油、天然气管线（不含城镇天然气管线、企业厂区内管线），危险化学品输送管线（不含企业厂区内管线）：全部</w:t>
                  </w:r>
                </w:p>
              </w:tc>
              <w:tc>
                <w:tcPr>
                  <w:tcW w:w="1515" w:type="dxa"/>
                  <w:vAlign w:val="center"/>
                </w:tcPr>
                <w:p w14:paraId="280D37CB">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不涉及</w:t>
                  </w:r>
                </w:p>
              </w:tc>
            </w:tr>
          </w:tbl>
          <w:p w14:paraId="5AD9D743">
            <w:pPr>
              <w:keepNext w:val="0"/>
              <w:keepLines w:val="0"/>
              <w:pageBreakBefore w:val="0"/>
              <w:widowControl w:val="0"/>
              <w:kinsoku/>
              <w:wordWrap/>
              <w:overflowPunct/>
              <w:topLinePunct w:val="0"/>
              <w:autoSpaceDE w:val="0"/>
              <w:autoSpaceDN w:val="0"/>
              <w:bidi w:val="0"/>
              <w:adjustRightInd w:val="0"/>
              <w:snapToGrid w:val="0"/>
              <w:spacing w:line="360" w:lineRule="auto"/>
              <w:ind w:firstLine="361" w:firstLineChars="200"/>
              <w:jc w:val="left"/>
              <w:textAlignment w:val="auto"/>
              <w:rPr>
                <w:rFonts w:hint="default" w:ascii="Times New Roman" w:hAnsi="Times New Roman" w:cs="Times New Roman"/>
                <w:b/>
                <w:bCs/>
                <w:color w:val="auto"/>
                <w:kern w:val="0"/>
                <w:sz w:val="18"/>
                <w:szCs w:val="18"/>
              </w:rPr>
            </w:pPr>
            <w:r>
              <w:rPr>
                <w:rFonts w:hint="default" w:ascii="Times New Roman" w:hAnsi="Times New Roman" w:cs="Times New Roman"/>
                <w:b/>
                <w:bCs/>
                <w:color w:val="auto"/>
                <w:kern w:val="0"/>
                <w:sz w:val="18"/>
                <w:szCs w:val="18"/>
              </w:rPr>
              <w:t>注：“涉及环境敏感区”是指建设项目位于、穿（跨）越（无害化通过的除外）环境敏感区，或环境影响范围涵盖环境敏感区。环境敏感区是指《建设项目环境影响评价分类管理名录》中针对该类项目所列的敏感区。</w:t>
            </w:r>
          </w:p>
          <w:p w14:paraId="698920E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kern w:val="0"/>
                <w:szCs w:val="21"/>
              </w:rPr>
            </w:pPr>
            <w:r>
              <w:rPr>
                <w:rFonts w:hint="default" w:ascii="Times New Roman" w:hAnsi="Times New Roman" w:cs="Times New Roman"/>
                <w:color w:val="auto"/>
                <w:kern w:val="0"/>
                <w:sz w:val="24"/>
                <w:szCs w:val="24"/>
                <w:lang w:bidi="ar"/>
              </w:rPr>
              <w:t>由上表可知，本项目需开展噪声环境影响专项评价。</w:t>
            </w:r>
          </w:p>
        </w:tc>
      </w:tr>
      <w:tr w14:paraId="5DC8A5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9" w:type="dxa"/>
            <w:vAlign w:val="center"/>
          </w:tcPr>
          <w:p w14:paraId="4A54AF09">
            <w:pPr>
              <w:autoSpaceDE w:val="0"/>
              <w:autoSpaceDN w:val="0"/>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规划</w:t>
            </w:r>
          </w:p>
          <w:p w14:paraId="73566F44">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情况</w:t>
            </w:r>
          </w:p>
        </w:tc>
        <w:tc>
          <w:tcPr>
            <w:tcW w:w="7921" w:type="dxa"/>
            <w:gridSpan w:val="3"/>
            <w:vAlign w:val="center"/>
          </w:tcPr>
          <w:p w14:paraId="5883DE96">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rPr>
            </w:pPr>
            <w:r>
              <w:rPr>
                <w:rFonts w:hint="default" w:ascii="Times New Roman" w:hAnsi="Times New Roman" w:cs="Times New Roman"/>
                <w:b/>
                <w:bCs/>
                <w:color w:val="auto"/>
                <w:kern w:val="0"/>
                <w:sz w:val="24"/>
                <w:szCs w:val="24"/>
                <w:lang w:bidi="ar"/>
              </w:rPr>
              <w:t>规划名称：</w:t>
            </w:r>
            <w:r>
              <w:rPr>
                <w:rFonts w:hint="default" w:ascii="Times New Roman" w:hAnsi="Times New Roman" w:cs="Times New Roman"/>
                <w:color w:val="auto"/>
                <w:kern w:val="0"/>
                <w:sz w:val="24"/>
                <w:szCs w:val="24"/>
                <w:lang w:bidi="ar"/>
              </w:rPr>
              <w:t>《四川省“十四五”综合交通运输发展规划》《达州市“十四五”综合交通发展规划》《宣汉县“十四五”综合交通运输发展规划》</w:t>
            </w:r>
          </w:p>
        </w:tc>
      </w:tr>
      <w:tr w14:paraId="4EF4A38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49" w:type="dxa"/>
            <w:vAlign w:val="center"/>
          </w:tcPr>
          <w:p w14:paraId="43D64DD0">
            <w:pPr>
              <w:adjustRightInd w:val="0"/>
              <w:snapToGri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规划环境影响</w:t>
            </w:r>
          </w:p>
          <w:p w14:paraId="0995E8B9">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szCs w:val="21"/>
              </w:rPr>
              <w:t>评价情况</w:t>
            </w:r>
          </w:p>
        </w:tc>
        <w:tc>
          <w:tcPr>
            <w:tcW w:w="7921" w:type="dxa"/>
            <w:gridSpan w:val="3"/>
            <w:vAlign w:val="center"/>
          </w:tcPr>
          <w:p w14:paraId="6C60C8B0">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规划环评文件名称：</w:t>
            </w:r>
            <w:r>
              <w:rPr>
                <w:rFonts w:hint="default" w:ascii="Times New Roman" w:hAnsi="Times New Roman" w:eastAsia="宋体" w:cs="Times New Roman"/>
                <w:b w:val="0"/>
                <w:bCs w:val="0"/>
                <w:color w:val="auto"/>
                <w:kern w:val="0"/>
                <w:sz w:val="24"/>
                <w:szCs w:val="24"/>
                <w:lang w:val="en-US" w:eastAsia="zh-CN" w:bidi="ar"/>
              </w:rPr>
              <w:t>《达州市“十四五”综合交通运输发展规划环境影响报告书》</w:t>
            </w:r>
          </w:p>
          <w:p w14:paraId="79C32657">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审查机关：</w:t>
            </w:r>
            <w:r>
              <w:rPr>
                <w:rFonts w:hint="default" w:ascii="Times New Roman" w:hAnsi="Times New Roman" w:eastAsia="宋体" w:cs="Times New Roman"/>
                <w:b w:val="0"/>
                <w:bCs w:val="0"/>
                <w:color w:val="auto"/>
                <w:kern w:val="0"/>
                <w:sz w:val="24"/>
                <w:szCs w:val="24"/>
                <w:lang w:val="en-US" w:eastAsia="zh-CN" w:bidi="ar"/>
              </w:rPr>
              <w:t>达州市生态环境局</w:t>
            </w:r>
          </w:p>
          <w:p w14:paraId="09247523">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color w:val="auto"/>
                <w:lang w:val="en-US" w:eastAsia="zh-CN"/>
              </w:rPr>
            </w:pPr>
            <w:r>
              <w:rPr>
                <w:rFonts w:hint="default" w:ascii="Times New Roman" w:hAnsi="Times New Roman" w:eastAsia="宋体" w:cs="Times New Roman"/>
                <w:b/>
                <w:bCs/>
                <w:color w:val="auto"/>
                <w:kern w:val="0"/>
                <w:sz w:val="24"/>
                <w:szCs w:val="24"/>
                <w:lang w:val="en-US" w:eastAsia="zh-CN" w:bidi="ar"/>
              </w:rPr>
              <w:t>审查文件名称及文号：</w:t>
            </w:r>
            <w:r>
              <w:rPr>
                <w:rFonts w:hint="default" w:ascii="Times New Roman" w:hAnsi="Times New Roman" w:eastAsia="宋体" w:cs="Times New Roman"/>
                <w:b w:val="0"/>
                <w:bCs w:val="0"/>
                <w:color w:val="auto"/>
                <w:kern w:val="0"/>
                <w:sz w:val="24"/>
                <w:szCs w:val="24"/>
                <w:lang w:val="en-US" w:eastAsia="zh-CN" w:bidi="ar"/>
              </w:rPr>
              <w:t>达市环函</w:t>
            </w:r>
            <w:r>
              <w:rPr>
                <w:rFonts w:hint="eastAsia" w:cs="Times New Roman"/>
                <w:b w:val="0"/>
                <w:bCs w:val="0"/>
                <w:color w:val="auto"/>
                <w:kern w:val="0"/>
                <w:sz w:val="24"/>
                <w:szCs w:val="24"/>
                <w:lang w:val="en-US" w:eastAsia="zh-CN" w:bidi="ar"/>
              </w:rPr>
              <w:t>〔2021〕</w:t>
            </w:r>
            <w:r>
              <w:rPr>
                <w:rFonts w:hint="default" w:ascii="Times New Roman" w:hAnsi="Times New Roman" w:eastAsia="宋体" w:cs="Times New Roman"/>
                <w:b w:val="0"/>
                <w:bCs w:val="0"/>
                <w:color w:val="auto"/>
                <w:kern w:val="0"/>
                <w:sz w:val="24"/>
                <w:szCs w:val="24"/>
                <w:lang w:val="en-US" w:eastAsia="zh-CN" w:bidi="ar"/>
              </w:rPr>
              <w:t>216号</w:t>
            </w:r>
          </w:p>
        </w:tc>
      </w:tr>
      <w:tr w14:paraId="2B8A14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949" w:type="dxa"/>
            <w:vAlign w:val="center"/>
          </w:tcPr>
          <w:p w14:paraId="772B1FF9">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规划及规划环境影响评价符合性分析</w:t>
            </w:r>
          </w:p>
        </w:tc>
        <w:tc>
          <w:tcPr>
            <w:tcW w:w="7921" w:type="dxa"/>
            <w:gridSpan w:val="3"/>
            <w:vAlign w:val="center"/>
          </w:tcPr>
          <w:p w14:paraId="755C6A78">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1、与《四川省“十四五”综合交通运输发展规划》符合性分析</w:t>
            </w:r>
          </w:p>
          <w:p w14:paraId="363E5A11">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eastAsia="zh-CN" w:bidi="ar"/>
              </w:rPr>
            </w:pPr>
            <w:r>
              <w:rPr>
                <w:rFonts w:hint="default" w:ascii="Times New Roman" w:hAnsi="Times New Roman" w:cs="Times New Roman"/>
                <w:b/>
                <w:bCs/>
                <w:color w:val="auto"/>
                <w:kern w:val="0"/>
                <w:sz w:val="24"/>
                <w:szCs w:val="24"/>
                <w:lang w:bidi="ar"/>
              </w:rPr>
              <w:t>规划相关要求</w:t>
            </w:r>
            <w:r>
              <w:rPr>
                <w:rFonts w:hint="default" w:ascii="Times New Roman" w:hAnsi="Times New Roman" w:cs="Times New Roman"/>
                <w:b/>
                <w:bCs/>
                <w:color w:val="auto"/>
                <w:kern w:val="0"/>
                <w:sz w:val="24"/>
                <w:szCs w:val="24"/>
                <w:lang w:eastAsia="zh-CN" w:bidi="ar"/>
              </w:rPr>
              <w:t>：</w:t>
            </w:r>
          </w:p>
          <w:p w14:paraId="7A63BC7F">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kern w:val="0"/>
                <w:sz w:val="24"/>
                <w:szCs w:val="24"/>
                <w:lang w:bidi="ar"/>
              </w:rPr>
              <w:t>《四川省“十四五”综合交通运输发展规划》</w:t>
            </w:r>
            <w:r>
              <w:rPr>
                <w:rFonts w:hint="default" w:ascii="Times New Roman" w:hAnsi="Times New Roman" w:cs="Times New Roman"/>
                <w:color w:val="auto"/>
                <w:sz w:val="24"/>
                <w:szCs w:val="32"/>
              </w:rPr>
              <w:t>专栏17乡村运输“金通工程”发展重点指出：推进全省130个县（不含市辖区）实施乡村运输“金通工程”，开展样板县评选活动。</w:t>
            </w:r>
          </w:p>
          <w:p w14:paraId="16D0EC3F">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本项目情况：</w:t>
            </w:r>
          </w:p>
          <w:p w14:paraId="61664BB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val="en-US" w:eastAsia="zh-CN"/>
              </w:rPr>
              <w:t>本项目作为连接普光镇杏树村5社至6社互通的交通重要组成部分，项目的实施将铁路南、北两侧更加紧密的连接在一起，优化了区域路网，极大改善了周边群众出行需求。</w:t>
            </w:r>
          </w:p>
          <w:p w14:paraId="7E2BBABC">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符合性：</w:t>
            </w:r>
          </w:p>
          <w:p w14:paraId="063DFD2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综上所述，本项目符合《四川省“十四五”综合交通运输发展规划》。</w:t>
            </w:r>
          </w:p>
          <w:p w14:paraId="3B742A6E">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2、与</w:t>
            </w:r>
            <w:r>
              <w:rPr>
                <w:rFonts w:hint="default" w:ascii="Times New Roman" w:hAnsi="Times New Roman" w:cs="Times New Roman"/>
                <w:b/>
                <w:bCs/>
                <w:color w:val="auto"/>
                <w:kern w:val="0"/>
                <w:sz w:val="24"/>
                <w:szCs w:val="24"/>
                <w:lang w:bidi="ar"/>
              </w:rPr>
              <w:t>《达州市“十四五”综合交通发展规划》符合性分析</w:t>
            </w:r>
          </w:p>
          <w:p w14:paraId="3D230C5A">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eastAsia="zh-CN" w:bidi="ar"/>
              </w:rPr>
            </w:pPr>
            <w:r>
              <w:rPr>
                <w:rFonts w:hint="default" w:ascii="Times New Roman" w:hAnsi="Times New Roman" w:cs="Times New Roman"/>
                <w:b/>
                <w:bCs/>
                <w:color w:val="auto"/>
                <w:kern w:val="0"/>
                <w:sz w:val="24"/>
                <w:szCs w:val="24"/>
                <w:lang w:bidi="ar"/>
              </w:rPr>
              <w:t>规划相关要求</w:t>
            </w:r>
            <w:r>
              <w:rPr>
                <w:rFonts w:hint="default" w:ascii="Times New Roman" w:hAnsi="Times New Roman" w:cs="Times New Roman"/>
                <w:b/>
                <w:bCs/>
                <w:color w:val="auto"/>
                <w:kern w:val="0"/>
                <w:sz w:val="24"/>
                <w:szCs w:val="24"/>
                <w:lang w:eastAsia="zh-CN" w:bidi="ar"/>
              </w:rPr>
              <w:t>：</w:t>
            </w:r>
          </w:p>
          <w:p w14:paraId="0BBF5D42">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eastAsia="宋体" w:cs="Times New Roman"/>
                <w:color w:val="auto"/>
                <w:kern w:val="2"/>
                <w:sz w:val="24"/>
                <w:szCs w:val="32"/>
                <w:lang w:val="en-US" w:eastAsia="zh-CN" w:bidi="ar-SA"/>
              </w:rPr>
              <w:t>（三）</w:t>
            </w:r>
            <w:r>
              <w:rPr>
                <w:rFonts w:hint="default" w:ascii="Times New Roman" w:hAnsi="Times New Roman" w:cs="Times New Roman"/>
                <w:color w:val="auto"/>
                <w:sz w:val="24"/>
                <w:szCs w:val="32"/>
                <w:lang w:val="en-US" w:eastAsia="zh-CN"/>
              </w:rPr>
              <w:t>发展目标1.基础设施高能级——农村公路。建成“布局合理、内通外联、通村畅乡、城乡一体”的农村公路网，撤并建制村与新村委会直连道路全部实现油化或硬化，30户及以上自然村全部通硬化路，具备条件的县级及以上产业园、3A级及以上旅游景区和省级及以上旅游度假区全部通双车道等级公路。</w:t>
            </w:r>
          </w:p>
          <w:p w14:paraId="76E0FA8E">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专栏1达州市2035年综合立体交通网空间布局农村公路：以连接所有乡镇和建制村，通达支撑县域经济发展的交通节点、文化旅游节点、经济节点等为目标，规划总里程超过3万公里。</w:t>
            </w:r>
          </w:p>
          <w:p w14:paraId="30C440B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专栏8达州市“十四五”时期农村公路建设重点规划新（改、扩）建农村公路约3700公里。其中：通组硬化路。以常住人口30户及以上自然村为重点，实施通组硬化路1040公里。幸福美丽乡村路。实施乡村振兴旅游路产业路947公里。</w:t>
            </w:r>
          </w:p>
          <w:p w14:paraId="46162A1F">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本项目情况：</w:t>
            </w:r>
          </w:p>
          <w:p w14:paraId="3C0027D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本项目为新建农村道路</w:t>
            </w:r>
            <w:r>
              <w:rPr>
                <w:rFonts w:hint="default" w:ascii="Times New Roman" w:hAnsi="Times New Roman" w:cs="Times New Roman"/>
                <w:color w:val="auto"/>
                <w:sz w:val="24"/>
                <w:szCs w:val="24"/>
              </w:rPr>
              <w:t>2.96</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32"/>
                <w:lang w:val="en-US" w:eastAsia="zh-CN"/>
              </w:rPr>
              <w:t>公里，连接普光镇杏树村5社至6社互通的交通重要组成部分，加快推进农村道路联网互通、改善周边群众出行环境、促进区域发展。</w:t>
            </w:r>
            <w:r>
              <w:rPr>
                <w:rFonts w:hint="default" w:ascii="Times New Roman" w:hAnsi="Times New Roman" w:cs="Times New Roman"/>
                <w:color w:val="auto"/>
                <w:kern w:val="0"/>
                <w:sz w:val="24"/>
                <w:szCs w:val="24"/>
                <w:lang w:bidi="ar"/>
              </w:rPr>
              <w:t>同时，</w:t>
            </w:r>
            <w:r>
              <w:rPr>
                <w:rFonts w:hint="default" w:ascii="Times New Roman" w:hAnsi="Times New Roman" w:cs="Times New Roman"/>
                <w:color w:val="auto"/>
                <w:sz w:val="24"/>
                <w:szCs w:val="32"/>
              </w:rPr>
              <w:t>本项目属于</w:t>
            </w:r>
            <w:r>
              <w:rPr>
                <w:rFonts w:hint="default" w:ascii="Times New Roman" w:hAnsi="Times New Roman" w:cs="Times New Roman"/>
                <w:color w:val="auto"/>
                <w:kern w:val="0"/>
                <w:sz w:val="24"/>
                <w:szCs w:val="24"/>
                <w:lang w:bidi="ar"/>
              </w:rPr>
              <w:t>《达州市“十四五”综合交通发展规划》附表</w:t>
            </w:r>
            <w:r>
              <w:rPr>
                <w:rFonts w:hint="default" w:ascii="Times New Roman" w:hAnsi="Times New Roman" w:cs="Times New Roman"/>
                <w:color w:val="auto"/>
                <w:kern w:val="0"/>
                <w:sz w:val="24"/>
                <w:szCs w:val="24"/>
                <w:lang w:val="en-US" w:eastAsia="zh-CN" w:bidi="ar"/>
              </w:rPr>
              <w:t>8达州市“十四五”综合交通发展规划建设项目表—农村公路</w:t>
            </w:r>
            <w:r>
              <w:rPr>
                <w:rFonts w:hint="default" w:ascii="Times New Roman" w:hAnsi="Times New Roman" w:cs="Times New Roman"/>
                <w:color w:val="auto"/>
                <w:kern w:val="0"/>
                <w:sz w:val="24"/>
                <w:szCs w:val="24"/>
                <w:lang w:bidi="ar"/>
              </w:rPr>
              <w:t>。</w:t>
            </w:r>
          </w:p>
          <w:p w14:paraId="0A41F17B">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符合性：</w:t>
            </w:r>
          </w:p>
          <w:p w14:paraId="74124FD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综上所述，本项目符合《达州市“十四五”综合交通发展规划》。</w:t>
            </w:r>
          </w:p>
          <w:p w14:paraId="0F3E792A">
            <w:pPr>
              <w:keepNext w:val="0"/>
              <w:keepLines w:val="0"/>
              <w:pageBreakBefore w:val="0"/>
              <w:widowControl w:val="0"/>
              <w:numPr>
                <w:ilvl w:val="0"/>
                <w:numId w:val="1"/>
              </w:numPr>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与《宣汉县“十四五”综合交通运输发展规划》的符合性分析</w:t>
            </w:r>
          </w:p>
          <w:p w14:paraId="429E3372">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kern w:val="0"/>
                <w:sz w:val="24"/>
                <w:szCs w:val="24"/>
                <w:lang w:eastAsia="zh-CN" w:bidi="ar"/>
              </w:rPr>
            </w:pPr>
            <w:r>
              <w:rPr>
                <w:rFonts w:hint="default" w:ascii="Times New Roman" w:hAnsi="Times New Roman" w:cs="Times New Roman"/>
                <w:b/>
                <w:bCs/>
                <w:color w:val="auto"/>
                <w:kern w:val="0"/>
                <w:sz w:val="24"/>
                <w:szCs w:val="24"/>
                <w:lang w:bidi="ar"/>
              </w:rPr>
              <w:t>规划相关要求</w:t>
            </w:r>
            <w:r>
              <w:rPr>
                <w:rFonts w:hint="default" w:ascii="Times New Roman" w:hAnsi="Times New Roman" w:cs="Times New Roman"/>
                <w:b/>
                <w:bCs/>
                <w:color w:val="auto"/>
                <w:kern w:val="0"/>
                <w:sz w:val="24"/>
                <w:szCs w:val="24"/>
                <w:lang w:eastAsia="zh-CN" w:bidi="ar"/>
              </w:rPr>
              <w:t>：</w:t>
            </w:r>
          </w:p>
          <w:p w14:paraId="57FB6E35">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着力推进农村公路联网互通</w:t>
            </w:r>
          </w:p>
          <w:p w14:paraId="39A59129">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eastAsia="宋体" w:cs="Times New Roman"/>
                <w:color w:val="auto"/>
                <w:sz w:val="24"/>
                <w:szCs w:val="32"/>
                <w:lang w:val="en-US" w:eastAsia="zh-CN"/>
              </w:rPr>
              <w:t>实施农村公路提档升级，打造四通八达的农村交通路网。扎实开展“四好农村路”“最美乡村路”建设。稳步推进建制村联网路、村内通组路建设，打通各毗邻乡镇、村“断头路”，畅通“微循环”。着力推进农村公路窄路加宽、安保工程建设，提高农村公路覆盖广度和深度，提升农村道路安全保障能力。加快建设乡村旅游路、产业路，有序推进通村组道路硬化、油化工程，服务农业农村振兴发展。继续大力推动农村交通基础设施建设，提升生命安全防护水平，为实现农业农村现代化提供坚实保障。</w:t>
            </w:r>
          </w:p>
          <w:p w14:paraId="712B8BE7">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2.加快农村公路改善提升加快破损通乡油路、通村硬化路维修整治，着力推进旅游路、资源路、产业路建设，带动农村经济发展。</w:t>
            </w:r>
          </w:p>
          <w:p w14:paraId="3FE9CB61">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本项目情况：</w:t>
            </w:r>
          </w:p>
          <w:p w14:paraId="4D5690B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val="en-US" w:eastAsia="zh-CN"/>
              </w:rPr>
              <w:t>本项目作为连接普光镇杏树村5社至6社互通的交通重要组成部分，项目的实施将铁路南、北两侧更加紧密的连接在一起，优化了区域路网，极大改善了周边群众出行需求。</w:t>
            </w:r>
          </w:p>
          <w:p w14:paraId="0B519985">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符合性：</w:t>
            </w:r>
          </w:p>
          <w:p w14:paraId="421970C0">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综上所述，本项目符合《宣汉县“十四五”综合交通运输发展规划》。</w:t>
            </w:r>
          </w:p>
          <w:p w14:paraId="7AD7AC60">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4</w:t>
            </w:r>
            <w:r>
              <w:rPr>
                <w:rFonts w:hint="default" w:ascii="Times New Roman" w:hAnsi="Times New Roman" w:eastAsia="宋体" w:cs="Times New Roman"/>
                <w:b/>
                <w:bCs/>
                <w:color w:val="auto"/>
                <w:sz w:val="24"/>
                <w:szCs w:val="32"/>
                <w:lang w:val="en-US" w:eastAsia="zh-CN"/>
              </w:rPr>
              <w:t>、与《达州市“十四五”综合交通运输发展规划环境影响报告书》及其审查意见符合性分析</w:t>
            </w:r>
          </w:p>
          <w:p w14:paraId="74A23741">
            <w:pPr>
              <w:autoSpaceDE w:val="0"/>
              <w:autoSpaceDN w:val="0"/>
              <w:adjustRightInd w:val="0"/>
              <w:snapToGrid w:val="0"/>
              <w:spacing w:line="460" w:lineRule="exact"/>
              <w:jc w:val="center"/>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表1-</w:t>
            </w:r>
            <w:r>
              <w:rPr>
                <w:rFonts w:hint="default" w:ascii="Times New Roman" w:hAnsi="Times New Roman" w:cs="Times New Roman"/>
                <w:b/>
                <w:bCs/>
                <w:color w:val="auto"/>
                <w:kern w:val="0"/>
                <w:szCs w:val="21"/>
                <w:lang w:val="en-US" w:eastAsia="zh-CN"/>
              </w:rPr>
              <w:t>1</w:t>
            </w:r>
            <w:r>
              <w:rPr>
                <w:rFonts w:hint="default" w:ascii="Times New Roman" w:hAnsi="Times New Roman" w:eastAsia="宋体" w:cs="Times New Roman"/>
                <w:b/>
                <w:bCs/>
                <w:color w:val="auto"/>
                <w:kern w:val="0"/>
                <w:szCs w:val="21"/>
                <w:lang w:val="en-US" w:eastAsia="zh-CN"/>
              </w:rPr>
              <w:t>与《达州市“十四五”综合交通运输发展规划环境影响报告书》及其审查意见符合性分析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49"/>
              <w:gridCol w:w="735"/>
              <w:gridCol w:w="324"/>
              <w:gridCol w:w="4080"/>
              <w:gridCol w:w="1797"/>
              <w:gridCol w:w="410"/>
            </w:tblGrid>
            <w:tr w14:paraId="7336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Align w:val="center"/>
                </w:tcPr>
                <w:p w14:paraId="1D9DFD8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序号</w:t>
                  </w:r>
                </w:p>
              </w:tc>
              <w:tc>
                <w:tcPr>
                  <w:tcW w:w="1320" w:type="dxa"/>
                  <w:vAlign w:val="center"/>
                </w:tcPr>
                <w:p w14:paraId="7AF88A1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文件名</w:t>
                  </w:r>
                </w:p>
              </w:tc>
              <w:tc>
                <w:tcPr>
                  <w:tcW w:w="7978" w:type="dxa"/>
                  <w:gridSpan w:val="2"/>
                  <w:vAlign w:val="center"/>
                </w:tcPr>
                <w:p w14:paraId="59988559">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规划环评建议</w:t>
                  </w:r>
                </w:p>
              </w:tc>
              <w:tc>
                <w:tcPr>
                  <w:tcW w:w="3252" w:type="dxa"/>
                  <w:vAlign w:val="center"/>
                </w:tcPr>
                <w:p w14:paraId="26CF9D7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本项目情况</w:t>
                  </w:r>
                </w:p>
              </w:tc>
              <w:tc>
                <w:tcPr>
                  <w:tcW w:w="736" w:type="dxa"/>
                  <w:vAlign w:val="center"/>
                </w:tcPr>
                <w:p w14:paraId="2F76ED8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b/>
                      <w:bCs w:val="0"/>
                      <w:color w:val="auto"/>
                      <w:sz w:val="21"/>
                      <w:szCs w:val="21"/>
                    </w:rPr>
                  </w:pPr>
                  <w:r>
                    <w:rPr>
                      <w:rFonts w:hint="default" w:ascii="Times New Roman" w:hAnsi="Times New Roman" w:cs="Times New Roman"/>
                      <w:b/>
                      <w:bCs w:val="0"/>
                      <w:color w:val="auto"/>
                      <w:sz w:val="21"/>
                      <w:szCs w:val="21"/>
                    </w:rPr>
                    <w:t>符合性</w:t>
                  </w:r>
                </w:p>
              </w:tc>
            </w:tr>
            <w:tr w14:paraId="5EE49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22" w:type="dxa"/>
                  <w:vMerge w:val="restart"/>
                  <w:vAlign w:val="center"/>
                </w:tcPr>
                <w:p w14:paraId="42E9195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320" w:type="dxa"/>
                  <w:vMerge w:val="restart"/>
                  <w:vAlign w:val="center"/>
                </w:tcPr>
                <w:p w14:paraId="14EF711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《达州市“十四五”综合交通运输发展规划环境影响报告书》</w:t>
                  </w:r>
                </w:p>
              </w:tc>
              <w:tc>
                <w:tcPr>
                  <w:tcW w:w="570" w:type="dxa"/>
                  <w:vAlign w:val="center"/>
                </w:tcPr>
                <w:p w14:paraId="77BE4F1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自然保护区</w:t>
                  </w:r>
                </w:p>
              </w:tc>
              <w:tc>
                <w:tcPr>
                  <w:tcW w:w="7408" w:type="dxa"/>
                  <w:vAlign w:val="center"/>
                </w:tcPr>
                <w:p w14:paraId="5BB81A33">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在项目设计阶段，需要重点分析万源至城口高速和西安</w:t>
                  </w:r>
                  <w:r>
                    <w:rPr>
                      <w:rFonts w:hint="default" w:ascii="Times New Roman" w:hAnsi="Times New Roman" w:cs="Times New Roman"/>
                      <w:b/>
                      <w:color w:val="auto"/>
                      <w:kern w:val="0"/>
                      <w:sz w:val="21"/>
                      <w:szCs w:val="21"/>
                    </w:rPr>
                    <w:t>—</w:t>
                  </w:r>
                  <w:r>
                    <w:rPr>
                      <w:rFonts w:hint="default" w:ascii="Times New Roman" w:hAnsi="Times New Roman" w:cs="Times New Roman"/>
                      <w:bCs w:val="0"/>
                      <w:color w:val="auto"/>
                      <w:kern w:val="0"/>
                      <w:sz w:val="21"/>
                      <w:szCs w:val="21"/>
                    </w:rPr>
                    <w:t>达州</w:t>
                  </w:r>
                  <w:r>
                    <w:rPr>
                      <w:rFonts w:hint="default" w:ascii="Times New Roman" w:hAnsi="Times New Roman" w:cs="Times New Roman"/>
                      <w:b/>
                      <w:color w:val="auto"/>
                      <w:kern w:val="0"/>
                      <w:sz w:val="21"/>
                      <w:szCs w:val="21"/>
                    </w:rPr>
                    <w:t>—</w:t>
                  </w:r>
                  <w:r>
                    <w:rPr>
                      <w:rFonts w:hint="default" w:ascii="Times New Roman" w:hAnsi="Times New Roman" w:cs="Times New Roman"/>
                      <w:bCs w:val="0"/>
                      <w:color w:val="auto"/>
                      <w:kern w:val="0"/>
                      <w:sz w:val="21"/>
                      <w:szCs w:val="21"/>
                    </w:rPr>
                    <w:t>重庆高铁与自然保护区的相对位置关系，严格控制项目占地范围；同时，应对自然保护区的生态环境现状进行详细调研，记录需要保护的植物分布位置。</w:t>
                  </w:r>
                </w:p>
                <w:p w14:paraId="1FED844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bCs w:val="0"/>
                      <w:color w:val="auto"/>
                      <w:kern w:val="0"/>
                      <w:sz w:val="21"/>
                      <w:szCs w:val="21"/>
                    </w:rPr>
                    <w:t>在项目建设过程中，应采取合理的避让措施，禁止穿越自然保护区核心区和缓冲区，尽量避免穿越实验区；或采取一定的工程措施，尽量降低项目建设对自然保护区的破坏和影响。在建设项目环境影响评价过程中，也需要重点评价线路与自然保护区的距离，提出明确的环境保护措施。</w:t>
                  </w:r>
                </w:p>
              </w:tc>
              <w:tc>
                <w:tcPr>
                  <w:tcW w:w="3252" w:type="dxa"/>
                  <w:vAlign w:val="center"/>
                </w:tcPr>
                <w:p w14:paraId="4F0B55B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本项目不涉及自然保护区</w:t>
                  </w:r>
                </w:p>
              </w:tc>
              <w:tc>
                <w:tcPr>
                  <w:tcW w:w="736" w:type="dxa"/>
                  <w:vAlign w:val="center"/>
                </w:tcPr>
                <w:p w14:paraId="73AA4A4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6AE5E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1341D51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320" w:type="dxa"/>
                  <w:vMerge w:val="continue"/>
                  <w:vAlign w:val="center"/>
                </w:tcPr>
                <w:p w14:paraId="70ECD3D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70" w:type="dxa"/>
                  <w:vAlign w:val="center"/>
                </w:tcPr>
                <w:p w14:paraId="5847839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湿地</w:t>
                  </w:r>
                </w:p>
                <w:p w14:paraId="44089A5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公园</w:t>
                  </w:r>
                </w:p>
              </w:tc>
              <w:tc>
                <w:tcPr>
                  <w:tcW w:w="7408" w:type="dxa"/>
                  <w:vAlign w:val="center"/>
                </w:tcPr>
                <w:p w14:paraId="63319FD2">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color w:val="auto"/>
                      <w:sz w:val="21"/>
                      <w:szCs w:val="21"/>
                    </w:rPr>
                    <w:t>在项目设计阶段，应分析G318线大竹县城区过境段改造工程、G210线大竹县城区过境段南段改造工程选址的合理性，严格控制项目占地范围，避免穿过百岛湖省级湿地公园的保护区；在项目建设过程中，需加强施工过程监督管理，严格控制施工范围；同时，应严格按照环评要求，做好环境保护措施，将项目建设的环境影响降到最低。</w:t>
                  </w:r>
                </w:p>
              </w:tc>
              <w:tc>
                <w:tcPr>
                  <w:tcW w:w="3252" w:type="dxa"/>
                  <w:vAlign w:val="center"/>
                </w:tcPr>
                <w:p w14:paraId="7D8191A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本项目不涉及湿地公园</w:t>
                  </w:r>
                </w:p>
              </w:tc>
              <w:tc>
                <w:tcPr>
                  <w:tcW w:w="736" w:type="dxa"/>
                  <w:vAlign w:val="center"/>
                </w:tcPr>
                <w:p w14:paraId="006D90B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00E0F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2689D92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320" w:type="dxa"/>
                  <w:vMerge w:val="continue"/>
                  <w:vAlign w:val="center"/>
                </w:tcPr>
                <w:p w14:paraId="62208DF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70" w:type="dxa"/>
                  <w:vAlign w:val="center"/>
                </w:tcPr>
                <w:p w14:paraId="4FF7FD6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森林</w:t>
                  </w:r>
                </w:p>
                <w:p w14:paraId="0690A2C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公园</w:t>
                  </w:r>
                </w:p>
              </w:tc>
              <w:tc>
                <w:tcPr>
                  <w:tcW w:w="7408" w:type="dxa"/>
                  <w:vAlign w:val="center"/>
                </w:tcPr>
                <w:p w14:paraId="471DC63C">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在项目设计阶段，应分析选线、选址的合理性，严格控制项目占地范围，避免穿过森林公园公园的保护区。</w:t>
                  </w:r>
                </w:p>
                <w:p w14:paraId="79A12416">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在项目建设过程中，需加强施工过程监督管理，严格控制施工范围；同时，应严格按照环评要求，做好环境保护措施，将项目建设的环境影响降到最低。</w:t>
                  </w:r>
                </w:p>
                <w:p w14:paraId="7C833FB8">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color w:val="auto"/>
                      <w:sz w:val="21"/>
                      <w:szCs w:val="21"/>
                    </w:rPr>
                  </w:pPr>
                  <w:r>
                    <w:rPr>
                      <w:rFonts w:hint="default" w:ascii="Times New Roman" w:hAnsi="Times New Roman" w:cs="Times New Roman"/>
                      <w:bCs w:val="0"/>
                      <w:color w:val="auto"/>
                      <w:kern w:val="0"/>
                      <w:sz w:val="21"/>
                      <w:szCs w:val="21"/>
                    </w:rPr>
                    <w:t>占用、征用或者转让森林公园经营范围内的林地，必须征得森林公园经营管理机构同意，并按《中华人民共和国森林法》及其实施细则等有关规定，办理占用、征用。</w:t>
                  </w:r>
                </w:p>
              </w:tc>
              <w:tc>
                <w:tcPr>
                  <w:tcW w:w="3252" w:type="dxa"/>
                  <w:vAlign w:val="center"/>
                </w:tcPr>
                <w:p w14:paraId="3E132F7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本项目不涉及森林公园</w:t>
                  </w:r>
                </w:p>
              </w:tc>
              <w:tc>
                <w:tcPr>
                  <w:tcW w:w="736" w:type="dxa"/>
                  <w:vAlign w:val="center"/>
                </w:tcPr>
                <w:p w14:paraId="014A1F1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2F60E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5AC9BB7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320" w:type="dxa"/>
                  <w:vMerge w:val="continue"/>
                  <w:vAlign w:val="center"/>
                </w:tcPr>
                <w:p w14:paraId="6EBE768D">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70" w:type="dxa"/>
                  <w:vAlign w:val="center"/>
                </w:tcPr>
                <w:p w14:paraId="40A03B6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风景名胜区</w:t>
                  </w:r>
                </w:p>
              </w:tc>
              <w:tc>
                <w:tcPr>
                  <w:tcW w:w="7408" w:type="dxa"/>
                  <w:vAlign w:val="center"/>
                </w:tcPr>
                <w:p w14:paraId="6C6FAABB">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西安</w:t>
                  </w:r>
                  <w:r>
                    <w:rPr>
                      <w:rFonts w:hint="default" w:ascii="Times New Roman" w:hAnsi="Times New Roman" w:cs="Times New Roman"/>
                      <w:b/>
                      <w:color w:val="auto"/>
                      <w:kern w:val="0"/>
                      <w:sz w:val="21"/>
                      <w:szCs w:val="21"/>
                    </w:rPr>
                    <w:t>—</w:t>
                  </w:r>
                  <w:r>
                    <w:rPr>
                      <w:rFonts w:hint="default" w:ascii="Times New Roman" w:hAnsi="Times New Roman" w:cs="Times New Roman"/>
                      <w:bCs w:val="0"/>
                      <w:color w:val="auto"/>
                      <w:kern w:val="0"/>
                      <w:sz w:val="21"/>
                      <w:szCs w:val="21"/>
                    </w:rPr>
                    <w:t>达州</w:t>
                  </w:r>
                  <w:r>
                    <w:rPr>
                      <w:rFonts w:hint="default" w:ascii="Times New Roman" w:hAnsi="Times New Roman" w:cs="Times New Roman"/>
                      <w:b/>
                      <w:color w:val="auto"/>
                      <w:kern w:val="0"/>
                      <w:sz w:val="21"/>
                      <w:szCs w:val="21"/>
                    </w:rPr>
                    <w:t>—</w:t>
                  </w:r>
                  <w:r>
                    <w:rPr>
                      <w:rFonts w:hint="default" w:ascii="Times New Roman" w:hAnsi="Times New Roman" w:cs="Times New Roman"/>
                      <w:bCs w:val="0"/>
                      <w:color w:val="auto"/>
                      <w:kern w:val="0"/>
                      <w:sz w:val="21"/>
                      <w:szCs w:val="21"/>
                    </w:rPr>
                    <w:t>重庆高铁、万源</w:t>
                  </w:r>
                  <w:r>
                    <w:rPr>
                      <w:rFonts w:hint="default" w:ascii="Times New Roman" w:hAnsi="Times New Roman" w:cs="Times New Roman"/>
                      <w:b/>
                      <w:color w:val="auto"/>
                      <w:kern w:val="0"/>
                      <w:sz w:val="21"/>
                      <w:szCs w:val="21"/>
                    </w:rPr>
                    <w:t>—</w:t>
                  </w:r>
                  <w:r>
                    <w:rPr>
                      <w:rFonts w:hint="default" w:ascii="Times New Roman" w:hAnsi="Times New Roman" w:cs="Times New Roman"/>
                      <w:bCs w:val="0"/>
                      <w:color w:val="auto"/>
                      <w:kern w:val="0"/>
                      <w:sz w:val="21"/>
                      <w:szCs w:val="21"/>
                    </w:rPr>
                    <w:t>城口高速、S202线达川区亭子至平滩段公路工程在项目设计阶段，需要重点分析与临近的风景名胜区的相对位置关系，严格控制项目占地范围。</w:t>
                  </w:r>
                </w:p>
                <w:p w14:paraId="4DD7FE50">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在项目建设过程中，应采取合理的避让措施，禁止穿越风景名胜区的保护区；或采取一定的工程措施，尽量降低项目建设对风景名胜区的破坏和影响。</w:t>
                  </w:r>
                </w:p>
                <w:p w14:paraId="50465A5F">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color w:val="auto"/>
                      <w:sz w:val="21"/>
                      <w:szCs w:val="21"/>
                    </w:rPr>
                    <w:t>在建设项目环境影响评价过程中，也需要重点评价线路与风景名胜区的距离，提出明确的环境保护措施；需加强施工过程监督管理，严格控制施工范围；同时，应严格按照环评要求，做好环境保护措施，将项目建设的环境影响降到最低</w:t>
                  </w:r>
                  <w:r>
                    <w:rPr>
                      <w:rFonts w:hint="default" w:ascii="Times New Roman" w:hAnsi="Times New Roman" w:cs="Times New Roman"/>
                      <w:bCs w:val="0"/>
                      <w:color w:val="auto"/>
                      <w:kern w:val="0"/>
                      <w:sz w:val="21"/>
                      <w:szCs w:val="21"/>
                    </w:rPr>
                    <w:t>。</w:t>
                  </w:r>
                </w:p>
              </w:tc>
              <w:tc>
                <w:tcPr>
                  <w:tcW w:w="3252" w:type="dxa"/>
                  <w:vAlign w:val="center"/>
                </w:tcPr>
                <w:p w14:paraId="4582F3C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本项目不涉及风景名胜区</w:t>
                  </w:r>
                </w:p>
              </w:tc>
              <w:tc>
                <w:tcPr>
                  <w:tcW w:w="736" w:type="dxa"/>
                  <w:vAlign w:val="center"/>
                </w:tcPr>
                <w:p w14:paraId="0623304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4C624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21C49E5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1320" w:type="dxa"/>
                  <w:vMerge w:val="continue"/>
                  <w:vAlign w:val="center"/>
                </w:tcPr>
                <w:p w14:paraId="11405BF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570" w:type="dxa"/>
                  <w:vAlign w:val="center"/>
                </w:tcPr>
                <w:p w14:paraId="5C6DB9A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水产种质资源保护区</w:t>
                  </w:r>
                </w:p>
              </w:tc>
              <w:tc>
                <w:tcPr>
                  <w:tcW w:w="7408" w:type="dxa"/>
                  <w:vAlign w:val="center"/>
                </w:tcPr>
                <w:p w14:paraId="1DFA33C6">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在项目设计阶段，应分析选线、选址的合理性，严格控制项目占地范围，避免穿过水产种质资源保护区。</w:t>
                  </w:r>
                </w:p>
                <w:p w14:paraId="2DEEDE23">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在项目建设过程中，需加强施工过程监督管理，严格控制施工范围；同时，应严格按照环评要求，做好环境保护措施，将项目建设的环境影响降到最低。</w:t>
                  </w:r>
                </w:p>
                <w:p w14:paraId="6C498AA9">
                  <w:pPr>
                    <w:keepNext w:val="0"/>
                    <w:keepLines w:val="0"/>
                    <w:pageBreakBefore w:val="0"/>
                    <w:widowControl w:val="0"/>
                    <w:kinsoku/>
                    <w:wordWrap/>
                    <w:overflowPunct/>
                    <w:topLinePunct w:val="0"/>
                    <w:autoSpaceDE w:val="0"/>
                    <w:autoSpaceDN w:val="0"/>
                    <w:bidi w:val="0"/>
                    <w:adjustRightInd w:val="0"/>
                    <w:snapToGrid/>
                    <w:jc w:val="center"/>
                    <w:textAlignment w:val="auto"/>
                    <w:rPr>
                      <w:rFonts w:hint="default" w:ascii="Times New Roman" w:hAnsi="Times New Roman" w:cs="Times New Roman"/>
                      <w:bCs w:val="0"/>
                      <w:color w:val="auto"/>
                      <w:kern w:val="0"/>
                      <w:sz w:val="21"/>
                      <w:szCs w:val="21"/>
                    </w:rPr>
                  </w:pPr>
                  <w:r>
                    <w:rPr>
                      <w:rFonts w:hint="default" w:ascii="Times New Roman" w:hAnsi="Times New Roman" w:cs="Times New Roman"/>
                      <w:bCs w:val="0"/>
                      <w:color w:val="auto"/>
                      <w:kern w:val="0"/>
                      <w:sz w:val="21"/>
                      <w:szCs w:val="21"/>
                    </w:rPr>
                    <w:t>选线阶段应尽量避开水产种质资源保护区核心区，若涉及水产种质资源保护区的，应当按照国家有关规定编制建设项目对水产种质资源保护区的影响专题论证报告，并将其纳入环境影响评价报告书。</w:t>
                  </w:r>
                </w:p>
              </w:tc>
              <w:tc>
                <w:tcPr>
                  <w:tcW w:w="3252" w:type="dxa"/>
                  <w:vAlign w:val="center"/>
                </w:tcPr>
                <w:p w14:paraId="131F8F6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本项目不涉及水产种质资源保护区</w:t>
                  </w:r>
                </w:p>
              </w:tc>
              <w:tc>
                <w:tcPr>
                  <w:tcW w:w="736" w:type="dxa"/>
                  <w:vAlign w:val="center"/>
                </w:tcPr>
                <w:p w14:paraId="7C953A9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r>
            <w:tr w14:paraId="31CE0B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244E204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1320" w:type="dxa"/>
                  <w:vMerge w:val="continue"/>
                  <w:vAlign w:val="center"/>
                </w:tcPr>
                <w:p w14:paraId="1820A47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Align w:val="center"/>
                </w:tcPr>
                <w:p w14:paraId="6B6F9E4E">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基本农田保护区</w:t>
                  </w:r>
                </w:p>
              </w:tc>
              <w:tc>
                <w:tcPr>
                  <w:tcW w:w="7408" w:type="dxa"/>
                  <w:vAlign w:val="center"/>
                </w:tcPr>
                <w:p w14:paraId="57E3CA20">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建设单位、设计单位应严格按照国土资源部、农业部等部门颁布的国土资发[2005]196号《关于进一步做好基本农田保护有关工作的意见》，做好拟建公路占用的基本农田的保护、恢复和占补平衡工作。</w:t>
                  </w:r>
                </w:p>
                <w:p w14:paraId="33115AA2">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在项目设计阶段，做到少占用耕地，保护基本农田，充分利用荒山、荒坡地、废弃地、劣质地等后备土地资源。路段通过耕地、高覆盖度林地时，在保证路基能够满足通道、涵洞、互通和排洪等功能要求的前提下，采用降低路基高度，收缩边坡、以桥代路等措施。线形顺应地貌，减少公路对原有地貌的破坏，路基设于山脚地带的居民住房线以上，则规划对土地资源的影响较小。</w:t>
                  </w:r>
                </w:p>
                <w:p w14:paraId="50D5B04B">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在项目建设过程中，严格控制在土地利用总体规划确定的建设用地范围内，限制占用基本农田。符合法律规定的国家能源交通水利重点建设，经批准占用基本农田的，按照国务院的批复修改土地利用总体规划，并补划数量与质量相当的基本农田，尽可能的减少因占用基本农田造成的农业生产损失。</w:t>
                  </w:r>
                </w:p>
                <w:p w14:paraId="6C703C1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施工结束后，对施工场地要及时整平，对部分施工便道已形成的表层固化层应给予清除并集中处理，送至附近设置的弃渣场。场地整平或清理后将事先保存好的表层耕作层回填，进行复耕或植被恢复</w:t>
                  </w:r>
                </w:p>
              </w:tc>
              <w:tc>
                <w:tcPr>
                  <w:tcW w:w="3252" w:type="dxa"/>
                  <w:vAlign w:val="center"/>
                </w:tcPr>
                <w:p w14:paraId="4C01EE1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本项目占地类型主要为</w:t>
                  </w:r>
                  <w:r>
                    <w:rPr>
                      <w:rFonts w:hint="default" w:ascii="Times New Roman" w:hAnsi="Times New Roman" w:cs="Times New Roman"/>
                      <w:color w:val="auto"/>
                      <w:sz w:val="21"/>
                      <w:szCs w:val="21"/>
                      <w:lang w:val="en-US" w:eastAsia="zh-CN"/>
                    </w:rPr>
                    <w:t>林地</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耕地</w:t>
                  </w:r>
                  <w:r>
                    <w:rPr>
                      <w:rFonts w:hint="default" w:ascii="Times New Roman" w:hAnsi="Times New Roman" w:cs="Times New Roman"/>
                      <w:color w:val="auto"/>
                      <w:sz w:val="21"/>
                      <w:szCs w:val="21"/>
                    </w:rPr>
                    <w:t>等，不涉及基本农田；施工结束后对施工场地、弃渣场等临时占地进行清理并回覆表土、复耕或</w:t>
                  </w:r>
                  <w:r>
                    <w:rPr>
                      <w:rFonts w:hint="default" w:ascii="Times New Roman" w:hAnsi="Times New Roman" w:cs="Times New Roman"/>
                      <w:color w:val="auto"/>
                      <w:sz w:val="21"/>
                      <w:szCs w:val="21"/>
                      <w:lang w:val="en-US" w:eastAsia="zh-CN"/>
                    </w:rPr>
                    <w:t>植被</w:t>
                  </w:r>
                  <w:r>
                    <w:rPr>
                      <w:rFonts w:hint="default" w:ascii="Times New Roman" w:hAnsi="Times New Roman" w:cs="Times New Roman"/>
                      <w:color w:val="auto"/>
                      <w:sz w:val="21"/>
                      <w:szCs w:val="21"/>
                    </w:rPr>
                    <w:t>恢复</w:t>
                  </w:r>
                </w:p>
              </w:tc>
              <w:tc>
                <w:tcPr>
                  <w:tcW w:w="736" w:type="dxa"/>
                  <w:vAlign w:val="center"/>
                </w:tcPr>
                <w:p w14:paraId="04DB486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48065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7FF4826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1320" w:type="dxa"/>
                  <w:vMerge w:val="continue"/>
                  <w:vAlign w:val="center"/>
                </w:tcPr>
                <w:p w14:paraId="451EB47C">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Align w:val="center"/>
                </w:tcPr>
                <w:p w14:paraId="432A003B">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对土地利用的影响</w:t>
                  </w:r>
                </w:p>
              </w:tc>
              <w:tc>
                <w:tcPr>
                  <w:tcW w:w="7408" w:type="dxa"/>
                  <w:vAlign w:val="center"/>
                </w:tcPr>
                <w:p w14:paraId="08A0C98E">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交通运输规划建设对土地资源存在一定影响，建设方须按照国家的有关规定办理土地及林地的使用手续，按规定缴纳森林植被恢复费、林地林木补偿费及安置补助费等费用，将不利影响降至最低。</w:t>
                  </w:r>
                </w:p>
              </w:tc>
              <w:tc>
                <w:tcPr>
                  <w:tcW w:w="3252" w:type="dxa"/>
                  <w:vAlign w:val="center"/>
                </w:tcPr>
                <w:p w14:paraId="3FB4721D">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本项目在开工前需办理土地及林地相关手续，并按规定缴纳森林植被恢复费、林地林木补偿费及安置补助费等费用</w:t>
                  </w:r>
                </w:p>
              </w:tc>
              <w:tc>
                <w:tcPr>
                  <w:tcW w:w="736" w:type="dxa"/>
                  <w:vAlign w:val="center"/>
                </w:tcPr>
                <w:p w14:paraId="05ACD74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符合</w:t>
                  </w:r>
                </w:p>
              </w:tc>
            </w:tr>
            <w:tr w14:paraId="56748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restart"/>
                  <w:vAlign w:val="center"/>
                </w:tcPr>
                <w:p w14:paraId="0F51A1BC">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320" w:type="dxa"/>
                  <w:vMerge w:val="restart"/>
                  <w:vAlign w:val="center"/>
                </w:tcPr>
                <w:p w14:paraId="54A1604B">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《达州市“十四五”综合交通运输发展规划环境影响报告书》的审查意见（达市环函</w:t>
                  </w:r>
                  <w:r>
                    <w:rPr>
                      <w:rFonts w:hint="eastAsia" w:ascii="Times New Roman" w:hAnsi="Times New Roman" w:cs="Times New Roman"/>
                      <w:color w:val="auto"/>
                      <w:sz w:val="21"/>
                      <w:szCs w:val="21"/>
                      <w:lang w:eastAsia="zh-CN"/>
                    </w:rPr>
                    <w:t>〔2021〕</w:t>
                  </w:r>
                  <w:r>
                    <w:rPr>
                      <w:rFonts w:hint="default" w:ascii="Times New Roman" w:hAnsi="Times New Roman" w:cs="Times New Roman"/>
                      <w:color w:val="auto"/>
                      <w:sz w:val="21"/>
                      <w:szCs w:val="21"/>
                    </w:rPr>
                    <w:t>216号文件）</w:t>
                  </w:r>
                </w:p>
              </w:tc>
              <w:tc>
                <w:tcPr>
                  <w:tcW w:w="570" w:type="dxa"/>
                  <w:shd w:val="clear" w:color="auto" w:fill="auto"/>
                  <w:vAlign w:val="center"/>
                </w:tcPr>
                <w:p w14:paraId="002795D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社会环境</w:t>
                  </w:r>
                </w:p>
              </w:tc>
              <w:tc>
                <w:tcPr>
                  <w:tcW w:w="7408" w:type="dxa"/>
                  <w:shd w:val="clear" w:color="auto" w:fill="auto"/>
                  <w:vAlign w:val="center"/>
                </w:tcPr>
                <w:p w14:paraId="6408AED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严格控制施工范围，节约土地，保护基本农田，涉及搬迁应提出妥善安置方案。</w:t>
                  </w:r>
                </w:p>
              </w:tc>
              <w:tc>
                <w:tcPr>
                  <w:tcW w:w="3252" w:type="dxa"/>
                  <w:shd w:val="clear" w:color="auto" w:fill="auto"/>
                  <w:vAlign w:val="center"/>
                </w:tcPr>
                <w:p w14:paraId="3C5F87F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本项目施工期严格控制施工范围，不占用基本农田，涉及拆迁由政府统一解决</w:t>
                  </w:r>
                </w:p>
              </w:tc>
              <w:tc>
                <w:tcPr>
                  <w:tcW w:w="736" w:type="dxa"/>
                  <w:shd w:val="clear" w:color="auto" w:fill="auto"/>
                  <w:vAlign w:val="center"/>
                </w:tcPr>
                <w:p w14:paraId="1EDD980D">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68017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316370C7">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341BF318">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restart"/>
                  <w:shd w:val="clear" w:color="auto" w:fill="auto"/>
                  <w:vAlign w:val="center"/>
                </w:tcPr>
                <w:p w14:paraId="4505BF6D">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生态环境</w:t>
                  </w:r>
                </w:p>
              </w:tc>
              <w:tc>
                <w:tcPr>
                  <w:tcW w:w="7408" w:type="dxa"/>
                  <w:shd w:val="clear" w:color="auto" w:fill="auto"/>
                  <w:vAlign w:val="center"/>
                </w:tcPr>
                <w:p w14:paraId="58E605E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1、优化工程布置，严格控制施工范围，采用先进的施工工艺，加强水土保持设施建设，对临时占地及时进行生态恢复，减少植被破坏及水土流失，减缓施工对野生动植物及其生境的影响；</w:t>
                  </w:r>
                </w:p>
              </w:tc>
              <w:tc>
                <w:tcPr>
                  <w:tcW w:w="3252" w:type="dxa"/>
                  <w:shd w:val="clear" w:color="auto" w:fill="auto"/>
                  <w:vAlign w:val="center"/>
                </w:tcPr>
                <w:p w14:paraId="6B342A3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本项目施工期优化工程布置，严格控制施工范围，采用先进施工工艺，实施水土保持措施，对施工场地、弃渣场等临时占地进行生态恢复，并采取措施保护野生动物及其生境</w:t>
                  </w:r>
                </w:p>
              </w:tc>
              <w:tc>
                <w:tcPr>
                  <w:tcW w:w="736" w:type="dxa"/>
                  <w:shd w:val="clear" w:color="auto" w:fill="auto"/>
                  <w:vAlign w:val="center"/>
                </w:tcPr>
                <w:p w14:paraId="5DFCA6C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6C11E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75BD3896">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2AF62F28">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018D438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23513E4A">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2、科学合理设置野生动物通道，减缓阻隔效应对野生动物的影响；</w:t>
                  </w:r>
                </w:p>
              </w:tc>
              <w:tc>
                <w:tcPr>
                  <w:tcW w:w="3252" w:type="dxa"/>
                  <w:shd w:val="clear" w:color="auto" w:fill="auto"/>
                  <w:vAlign w:val="center"/>
                </w:tcPr>
                <w:p w14:paraId="21F8F7E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本项目所在区域人为干扰较大，动物对人类的活动产生了一定的适应性，影响较小</w:t>
                  </w:r>
                </w:p>
              </w:tc>
              <w:tc>
                <w:tcPr>
                  <w:tcW w:w="736" w:type="dxa"/>
                  <w:shd w:val="clear" w:color="auto" w:fill="auto"/>
                  <w:vAlign w:val="center"/>
                </w:tcPr>
                <w:p w14:paraId="2FC8D19F">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767966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21B53963">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7AF2F0BA">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17C2727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18195319">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3、针对涉及生态保护红线、自然保护区等重要生态环境敏感区的路段，在实施原则上应予以绕避，确实无法绕避的，应依法依规按程序科学论证，严格控制生态环境影响；</w:t>
                  </w:r>
                </w:p>
              </w:tc>
              <w:tc>
                <w:tcPr>
                  <w:tcW w:w="3252" w:type="dxa"/>
                  <w:shd w:val="clear" w:color="auto" w:fill="auto"/>
                  <w:vAlign w:val="center"/>
                </w:tcPr>
                <w:p w14:paraId="39B772D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本项目不涉及生态保护红线、自然保护区等重要生态环境敏感区</w:t>
                  </w:r>
                </w:p>
              </w:tc>
              <w:tc>
                <w:tcPr>
                  <w:tcW w:w="736" w:type="dxa"/>
                  <w:shd w:val="clear" w:color="auto" w:fill="auto"/>
                  <w:vAlign w:val="center"/>
                </w:tcPr>
                <w:p w14:paraId="7F168BA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r w14:paraId="5EFC7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3C270637">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7C2F2ABB">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562D58B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2A6EDD99">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4、规划项目经地质灾害较多的区域，除绕避外，应深入开展地质灾害、地震安全性评估。</w:t>
                  </w:r>
                </w:p>
              </w:tc>
              <w:tc>
                <w:tcPr>
                  <w:tcW w:w="3252" w:type="dxa"/>
                  <w:shd w:val="clear" w:color="auto" w:fill="auto"/>
                  <w:vAlign w:val="center"/>
                </w:tcPr>
                <w:p w14:paraId="76F9FA6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本项目不涉及地质灾害较多的区域</w:t>
                  </w:r>
                </w:p>
              </w:tc>
              <w:tc>
                <w:tcPr>
                  <w:tcW w:w="736" w:type="dxa"/>
                  <w:shd w:val="clear" w:color="auto" w:fill="auto"/>
                  <w:vAlign w:val="center"/>
                </w:tcPr>
                <w:p w14:paraId="74DEAA1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r w14:paraId="1C6E56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1FDD7571">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45481D77">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shd w:val="clear" w:color="auto" w:fill="auto"/>
                  <w:vAlign w:val="center"/>
                </w:tcPr>
                <w:p w14:paraId="571E99BE">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大气环境</w:t>
                  </w:r>
                </w:p>
              </w:tc>
              <w:tc>
                <w:tcPr>
                  <w:tcW w:w="7408" w:type="dxa"/>
                  <w:shd w:val="clear" w:color="auto" w:fill="auto"/>
                  <w:vAlign w:val="center"/>
                </w:tcPr>
                <w:p w14:paraId="1AE4348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合理规划设置施工场地，优化施工运输方案，加强施工扬尘治理；堆场粉尘采取抑尘措施，限制尾气排放超标车辆上路，加大环境管理力度，定期对项目环评中规定点位的环境空气质量跟踪监测。</w:t>
                  </w:r>
                </w:p>
              </w:tc>
              <w:tc>
                <w:tcPr>
                  <w:tcW w:w="3252" w:type="dxa"/>
                  <w:shd w:val="clear" w:color="auto" w:fill="auto"/>
                  <w:vAlign w:val="center"/>
                </w:tcPr>
                <w:p w14:paraId="2AC6146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本项目施工场地选址合理，采取优化运输方案、加强施工扬尘治理等；堆场粉尘采取遮盖、洒水等抑尘措施，限制尾气排放超标车辆上路，加强环境管理等</w:t>
                  </w:r>
                </w:p>
              </w:tc>
              <w:tc>
                <w:tcPr>
                  <w:tcW w:w="736" w:type="dxa"/>
                  <w:shd w:val="clear" w:color="auto" w:fill="auto"/>
                  <w:vAlign w:val="center"/>
                </w:tcPr>
                <w:p w14:paraId="00C0846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4349D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3F3F8CA0">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43671676">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restart"/>
                  <w:shd w:val="clear" w:color="auto" w:fill="auto"/>
                  <w:vAlign w:val="center"/>
                </w:tcPr>
                <w:p w14:paraId="2539F98F">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水环境</w:t>
                  </w:r>
                </w:p>
              </w:tc>
              <w:tc>
                <w:tcPr>
                  <w:tcW w:w="7408" w:type="dxa"/>
                  <w:shd w:val="clear" w:color="auto" w:fill="auto"/>
                  <w:vAlign w:val="center"/>
                </w:tcPr>
                <w:p w14:paraId="778DD54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1、规划项目选址选线尽量绕避敏感水体；</w:t>
                  </w:r>
                </w:p>
              </w:tc>
              <w:tc>
                <w:tcPr>
                  <w:tcW w:w="3252" w:type="dxa"/>
                  <w:shd w:val="clear" w:color="auto" w:fill="auto"/>
                  <w:vAlign w:val="center"/>
                </w:tcPr>
                <w:p w14:paraId="10CAAB9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本项目不涉及敏感水体</w:t>
                  </w:r>
                </w:p>
              </w:tc>
              <w:tc>
                <w:tcPr>
                  <w:tcW w:w="736" w:type="dxa"/>
                  <w:shd w:val="clear" w:color="auto" w:fill="auto"/>
                  <w:vAlign w:val="center"/>
                </w:tcPr>
                <w:p w14:paraId="6BD79A0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r w14:paraId="7CB53B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656FCB20">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1545C954">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2B1E16D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67601BE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2、严格施工管理，禁止施工弃渣进入河道，完善桥（路）面径流收集处理系统；</w:t>
                  </w:r>
                </w:p>
              </w:tc>
              <w:tc>
                <w:tcPr>
                  <w:tcW w:w="3252" w:type="dxa"/>
                  <w:shd w:val="clear" w:color="auto" w:fill="auto"/>
                  <w:vAlign w:val="center"/>
                </w:tcPr>
                <w:p w14:paraId="579B45D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本项目严格施工管理，禁止弃渣入河，桥面设置完善的径流收集系统</w:t>
                  </w:r>
                </w:p>
              </w:tc>
              <w:tc>
                <w:tcPr>
                  <w:tcW w:w="736" w:type="dxa"/>
                  <w:shd w:val="clear" w:color="auto" w:fill="auto"/>
                  <w:vAlign w:val="center"/>
                </w:tcPr>
                <w:p w14:paraId="60BD40BE">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401AF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1788F24F">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75C7F0A1">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56C68EB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6583482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3、项目营运阶段，加强公路路面排水系统和水处理系统的养护；港口码头、机场等废水应采用分类分流制排水系统，废水应优先纳入公共污水处理系统，无法纳入时，应自建污水处理系统。针对污水处理设施设置长效运营监管机制和长期监测方案，避免其对周边环境造成污染。</w:t>
                  </w:r>
                </w:p>
              </w:tc>
              <w:tc>
                <w:tcPr>
                  <w:tcW w:w="3252" w:type="dxa"/>
                  <w:shd w:val="clear" w:color="auto" w:fill="auto"/>
                  <w:vAlign w:val="center"/>
                </w:tcPr>
                <w:p w14:paraId="6EED9F9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本项目运营期</w:t>
                  </w:r>
                  <w:r>
                    <w:rPr>
                      <w:rFonts w:hint="default" w:ascii="Times New Roman" w:hAnsi="Times New Roman" w:cs="Times New Roman"/>
                      <w:color w:val="auto"/>
                      <w:sz w:val="21"/>
                      <w:szCs w:val="21"/>
                      <w:lang w:val="en-US" w:eastAsia="zh-CN"/>
                    </w:rPr>
                    <w:t>路面完善了排水系统</w:t>
                  </w:r>
                </w:p>
              </w:tc>
              <w:tc>
                <w:tcPr>
                  <w:tcW w:w="736" w:type="dxa"/>
                  <w:shd w:val="clear" w:color="auto" w:fill="auto"/>
                  <w:vAlign w:val="center"/>
                </w:tcPr>
                <w:p w14:paraId="6B721A3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5EBDFA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107A463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6AAB51B9">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restart"/>
                  <w:shd w:val="clear" w:color="auto" w:fill="auto"/>
                  <w:vAlign w:val="center"/>
                </w:tcPr>
                <w:p w14:paraId="486FB00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声环境</w:t>
                  </w:r>
                </w:p>
              </w:tc>
              <w:tc>
                <w:tcPr>
                  <w:tcW w:w="7408" w:type="dxa"/>
                  <w:shd w:val="clear" w:color="auto" w:fill="auto"/>
                  <w:vAlign w:val="center"/>
                </w:tcPr>
                <w:p w14:paraId="54516BE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1、公路、铁路选线尽量远离声环境敏感目标；</w:t>
                  </w:r>
                </w:p>
              </w:tc>
              <w:tc>
                <w:tcPr>
                  <w:tcW w:w="3252" w:type="dxa"/>
                  <w:shd w:val="clear" w:color="auto" w:fill="auto"/>
                  <w:vAlign w:val="center"/>
                </w:tcPr>
                <w:p w14:paraId="5BA0C47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选线</w:t>
                  </w:r>
                  <w:r>
                    <w:rPr>
                      <w:rFonts w:hint="default" w:ascii="Times New Roman" w:hAnsi="Times New Roman" w:cs="Times New Roman"/>
                      <w:color w:val="auto"/>
                      <w:sz w:val="21"/>
                      <w:szCs w:val="21"/>
                    </w:rPr>
                    <w:t>已尽量远离声环境保护目标</w:t>
                  </w:r>
                </w:p>
              </w:tc>
              <w:tc>
                <w:tcPr>
                  <w:tcW w:w="736" w:type="dxa"/>
                  <w:shd w:val="clear" w:color="auto" w:fill="auto"/>
                  <w:vAlign w:val="center"/>
                </w:tcPr>
                <w:p w14:paraId="7BCD555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723793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0ED3946F">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49B582B3">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179F388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1C8E8A2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2、合理安排施工时间，采取临时降噪措施，减缓施工噪声对周边敏感点的影响；</w:t>
                  </w:r>
                </w:p>
              </w:tc>
              <w:tc>
                <w:tcPr>
                  <w:tcW w:w="3252" w:type="dxa"/>
                  <w:shd w:val="clear" w:color="auto" w:fill="auto"/>
                  <w:vAlign w:val="center"/>
                </w:tcPr>
                <w:p w14:paraId="17AD525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本项目施工期采取敏感点夜间不施工、选用低噪设备、合理布局等降噪措施</w:t>
                  </w:r>
                </w:p>
              </w:tc>
              <w:tc>
                <w:tcPr>
                  <w:tcW w:w="736" w:type="dxa"/>
                  <w:shd w:val="clear" w:color="auto" w:fill="auto"/>
                  <w:vAlign w:val="center"/>
                </w:tcPr>
                <w:p w14:paraId="606A703D">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6EAFF4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6683A004">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6A6302E1">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54DCCB0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2B80B38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3、合理规划公路两侧用地性质和用地布局，采取声屏障等降噪措施，减缓交通噪声对周边噪声敏感点的影响；</w:t>
                  </w:r>
                </w:p>
              </w:tc>
              <w:tc>
                <w:tcPr>
                  <w:tcW w:w="3252" w:type="dxa"/>
                  <w:shd w:val="clear" w:color="auto" w:fill="auto"/>
                  <w:vAlign w:val="center"/>
                </w:tcPr>
                <w:p w14:paraId="6C707C3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采取了相关降噪措施</w:t>
                  </w:r>
                  <w:r>
                    <w:rPr>
                      <w:rFonts w:hint="default" w:ascii="Times New Roman" w:hAnsi="Times New Roman" w:cs="Times New Roman"/>
                      <w:color w:val="auto"/>
                      <w:sz w:val="21"/>
                      <w:szCs w:val="21"/>
                    </w:rPr>
                    <w:t>，减缓噪声影响</w:t>
                  </w:r>
                </w:p>
              </w:tc>
              <w:tc>
                <w:tcPr>
                  <w:tcW w:w="736" w:type="dxa"/>
                  <w:shd w:val="clear" w:color="auto" w:fill="auto"/>
                  <w:vAlign w:val="center"/>
                </w:tcPr>
                <w:p w14:paraId="782E2BD1">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70096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3865719F">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0E10510F">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66530A6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3C029F3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4、港口码头总平面布置应避免噪声对集中居住区的影响，厂区内部高噪声作业区域宜远离居住区等敏感建筑。</w:t>
                  </w:r>
                </w:p>
              </w:tc>
              <w:tc>
                <w:tcPr>
                  <w:tcW w:w="3252" w:type="dxa"/>
                  <w:shd w:val="clear" w:color="auto" w:fill="auto"/>
                  <w:vAlign w:val="center"/>
                </w:tcPr>
                <w:p w14:paraId="24328F4A">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本项目不涉及港口码头</w:t>
                  </w:r>
                </w:p>
              </w:tc>
              <w:tc>
                <w:tcPr>
                  <w:tcW w:w="736" w:type="dxa"/>
                  <w:shd w:val="clear" w:color="auto" w:fill="auto"/>
                  <w:vAlign w:val="center"/>
                </w:tcPr>
                <w:p w14:paraId="776C3AF2">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r w14:paraId="5F004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24B379EA">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4AE8DCEB">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restart"/>
                  <w:shd w:val="clear" w:color="auto" w:fill="auto"/>
                  <w:vAlign w:val="center"/>
                </w:tcPr>
                <w:p w14:paraId="4C963CD0">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固体废物</w:t>
                  </w:r>
                </w:p>
              </w:tc>
              <w:tc>
                <w:tcPr>
                  <w:tcW w:w="7408" w:type="dxa"/>
                  <w:shd w:val="clear" w:color="auto" w:fill="auto"/>
                  <w:vAlign w:val="center"/>
                </w:tcPr>
                <w:p w14:paraId="44D6A6C4">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1、施工期弃渣、建渣指定地点集中堆放，满足水保要求；</w:t>
                  </w:r>
                </w:p>
              </w:tc>
              <w:tc>
                <w:tcPr>
                  <w:tcW w:w="3252" w:type="dxa"/>
                  <w:shd w:val="clear" w:color="auto" w:fill="auto"/>
                  <w:vAlign w:val="center"/>
                </w:tcPr>
                <w:p w14:paraId="7870335C">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本项目弃渣、建筑垃圾运至规划的弃渣场堆放，弃渣场布设了拦挡、截排水等水保措施</w:t>
                  </w:r>
                </w:p>
              </w:tc>
              <w:tc>
                <w:tcPr>
                  <w:tcW w:w="736" w:type="dxa"/>
                  <w:shd w:val="clear" w:color="auto" w:fill="auto"/>
                  <w:vAlign w:val="center"/>
                </w:tcPr>
                <w:p w14:paraId="72BB0C2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0097B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4448ABEE">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10C9324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1D1DF9AB">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0E3BD02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2、港口码头应对生活垃圾进行分类收集，并纳入市政固体废物接收处置系统。</w:t>
                  </w:r>
                </w:p>
              </w:tc>
              <w:tc>
                <w:tcPr>
                  <w:tcW w:w="3252" w:type="dxa"/>
                  <w:shd w:val="clear" w:color="auto" w:fill="auto"/>
                  <w:vAlign w:val="center"/>
                </w:tcPr>
                <w:p w14:paraId="750DDB16">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本项目不涉及港口码头</w:t>
                  </w:r>
                </w:p>
              </w:tc>
              <w:tc>
                <w:tcPr>
                  <w:tcW w:w="736" w:type="dxa"/>
                  <w:shd w:val="clear" w:color="auto" w:fill="auto"/>
                  <w:vAlign w:val="center"/>
                </w:tcPr>
                <w:p w14:paraId="1E513237">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r w14:paraId="09F70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46341A32">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78AED08E">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restart"/>
                  <w:shd w:val="clear" w:color="auto" w:fill="auto"/>
                  <w:vAlign w:val="center"/>
                </w:tcPr>
                <w:p w14:paraId="6162433A">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环境风险</w:t>
                  </w:r>
                </w:p>
              </w:tc>
              <w:tc>
                <w:tcPr>
                  <w:tcW w:w="7408" w:type="dxa"/>
                  <w:shd w:val="clear" w:color="auto" w:fill="auto"/>
                  <w:vAlign w:val="center"/>
                </w:tcPr>
                <w:p w14:paraId="3D441F03">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1、在跨水桥梁合理设置防撞设施，限速与禁止超车等警示标志、桥面径流收集处理系统、事故池、视频监控系统等环境风险防范措施；</w:t>
                  </w:r>
                </w:p>
              </w:tc>
              <w:tc>
                <w:tcPr>
                  <w:tcW w:w="3252" w:type="dxa"/>
                  <w:shd w:val="clear" w:color="auto" w:fill="auto"/>
                  <w:vAlign w:val="center"/>
                </w:tcPr>
                <w:p w14:paraId="332487B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eastAsia="宋体" w:cs="Times New Roman"/>
                      <w:bCs/>
                      <w:color w:val="auto"/>
                      <w:kern w:val="2"/>
                      <w:sz w:val="21"/>
                      <w:szCs w:val="21"/>
                      <w:lang w:val="en-US" w:eastAsia="zh-CN" w:bidi="ar-SA"/>
                    </w:rPr>
                    <w:t>本项目不涉及跨水桥梁</w:t>
                  </w:r>
                </w:p>
              </w:tc>
              <w:tc>
                <w:tcPr>
                  <w:tcW w:w="736" w:type="dxa"/>
                  <w:shd w:val="clear" w:color="auto" w:fill="auto"/>
                  <w:vAlign w:val="center"/>
                </w:tcPr>
                <w:p w14:paraId="29259E75">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符合</w:t>
                  </w:r>
                </w:p>
              </w:tc>
            </w:tr>
            <w:tr w14:paraId="00952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622" w:type="dxa"/>
                  <w:vMerge w:val="continue"/>
                  <w:vAlign w:val="center"/>
                </w:tcPr>
                <w:p w14:paraId="393FF9D5">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lang w:val="en-US" w:eastAsia="zh-CN"/>
                    </w:rPr>
                  </w:pPr>
                </w:p>
              </w:tc>
              <w:tc>
                <w:tcPr>
                  <w:tcW w:w="1320" w:type="dxa"/>
                  <w:vMerge w:val="continue"/>
                  <w:vAlign w:val="center"/>
                </w:tcPr>
                <w:p w14:paraId="67F0478D">
                  <w:pPr>
                    <w:pStyle w:val="96"/>
                    <w:keepNext w:val="0"/>
                    <w:keepLines w:val="0"/>
                    <w:pageBreakBefore w:val="0"/>
                    <w:widowControl w:val="0"/>
                    <w:kinsoku/>
                    <w:wordWrap/>
                    <w:overflowPunct/>
                    <w:topLinePunct w:val="0"/>
                    <w:bidi w:val="0"/>
                    <w:snapToGrid/>
                    <w:spacing w:line="240" w:lineRule="auto"/>
                    <w:jc w:val="center"/>
                    <w:textAlignment w:val="auto"/>
                    <w:rPr>
                      <w:rFonts w:hint="default" w:ascii="Times New Roman" w:hAnsi="Times New Roman" w:cs="Times New Roman"/>
                      <w:color w:val="auto"/>
                      <w:sz w:val="21"/>
                      <w:szCs w:val="21"/>
                    </w:rPr>
                  </w:pPr>
                </w:p>
              </w:tc>
              <w:tc>
                <w:tcPr>
                  <w:tcW w:w="570" w:type="dxa"/>
                  <w:vMerge w:val="continue"/>
                  <w:shd w:val="clear" w:color="auto" w:fill="auto"/>
                  <w:vAlign w:val="center"/>
                </w:tcPr>
                <w:p w14:paraId="10870938">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cs="Times New Roman"/>
                      <w:color w:val="auto"/>
                      <w:sz w:val="21"/>
                      <w:szCs w:val="21"/>
                    </w:rPr>
                  </w:pPr>
                </w:p>
              </w:tc>
              <w:tc>
                <w:tcPr>
                  <w:tcW w:w="7408" w:type="dxa"/>
                  <w:shd w:val="clear" w:color="auto" w:fill="auto"/>
                  <w:vAlign w:val="center"/>
                </w:tcPr>
                <w:p w14:paraId="5B3F695E">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2、港口码头及其交通项目严格落实环境防线应急预案，降低和控制交通运输带来的环境风险，避免或最大程度减少有毒有害物质进入环境，确保环境安全，并定期开展应急培训和演练。</w:t>
                  </w:r>
                </w:p>
              </w:tc>
              <w:tc>
                <w:tcPr>
                  <w:tcW w:w="3252" w:type="dxa"/>
                  <w:shd w:val="clear" w:color="auto" w:fill="auto"/>
                  <w:vAlign w:val="center"/>
                </w:tcPr>
                <w:p w14:paraId="1E552C3E">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本项目不涉及港口码头</w:t>
                  </w:r>
                </w:p>
              </w:tc>
              <w:tc>
                <w:tcPr>
                  <w:tcW w:w="736" w:type="dxa"/>
                  <w:shd w:val="clear" w:color="auto" w:fill="auto"/>
                  <w:vAlign w:val="center"/>
                </w:tcPr>
                <w:p w14:paraId="4F416ACB">
                  <w:pPr>
                    <w:pStyle w:val="4"/>
                    <w:keepNext w:val="0"/>
                    <w:keepLines w:val="0"/>
                    <w:pageBreakBefore w:val="0"/>
                    <w:widowControl w:val="0"/>
                    <w:kinsoku/>
                    <w:wordWrap/>
                    <w:overflowPunct/>
                    <w:topLinePunct w:val="0"/>
                    <w:bidi w:val="0"/>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w:t>
                  </w:r>
                </w:p>
              </w:tc>
            </w:tr>
          </w:tbl>
          <w:p w14:paraId="349A29F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p>
        </w:tc>
      </w:tr>
      <w:tr w14:paraId="1BCB7A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82" w:hRule="atLeast"/>
          <w:jc w:val="center"/>
        </w:trPr>
        <w:tc>
          <w:tcPr>
            <w:tcW w:w="949" w:type="dxa"/>
            <w:vAlign w:val="center"/>
          </w:tcPr>
          <w:p w14:paraId="78B52E7D">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其他符合性分析</w:t>
            </w:r>
          </w:p>
        </w:tc>
        <w:tc>
          <w:tcPr>
            <w:tcW w:w="7921" w:type="dxa"/>
            <w:gridSpan w:val="3"/>
            <w:vAlign w:val="center"/>
          </w:tcPr>
          <w:p w14:paraId="09099BEF">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1、产业政策符合性分析</w:t>
            </w:r>
          </w:p>
          <w:p w14:paraId="3E3C9D58">
            <w:pPr>
              <w:keepNext w:val="0"/>
              <w:keepLines w:val="0"/>
              <w:pageBreakBefore w:val="0"/>
              <w:widowControl w:val="0"/>
              <w:kinsoku/>
              <w:wordWrap/>
              <w:overflowPunct/>
              <w:topLinePunct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eastAsia="宋体" w:cs="Times New Roman"/>
                <w:b w:val="0"/>
                <w:bCs/>
                <w:color w:val="auto"/>
                <w:sz w:val="24"/>
                <w:lang w:val="en-US" w:eastAsia="zh-CN"/>
              </w:rPr>
              <w:t>根据《国民经济行业分类与代码》（GB/T4754-2017），本项目属于“E4812公路工程建筑”。</w:t>
            </w:r>
            <w:r>
              <w:rPr>
                <w:rFonts w:hint="default" w:ascii="Times New Roman" w:hAnsi="Times New Roman" w:eastAsia="宋体" w:cs="Times New Roman"/>
                <w:b w:val="0"/>
                <w:bCs/>
                <w:color w:val="auto"/>
                <w:sz w:val="24"/>
              </w:rPr>
              <w:t>根据《产业结构调整指导目录（</w:t>
            </w:r>
            <w:r>
              <w:rPr>
                <w:rFonts w:hint="default" w:ascii="Times New Roman" w:hAnsi="Times New Roman" w:eastAsia="宋体" w:cs="Times New Roman"/>
                <w:b w:val="0"/>
                <w:bCs/>
                <w:color w:val="auto"/>
                <w:sz w:val="24"/>
                <w:lang w:val="en-US" w:eastAsia="zh-CN"/>
              </w:rPr>
              <w:t>2024年本</w:t>
            </w:r>
            <w:r>
              <w:rPr>
                <w:rFonts w:hint="default" w:ascii="Times New Roman" w:hAnsi="Times New Roman" w:eastAsia="宋体" w:cs="Times New Roman"/>
                <w:b w:val="0"/>
                <w:bCs/>
                <w:color w:val="auto"/>
                <w:sz w:val="24"/>
              </w:rPr>
              <w:t>）》</w:t>
            </w:r>
            <w:r>
              <w:rPr>
                <w:rFonts w:hint="default" w:ascii="Times New Roman" w:hAnsi="Times New Roman" w:cs="Times New Roman"/>
                <w:color w:val="auto"/>
                <w:sz w:val="24"/>
                <w:szCs w:val="32"/>
              </w:rPr>
              <w:t>可知，本项目属于鼓励类</w:t>
            </w:r>
            <w:r>
              <w:rPr>
                <w:rFonts w:hint="default" w:ascii="Times New Roman" w:hAnsi="Times New Roman" w:cs="Times New Roman"/>
                <w:color w:val="auto"/>
                <w:sz w:val="24"/>
                <w:szCs w:val="32"/>
                <w:lang w:val="en-US" w:eastAsia="zh-CN"/>
              </w:rPr>
              <w:t>“</w:t>
            </w:r>
            <w:r>
              <w:rPr>
                <w:rFonts w:hint="default" w:ascii="Times New Roman" w:hAnsi="Times New Roman" w:cs="Times New Roman"/>
                <w:color w:val="auto"/>
                <w:sz w:val="24"/>
                <w:szCs w:val="32"/>
              </w:rPr>
              <w:t>第二十四项公路及道路运输</w:t>
            </w:r>
            <w:r>
              <w:rPr>
                <w:rFonts w:hint="default" w:ascii="Times New Roman" w:hAnsi="Times New Roman" w:cs="Times New Roman"/>
                <w:color w:val="auto"/>
                <w:sz w:val="24"/>
                <w:szCs w:val="32"/>
                <w:lang w:val="en-US" w:eastAsia="zh-CN"/>
              </w:rPr>
              <w:t>”中“</w:t>
            </w:r>
            <w:r>
              <w:rPr>
                <w:rFonts w:hint="default" w:ascii="Times New Roman" w:hAnsi="Times New Roman" w:cs="Times New Roman"/>
                <w:color w:val="auto"/>
                <w:sz w:val="24"/>
                <w:szCs w:val="32"/>
              </w:rPr>
              <w:t>2．公路智能运输系统开发：快速客货运输、公路甩挂运输系统开发与建设，公路集装箱和厢式运输，</w:t>
            </w:r>
            <w:r>
              <w:rPr>
                <w:rFonts w:hint="default" w:ascii="Times New Roman" w:hAnsi="Times New Roman" w:cs="Times New Roman"/>
                <w:b/>
                <w:bCs/>
                <w:color w:val="auto"/>
                <w:sz w:val="24"/>
                <w:szCs w:val="32"/>
              </w:rPr>
              <w:t>农村公路和客货运输网络开发与建设</w:t>
            </w:r>
            <w:r>
              <w:rPr>
                <w:rFonts w:hint="default" w:ascii="Times New Roman" w:hAnsi="Times New Roman" w:cs="Times New Roman"/>
                <w:color w:val="auto"/>
                <w:sz w:val="24"/>
                <w:szCs w:val="32"/>
              </w:rPr>
              <w:t>，出租汽车服务调度信息系统开发与建设开发与建设</w:t>
            </w:r>
            <w:r>
              <w:rPr>
                <w:rFonts w:hint="default" w:ascii="Times New Roman" w:hAnsi="Times New Roman" w:cs="Times New Roman"/>
                <w:color w:val="auto"/>
                <w:sz w:val="24"/>
                <w:szCs w:val="32"/>
                <w:lang w:val="en-US" w:eastAsia="zh-CN"/>
              </w:rPr>
              <w:t>”</w:t>
            </w:r>
            <w:r>
              <w:rPr>
                <w:rFonts w:hint="default" w:ascii="Times New Roman" w:hAnsi="Times New Roman" w:cs="Times New Roman"/>
                <w:color w:val="auto"/>
                <w:sz w:val="24"/>
                <w:szCs w:val="32"/>
              </w:rPr>
              <w:t>。</w:t>
            </w:r>
          </w:p>
          <w:p w14:paraId="23DF5EE2">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202</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年</w:t>
            </w:r>
            <w:r>
              <w:rPr>
                <w:rFonts w:hint="default" w:ascii="Times New Roman" w:hAnsi="Times New Roman" w:cs="Times New Roman"/>
                <w:color w:val="auto"/>
                <w:sz w:val="24"/>
                <w:szCs w:val="32"/>
                <w:lang w:val="en-US" w:eastAsia="zh-CN"/>
              </w:rPr>
              <w:t>5</w:t>
            </w:r>
            <w:r>
              <w:rPr>
                <w:rFonts w:hint="default" w:ascii="Times New Roman" w:hAnsi="Times New Roman" w:cs="Times New Roman"/>
                <w:color w:val="auto"/>
                <w:sz w:val="24"/>
                <w:szCs w:val="32"/>
              </w:rPr>
              <w:t>月</w:t>
            </w:r>
            <w:r>
              <w:rPr>
                <w:rFonts w:hint="default" w:ascii="Times New Roman" w:hAnsi="Times New Roman" w:cs="Times New Roman"/>
                <w:color w:val="auto"/>
                <w:sz w:val="24"/>
                <w:szCs w:val="32"/>
                <w:lang w:val="en-US" w:eastAsia="zh-CN"/>
              </w:rPr>
              <w:t>13</w:t>
            </w:r>
            <w:r>
              <w:rPr>
                <w:rFonts w:hint="default" w:ascii="Times New Roman" w:hAnsi="Times New Roman" w:cs="Times New Roman"/>
                <w:color w:val="auto"/>
                <w:sz w:val="24"/>
                <w:szCs w:val="32"/>
              </w:rPr>
              <w:t>日，宣汉县发展和改革局出具了《</w:t>
            </w:r>
            <w:r>
              <w:rPr>
                <w:rFonts w:hint="default" w:ascii="Times New Roman" w:hAnsi="Times New Roman" w:cs="Times New Roman"/>
                <w:color w:val="auto"/>
                <w:sz w:val="24"/>
                <w:szCs w:val="32"/>
                <w:lang w:val="en-US" w:eastAsia="zh-CN"/>
              </w:rPr>
              <w:t>关于宣汉县中部片区乡村振兴·千万工程示范带建设项目核准的批复</w:t>
            </w:r>
            <w:r>
              <w:rPr>
                <w:rFonts w:hint="default" w:ascii="Times New Roman" w:hAnsi="Times New Roman" w:cs="Times New Roman"/>
                <w:color w:val="auto"/>
                <w:sz w:val="24"/>
                <w:szCs w:val="32"/>
              </w:rPr>
              <w:t>》（宣发改审〔202</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w:t>
            </w:r>
            <w:r>
              <w:rPr>
                <w:rFonts w:hint="default" w:ascii="Times New Roman" w:hAnsi="Times New Roman" w:cs="Times New Roman"/>
                <w:color w:val="auto"/>
                <w:sz w:val="24"/>
                <w:szCs w:val="32"/>
                <w:lang w:val="en-US" w:eastAsia="zh-CN"/>
              </w:rPr>
              <w:t>180</w:t>
            </w:r>
            <w:r>
              <w:rPr>
                <w:rFonts w:hint="default" w:ascii="Times New Roman" w:hAnsi="Times New Roman" w:cs="Times New Roman"/>
                <w:color w:val="auto"/>
                <w:sz w:val="24"/>
                <w:szCs w:val="32"/>
              </w:rPr>
              <w:t>号），同意项目建设。</w:t>
            </w:r>
          </w:p>
          <w:p w14:paraId="241F1C11">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2024年11月23日，四川宣宏实业有限公司出具了说明：宣汉县中部片区乡村振兴·千万工程示范带建设项目总投资30016.62万元。项目建设主要内容：（一）改造厕所1200户、厨房870户，地面硬化900户等室内附属配套设施；（二）改造院坝900户、入户道路35公里等室外附属配套设施；（三）提升场镇道路20公里、污水管网5公里及农贸市场等相关基础设施；（四）改造村级文化阵地5200平方米全民健身体育设施10套；改造村道路20公里，新建杏树村道路2.94公里等相关公共服务设施；（五）整治蓝莓种植基地3500亩，建设生产道路、排水渠等相关附属工程；（六）整治杏树种植基地2000亩，建设生产道路、排水渠等相关附属工程。上述建设内容按计划分批实施。</w:t>
            </w:r>
          </w:p>
          <w:p w14:paraId="7D469794">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val="en-US" w:eastAsia="zh-CN"/>
              </w:rPr>
              <w:t>因项目建设内容较多，无法一次性全部实施，该项目按计划分批分标段实施，目前先行实施该项目的新建杏树村道路2.94公里等相关公共服务设施的内容，为宣汉县中部片区乡村振兴·千万工程示范带建设项目一标段，项目总投资14712.3万元。</w:t>
            </w:r>
          </w:p>
          <w:p w14:paraId="73B2FB36">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b w:val="0"/>
                <w:bCs w:val="0"/>
                <w:color w:val="auto"/>
                <w:sz w:val="24"/>
                <w:szCs w:val="32"/>
                <w:lang w:val="en-US" w:eastAsia="zh-CN"/>
              </w:rPr>
              <w:t>综上所述，</w:t>
            </w:r>
            <w:r>
              <w:rPr>
                <w:rFonts w:hint="default" w:ascii="Times New Roman" w:hAnsi="Times New Roman" w:cs="Times New Roman"/>
                <w:color w:val="auto"/>
                <w:sz w:val="24"/>
                <w:szCs w:val="32"/>
              </w:rPr>
              <w:t>本项目符合国家现行相关产业政策。</w:t>
            </w:r>
          </w:p>
          <w:p w14:paraId="4E98E346">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rPr>
              <w:t>、用地符合性分析</w:t>
            </w:r>
          </w:p>
          <w:p w14:paraId="5437AFC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rPr>
              <w:t>本项目位于达州市宣汉县普光杏树村5社至6社，</w:t>
            </w:r>
            <w:r>
              <w:rPr>
                <w:rFonts w:hint="default" w:ascii="Times New Roman" w:hAnsi="Times New Roman" w:cs="Times New Roman"/>
                <w:color w:val="auto"/>
                <w:sz w:val="24"/>
                <w:szCs w:val="32"/>
                <w:lang w:val="en-US" w:eastAsia="zh-CN"/>
              </w:rPr>
              <w:t>已取得宣汉县自然资源局出具的《关于宣汉县中部片区乡村振兴·千万工程示范带项目不涉及新增建设用地的情况说明》，其中明确了本项目为农村道路，不涉及新增建设用地，本项目可以不办理建设用地预审与选址意见书。</w:t>
            </w:r>
          </w:p>
          <w:p w14:paraId="755F74B4">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3、与</w:t>
            </w:r>
            <w:r>
              <w:rPr>
                <w:rFonts w:hint="default" w:ascii="Times New Roman" w:hAnsi="Times New Roman" w:eastAsia="宋体" w:cs="Times New Roman"/>
                <w:b/>
                <w:bCs/>
                <w:color w:val="auto"/>
                <w:sz w:val="24"/>
              </w:rPr>
              <w:t>《</w:t>
            </w:r>
            <w:r>
              <w:rPr>
                <w:rFonts w:hint="default" w:ascii="Times New Roman" w:hAnsi="Times New Roman" w:eastAsia="宋体" w:cs="Times New Roman"/>
                <w:b/>
                <w:bCs/>
                <w:color w:val="auto"/>
                <w:sz w:val="24"/>
                <w:lang w:val="en-US" w:eastAsia="zh-CN"/>
              </w:rPr>
              <w:t>四川省国土空间规划（2021-2035年）</w:t>
            </w:r>
            <w:r>
              <w:rPr>
                <w:rFonts w:hint="default" w:ascii="Times New Roman" w:hAnsi="Times New Roman" w:eastAsia="宋体" w:cs="Times New Roman"/>
                <w:b/>
                <w:bCs/>
                <w:color w:val="auto"/>
                <w:sz w:val="24"/>
              </w:rPr>
              <w:t>》</w:t>
            </w:r>
            <w:r>
              <w:rPr>
                <w:rFonts w:hint="default" w:ascii="Times New Roman" w:hAnsi="Times New Roman" w:cs="Times New Roman"/>
                <w:b/>
                <w:bCs/>
                <w:color w:val="auto"/>
                <w:sz w:val="24"/>
                <w:lang w:val="en-US" w:eastAsia="zh-CN"/>
              </w:rPr>
              <w:t>符合性分析</w:t>
            </w:r>
          </w:p>
          <w:p w14:paraId="3A68433E">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本项目与《</w:t>
            </w:r>
            <w:r>
              <w:rPr>
                <w:rFonts w:hint="default" w:ascii="Times New Roman" w:hAnsi="Times New Roman" w:eastAsia="宋体" w:cs="Times New Roman"/>
                <w:color w:val="auto"/>
                <w:sz w:val="24"/>
                <w:lang w:val="en-US" w:eastAsia="zh-CN"/>
              </w:rPr>
              <w:t>四川省国土空间规划（2021-2035年）</w:t>
            </w:r>
            <w:r>
              <w:rPr>
                <w:rFonts w:hint="default" w:ascii="Times New Roman" w:hAnsi="Times New Roman" w:eastAsia="宋体" w:cs="Times New Roman"/>
                <w:color w:val="auto"/>
                <w:sz w:val="24"/>
              </w:rPr>
              <w:t>》（川府发【</w:t>
            </w:r>
            <w:r>
              <w:rPr>
                <w:rFonts w:hint="default" w:ascii="Times New Roman" w:hAnsi="Times New Roman" w:eastAsia="宋体" w:cs="Times New Roman"/>
                <w:color w:val="auto"/>
                <w:sz w:val="24"/>
                <w:lang w:val="en-US" w:eastAsia="zh-CN"/>
              </w:rPr>
              <w:t>2024</w:t>
            </w:r>
            <w:r>
              <w:rPr>
                <w:rFonts w:hint="default" w:ascii="Times New Roman" w:hAnsi="Times New Roman" w:eastAsia="宋体" w:cs="Times New Roman"/>
                <w:color w:val="auto"/>
                <w:sz w:val="24"/>
              </w:rPr>
              <w:t>】</w:t>
            </w:r>
            <w:r>
              <w:rPr>
                <w:rFonts w:hint="default" w:ascii="Times New Roman" w:hAnsi="Times New Roman" w:eastAsia="宋体" w:cs="Times New Roman"/>
                <w:color w:val="auto"/>
                <w:sz w:val="24"/>
                <w:lang w:val="en-US" w:eastAsia="zh-CN"/>
              </w:rPr>
              <w:t>8</w:t>
            </w:r>
            <w:r>
              <w:rPr>
                <w:rFonts w:hint="default" w:ascii="Times New Roman" w:hAnsi="Times New Roman" w:eastAsia="宋体" w:cs="Times New Roman"/>
                <w:color w:val="auto"/>
                <w:sz w:val="24"/>
              </w:rPr>
              <w:t>号）符合性分析详见下表</w:t>
            </w:r>
            <w:r>
              <w:rPr>
                <w:rFonts w:hint="default" w:ascii="Times New Roman" w:hAnsi="Times New Roman" w:cs="Times New Roman"/>
                <w:color w:val="auto"/>
                <w:sz w:val="24"/>
                <w:lang w:val="en-US" w:eastAsia="zh-CN"/>
              </w:rPr>
              <w:t>1-2</w:t>
            </w:r>
            <w:r>
              <w:rPr>
                <w:rFonts w:hint="default" w:ascii="Times New Roman" w:hAnsi="Times New Roman" w:eastAsia="宋体" w:cs="Times New Roman"/>
                <w:color w:val="auto"/>
                <w:sz w:val="24"/>
              </w:rPr>
              <w:t>。</w:t>
            </w:r>
          </w:p>
          <w:p w14:paraId="4B1479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w:t>
            </w:r>
            <w:r>
              <w:rPr>
                <w:rFonts w:hint="default" w:ascii="Times New Roman" w:hAnsi="Times New Roman" w:cs="Times New Roman"/>
                <w:b/>
                <w:bCs/>
                <w:color w:val="auto"/>
                <w:sz w:val="21"/>
                <w:szCs w:val="21"/>
                <w:lang w:val="en-US" w:eastAsia="zh-CN"/>
              </w:rPr>
              <w:t xml:space="preserve">1-2 </w:t>
            </w:r>
            <w:r>
              <w:rPr>
                <w:rFonts w:hint="default" w:ascii="Times New Roman" w:hAnsi="Times New Roman" w:eastAsia="宋体" w:cs="Times New Roman"/>
                <w:b/>
                <w:bCs/>
                <w:color w:val="auto"/>
                <w:sz w:val="21"/>
                <w:szCs w:val="21"/>
                <w:lang w:val="en-US" w:eastAsia="zh-CN"/>
              </w:rPr>
              <w:t>项目区主体功能区规划表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8"/>
              <w:gridCol w:w="3294"/>
              <w:gridCol w:w="844"/>
            </w:tblGrid>
            <w:tr w14:paraId="0649C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1" w:type="pct"/>
                  <w:noWrap w:val="0"/>
                  <w:vAlign w:val="center"/>
                </w:tcPr>
                <w:p w14:paraId="264A7E1C">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四川省国土空间规划（2021-2035年）相关要求</w:t>
                  </w:r>
                </w:p>
              </w:tc>
              <w:tc>
                <w:tcPr>
                  <w:tcW w:w="2140" w:type="pct"/>
                  <w:noWrap w:val="0"/>
                  <w:vAlign w:val="center"/>
                </w:tcPr>
                <w:p w14:paraId="4E986064">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本项目</w:t>
                  </w:r>
                </w:p>
              </w:tc>
              <w:tc>
                <w:tcPr>
                  <w:tcW w:w="548" w:type="pct"/>
                  <w:noWrap w:val="0"/>
                  <w:vAlign w:val="center"/>
                </w:tcPr>
                <w:p w14:paraId="21EA72FD">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结论</w:t>
                  </w:r>
                </w:p>
              </w:tc>
            </w:tr>
            <w:tr w14:paraId="221452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11" w:type="pct"/>
                  <w:noWrap w:val="0"/>
                  <w:vAlign w:val="center"/>
                </w:tcPr>
                <w:p w14:paraId="19409214">
                  <w:pPr>
                    <w:keepNext w:val="0"/>
                    <w:keepLines w:val="0"/>
                    <w:pageBreakBefore w:val="0"/>
                    <w:widowControl w:val="0"/>
                    <w:numPr>
                      <w:ilvl w:val="0"/>
                      <w:numId w:val="0"/>
                    </w:numPr>
                    <w:kinsoku/>
                    <w:wordWrap/>
                    <w:overflowPunct/>
                    <w:topLinePunct w:val="0"/>
                    <w:autoSpaceDE/>
                    <w:autoSpaceDN/>
                    <w:bidi w:val="0"/>
                    <w:snapToGrid/>
                    <w:ind w:firstLine="422" w:firstLineChars="200"/>
                    <w:textAlignment w:val="auto"/>
                    <w:rPr>
                      <w:rFonts w:hint="default" w:ascii="Times New Roman" w:hAnsi="Times New Roman" w:cs="Times New Roman"/>
                      <w:color w:val="auto"/>
                      <w:lang w:eastAsia="zh-CN"/>
                    </w:rPr>
                  </w:pPr>
                  <w:r>
                    <w:rPr>
                      <w:rFonts w:hint="default" w:ascii="Times New Roman" w:hAnsi="Times New Roman" w:cs="Times New Roman"/>
                      <w:b/>
                      <w:bCs/>
                      <w:color w:val="auto"/>
                      <w:lang w:eastAsia="zh-CN"/>
                    </w:rPr>
                    <w:t>推进川渝毗邻地区国省道提档升级和城际快速通道建设，强化干线公路网联通，完善农村公路网。加快铁路专用线建设，精准补齐工矿企业、物流园区铁路专用线短板。</w:t>
                  </w:r>
                  <w:r>
                    <w:rPr>
                      <w:rFonts w:hint="default" w:ascii="Times New Roman" w:hAnsi="Times New Roman" w:cs="Times New Roman"/>
                      <w:color w:val="auto"/>
                      <w:lang w:eastAsia="zh-CN"/>
                    </w:rPr>
                    <w:t>严格控制重点生态功能区交通增量布局，加强交通项目生态化选线,支持既有设施改造升级。在不改变高速公路土地性质的情况下，鼓励依托服务区等发展物流仓储、交旅融合等与交通运输业相关的功能业务。</w:t>
                  </w:r>
                </w:p>
              </w:tc>
              <w:tc>
                <w:tcPr>
                  <w:tcW w:w="2140" w:type="pct"/>
                  <w:noWrap w:val="0"/>
                  <w:vAlign w:val="center"/>
                </w:tcPr>
                <w:p w14:paraId="03C38A17">
                  <w:pPr>
                    <w:keepNext w:val="0"/>
                    <w:keepLines w:val="0"/>
                    <w:pageBreakBefore w:val="0"/>
                    <w:widowControl w:val="0"/>
                    <w:numPr>
                      <w:ilvl w:val="0"/>
                      <w:numId w:val="0"/>
                    </w:numPr>
                    <w:kinsoku/>
                    <w:wordWrap/>
                    <w:overflowPunct/>
                    <w:topLinePunct w:val="0"/>
                    <w:autoSpaceDE/>
                    <w:autoSpaceDN/>
                    <w:bidi w:val="0"/>
                    <w:snapToGrid/>
                    <w:ind w:firstLine="420" w:firstLineChars="200"/>
                    <w:textAlignment w:val="auto"/>
                    <w:rPr>
                      <w:rFonts w:hint="default" w:ascii="Times New Roman" w:hAnsi="Times New Roman" w:eastAsia="宋体" w:cs="Times New Roman"/>
                      <w:color w:val="auto"/>
                      <w:lang w:val="en-US" w:eastAsia="zh-CN"/>
                    </w:rPr>
                  </w:pPr>
                  <w:r>
                    <w:rPr>
                      <w:rFonts w:hint="default" w:ascii="Times New Roman" w:hAnsi="Times New Roman" w:eastAsia="宋体" w:cs="Times New Roman"/>
                      <w:color w:val="auto"/>
                      <w:lang w:val="en-US" w:eastAsia="zh-CN"/>
                    </w:rPr>
                    <w:t>本项目</w:t>
                  </w:r>
                  <w:r>
                    <w:rPr>
                      <w:rFonts w:hint="default" w:ascii="Times New Roman" w:hAnsi="Times New Roman" w:cs="Times New Roman"/>
                      <w:color w:val="auto"/>
                      <w:lang w:val="en-US" w:eastAsia="zh-CN"/>
                    </w:rPr>
                    <w:t>为</w:t>
                  </w:r>
                  <w:r>
                    <w:rPr>
                      <w:rFonts w:hint="default" w:ascii="Times New Roman" w:hAnsi="Times New Roman" w:eastAsia="宋体" w:cs="Times New Roman"/>
                      <w:color w:val="auto"/>
                      <w:lang w:val="en-US" w:eastAsia="zh-CN"/>
                    </w:rPr>
                    <w:t>连接普光镇杏树村5社至6社互通的交通重要组成部分，加快推进农村道路联网互通、改善周边群众出行环境、促进区域发展。</w:t>
                  </w:r>
                </w:p>
                <w:p w14:paraId="0A4B500B">
                  <w:pPr>
                    <w:keepNext w:val="0"/>
                    <w:keepLines w:val="0"/>
                    <w:pageBreakBefore w:val="0"/>
                    <w:widowControl w:val="0"/>
                    <w:numPr>
                      <w:ilvl w:val="0"/>
                      <w:numId w:val="0"/>
                    </w:numPr>
                    <w:kinsoku/>
                    <w:wordWrap/>
                    <w:overflowPunct/>
                    <w:topLinePunct w:val="0"/>
                    <w:autoSpaceDE/>
                    <w:autoSpaceDN/>
                    <w:bidi w:val="0"/>
                    <w:snapToGrid/>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lang w:val="en-US" w:eastAsia="zh-CN"/>
                    </w:rPr>
                    <w:t>根据宣汉县“十四五”交通路网规划及园区规划，本项目是宣汉县普光经开区总规修编用地规划图中化工大道的一部分，起点为规划园区规划的纵一路、横一路平交口。沿老林沟以隧道穿越韩家岩后，接入铁路转运站场坪道路</w:t>
                  </w:r>
                  <w:r>
                    <w:rPr>
                      <w:rFonts w:hint="default" w:ascii="Times New Roman" w:hAnsi="Times New Roman" w:cs="Times New Roman"/>
                      <w:color w:val="auto"/>
                      <w:lang w:val="en-US" w:eastAsia="zh-CN"/>
                    </w:rPr>
                    <w:t>。</w:t>
                  </w:r>
                </w:p>
                <w:p w14:paraId="142CF88F">
                  <w:pPr>
                    <w:keepNext w:val="0"/>
                    <w:keepLines w:val="0"/>
                    <w:pageBreakBefore w:val="0"/>
                    <w:widowControl w:val="0"/>
                    <w:numPr>
                      <w:ilvl w:val="0"/>
                      <w:numId w:val="0"/>
                    </w:numPr>
                    <w:kinsoku/>
                    <w:wordWrap/>
                    <w:overflowPunct/>
                    <w:topLinePunct w:val="0"/>
                    <w:autoSpaceDE/>
                    <w:autoSpaceDN/>
                    <w:bidi w:val="0"/>
                    <w:snapToGrid/>
                    <w:ind w:firstLine="420" w:firstLineChars="200"/>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综上，本项目完善了农村公路网。</w:t>
                  </w:r>
                </w:p>
              </w:tc>
              <w:tc>
                <w:tcPr>
                  <w:tcW w:w="548" w:type="pct"/>
                  <w:noWrap w:val="0"/>
                  <w:vAlign w:val="center"/>
                </w:tcPr>
                <w:p w14:paraId="73AD0439">
                  <w:pPr>
                    <w:keepNext w:val="0"/>
                    <w:keepLines w:val="0"/>
                    <w:pageBreakBefore w:val="0"/>
                    <w:widowControl w:val="0"/>
                    <w:kinsoku/>
                    <w:wordWrap/>
                    <w:overflowPunct/>
                    <w:topLinePunct w:val="0"/>
                    <w:autoSpaceDE/>
                    <w:autoSpaceDN/>
                    <w:bidi w:val="0"/>
                    <w:adjustRightInd w:val="0"/>
                    <w:snapToGrid/>
                    <w:spacing w:line="240" w:lineRule="auto"/>
                    <w:ind w:firstLine="0" w:firstLineChars="0"/>
                    <w:jc w:val="center"/>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符合</w:t>
                  </w:r>
                </w:p>
              </w:tc>
            </w:tr>
          </w:tbl>
          <w:p w14:paraId="686439E9">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baseline"/>
              <w:rPr>
                <w:rFonts w:hint="default" w:ascii="Times New Roman" w:hAnsi="Times New Roman" w:cs="Times New Roman"/>
                <w:b/>
                <w:color w:val="auto"/>
                <w:sz w:val="24"/>
                <w:szCs w:val="24"/>
              </w:rPr>
            </w:pPr>
            <w:r>
              <w:rPr>
                <w:rFonts w:hint="default" w:ascii="Times New Roman" w:hAnsi="Times New Roman" w:cs="Times New Roman"/>
                <w:color w:val="auto"/>
              </w:rPr>
              <w:drawing>
                <wp:inline distT="0" distB="0" distL="114300" distR="114300">
                  <wp:extent cx="5086985" cy="3648710"/>
                  <wp:effectExtent l="0" t="0" r="5715" b="889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5"/>
                          <a:stretch>
                            <a:fillRect/>
                          </a:stretch>
                        </pic:blipFill>
                        <pic:spPr>
                          <a:xfrm>
                            <a:off x="0" y="0"/>
                            <a:ext cx="5086985" cy="3648710"/>
                          </a:xfrm>
                          <a:prstGeom prst="rect">
                            <a:avLst/>
                          </a:prstGeom>
                          <a:noFill/>
                          <a:ln>
                            <a:noFill/>
                          </a:ln>
                        </pic:spPr>
                      </pic:pic>
                    </a:graphicData>
                  </a:graphic>
                </wp:inline>
              </w:drawing>
            </w:r>
          </w:p>
          <w:p w14:paraId="604624A1">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图</w:t>
            </w:r>
            <w:r>
              <w:rPr>
                <w:rFonts w:hint="default" w:ascii="Times New Roman" w:hAnsi="Times New Roman" w:cs="Times New Roman"/>
                <w:b/>
                <w:bCs/>
                <w:color w:val="auto"/>
                <w:sz w:val="21"/>
                <w:szCs w:val="21"/>
                <w:lang w:val="en-US" w:eastAsia="zh-CN"/>
              </w:rPr>
              <w:t xml:space="preserve">1-1 </w:t>
            </w:r>
            <w:r>
              <w:rPr>
                <w:rFonts w:hint="default" w:ascii="Times New Roman" w:hAnsi="Times New Roman" w:eastAsia="宋体" w:cs="Times New Roman"/>
                <w:b/>
                <w:bCs/>
                <w:color w:val="auto"/>
                <w:sz w:val="21"/>
                <w:szCs w:val="21"/>
              </w:rPr>
              <w:t>四川省主体功能区划图</w:t>
            </w:r>
          </w:p>
          <w:p w14:paraId="7F0B0E5C">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eastAsia" w:cs="Times New Roman"/>
                <w:b/>
                <w:bCs/>
                <w:color w:val="auto"/>
                <w:sz w:val="24"/>
                <w:szCs w:val="32"/>
                <w:lang w:val="en-US" w:eastAsia="zh-CN"/>
              </w:rPr>
              <w:t>4、</w:t>
            </w:r>
            <w:r>
              <w:rPr>
                <w:rFonts w:hint="default" w:ascii="Times New Roman" w:hAnsi="Times New Roman" w:cs="Times New Roman"/>
                <w:b/>
                <w:bCs/>
                <w:color w:val="auto"/>
                <w:sz w:val="24"/>
                <w:szCs w:val="32"/>
                <w:lang w:val="en-US" w:eastAsia="zh-CN"/>
              </w:rPr>
              <w:t>与《达州市国土空间总体规划（2021—2035年）》符合性分析</w:t>
            </w:r>
          </w:p>
          <w:p w14:paraId="342F3552">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eastAsia" w:cs="Times New Roman"/>
                <w:b w:val="0"/>
                <w:bCs w:val="0"/>
                <w:color w:val="auto"/>
                <w:sz w:val="24"/>
                <w:szCs w:val="32"/>
                <w:lang w:val="en-US" w:eastAsia="zh-CN"/>
              </w:rPr>
              <w:t>根据</w:t>
            </w:r>
            <w:r>
              <w:rPr>
                <w:rFonts w:hint="default" w:ascii="Times New Roman" w:hAnsi="Times New Roman" w:cs="Times New Roman"/>
                <w:b w:val="0"/>
                <w:bCs w:val="0"/>
                <w:color w:val="auto"/>
                <w:sz w:val="24"/>
                <w:szCs w:val="32"/>
                <w:lang w:val="en-US" w:eastAsia="zh-CN"/>
              </w:rPr>
              <w:t>《达州市国土空间总体规划（2021—2035年）》</w:t>
            </w:r>
            <w:r>
              <w:rPr>
                <w:rFonts w:hint="eastAsia" w:cs="Times New Roman"/>
                <w:b w:val="0"/>
                <w:bCs w:val="0"/>
                <w:color w:val="auto"/>
                <w:sz w:val="24"/>
                <w:szCs w:val="32"/>
                <w:lang w:val="en-US" w:eastAsia="zh-CN"/>
              </w:rPr>
              <w:t xml:space="preserve">“第130条 公路网络 </w:t>
            </w:r>
            <w:r>
              <w:rPr>
                <w:rFonts w:hint="eastAsia" w:cs="Times New Roman"/>
                <w:b/>
                <w:bCs/>
                <w:color w:val="auto"/>
                <w:sz w:val="24"/>
                <w:szCs w:val="32"/>
                <w:lang w:val="en-US" w:eastAsia="zh-CN"/>
              </w:rPr>
              <w:t>规划形成“通村畅乡、城乡一体”的农村公路网。</w:t>
            </w:r>
            <w:r>
              <w:rPr>
                <w:rFonts w:hint="eastAsia" w:cs="Times New Roman"/>
                <w:b w:val="0"/>
                <w:bCs w:val="0"/>
                <w:color w:val="auto"/>
                <w:sz w:val="24"/>
                <w:szCs w:val="32"/>
                <w:lang w:val="en-US" w:eastAsia="zh-CN"/>
              </w:rPr>
              <w:t>有序推动通组硬化路、幸福美丽乡村路、撤并建制村通畅工程建设，路面宽度按照4.5米及以上实施。规划至2035年，县级及以上产业园、3A级及以上旅游景区全部通双车道等级公路，建制村及重点自然村全部通油化硬化公路。”</w:t>
            </w:r>
          </w:p>
          <w:p w14:paraId="6F6A3DD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color w:val="auto"/>
                <w:sz w:val="24"/>
                <w:szCs w:val="32"/>
                <w:lang w:val="en-US" w:eastAsia="zh-CN"/>
              </w:rPr>
              <w:t>本项目为新建农村道路</w:t>
            </w:r>
            <w:r>
              <w:rPr>
                <w:rFonts w:hint="default" w:ascii="Times New Roman" w:hAnsi="Times New Roman" w:cs="Times New Roman"/>
                <w:color w:val="auto"/>
                <w:sz w:val="24"/>
                <w:szCs w:val="24"/>
              </w:rPr>
              <w:t>2.96</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32"/>
                <w:lang w:val="en-US" w:eastAsia="zh-CN"/>
              </w:rPr>
              <w:t>公里，连接普光镇杏树村5社至6社互通的交通重要组成部分，</w:t>
            </w:r>
            <w:r>
              <w:rPr>
                <w:rFonts w:hint="eastAsia" w:cs="Times New Roman"/>
                <w:color w:val="auto"/>
                <w:sz w:val="24"/>
                <w:szCs w:val="32"/>
                <w:lang w:val="en-US" w:eastAsia="zh-CN"/>
              </w:rPr>
              <w:t>路面宽度6.5m，</w:t>
            </w:r>
            <w:r>
              <w:rPr>
                <w:rFonts w:hint="default" w:ascii="Times New Roman" w:hAnsi="Times New Roman" w:cs="Times New Roman"/>
                <w:color w:val="auto"/>
                <w:sz w:val="24"/>
                <w:szCs w:val="32"/>
                <w:lang w:val="en-US" w:eastAsia="zh-CN"/>
              </w:rPr>
              <w:t>持续推进农村公路网建设。综上，本项目符合《达州市国土空间总体规划（2021—2035年）》。</w:t>
            </w:r>
          </w:p>
          <w:p w14:paraId="64464108">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eastAsia" w:cs="Times New Roman"/>
                <w:b/>
                <w:bCs/>
                <w:color w:val="auto"/>
                <w:sz w:val="24"/>
                <w:szCs w:val="32"/>
                <w:lang w:val="en-US" w:eastAsia="zh-CN"/>
              </w:rPr>
              <w:t>5</w:t>
            </w:r>
            <w:r>
              <w:rPr>
                <w:rFonts w:hint="default" w:ascii="Times New Roman" w:hAnsi="Times New Roman" w:cs="Times New Roman"/>
                <w:b/>
                <w:bCs/>
                <w:color w:val="auto"/>
                <w:sz w:val="24"/>
                <w:szCs w:val="32"/>
                <w:lang w:val="en-US" w:eastAsia="zh-CN"/>
              </w:rPr>
              <w:t>、与《宣汉县国土空间总体规划（2021—2035年）》符合性分析</w:t>
            </w:r>
          </w:p>
          <w:p w14:paraId="2473ACD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根据《宣汉县国土空间总体规划（2021—2035年）》“第163条 加强河谷地带协同 协同建设交通走廊。</w:t>
            </w:r>
            <w:r>
              <w:rPr>
                <w:rFonts w:hint="default" w:ascii="Times New Roman" w:hAnsi="Times New Roman" w:cs="Times New Roman"/>
                <w:b/>
                <w:bCs/>
                <w:color w:val="auto"/>
                <w:sz w:val="24"/>
                <w:szCs w:val="32"/>
                <w:lang w:val="en-US" w:eastAsia="zh-CN"/>
              </w:rPr>
              <w:t>持续推进农村公路网建设，协调跨村跨镇乡村道路建设，强化与区域性通道衔接，形成多层级多通道的交通体系，协同建设河谷交通走廊，主动融入以达州中心城区周边乡镇为主体打造环城近郊农旅消费经济带，结合达宣快速通道、达宣第二快速路，联动宣汉中心城区、洋烈水乡景区，推动宣汉达州城乡一体化建设。</w:t>
            </w:r>
            <w:r>
              <w:rPr>
                <w:rFonts w:hint="default" w:ascii="Times New Roman" w:hAnsi="Times New Roman" w:cs="Times New Roman"/>
                <w:b w:val="0"/>
                <w:bCs w:val="0"/>
                <w:color w:val="auto"/>
                <w:sz w:val="24"/>
                <w:szCs w:val="32"/>
                <w:lang w:val="en-US" w:eastAsia="zh-CN"/>
              </w:rPr>
              <w:t>”</w:t>
            </w:r>
          </w:p>
          <w:p w14:paraId="35EC9A84">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color w:val="auto"/>
                <w:sz w:val="24"/>
                <w:szCs w:val="32"/>
                <w:lang w:val="en-US" w:eastAsia="zh-CN"/>
              </w:rPr>
              <w:t>本项目为新建农村道路</w:t>
            </w:r>
            <w:r>
              <w:rPr>
                <w:rFonts w:hint="default" w:ascii="Times New Roman" w:hAnsi="Times New Roman" w:cs="Times New Roman"/>
                <w:color w:val="auto"/>
                <w:sz w:val="24"/>
                <w:szCs w:val="24"/>
              </w:rPr>
              <w:t>2.96</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32"/>
                <w:lang w:val="en-US" w:eastAsia="zh-CN"/>
              </w:rPr>
              <w:t>公里，连接普光镇杏树村5社至6社互通的交通重要组成部分，持续推进农村公路网建设。综上，本项目符合《宣汉县国土空间总体规划（2021—2035年）》。</w:t>
            </w:r>
          </w:p>
          <w:p w14:paraId="0039AB48">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p>
          <w:p w14:paraId="04A5D9D6">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888865" cy="3284855"/>
                  <wp:effectExtent l="0" t="0" r="635" b="444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6"/>
                          <a:stretch>
                            <a:fillRect/>
                          </a:stretch>
                        </pic:blipFill>
                        <pic:spPr>
                          <a:xfrm>
                            <a:off x="0" y="0"/>
                            <a:ext cx="4888865" cy="3284855"/>
                          </a:xfrm>
                          <a:prstGeom prst="rect">
                            <a:avLst/>
                          </a:prstGeom>
                          <a:noFill/>
                          <a:ln>
                            <a:noFill/>
                          </a:ln>
                        </pic:spPr>
                      </pic:pic>
                    </a:graphicData>
                  </a:graphic>
                </wp:inline>
              </w:drawing>
            </w:r>
          </w:p>
          <w:p w14:paraId="4EDB10F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图1-2 宣汉县国土空间规划分区图</w:t>
            </w:r>
          </w:p>
          <w:p w14:paraId="3F37FB6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eastAsia" w:cs="Times New Roman"/>
                <w:b/>
                <w:bCs/>
                <w:color w:val="auto"/>
                <w:sz w:val="24"/>
                <w:szCs w:val="32"/>
                <w:lang w:val="en-US" w:eastAsia="zh-CN"/>
              </w:rPr>
              <w:t>6</w:t>
            </w:r>
            <w:r>
              <w:rPr>
                <w:rFonts w:hint="default" w:ascii="Times New Roman" w:hAnsi="Times New Roman" w:eastAsia="宋体" w:cs="Times New Roman"/>
                <w:b/>
                <w:bCs/>
                <w:color w:val="auto"/>
                <w:sz w:val="24"/>
                <w:szCs w:val="32"/>
                <w:lang w:val="en-US" w:eastAsia="zh-CN"/>
              </w:rPr>
              <w:t>、与重大区域发展规划的符合性分析</w:t>
            </w:r>
          </w:p>
          <w:p w14:paraId="0A3F7BF0">
            <w:pPr>
              <w:autoSpaceDE w:val="0"/>
              <w:autoSpaceDN w:val="0"/>
              <w:adjustRightInd w:val="0"/>
              <w:snapToGrid w:val="0"/>
              <w:spacing w:line="460" w:lineRule="exact"/>
              <w:jc w:val="center"/>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表1-2 与重大区域发展规划的符合性分析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73"/>
              <w:gridCol w:w="1014"/>
              <w:gridCol w:w="4212"/>
              <w:gridCol w:w="1661"/>
              <w:gridCol w:w="435"/>
            </w:tblGrid>
            <w:tr w14:paraId="74FCA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tcBorders>
                    <w:tl2br w:val="nil"/>
                    <w:tr2bl w:val="nil"/>
                  </w:tcBorders>
                  <w:noWrap w:val="0"/>
                  <w:vAlign w:val="center"/>
                </w:tcPr>
                <w:p w14:paraId="4C39437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序号</w:t>
                  </w:r>
                </w:p>
              </w:tc>
              <w:tc>
                <w:tcPr>
                  <w:tcW w:w="1793" w:type="dxa"/>
                  <w:tcBorders>
                    <w:tl2br w:val="nil"/>
                    <w:tr2bl w:val="nil"/>
                  </w:tcBorders>
                  <w:noWrap w:val="0"/>
                  <w:vAlign w:val="center"/>
                </w:tcPr>
                <w:p w14:paraId="0557B9F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规划或政策名称</w:t>
                  </w:r>
                </w:p>
              </w:tc>
              <w:tc>
                <w:tcPr>
                  <w:tcW w:w="7608" w:type="dxa"/>
                  <w:tcBorders>
                    <w:tl2br w:val="nil"/>
                    <w:tr2bl w:val="nil"/>
                  </w:tcBorders>
                  <w:noWrap w:val="0"/>
                  <w:vAlign w:val="center"/>
                </w:tcPr>
                <w:p w14:paraId="1170C10E">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b/>
                      <w:bCs w:val="0"/>
                      <w:color w:val="auto"/>
                      <w:sz w:val="21"/>
                      <w:szCs w:val="21"/>
                      <w:lang w:val="en-US"/>
                    </w:rPr>
                  </w:pPr>
                  <w:r>
                    <w:rPr>
                      <w:rFonts w:hint="default" w:ascii="Times New Roman" w:hAnsi="Times New Roman" w:cs="Times New Roman"/>
                      <w:b/>
                      <w:bCs w:val="0"/>
                      <w:color w:val="auto"/>
                      <w:sz w:val="21"/>
                      <w:szCs w:val="21"/>
                      <w:lang w:val="en-US" w:eastAsia="zh-CN"/>
                    </w:rPr>
                    <w:t>规划或政策相关要求</w:t>
                  </w:r>
                </w:p>
              </w:tc>
              <w:tc>
                <w:tcPr>
                  <w:tcW w:w="2970" w:type="dxa"/>
                  <w:tcBorders>
                    <w:tl2br w:val="nil"/>
                    <w:tr2bl w:val="nil"/>
                  </w:tcBorders>
                  <w:noWrap w:val="0"/>
                  <w:vAlign w:val="center"/>
                </w:tcPr>
                <w:p w14:paraId="32FDD68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本项目情况</w:t>
                  </w:r>
                </w:p>
              </w:tc>
              <w:tc>
                <w:tcPr>
                  <w:tcW w:w="740" w:type="dxa"/>
                  <w:tcBorders>
                    <w:tl2br w:val="nil"/>
                    <w:tr2bl w:val="nil"/>
                  </w:tcBorders>
                  <w:noWrap w:val="0"/>
                  <w:vAlign w:val="center"/>
                </w:tcPr>
                <w:p w14:paraId="2292FD5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符合性</w:t>
                  </w:r>
                </w:p>
              </w:tc>
            </w:tr>
            <w:tr w14:paraId="106B8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tcBorders>
                    <w:tl2br w:val="nil"/>
                    <w:tr2bl w:val="nil"/>
                  </w:tcBorders>
                  <w:noWrap w:val="0"/>
                  <w:vAlign w:val="center"/>
                </w:tcPr>
                <w:p w14:paraId="54F81BD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793" w:type="dxa"/>
                  <w:tcBorders>
                    <w:tl2br w:val="nil"/>
                    <w:tr2bl w:val="nil"/>
                  </w:tcBorders>
                  <w:noWrap w:val="0"/>
                  <w:vAlign w:val="center"/>
                </w:tcPr>
                <w:p w14:paraId="21FF878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《中华人民共和国长江保护法》</w:t>
                  </w:r>
                </w:p>
              </w:tc>
              <w:tc>
                <w:tcPr>
                  <w:tcW w:w="7608" w:type="dxa"/>
                  <w:tcBorders>
                    <w:tl2br w:val="nil"/>
                    <w:tr2bl w:val="nil"/>
                  </w:tcBorders>
                  <w:shd w:val="clear" w:color="auto" w:fill="auto"/>
                  <w:noWrap w:val="0"/>
                  <w:vAlign w:val="center"/>
                </w:tcPr>
                <w:p w14:paraId="1EF4A99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禁止在长江干支流岸线一公里范围内新建、扩建化工园区和化工项目。</w:t>
                  </w:r>
                </w:p>
                <w:p w14:paraId="6EE5844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禁止在长江干流岸线三公里范围内和重要支流岸线一公里范围内新建、改建、扩建尾矿库；但是以提升安全、生态环境保护水平为目的的改建除外。</w:t>
                  </w:r>
                </w:p>
              </w:tc>
              <w:tc>
                <w:tcPr>
                  <w:tcW w:w="2970" w:type="dxa"/>
                  <w:tcBorders>
                    <w:tl2br w:val="nil"/>
                    <w:tr2bl w:val="nil"/>
                  </w:tcBorders>
                  <w:shd w:val="clear" w:color="auto" w:fill="auto"/>
                  <w:noWrap w:val="0"/>
                  <w:vAlign w:val="center"/>
                </w:tcPr>
                <w:p w14:paraId="2A10319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本项目为公路工程建筑，不属于化工行业。不涉及尾矿库。</w:t>
                  </w:r>
                </w:p>
              </w:tc>
              <w:tc>
                <w:tcPr>
                  <w:tcW w:w="740" w:type="dxa"/>
                  <w:tcBorders>
                    <w:tl2br w:val="nil"/>
                    <w:tr2bl w:val="nil"/>
                  </w:tcBorders>
                  <w:noWrap w:val="0"/>
                  <w:vAlign w:val="center"/>
                </w:tcPr>
                <w:p w14:paraId="3A692E7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83BD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restart"/>
                  <w:tcBorders>
                    <w:tl2br w:val="nil"/>
                    <w:tr2bl w:val="nil"/>
                  </w:tcBorders>
                  <w:noWrap w:val="0"/>
                  <w:vAlign w:val="center"/>
                </w:tcPr>
                <w:p w14:paraId="296452A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793" w:type="dxa"/>
                  <w:vMerge w:val="restart"/>
                  <w:tcBorders>
                    <w:tl2br w:val="nil"/>
                    <w:tr2bl w:val="nil"/>
                  </w:tcBorders>
                  <w:noWrap w:val="0"/>
                  <w:vAlign w:val="center"/>
                </w:tcPr>
                <w:p w14:paraId="442B6AB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《长江经济带发展负面清单指南》（试行，2022年版）</w:t>
                  </w:r>
                </w:p>
              </w:tc>
              <w:tc>
                <w:tcPr>
                  <w:tcW w:w="7608" w:type="dxa"/>
                  <w:tcBorders>
                    <w:tl2br w:val="nil"/>
                    <w:tr2bl w:val="nil"/>
                  </w:tcBorders>
                  <w:shd w:val="clear" w:color="auto" w:fill="auto"/>
                  <w:noWrap w:val="0"/>
                  <w:vAlign w:val="center"/>
                </w:tcPr>
                <w:p w14:paraId="41ECE1D5">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1、禁止建设不符合全国和省级港口布局规划以及港口有总体规划的码头项目，禁止建设不符合《长江干线过江通道布局规划》的过长江通道项目。</w:t>
                  </w:r>
                </w:p>
              </w:tc>
              <w:tc>
                <w:tcPr>
                  <w:tcW w:w="2970" w:type="dxa"/>
                  <w:tcBorders>
                    <w:tl2br w:val="nil"/>
                    <w:tr2bl w:val="nil"/>
                  </w:tcBorders>
                  <w:shd w:val="clear" w:color="auto" w:fill="auto"/>
                  <w:noWrap w:val="0"/>
                  <w:vAlign w:val="center"/>
                </w:tcPr>
                <w:p w14:paraId="4855CE17">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lang w:val="en-US" w:eastAsia="zh-CN"/>
                    </w:rPr>
                    <w:t>本项目为公路工程建筑</w:t>
                  </w:r>
                  <w:r>
                    <w:rPr>
                      <w:rFonts w:hint="default" w:ascii="Times New Roman" w:hAnsi="Times New Roman" w:cs="Times New Roman"/>
                      <w:color w:val="auto"/>
                      <w:sz w:val="21"/>
                      <w:szCs w:val="21"/>
                    </w:rPr>
                    <w:t>，不属于码头和过长江通道项目，不占用长江岸线。</w:t>
                  </w:r>
                </w:p>
              </w:tc>
              <w:tc>
                <w:tcPr>
                  <w:tcW w:w="740" w:type="dxa"/>
                  <w:tcBorders>
                    <w:tl2br w:val="nil"/>
                    <w:tr2bl w:val="nil"/>
                  </w:tcBorders>
                  <w:noWrap w:val="0"/>
                  <w:vAlign w:val="center"/>
                </w:tcPr>
                <w:p w14:paraId="661046F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8240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034086B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11E8A35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1CC14DFB">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2、禁止在自然保护区核心区、缓冲区的岸线和河段范围内投资建设旅游和生产经营项目。禁止在风景名胜区核心景区的岸线和河段范围内投资建设与风景名胜资源保护无关的项目。</w:t>
                  </w:r>
                </w:p>
              </w:tc>
              <w:tc>
                <w:tcPr>
                  <w:tcW w:w="0" w:type="auto"/>
                  <w:shd w:val="clear" w:color="auto" w:fill="auto"/>
                  <w:vAlign w:val="center"/>
                </w:tcPr>
                <w:p w14:paraId="714CBFD7">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本项目位于</w:t>
                  </w:r>
                  <w:r>
                    <w:rPr>
                      <w:rFonts w:hint="default" w:ascii="Times New Roman" w:hAnsi="Times New Roman" w:cs="Times New Roman"/>
                      <w:color w:val="auto"/>
                      <w:szCs w:val="21"/>
                    </w:rPr>
                    <w:t>达州市宣汉县普光杏树村5社至6社</w:t>
                  </w:r>
                  <w:r>
                    <w:rPr>
                      <w:rFonts w:hint="default" w:ascii="Times New Roman" w:hAnsi="Times New Roman" w:cs="Times New Roman"/>
                      <w:color w:val="auto"/>
                      <w:sz w:val="21"/>
                      <w:szCs w:val="21"/>
                    </w:rPr>
                    <w:t>，不在自然保护区核心区、缓冲区的岸线和河段范围、不在风景名胜区核心景区的岸线和河段范围内。</w:t>
                  </w:r>
                </w:p>
              </w:tc>
              <w:tc>
                <w:tcPr>
                  <w:tcW w:w="0" w:type="auto"/>
                  <w:vAlign w:val="center"/>
                </w:tcPr>
                <w:p w14:paraId="01B60E5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4EA074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776F664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4F1873A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89FCF38">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3、禁止在饮用水水源一级保护区的岸线和河段范围内新建、改建、扩建与供水设施和保护水源无关的项目，以及网箱养殖、畜禽养殖、旅游等可能污染饮用水水体的投资建设项目。禁止在运用水源二级保护区的岸线和河段范围内新建、改建、扩建排放污染物的投资建设项目。</w:t>
                  </w:r>
                </w:p>
              </w:tc>
              <w:tc>
                <w:tcPr>
                  <w:tcW w:w="0" w:type="auto"/>
                  <w:shd w:val="clear" w:color="auto" w:fill="auto"/>
                  <w:vAlign w:val="center"/>
                </w:tcPr>
                <w:p w14:paraId="7BB06528">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本项目位于</w:t>
                  </w:r>
                  <w:r>
                    <w:rPr>
                      <w:rFonts w:hint="default" w:ascii="Times New Roman" w:hAnsi="Times New Roman" w:cs="Times New Roman"/>
                      <w:color w:val="auto"/>
                      <w:szCs w:val="21"/>
                    </w:rPr>
                    <w:t>达州市宣汉县普光杏树村5社至6社</w:t>
                  </w:r>
                  <w:r>
                    <w:rPr>
                      <w:rFonts w:hint="default" w:ascii="Times New Roman" w:hAnsi="Times New Roman" w:cs="Times New Roman"/>
                      <w:color w:val="auto"/>
                      <w:sz w:val="21"/>
                      <w:szCs w:val="21"/>
                    </w:rPr>
                    <w:t>，不在饮用水水源一级保护区和二级保护区的岸线和河段范围内。</w:t>
                  </w:r>
                </w:p>
              </w:tc>
              <w:tc>
                <w:tcPr>
                  <w:tcW w:w="0" w:type="auto"/>
                  <w:vAlign w:val="center"/>
                </w:tcPr>
                <w:p w14:paraId="05B6C09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ADB7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09DCE29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181334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B80A139">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4、禁止在水产种质资源保护区的岸线和河段范围内围湖造田、围海造地或围填海等投资建设项目。禁止在国家湿地公园的岸线和河段范围内挖沙、采矿，以及任何不符合主体功能定位的投资建设项目。</w:t>
                  </w:r>
                </w:p>
              </w:tc>
              <w:tc>
                <w:tcPr>
                  <w:tcW w:w="0" w:type="auto"/>
                  <w:shd w:val="clear" w:color="auto" w:fill="auto"/>
                  <w:vAlign w:val="center"/>
                </w:tcPr>
                <w:p w14:paraId="0252E7E5">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本项目位于</w:t>
                  </w:r>
                  <w:r>
                    <w:rPr>
                      <w:rFonts w:hint="default" w:ascii="Times New Roman" w:hAnsi="Times New Roman" w:cs="Times New Roman"/>
                      <w:color w:val="auto"/>
                      <w:szCs w:val="21"/>
                    </w:rPr>
                    <w:t>达州市宣汉县普光杏树村5社至6社</w:t>
                  </w:r>
                  <w:r>
                    <w:rPr>
                      <w:rFonts w:hint="default" w:ascii="Times New Roman" w:hAnsi="Times New Roman" w:cs="Times New Roman"/>
                      <w:color w:val="auto"/>
                      <w:sz w:val="21"/>
                      <w:szCs w:val="21"/>
                    </w:rPr>
                    <w:t>，不在水产种质资源保护区的岸线和河段范围</w:t>
                  </w:r>
                </w:p>
                <w:p w14:paraId="42D5712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内、不在国家湿地公园的岸线和河段范围内。</w:t>
                  </w:r>
                </w:p>
              </w:tc>
              <w:tc>
                <w:tcPr>
                  <w:tcW w:w="0" w:type="auto"/>
                  <w:vAlign w:val="center"/>
                </w:tcPr>
                <w:p w14:paraId="0C2BC40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2BD8B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A29736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6D06CE8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6252035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5、禁止违法利用、占用长江流域河湖岸线。禁止在《长江岸线保护和开发利用总体规划》划定的岸线保护区和保留区内投资建设除事关公共安全及公众利益的防洪护岸、河道治理、供水、生态环境保护、航道整治、国家重要基础设施以外的项目。禁止在《全国重要江河湖泊水功能区划》划定的河段及湖泊保护区、保留区内投资建设不利于水资源及自然生态保护的项目</w:t>
                  </w:r>
                </w:p>
              </w:tc>
              <w:tc>
                <w:tcPr>
                  <w:tcW w:w="0" w:type="auto"/>
                  <w:shd w:val="clear" w:color="auto" w:fill="auto"/>
                  <w:vAlign w:val="center"/>
                </w:tcPr>
                <w:p w14:paraId="54E0BB42">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本项目位于</w:t>
                  </w:r>
                  <w:r>
                    <w:rPr>
                      <w:rFonts w:hint="default" w:ascii="Times New Roman" w:hAnsi="Times New Roman" w:cs="Times New Roman"/>
                      <w:color w:val="auto"/>
                      <w:szCs w:val="21"/>
                    </w:rPr>
                    <w:t>达州市宣汉县普光杏树村5社至6社</w:t>
                  </w:r>
                  <w:r>
                    <w:rPr>
                      <w:rFonts w:hint="default" w:ascii="Times New Roman" w:hAnsi="Times New Roman" w:cs="Times New Roman"/>
                      <w:color w:val="auto"/>
                      <w:sz w:val="21"/>
                      <w:szCs w:val="21"/>
                    </w:rPr>
                    <w:t>，不在《长江岸线保护和开发利用总体规划》划定的岸线保护区内。</w:t>
                  </w:r>
                </w:p>
              </w:tc>
              <w:tc>
                <w:tcPr>
                  <w:tcW w:w="0" w:type="auto"/>
                  <w:vAlign w:val="center"/>
                </w:tcPr>
                <w:p w14:paraId="3413380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FBC2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2720396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1B570FE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9123F72">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6、禁止未经许可在长江干支流及湖泊新设、改设或扩大排污口</w:t>
                  </w:r>
                </w:p>
              </w:tc>
              <w:tc>
                <w:tcPr>
                  <w:tcW w:w="0" w:type="auto"/>
                  <w:shd w:val="clear" w:color="auto" w:fill="auto"/>
                  <w:vAlign w:val="center"/>
                </w:tcPr>
                <w:p w14:paraId="73E6F102">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不涉及废水排放。</w:t>
                  </w:r>
                </w:p>
              </w:tc>
              <w:tc>
                <w:tcPr>
                  <w:tcW w:w="0" w:type="auto"/>
                  <w:vAlign w:val="center"/>
                </w:tcPr>
                <w:p w14:paraId="29F643F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1A6A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3E8BE9C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078C8FB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64A12EC7">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7、禁止在“一江一口两湖七河”和332个水生生物保护区开展生产性捕捞。</w:t>
                  </w:r>
                </w:p>
              </w:tc>
              <w:tc>
                <w:tcPr>
                  <w:tcW w:w="0" w:type="auto"/>
                  <w:shd w:val="clear" w:color="auto" w:fill="auto"/>
                  <w:vAlign w:val="center"/>
                </w:tcPr>
                <w:p w14:paraId="47E949F5">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本项目不涉及生产性捕捞。</w:t>
                  </w:r>
                </w:p>
              </w:tc>
              <w:tc>
                <w:tcPr>
                  <w:tcW w:w="0" w:type="auto"/>
                  <w:vAlign w:val="center"/>
                </w:tcPr>
                <w:p w14:paraId="16296C8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0A6DA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03388BE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4C1E4D9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6C2AB7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8、禁止在长江干支流、重要湖泊岸线一公里范围内新建、扩建化工园区和化工项目。禁止在长江干流岸线三公里范围内和重要支流岸线一公里范围内新建、改建、扩建尾矿库、冶炼渣库和磷石膏库，以提升安全、生态环境保护水平为目的的改建除外。</w:t>
                  </w:r>
                </w:p>
              </w:tc>
              <w:tc>
                <w:tcPr>
                  <w:tcW w:w="0" w:type="auto"/>
                  <w:shd w:val="clear" w:color="auto" w:fill="auto"/>
                  <w:vAlign w:val="center"/>
                </w:tcPr>
                <w:p w14:paraId="69C89F14">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本项目为公路工程建筑，不属于化工项目，不属于尾矿库、冶炼渣库和磷石膏库等项目。</w:t>
                  </w:r>
                </w:p>
              </w:tc>
              <w:tc>
                <w:tcPr>
                  <w:tcW w:w="0" w:type="auto"/>
                  <w:vAlign w:val="center"/>
                </w:tcPr>
                <w:p w14:paraId="6EBA3D2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5DFD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2E4A81A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2EEB99A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CA0C6A2">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9、禁止在合规园区外新建、扩建钢铁、石化、化工、焦化、建材、有色、制浆造纸等高污染项目。</w:t>
                  </w:r>
                </w:p>
              </w:tc>
              <w:tc>
                <w:tcPr>
                  <w:tcW w:w="0" w:type="auto"/>
                  <w:shd w:val="clear" w:color="auto" w:fill="auto"/>
                  <w:vAlign w:val="center"/>
                </w:tcPr>
                <w:p w14:paraId="06D8B2C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本项目为公路工程建筑，不属于钢铁、石化、化工、焦化、建材、有色、制浆造纸等高污染项目。</w:t>
                  </w:r>
                </w:p>
              </w:tc>
              <w:tc>
                <w:tcPr>
                  <w:tcW w:w="0" w:type="auto"/>
                  <w:vAlign w:val="center"/>
                </w:tcPr>
                <w:p w14:paraId="440F5D8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E551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6A9717A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CD2B8A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CBAC105">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10、禁止新建、扩建不符合国家石化、现代煤化工等产业布局规划的项目</w:t>
                  </w:r>
                </w:p>
              </w:tc>
              <w:tc>
                <w:tcPr>
                  <w:tcW w:w="0" w:type="auto"/>
                  <w:shd w:val="clear" w:color="auto" w:fill="auto"/>
                  <w:vAlign w:val="center"/>
                </w:tcPr>
                <w:p w14:paraId="320B13ED">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本项目为公路工程建筑，不属于石化、现代煤化工项目。</w:t>
                  </w:r>
                </w:p>
              </w:tc>
              <w:tc>
                <w:tcPr>
                  <w:tcW w:w="0" w:type="auto"/>
                  <w:vAlign w:val="center"/>
                </w:tcPr>
                <w:p w14:paraId="24F5381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4FECF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48DCCB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5330AEA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57E400F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11、禁止新建、扩建法律法规和相关政策明令禁止的落后产能项目。禁止新建、扩建不符合国家产能置换要求的严重过剩产能行业的项目。禁止新建、扩建不符合要求的高耗能高排放项目。</w:t>
                  </w:r>
                </w:p>
              </w:tc>
              <w:tc>
                <w:tcPr>
                  <w:tcW w:w="0" w:type="auto"/>
                  <w:shd w:val="clear" w:color="auto" w:fill="auto"/>
                  <w:vAlign w:val="center"/>
                </w:tcPr>
                <w:p w14:paraId="6B9E044C">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本项目为公路工程建筑，不属于法律法规和相关政策命令禁止的落后产能项目。</w:t>
                  </w:r>
                </w:p>
              </w:tc>
              <w:tc>
                <w:tcPr>
                  <w:tcW w:w="0" w:type="auto"/>
                  <w:vAlign w:val="center"/>
                </w:tcPr>
                <w:p w14:paraId="2E39E84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5D06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restart"/>
                  <w:vAlign w:val="center"/>
                </w:tcPr>
                <w:p w14:paraId="755F099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3</w:t>
                  </w:r>
                </w:p>
              </w:tc>
              <w:tc>
                <w:tcPr>
                  <w:tcW w:w="1793" w:type="dxa"/>
                  <w:vMerge w:val="restart"/>
                  <w:vAlign w:val="center"/>
                </w:tcPr>
                <w:p w14:paraId="2B598DD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《四川省、重庆市长江经济带发展负面清单实施细则（试行，2022年版）》（川长江办</w:t>
                  </w:r>
                  <w:r>
                    <w:rPr>
                      <w:rFonts w:hint="eastAsia" w:ascii="Times New Roman" w:cs="Times New Roman"/>
                      <w:color w:val="auto"/>
                      <w:sz w:val="21"/>
                      <w:szCs w:val="21"/>
                      <w:lang w:eastAsia="zh-CN"/>
                    </w:rPr>
                    <w:t>〔2022〕</w:t>
                  </w:r>
                  <w:r>
                    <w:rPr>
                      <w:rFonts w:hint="default" w:ascii="Times New Roman" w:hAnsi="Times New Roman" w:eastAsia="宋体" w:cs="Times New Roman"/>
                      <w:color w:val="auto"/>
                      <w:sz w:val="21"/>
                      <w:szCs w:val="21"/>
                      <w:lang w:eastAsia="zh-CN"/>
                    </w:rPr>
                    <w:t>17号）</w:t>
                  </w:r>
                </w:p>
              </w:tc>
              <w:tc>
                <w:tcPr>
                  <w:tcW w:w="7608" w:type="dxa"/>
                  <w:shd w:val="clear" w:color="auto" w:fill="auto"/>
                  <w:vAlign w:val="center"/>
                </w:tcPr>
                <w:p w14:paraId="4462A048">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五条禁止新建、改建和扩建不符合全国港口布局规划，以及《四川省内河水运发展规划》《泸州一宜宾一乐山港口群布局规划》《重庆港总体规划（2035年）》等省级港口布局规划及市级港口总体规划的码头项目。</w:t>
                  </w:r>
                </w:p>
              </w:tc>
              <w:tc>
                <w:tcPr>
                  <w:tcW w:w="0" w:type="auto"/>
                  <w:shd w:val="clear" w:color="auto" w:fill="auto"/>
                  <w:vAlign w:val="center"/>
                </w:tcPr>
                <w:p w14:paraId="20128482">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本项目为公路工程建筑，不属于港口码头项目，不占用长江岸线</w:t>
                  </w:r>
                </w:p>
              </w:tc>
              <w:tc>
                <w:tcPr>
                  <w:tcW w:w="0" w:type="auto"/>
                  <w:vAlign w:val="center"/>
                </w:tcPr>
                <w:p w14:paraId="2CDF51D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2B0836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71CFCC0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612E738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7157EB11">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第六条禁止新建、改建和扩建不符合《长江干线过江通道布局规划（2020-2035年）》的过长江通道项目（含桥梁、隧道），国家发展改革委同意过长江通道线位调整的除外。</w:t>
                  </w:r>
                </w:p>
              </w:tc>
              <w:tc>
                <w:tcPr>
                  <w:tcW w:w="0" w:type="auto"/>
                  <w:shd w:val="clear" w:color="auto" w:fill="auto"/>
                  <w:vAlign w:val="center"/>
                </w:tcPr>
                <w:p w14:paraId="23B46B7C">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本项目为公路工程建筑，不属于过长江通道项目。</w:t>
                  </w:r>
                </w:p>
              </w:tc>
              <w:tc>
                <w:tcPr>
                  <w:tcW w:w="0" w:type="auto"/>
                  <w:vAlign w:val="center"/>
                </w:tcPr>
                <w:p w14:paraId="3837441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95079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699951F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7F58592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170E9DB8">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第七条禁止在自然保护区核心区、缓冲区的岸线和河段范围内投资建设旅游和生产经营项目。自然保护区的内部未分区的，依照核心区和缓冲区的规定管控。</w:t>
                  </w:r>
                </w:p>
              </w:tc>
              <w:tc>
                <w:tcPr>
                  <w:tcW w:w="0" w:type="auto"/>
                  <w:shd w:val="clear" w:color="auto" w:fill="auto"/>
                  <w:vAlign w:val="center"/>
                </w:tcPr>
                <w:p w14:paraId="28EDF607">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本项目位于达州市宣汉县普光杏树村5社至6社，不涉及自然保护区。</w:t>
                  </w:r>
                </w:p>
              </w:tc>
              <w:tc>
                <w:tcPr>
                  <w:tcW w:w="0" w:type="auto"/>
                  <w:vAlign w:val="center"/>
                </w:tcPr>
                <w:p w14:paraId="2E4EF2A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22AE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15C079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222163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15D0D022">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第八条禁止违反风景名胜区规划，在风景名胜区内设立各类开发区。禁止在风景名胜区核心景区的岸线和河段范围内建设宾馆、招待所、培训中心、疗养院以及与风景名胜资源保护无关的项目。</w:t>
                  </w:r>
                </w:p>
              </w:tc>
              <w:tc>
                <w:tcPr>
                  <w:tcW w:w="0" w:type="auto"/>
                  <w:shd w:val="clear" w:color="auto" w:fill="auto"/>
                  <w:vAlign w:val="center"/>
                </w:tcPr>
                <w:p w14:paraId="0A9A99F1">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本项目位于达州市宣汉县普光杏树村5社至6社，不涉及风景名胜区。</w:t>
                  </w:r>
                </w:p>
              </w:tc>
              <w:tc>
                <w:tcPr>
                  <w:tcW w:w="0" w:type="auto"/>
                  <w:vAlign w:val="center"/>
                </w:tcPr>
                <w:p w14:paraId="71C6CA2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5ED7E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18CD7F93">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668FD97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7155CEB5">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第九条禁止在饮用水水源准保护区的岸线和河段范围内新建、扩建对水体污染严重的建设项目，禁止改建增加排污量的建设项目。</w:t>
                  </w:r>
                </w:p>
              </w:tc>
              <w:tc>
                <w:tcPr>
                  <w:tcW w:w="2970" w:type="dxa"/>
                  <w:vMerge w:val="restart"/>
                  <w:shd w:val="clear" w:color="auto" w:fill="auto"/>
                  <w:vAlign w:val="center"/>
                </w:tcPr>
                <w:p w14:paraId="60B1087F">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本项目为公路工程建筑，位于达州市宣汉县普光杏树村5社至6社，不涉及饮用水水源准保护区、二级保护区、一级保护区的岸线和河段，不涉及对水体有污染的水产养殖、畜禽养殖、旅游等项目。</w:t>
                  </w:r>
                </w:p>
              </w:tc>
              <w:tc>
                <w:tcPr>
                  <w:tcW w:w="0" w:type="auto"/>
                  <w:vAlign w:val="center"/>
                </w:tcPr>
                <w:p w14:paraId="493DE91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75648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06F963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A140B8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944B1E2">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第十条饮用水水源二级保护区的岸线和河段范围内，除遵守准保护区规定外，禁止新建、改建、扩建排放污染物的投资建设项目；禁止从事对水体有污染的水产养殖等活动。</w:t>
                  </w:r>
                </w:p>
              </w:tc>
              <w:tc>
                <w:tcPr>
                  <w:tcW w:w="2970" w:type="dxa"/>
                  <w:vMerge w:val="continue"/>
                  <w:vAlign w:val="center"/>
                </w:tcPr>
                <w:p w14:paraId="16C2EEA2">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rPr>
                  </w:pPr>
                </w:p>
              </w:tc>
              <w:tc>
                <w:tcPr>
                  <w:tcW w:w="0" w:type="auto"/>
                  <w:vAlign w:val="center"/>
                </w:tcPr>
                <w:p w14:paraId="021F9C5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27C8B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3BC991A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7C06202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15A2F1B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一条饮用水水源一级保护区的岸线和河段范围内，除遵守二级保护区规定外，禁止新建、改建、扩建与供水设施和保护水源无关的项目，以及网箱养殖、畜禽养殖、旅游等可能污染饮用水水体的投资建设项目。</w:t>
                  </w:r>
                </w:p>
              </w:tc>
              <w:tc>
                <w:tcPr>
                  <w:tcW w:w="2970" w:type="dxa"/>
                  <w:vMerge w:val="continue"/>
                  <w:vAlign w:val="center"/>
                </w:tcPr>
                <w:p w14:paraId="3BCF4969">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cs="Times New Roman"/>
                      <w:color w:val="auto"/>
                      <w:sz w:val="21"/>
                      <w:szCs w:val="21"/>
                    </w:rPr>
                  </w:pPr>
                </w:p>
              </w:tc>
              <w:tc>
                <w:tcPr>
                  <w:tcW w:w="0" w:type="auto"/>
                  <w:vAlign w:val="center"/>
                </w:tcPr>
                <w:p w14:paraId="21D71A9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6180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192A9C7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76CB80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8BB3647">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第十二条禁止在水产种质资源保护区岸线和河段范围内新建围湖造田、围湖造地或挖沙采石等投资建设项目。</w:t>
                  </w:r>
                </w:p>
              </w:tc>
              <w:tc>
                <w:tcPr>
                  <w:tcW w:w="0" w:type="auto"/>
                  <w:shd w:val="clear" w:color="auto" w:fill="auto"/>
                  <w:vAlign w:val="center"/>
                </w:tcPr>
                <w:p w14:paraId="56EAB571">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本项目不涉及水产种质资源保护区岸线和河段范围。</w:t>
                  </w:r>
                </w:p>
              </w:tc>
              <w:tc>
                <w:tcPr>
                  <w:tcW w:w="0" w:type="auto"/>
                  <w:vAlign w:val="center"/>
                </w:tcPr>
                <w:p w14:paraId="4DB0193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567655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794113C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2E56D81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0F76F774">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三条禁止在国家湿地公园的岸线和河段范围内开（围）垦、填埋或者排干湿地，截断湿地水源，挖沙、采矿，倾倒有毒有害物质、废弃物、垃圾，从事房地产、度假村、高尔夫球场、风力发电、光伏发电等任何不符合主体功能定位的建设项目和开发活动，破坏野生动物栖息地和迁徙通道、鱼类洄游通道。</w:t>
                  </w:r>
                </w:p>
              </w:tc>
              <w:tc>
                <w:tcPr>
                  <w:tcW w:w="0" w:type="auto"/>
                  <w:shd w:val="clear" w:color="auto" w:fill="auto"/>
                  <w:vAlign w:val="center"/>
                </w:tcPr>
                <w:p w14:paraId="52D78469">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本项目不涉及国家湿地公园的岸线和河段范围。</w:t>
                  </w:r>
                </w:p>
              </w:tc>
              <w:tc>
                <w:tcPr>
                  <w:tcW w:w="0" w:type="auto"/>
                  <w:vAlign w:val="center"/>
                </w:tcPr>
                <w:p w14:paraId="4AB47B0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53F0A4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3A0B30B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1745AE5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72A3CBBA">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四条禁止违法利用、占用长江流域河湖岸线。禁止在《长江岸线保护和开发利用总体规划》划定的岸线保护区和岸线保留区内投资建设除事关公共安全及公众利益的防洪护岸、河道治理、供水、生态环境保护、航道整治、国家重要基础设施以外的项目。</w:t>
                  </w:r>
                </w:p>
              </w:tc>
              <w:tc>
                <w:tcPr>
                  <w:tcW w:w="0" w:type="auto"/>
                  <w:shd w:val="clear" w:color="auto" w:fill="auto"/>
                  <w:vAlign w:val="center"/>
                </w:tcPr>
                <w:p w14:paraId="01586818">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本项目不涉及利用、占用长江流域河湖岸线，不在《长江岸线保护和开发利用总体规划》划定的岸线保护区和岸线保留区内。</w:t>
                  </w:r>
                </w:p>
              </w:tc>
              <w:tc>
                <w:tcPr>
                  <w:tcW w:w="0" w:type="auto"/>
                  <w:vAlign w:val="center"/>
                </w:tcPr>
                <w:p w14:paraId="45D6FE7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95F96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5AF0AD7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78D7CF7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037357D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第十五条禁止在《全国重要江河湖泊水功能区划》划定的河段及湖泊保护区、保留区内投资建设不利于水资源及自然生态保护的项目。</w:t>
                  </w:r>
                </w:p>
              </w:tc>
              <w:tc>
                <w:tcPr>
                  <w:tcW w:w="0" w:type="auto"/>
                  <w:shd w:val="clear" w:color="auto" w:fill="auto"/>
                  <w:vAlign w:val="center"/>
                </w:tcPr>
                <w:p w14:paraId="56D26D33">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本项目不在《全国重要江河湖泊水功能区划》划定的河段及湖泊保护区、保留区内。</w:t>
                  </w:r>
                </w:p>
              </w:tc>
              <w:tc>
                <w:tcPr>
                  <w:tcW w:w="0" w:type="auto"/>
                  <w:vAlign w:val="center"/>
                </w:tcPr>
                <w:p w14:paraId="77E54FCE">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7F879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5E9D92C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25EC1C5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63948C8A">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第十六条禁止在长江流域江河、湖泊新设、改设或者扩大排污口，经有管辖权的生态环境主管部门或者长江流域生态环境监督管理机构同意的除外。</w:t>
                  </w:r>
                </w:p>
              </w:tc>
              <w:tc>
                <w:tcPr>
                  <w:tcW w:w="0" w:type="auto"/>
                  <w:shd w:val="clear" w:color="auto" w:fill="auto"/>
                  <w:vAlign w:val="center"/>
                </w:tcPr>
                <w:p w14:paraId="52D940D9">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w:t>
                  </w:r>
                  <w:r>
                    <w:rPr>
                      <w:rFonts w:hint="default" w:ascii="Times New Roman" w:hAnsi="Times New Roman" w:cs="Times New Roman"/>
                      <w:color w:val="auto"/>
                      <w:sz w:val="21"/>
                      <w:szCs w:val="21"/>
                      <w:lang w:val="en-US" w:eastAsia="zh-CN"/>
                    </w:rPr>
                    <w:t>不涉及废水排放</w:t>
                  </w:r>
                  <w:r>
                    <w:rPr>
                      <w:rFonts w:hint="default" w:ascii="Times New Roman" w:hAnsi="Times New Roman" w:cs="Times New Roman"/>
                      <w:color w:val="auto"/>
                      <w:sz w:val="21"/>
                      <w:szCs w:val="21"/>
                    </w:rPr>
                    <w:t>。</w:t>
                  </w:r>
                </w:p>
              </w:tc>
              <w:tc>
                <w:tcPr>
                  <w:tcW w:w="0" w:type="auto"/>
                  <w:vAlign w:val="center"/>
                </w:tcPr>
                <w:p w14:paraId="34014C2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154F2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7559C3C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01C793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033645B9">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第十七条禁止在长江干流、大渡河、岷江、赤水河、沱江、嘉陵江、乌江、汉江和51个（四川省45个、重庆市6个）水生生物保护区开展生产性捕捞。</w:t>
                  </w:r>
                </w:p>
              </w:tc>
              <w:tc>
                <w:tcPr>
                  <w:tcW w:w="0" w:type="auto"/>
                  <w:shd w:val="clear" w:color="auto" w:fill="auto"/>
                  <w:vAlign w:val="center"/>
                </w:tcPr>
                <w:p w14:paraId="4F3357CC">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本项目为公路工程建筑，不属于涉及生产性捕捞的项目。</w:t>
                  </w:r>
                </w:p>
              </w:tc>
              <w:tc>
                <w:tcPr>
                  <w:tcW w:w="0" w:type="auto"/>
                  <w:vAlign w:val="center"/>
                </w:tcPr>
                <w:p w14:paraId="49E6FB5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137E61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171C502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59EB2A3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590F2236">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第十八条禁止在长江干支流、重要湖泊岸线一公里范围内新建、扩建化工园区和化工项目。</w:t>
                  </w:r>
                </w:p>
              </w:tc>
              <w:tc>
                <w:tcPr>
                  <w:tcW w:w="0" w:type="auto"/>
                  <w:shd w:val="clear" w:color="auto" w:fill="auto"/>
                  <w:vAlign w:val="center"/>
                </w:tcPr>
                <w:p w14:paraId="55CA0C4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本项目为公路工程建筑，不属于化工项目。</w:t>
                  </w:r>
                  <w:r>
                    <w:rPr>
                      <w:rFonts w:hint="default" w:ascii="Times New Roman" w:hAnsi="Times New Roman" w:cs="Times New Roman"/>
                      <w:color w:val="auto"/>
                      <w:sz w:val="21"/>
                      <w:szCs w:val="21"/>
                      <w:lang w:val="en-US" w:eastAsia="zh-CN"/>
                    </w:rPr>
                    <w:t>风险管控措施如下：</w:t>
                  </w:r>
                  <w:r>
                    <w:rPr>
                      <w:rFonts w:hint="default" w:ascii="Times New Roman" w:hAnsi="Times New Roman" w:cs="Times New Roman"/>
                      <w:color w:val="auto"/>
                      <w:sz w:val="21"/>
                      <w:szCs w:val="21"/>
                    </w:rPr>
                    <w:t>油品现用现购；施工废水和泥浆处理设施设备日常巡检和保养；弃土场坍塌风险：严格执行“先拦后弃”的原则，弃土堆放前必须在弃土场坡脚修建挡墙，并在弃土场的周边修建截、排水沟，严格控制弃土场的堆土高度和坡面坡率；弃土场迹地恢复：施工结束后，对土体顶面进行土地整治，并对土体坡面和顶部进行复耕；建立环境风险管理制度，场地内预备应急</w:t>
                  </w:r>
                  <w:r>
                    <w:rPr>
                      <w:rFonts w:hint="default" w:ascii="Times New Roman" w:hAnsi="Times New Roman" w:cs="Times New Roman"/>
                      <w:color w:val="auto"/>
                      <w:sz w:val="21"/>
                      <w:szCs w:val="21"/>
                      <w:lang w:val="en-US" w:eastAsia="zh-CN"/>
                    </w:rPr>
                    <w:t>物资。</w:t>
                  </w:r>
                </w:p>
              </w:tc>
              <w:tc>
                <w:tcPr>
                  <w:tcW w:w="0" w:type="auto"/>
                  <w:vAlign w:val="center"/>
                </w:tcPr>
                <w:p w14:paraId="7124CBB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6288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160D22F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09A27793">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1B00B589">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第十九条禁止在长江干流岸线三公里范围内和重要支流岸线一公里范围内新建、改建、扩建尾矿库、冶炼渣库、磷石膏库，以提升安全、生态环境保护水平为目的的改建除外。</w:t>
                  </w:r>
                </w:p>
              </w:tc>
              <w:tc>
                <w:tcPr>
                  <w:tcW w:w="0" w:type="auto"/>
                  <w:shd w:val="clear" w:color="auto" w:fill="auto"/>
                  <w:vAlign w:val="center"/>
                </w:tcPr>
                <w:p w14:paraId="28AD480A">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本项目为公路工程建筑，不涉及尾矿库、冶炼渣库、磷石膏库。</w:t>
                  </w:r>
                </w:p>
              </w:tc>
              <w:tc>
                <w:tcPr>
                  <w:tcW w:w="0" w:type="auto"/>
                  <w:vAlign w:val="center"/>
                </w:tcPr>
                <w:p w14:paraId="0D35ED3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E493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29B69F7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4C36054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850829E">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第二十条禁止在生态保护红线区域、永久基本农田集中区域和其他需要特别保护的区域内选址建设尾矿库、冶炼渣库、磷石膏库。</w:t>
                  </w:r>
                </w:p>
              </w:tc>
              <w:tc>
                <w:tcPr>
                  <w:tcW w:w="0" w:type="auto"/>
                  <w:shd w:val="clear" w:color="auto" w:fill="auto"/>
                  <w:vAlign w:val="center"/>
                </w:tcPr>
                <w:p w14:paraId="44C7FDF3">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本项目不涉及生态保护红线、永久基本农田和其他需要特别保护的区域。</w:t>
                  </w:r>
                </w:p>
              </w:tc>
              <w:tc>
                <w:tcPr>
                  <w:tcW w:w="0" w:type="auto"/>
                  <w:vAlign w:val="center"/>
                </w:tcPr>
                <w:p w14:paraId="6EAAEA7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43F13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675E3B6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46BCA73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925DC48">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第二十一条禁止在合规园区外新建、扩建钢铁、石化、化工、焦化、建材、有色、制浆造纸等高污染项目。</w:t>
                  </w:r>
                </w:p>
              </w:tc>
              <w:tc>
                <w:tcPr>
                  <w:tcW w:w="0" w:type="auto"/>
                  <w:shd w:val="clear" w:color="auto" w:fill="auto"/>
                  <w:vAlign w:val="center"/>
                </w:tcPr>
                <w:p w14:paraId="1DB4F2DC">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本项目为公路工程建筑，不属于钢铁、石化、化工、焦化、建材、有色、制浆造纸等高污染项目。</w:t>
                  </w:r>
                </w:p>
              </w:tc>
              <w:tc>
                <w:tcPr>
                  <w:tcW w:w="0" w:type="auto"/>
                  <w:vAlign w:val="center"/>
                </w:tcPr>
                <w:p w14:paraId="3E0E886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2D51A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8C2D0E3">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52A0543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2EBF17C4">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第二十二条禁止新建、扩建不符合国家石化、现代煤化工等产业布局规划的项目。</w:t>
                  </w:r>
                </w:p>
              </w:tc>
              <w:tc>
                <w:tcPr>
                  <w:tcW w:w="0" w:type="auto"/>
                  <w:shd w:val="clear" w:color="auto" w:fill="auto"/>
                  <w:vAlign w:val="center"/>
                </w:tcPr>
                <w:p w14:paraId="3C7EDD2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本项目为公路工程建筑，不属于石化、现代煤化工项目。</w:t>
                  </w:r>
                </w:p>
              </w:tc>
              <w:tc>
                <w:tcPr>
                  <w:tcW w:w="0" w:type="auto"/>
                  <w:vAlign w:val="center"/>
                </w:tcPr>
                <w:p w14:paraId="60D603F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00FAD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607AAF2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0705E60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0CC8F3C">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三条禁止新建、扩建法律法规和相关政策明令禁止的落后产能项目。对《产业结构调整指导目录》中淘汰类项目，禁止投资限制类的新建项目，禁止投资，对属于限制类的现有生产能力，允许企业在一定期限内采取措施改造升级。</w:t>
                  </w:r>
                </w:p>
              </w:tc>
              <w:tc>
                <w:tcPr>
                  <w:tcW w:w="0" w:type="auto"/>
                  <w:shd w:val="clear" w:color="auto" w:fill="auto"/>
                  <w:vAlign w:val="center"/>
                </w:tcPr>
                <w:p w14:paraId="6E91C60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本项目为公路工程建筑，属于鼓励类项目，不属于法律法规和相关政策明令禁止的落后产能项目。</w:t>
                  </w:r>
                </w:p>
              </w:tc>
              <w:tc>
                <w:tcPr>
                  <w:tcW w:w="0" w:type="auto"/>
                  <w:vAlign w:val="center"/>
                </w:tcPr>
                <w:p w14:paraId="2D5C403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3815B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438CB66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76C64B2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721CFB3D">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第二十四条禁止新建、扩建不符合国家产能置换要求的严重过剩产能行业的项目。对于不符合国家产能置换要求的严重过剩产能行业，不得以其他任何名义、任何方式备案新增产能项目。</w:t>
                  </w:r>
                </w:p>
              </w:tc>
              <w:tc>
                <w:tcPr>
                  <w:tcW w:w="0" w:type="auto"/>
                  <w:shd w:val="clear" w:color="auto" w:fill="auto"/>
                  <w:vAlign w:val="center"/>
                </w:tcPr>
                <w:p w14:paraId="26466DD0">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本项目为公路工程建筑，不属于产能过剩项目。</w:t>
                  </w:r>
                </w:p>
              </w:tc>
              <w:tc>
                <w:tcPr>
                  <w:tcW w:w="0" w:type="auto"/>
                  <w:vAlign w:val="center"/>
                </w:tcPr>
                <w:p w14:paraId="032280D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79A81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05A270B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2E95C8F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05C6BF71">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五条禁止建设以下燃油汽车投资项目（不在中国境内销售产品的投资项目除外）：（一）新建独立燃油汽车企业；（二）现有汽车企业跨乘用车、商用车类别建设燃油汽车生产能力；（三）外省现有燃油汽车企业整体搬迁至本省（列入国家级区域发展规划或不改变企业股权结构的项目除外）；（四）对行业管理部门特别公示的燃油汽车企业进行投资（企业原有股东投资或将该企业转为非独立法人的投资项目除外）。</w:t>
                  </w:r>
                </w:p>
              </w:tc>
              <w:tc>
                <w:tcPr>
                  <w:tcW w:w="0" w:type="auto"/>
                  <w:shd w:val="clear" w:color="auto" w:fill="auto"/>
                  <w:vAlign w:val="center"/>
                </w:tcPr>
                <w:p w14:paraId="45E1CEB6">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本项目为公路工程建筑，不属于燃油汽车生产项目。</w:t>
                  </w:r>
                </w:p>
              </w:tc>
              <w:tc>
                <w:tcPr>
                  <w:tcW w:w="0" w:type="auto"/>
                  <w:vAlign w:val="center"/>
                </w:tcPr>
                <w:p w14:paraId="47C4618E">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F2C2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vMerge w:val="continue"/>
                  <w:vAlign w:val="center"/>
                </w:tcPr>
                <w:p w14:paraId="180617E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318E7E7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p>
              </w:tc>
              <w:tc>
                <w:tcPr>
                  <w:tcW w:w="7608" w:type="dxa"/>
                  <w:shd w:val="clear" w:color="auto" w:fill="auto"/>
                  <w:vAlign w:val="center"/>
                </w:tcPr>
                <w:p w14:paraId="37475AF9">
                  <w:pPr>
                    <w:pStyle w:val="4"/>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第二十六条禁止新建、扩建不符合要求的高耗能、高排放、低水平项目。</w:t>
                  </w:r>
                </w:p>
              </w:tc>
              <w:tc>
                <w:tcPr>
                  <w:tcW w:w="0" w:type="auto"/>
                  <w:shd w:val="clear" w:color="auto" w:fill="auto"/>
                  <w:vAlign w:val="center"/>
                </w:tcPr>
                <w:p w14:paraId="4409B6A3">
                  <w:pPr>
                    <w:pStyle w:val="4"/>
                    <w:keepNext w:val="0"/>
                    <w:keepLines w:val="0"/>
                    <w:pageBreakBefore w:val="0"/>
                    <w:widowControl w:val="0"/>
                    <w:kinsoku/>
                    <w:wordWrap/>
                    <w:overflowPunct/>
                    <w:topLinePunct w:val="0"/>
                    <w:autoSpaceDE/>
                    <w:autoSpaceDN/>
                    <w:bidi w:val="0"/>
                    <w:spacing w:line="240" w:lineRule="auto"/>
                    <w:ind w:firstLine="0" w:firstLineChars="0"/>
                    <w:jc w:val="center"/>
                    <w:rPr>
                      <w:rFonts w:hint="default" w:ascii="Times New Roman" w:hAnsi="Times New Roman" w:eastAsia="宋体" w:cs="Times New Roman"/>
                      <w:bCs/>
                      <w:color w:val="auto"/>
                      <w:kern w:val="2"/>
                      <w:sz w:val="21"/>
                      <w:szCs w:val="21"/>
                      <w:lang w:val="en-US" w:eastAsia="zh-CN" w:bidi="ar-SA"/>
                    </w:rPr>
                  </w:pPr>
                  <w:r>
                    <w:rPr>
                      <w:rFonts w:hint="default" w:ascii="Times New Roman" w:hAnsi="Times New Roman" w:cs="Times New Roman"/>
                      <w:color w:val="auto"/>
                      <w:sz w:val="21"/>
                      <w:szCs w:val="21"/>
                    </w:rPr>
                    <w:t>本项目为公路工程建筑，不属于高耗能、高排放、低水平项目。</w:t>
                  </w:r>
                </w:p>
              </w:tc>
              <w:tc>
                <w:tcPr>
                  <w:tcW w:w="0" w:type="auto"/>
                  <w:vAlign w:val="center"/>
                </w:tcPr>
                <w:p w14:paraId="73D2AD0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bl>
          <w:p w14:paraId="07C1D4B7">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eastAsia" w:ascii="Times New Roman" w:hAnsi="Times New Roman" w:cs="Times New Roman"/>
                <w:b/>
                <w:bCs/>
                <w:color w:val="auto"/>
                <w:sz w:val="24"/>
                <w:szCs w:val="32"/>
                <w:lang w:val="en-US" w:eastAsia="zh-CN"/>
              </w:rPr>
            </w:pPr>
          </w:p>
          <w:p w14:paraId="1DA35D8D">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eastAsia" w:ascii="Times New Roman" w:hAnsi="Times New Roman" w:cs="Times New Roman"/>
                <w:b/>
                <w:bCs/>
                <w:color w:val="auto"/>
                <w:sz w:val="24"/>
                <w:szCs w:val="32"/>
                <w:lang w:val="en-US" w:eastAsia="zh-CN"/>
              </w:rPr>
              <w:t>6</w:t>
            </w:r>
            <w:r>
              <w:rPr>
                <w:rFonts w:hint="default" w:ascii="Times New Roman" w:hAnsi="Times New Roman" w:eastAsia="宋体" w:cs="Times New Roman"/>
                <w:b/>
                <w:bCs/>
                <w:color w:val="auto"/>
                <w:sz w:val="24"/>
                <w:szCs w:val="32"/>
                <w:lang w:val="en-US" w:eastAsia="zh-CN"/>
              </w:rPr>
              <w:t>、与生态环境保护相关规划符合性分析</w:t>
            </w:r>
          </w:p>
          <w:p w14:paraId="3F2055B1">
            <w:pPr>
              <w:autoSpaceDE w:val="0"/>
              <w:autoSpaceDN w:val="0"/>
              <w:adjustRightInd w:val="0"/>
              <w:snapToGrid w:val="0"/>
              <w:spacing w:line="460" w:lineRule="exact"/>
              <w:jc w:val="center"/>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表1-3</w:t>
            </w:r>
            <w:r>
              <w:rPr>
                <w:rFonts w:hint="default" w:ascii="Times New Roman" w:hAnsi="Times New Roman" w:cs="Times New Roman"/>
                <w:b/>
                <w:bCs/>
                <w:color w:val="auto"/>
                <w:kern w:val="0"/>
                <w:szCs w:val="21"/>
                <w:lang w:val="en-US" w:eastAsia="zh-CN"/>
              </w:rPr>
              <w:t xml:space="preserve"> </w:t>
            </w:r>
            <w:r>
              <w:rPr>
                <w:rFonts w:hint="default" w:ascii="Times New Roman" w:hAnsi="Times New Roman" w:eastAsia="宋体" w:cs="Times New Roman"/>
                <w:b/>
                <w:bCs/>
                <w:color w:val="auto"/>
                <w:kern w:val="0"/>
                <w:szCs w:val="21"/>
                <w:lang w:val="en-US" w:eastAsia="zh-CN"/>
              </w:rPr>
              <w:t>与生态环境保护相关规划符合性分析</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373"/>
              <w:gridCol w:w="1014"/>
              <w:gridCol w:w="4212"/>
              <w:gridCol w:w="1661"/>
              <w:gridCol w:w="435"/>
            </w:tblGrid>
            <w:tr w14:paraId="46328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27" w:type="dxa"/>
                  <w:tcBorders>
                    <w:tl2br w:val="nil"/>
                    <w:tr2bl w:val="nil"/>
                  </w:tcBorders>
                  <w:noWrap w:val="0"/>
                  <w:vAlign w:val="center"/>
                </w:tcPr>
                <w:p w14:paraId="3856EC9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序号</w:t>
                  </w:r>
                </w:p>
              </w:tc>
              <w:tc>
                <w:tcPr>
                  <w:tcW w:w="1793" w:type="dxa"/>
                  <w:tcBorders>
                    <w:tl2br w:val="nil"/>
                    <w:tr2bl w:val="nil"/>
                  </w:tcBorders>
                  <w:noWrap w:val="0"/>
                  <w:vAlign w:val="center"/>
                </w:tcPr>
                <w:p w14:paraId="5954AD6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规划或政策名称</w:t>
                  </w:r>
                </w:p>
              </w:tc>
              <w:tc>
                <w:tcPr>
                  <w:tcW w:w="7608" w:type="dxa"/>
                  <w:tcBorders>
                    <w:tl2br w:val="nil"/>
                    <w:tr2bl w:val="nil"/>
                  </w:tcBorders>
                  <w:noWrap w:val="0"/>
                  <w:vAlign w:val="center"/>
                </w:tcPr>
                <w:p w14:paraId="4B14357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b/>
                      <w:bCs w:val="0"/>
                      <w:color w:val="auto"/>
                      <w:sz w:val="21"/>
                      <w:szCs w:val="21"/>
                      <w:lang w:val="en-US"/>
                    </w:rPr>
                  </w:pPr>
                  <w:r>
                    <w:rPr>
                      <w:rFonts w:hint="default" w:ascii="Times New Roman" w:hAnsi="Times New Roman" w:cs="Times New Roman"/>
                      <w:b/>
                      <w:bCs w:val="0"/>
                      <w:color w:val="auto"/>
                      <w:sz w:val="21"/>
                      <w:szCs w:val="21"/>
                      <w:lang w:val="en-US" w:eastAsia="zh-CN"/>
                    </w:rPr>
                    <w:t>规划或政策相关要求</w:t>
                  </w:r>
                </w:p>
              </w:tc>
              <w:tc>
                <w:tcPr>
                  <w:tcW w:w="2970" w:type="dxa"/>
                  <w:tcBorders>
                    <w:tl2br w:val="nil"/>
                    <w:tr2bl w:val="nil"/>
                  </w:tcBorders>
                  <w:noWrap w:val="0"/>
                  <w:vAlign w:val="center"/>
                </w:tcPr>
                <w:p w14:paraId="15C67F4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本项目情况</w:t>
                  </w:r>
                </w:p>
              </w:tc>
              <w:tc>
                <w:tcPr>
                  <w:tcW w:w="740" w:type="dxa"/>
                  <w:tcBorders>
                    <w:tl2br w:val="nil"/>
                    <w:tr2bl w:val="nil"/>
                  </w:tcBorders>
                  <w:noWrap w:val="0"/>
                  <w:vAlign w:val="center"/>
                </w:tcPr>
                <w:p w14:paraId="093A0B5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
                      <w:bCs w:val="0"/>
                      <w:color w:val="auto"/>
                      <w:sz w:val="21"/>
                      <w:szCs w:val="21"/>
                      <w:lang w:val="en-US" w:eastAsia="zh-CN"/>
                    </w:rPr>
                  </w:pPr>
                  <w:r>
                    <w:rPr>
                      <w:rFonts w:hint="default" w:ascii="Times New Roman" w:hAnsi="Times New Roman" w:cs="Times New Roman"/>
                      <w:b/>
                      <w:bCs w:val="0"/>
                      <w:color w:val="auto"/>
                      <w:sz w:val="21"/>
                      <w:szCs w:val="21"/>
                      <w:lang w:val="en-US" w:eastAsia="zh-CN"/>
                    </w:rPr>
                    <w:t>符合性</w:t>
                  </w:r>
                </w:p>
              </w:tc>
            </w:tr>
            <w:tr w14:paraId="1BF1AB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7" w:type="dxa"/>
                  <w:vMerge w:val="restart"/>
                  <w:tcBorders>
                    <w:tl2br w:val="nil"/>
                    <w:tr2bl w:val="nil"/>
                  </w:tcBorders>
                  <w:noWrap w:val="0"/>
                  <w:vAlign w:val="center"/>
                </w:tcPr>
                <w:p w14:paraId="418B5F4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1</w:t>
                  </w:r>
                </w:p>
              </w:tc>
              <w:tc>
                <w:tcPr>
                  <w:tcW w:w="1793" w:type="dxa"/>
                  <w:vMerge w:val="restart"/>
                  <w:tcBorders>
                    <w:tl2br w:val="nil"/>
                    <w:tr2bl w:val="nil"/>
                  </w:tcBorders>
                  <w:shd w:val="clear" w:color="auto" w:fill="auto"/>
                  <w:noWrap w:val="0"/>
                  <w:vAlign w:val="center"/>
                </w:tcPr>
                <w:p w14:paraId="681D3425">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Cs/>
                      <w:color w:val="auto"/>
                      <w:kern w:val="0"/>
                      <w:sz w:val="21"/>
                      <w:szCs w:val="21"/>
                      <w:lang w:val="en-US" w:eastAsia="zh-CN" w:bidi="ar-SA"/>
                    </w:rPr>
                  </w:pPr>
                  <w:r>
                    <w:rPr>
                      <w:rFonts w:hint="default" w:ascii="Times New Roman" w:hAnsi="Times New Roman" w:cs="Times New Roman"/>
                      <w:color w:val="auto"/>
                      <w:sz w:val="21"/>
                      <w:szCs w:val="21"/>
                    </w:rPr>
                    <w:t>《四川省“十四五”生态环境保护规划》（川府发〔2022〕2号）</w:t>
                  </w:r>
                </w:p>
              </w:tc>
              <w:tc>
                <w:tcPr>
                  <w:tcW w:w="7608" w:type="dxa"/>
                  <w:tcBorders>
                    <w:tl2br w:val="nil"/>
                    <w:tr2bl w:val="nil"/>
                  </w:tcBorders>
                  <w:shd w:val="clear" w:color="auto" w:fill="auto"/>
                  <w:noWrap w:val="0"/>
                  <w:vAlign w:val="center"/>
                </w:tcPr>
                <w:p w14:paraId="4C9AC5F8">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Cs/>
                      <w:snapToGrid w:val="0"/>
                      <w:color w:val="auto"/>
                      <w:kern w:val="0"/>
                      <w:sz w:val="21"/>
                      <w:szCs w:val="21"/>
                      <w:lang w:val="en-US" w:eastAsia="zh-CN" w:bidi="ar-SA"/>
                    </w:rPr>
                  </w:pPr>
                  <w:r>
                    <w:rPr>
                      <w:rFonts w:hint="default" w:ascii="Times New Roman" w:hAnsi="Times New Roman" w:cs="Times New Roman"/>
                      <w:color w:val="auto"/>
                      <w:sz w:val="21"/>
                      <w:szCs w:val="21"/>
                    </w:rPr>
                    <w:t>推动落后产能退出。严格控制新（改、扩）建高耗能、高排放项目，新建高耗能、高排放项目应按相关要求落实区域削减。严格执行钢铁、水泥、平板玻璃、电解铝等行业产能置换政策。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w:t>
                  </w:r>
                </w:p>
              </w:tc>
              <w:tc>
                <w:tcPr>
                  <w:tcW w:w="2970" w:type="dxa"/>
                  <w:tcBorders>
                    <w:tl2br w:val="nil"/>
                    <w:tr2bl w:val="nil"/>
                  </w:tcBorders>
                  <w:shd w:val="clear" w:color="auto" w:fill="auto"/>
                  <w:noWrap w:val="0"/>
                  <w:vAlign w:val="center"/>
                </w:tcPr>
                <w:p w14:paraId="650A167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本项目为公路工程建筑，不属于高耗能、高排放项目、不属于钢铁、水泥、平板玻璃、电解铝等需要进行产能置换的产业，不属于落后产能及需要退出的行业</w:t>
                  </w:r>
                </w:p>
              </w:tc>
              <w:tc>
                <w:tcPr>
                  <w:tcW w:w="740" w:type="dxa"/>
                  <w:tcBorders>
                    <w:tl2br w:val="nil"/>
                    <w:tr2bl w:val="nil"/>
                  </w:tcBorders>
                  <w:noWrap w:val="0"/>
                  <w:vAlign w:val="center"/>
                </w:tcPr>
                <w:p w14:paraId="5CA2052C">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7B4487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7" w:type="dxa"/>
                  <w:vMerge w:val="continue"/>
                  <w:tcBorders>
                    <w:tl2br w:val="nil"/>
                    <w:tr2bl w:val="nil"/>
                  </w:tcBorders>
                  <w:noWrap w:val="0"/>
                  <w:vAlign w:val="center"/>
                </w:tcPr>
                <w:p w14:paraId="24AF4F1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tcBorders>
                    <w:tl2br w:val="nil"/>
                    <w:tr2bl w:val="nil"/>
                  </w:tcBorders>
                  <w:shd w:val="clear" w:color="auto" w:fill="auto"/>
                  <w:noWrap w:val="0"/>
                  <w:vAlign w:val="center"/>
                </w:tcPr>
                <w:p w14:paraId="3228EC0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rPr>
                  </w:pPr>
                </w:p>
              </w:tc>
              <w:tc>
                <w:tcPr>
                  <w:tcW w:w="7608" w:type="dxa"/>
                  <w:tcBorders>
                    <w:tl2br w:val="nil"/>
                    <w:tr2bl w:val="nil"/>
                  </w:tcBorders>
                  <w:shd w:val="clear" w:color="auto" w:fill="auto"/>
                  <w:noWrap w:val="0"/>
                  <w:vAlign w:val="center"/>
                </w:tcPr>
                <w:p w14:paraId="0AB08D7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Cs/>
                      <w:snapToGrid w:val="0"/>
                      <w:color w:val="auto"/>
                      <w:kern w:val="0"/>
                      <w:sz w:val="21"/>
                      <w:szCs w:val="21"/>
                      <w:lang w:val="en-US" w:eastAsia="en-US" w:bidi="ar-SA"/>
                    </w:rPr>
                  </w:pPr>
                  <w:r>
                    <w:rPr>
                      <w:rFonts w:hint="default" w:ascii="Times New Roman" w:hAnsi="Times New Roman" w:cs="Times New Roman"/>
                      <w:color w:val="auto"/>
                      <w:sz w:val="21"/>
                      <w:szCs w:val="21"/>
                    </w:rPr>
                    <w:t>推动传统行业绿色化改造。全面推进钢铁、化工、冶金、建材、轻工、食品等传统领域企业实施全要素、全流程清洁化、循环化、低碳化改造，将智能化、绿色化融入研发、设计、生产销售过程，不断提升资源能源利用效率，有效削减污染物排放。积极构建绿色产业链供应链。以钢铁、造纸、食品等行业为重点，推进产品绿色化、低碳化升级，增加绿色产品供给能力，提升其市场占比。完善四川省清洁生产审核实施办法，在“双超双有高耗能”行业实施强制性清洁生产审核。到2025年，全省钢铁、水泥、电解铝、白酒、造纸等行业企业的清洁生产水平达到国内先进水平。</w:t>
                  </w:r>
                </w:p>
              </w:tc>
              <w:tc>
                <w:tcPr>
                  <w:tcW w:w="2970" w:type="dxa"/>
                  <w:tcBorders>
                    <w:tl2br w:val="nil"/>
                    <w:tr2bl w:val="nil"/>
                  </w:tcBorders>
                  <w:shd w:val="clear" w:color="auto" w:fill="auto"/>
                  <w:noWrap w:val="0"/>
                  <w:vAlign w:val="center"/>
                </w:tcPr>
                <w:p w14:paraId="04C95E0F">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本项目不涉及钢铁、化工、冶金、建材、轻工、食品等传统企业。</w:t>
                  </w:r>
                </w:p>
              </w:tc>
              <w:tc>
                <w:tcPr>
                  <w:tcW w:w="740" w:type="dxa"/>
                  <w:tcBorders>
                    <w:tl2br w:val="nil"/>
                    <w:tr2bl w:val="nil"/>
                  </w:tcBorders>
                  <w:noWrap w:val="0"/>
                  <w:vAlign w:val="center"/>
                </w:tcPr>
                <w:p w14:paraId="3D7FFC8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0264F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627" w:type="dxa"/>
                  <w:vMerge w:val="continue"/>
                  <w:vAlign w:val="center"/>
                </w:tcPr>
                <w:p w14:paraId="51A0711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p>
              </w:tc>
              <w:tc>
                <w:tcPr>
                  <w:tcW w:w="1793" w:type="dxa"/>
                  <w:vMerge w:val="continue"/>
                  <w:vAlign w:val="center"/>
                </w:tcPr>
                <w:p w14:paraId="75C04CA6">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rPr>
                  </w:pPr>
                </w:p>
              </w:tc>
              <w:tc>
                <w:tcPr>
                  <w:tcW w:w="0" w:type="auto"/>
                  <w:shd w:val="clear" w:color="auto" w:fill="auto"/>
                  <w:vAlign w:val="center"/>
                </w:tcPr>
                <w:p w14:paraId="24ACBAD7">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bCs/>
                      <w:snapToGrid w:val="0"/>
                      <w:color w:val="auto"/>
                      <w:kern w:val="0"/>
                      <w:sz w:val="21"/>
                      <w:szCs w:val="21"/>
                      <w:lang w:val="en-US" w:eastAsia="en-US" w:bidi="ar-SA"/>
                    </w:rPr>
                  </w:pPr>
                  <w:r>
                    <w:rPr>
                      <w:rFonts w:hint="default" w:ascii="Times New Roman" w:hAnsi="Times New Roman" w:cs="Times New Roman"/>
                      <w:color w:val="auto"/>
                      <w:sz w:val="21"/>
                      <w:szCs w:val="21"/>
                    </w:rPr>
                    <w:t>强化重点行业污染治理。加快火电、钢铁、水泥、焦化及燃煤工业锅炉超低排放改造。推进平板玻璃、陶瓷、铁合金、有色等重点行业深度治理。深化工业炉窑大气污染综合治理，基本完成使用高污染燃料的燃料类工业炉窑清洁能源替代。全面淘汰10蒸吨/小时及以下燃煤锅炉，县级及以上城市建成区原则上不再新建35蒸吨/小时以下的燃煤锅炉，65蒸吨/小时及以上燃煤锅炉（含电力）全面实现超低排放改造，加快推进燃气锅炉</w:t>
                  </w:r>
                  <w:r>
                    <w:rPr>
                      <w:rFonts w:hint="default" w:ascii="Times New Roman" w:hAnsi="Times New Roman" w:cs="Times New Roman"/>
                      <w:color w:val="auto"/>
                      <w:sz w:val="21"/>
                      <w:szCs w:val="21"/>
                      <w:lang w:val="en-US" w:eastAsia="zh-CN"/>
                    </w:rPr>
                    <w:t>低氮</w:t>
                  </w:r>
                  <w:r>
                    <w:rPr>
                      <w:rFonts w:hint="default" w:ascii="Times New Roman" w:hAnsi="Times New Roman" w:cs="Times New Roman"/>
                      <w:color w:val="auto"/>
                      <w:sz w:val="21"/>
                      <w:szCs w:val="21"/>
                    </w:rPr>
                    <w:t>燃烧改造。推动取消石油化工、平板玻璃、建筑陶瓷等行业非必要烟气旁路。强化治理设施运行监管，确保按照超低排放限值及相关标准要求运行，减少非正常工况排放。持续推进川西北地区城镇清洁能源供暖。强化钢铁、水泥、矿山等行业无组织排放整治。</w:t>
                  </w:r>
                </w:p>
              </w:tc>
              <w:tc>
                <w:tcPr>
                  <w:tcW w:w="0" w:type="auto"/>
                  <w:vAlign w:val="center"/>
                </w:tcPr>
                <w:p w14:paraId="3D0F9494">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本项目不涉及工业炉窑、燃煤工业锅炉。</w:t>
                  </w:r>
                </w:p>
              </w:tc>
              <w:tc>
                <w:tcPr>
                  <w:tcW w:w="0" w:type="auto"/>
                  <w:vAlign w:val="center"/>
                </w:tcPr>
                <w:p w14:paraId="60364FD1">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r w14:paraId="64B3F8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0" w:type="auto"/>
                  <w:vAlign w:val="center"/>
                </w:tcPr>
                <w:p w14:paraId="6D00B19B">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1793" w:type="dxa"/>
                  <w:vAlign w:val="center"/>
                </w:tcPr>
                <w:p w14:paraId="20E86D32">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《达州市“十四五</w:t>
                  </w:r>
                  <w:r>
                    <w:rPr>
                      <w:rFonts w:hint="default" w:ascii="Times New Roman" w:hAnsi="Times New Roman" w:cs="Times New Roman"/>
                      <w:color w:val="auto"/>
                      <w:sz w:val="21"/>
                      <w:szCs w:val="21"/>
                      <w:lang w:eastAsia="zh-CN"/>
                    </w:rPr>
                    <w:t>”</w:t>
                  </w:r>
                  <w:r>
                    <w:rPr>
                      <w:rFonts w:hint="default" w:ascii="Times New Roman" w:hAnsi="Times New Roman" w:cs="Times New Roman"/>
                      <w:color w:val="auto"/>
                      <w:sz w:val="21"/>
                      <w:szCs w:val="21"/>
                    </w:rPr>
                    <w:t>生态环境保护规》</w:t>
                  </w:r>
                  <w:r>
                    <w:rPr>
                      <w:rFonts w:hint="default" w:ascii="Times New Roman" w:hAnsi="Times New Roman" w:cs="Times New Roman"/>
                      <w:color w:val="auto"/>
                      <w:sz w:val="21"/>
                      <w:szCs w:val="21"/>
                      <w:lang w:eastAsia="zh-CN"/>
                    </w:rPr>
                    <w:t>（达市府发〔2022〕18号）</w:t>
                  </w:r>
                </w:p>
              </w:tc>
              <w:tc>
                <w:tcPr>
                  <w:tcW w:w="0" w:type="auto"/>
                  <w:shd w:val="clear" w:color="auto" w:fill="auto"/>
                  <w:vAlign w:val="center"/>
                </w:tcPr>
                <w:p w14:paraId="63A173BA">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（四）构建绿色交通运输体系。</w:t>
                  </w:r>
                </w:p>
                <w:p w14:paraId="0E628A5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lang w:eastAsia="zh-CN"/>
                    </w:rPr>
                    <w:t>完善绿色交通体系。依托“三铁交汇、六向连通”的高铁路网格局和四川东出北上综合交通枢纽、四川高铁次枢纽建设，推进大宗货物运输“公转铁”，逐步减少重载柴油货车在大宗散货长距离运输中的比重。坚持公交优先战略，推广高峰快线、社区公交、城际公交，优化公交线网，提高中小街道公交覆盖率。</w:t>
                  </w:r>
                </w:p>
                <w:p w14:paraId="7C58458D">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推进城市物流绿色发展。以秦巴物流园区为核心，双龙铁路仓储物流园、复兴现代商贸物流园、高新物流园、达川区商贸物流园、临（空、高铁）港物流园“五园”为次极，万源市秦巴商贸物流园、宣汉县商贸物流园、宣汉县柳池物流中心、开江县普安商贸物流园、大竹县商贸物流园、渠北公路物流港“六园”为节点，若干（N）个乡镇为末端网点，构建“156N”物流节点体系，优化物流集中发展区布局，促进物流产业与城市建设协调发展。加快建设柴油货车绕城通道，实施过境柴油货车优化通行措施，扩大柴油货车禁行、限行管控区域，规范通行证发放管理。</w:t>
                  </w:r>
                </w:p>
              </w:tc>
              <w:tc>
                <w:tcPr>
                  <w:tcW w:w="0" w:type="auto"/>
                  <w:vAlign w:val="center"/>
                </w:tcPr>
                <w:p w14:paraId="28499450">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为宣汉县普光经济开发区中化工大道的一部分，起点为园区规划的纵一路、横一路平交口，沿老林沟以隧道穿越韩家岩后，接入铁路转运站场坪道路。本项目作为连接普光镇杏树村5社至6社互通的交通重要组成部分，项目的实施将铁路南、北两侧更加紧密的连接在一起，优化了区域路网，极大改善了周边群众出行需求。</w:t>
                  </w:r>
                </w:p>
              </w:tc>
              <w:tc>
                <w:tcPr>
                  <w:tcW w:w="0" w:type="auto"/>
                  <w:vAlign w:val="center"/>
                </w:tcPr>
                <w:p w14:paraId="24691BC9">
                  <w:pPr>
                    <w:pStyle w:val="42"/>
                    <w:keepNext w:val="0"/>
                    <w:keepLines w:val="0"/>
                    <w:pageBreakBefore w:val="0"/>
                    <w:widowControl w:val="0"/>
                    <w:kinsoku/>
                    <w:wordWrap/>
                    <w:overflowPunct/>
                    <w:topLinePunct w:val="0"/>
                    <w:autoSpaceDE/>
                    <w:autoSpaceDN/>
                    <w:bidi w:val="0"/>
                    <w:adjustRightInd w:val="0"/>
                    <w:snapToGrid w:val="0"/>
                    <w:spacing w:beforeLines="0" w:afterLines="0" w:line="240" w:lineRule="auto"/>
                    <w:ind w:firstLine="0" w:firstLineChars="0"/>
                    <w:jc w:val="center"/>
                    <w:textAlignment w:val="base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符合</w:t>
                  </w:r>
                </w:p>
              </w:tc>
            </w:tr>
          </w:tbl>
          <w:p w14:paraId="6B4DFA01">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eastAsia" w:ascii="Times New Roman" w:hAnsi="Times New Roman" w:cs="Times New Roman"/>
                <w:b/>
                <w:bCs/>
                <w:color w:val="auto"/>
                <w:sz w:val="24"/>
                <w:szCs w:val="32"/>
                <w:lang w:val="en-US" w:eastAsia="zh-CN"/>
              </w:rPr>
              <w:t>7</w:t>
            </w:r>
            <w:r>
              <w:rPr>
                <w:rFonts w:hint="default" w:ascii="Times New Roman" w:hAnsi="Times New Roman" w:cs="Times New Roman"/>
                <w:b/>
                <w:bCs/>
                <w:color w:val="auto"/>
                <w:sz w:val="24"/>
                <w:szCs w:val="32"/>
                <w:lang w:val="en-US" w:eastAsia="zh-CN"/>
              </w:rPr>
              <w:t>、与后河特有鱼类国家级水产种质资源保护区相关规划及保护要求的符合性</w:t>
            </w:r>
          </w:p>
          <w:p w14:paraId="37C973B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2010年11月25日发布的《国家级水产种质资源保护区名单（第四批）》（农业部公告第1491号），宣汉县后河北起万源县与宣汉县河道交界处高落关灯笼扁至宣汉县普光镇后河与中河交汇处鸭嘴列为“后河特有鱼类国家级水产种质资源保护区”。保护区河流流经毛坝镇、胡家镇、普光镇，总长度56km。保护区分为核心区和实验区，核心区北起毛坝镇大水凼，南止胡家镇跳河，长度25km，面积320ha，占保护区总面积38.1%，核心区为保护鱼类的主要产卵场；实验区分为两段，即万源县与宣汉县河道交界处高落关灯笼扁至毛坝镇大水凼，长度为7km，面积104ha。胡家镇跳河至普光镇鸭嘴，长度24km，面积416ha。实验区总长度31km，总面积520ha，占保护区总面积61.9%，实验区主要为保护区鱼类的索饵场和越冬场。</w:t>
            </w:r>
          </w:p>
          <w:p w14:paraId="535A137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根据《水产种质资源保护区管理暂行办法》（2011年3月1日）：</w:t>
            </w:r>
          </w:p>
          <w:p w14:paraId="1FBBE777">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第十七条在水产种质资源保护区内从事修建水利工程、疏浚航道、建闸筑坝、勘探和开采矿产资源、港口建设等工程建设的，或者在水产种质资源保护区外从事可能损害保护区功能的工程建设活动的，应当按照国家有关规定编制建设项目对水产种质资源保护区的影响专题论证报告，并将其纳入环境影响评价报告书。</w:t>
            </w:r>
          </w:p>
          <w:p w14:paraId="6DA4535B">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第十八条省级以上人民政府渔业行政主管部门应当依法参与涉及水产种质资源保护区的建设项目环境影响评价，组织专家审查建设项目对水产种质资源保护区的影响专题论证报告，并根据审查结论向建设单位和环境影响评价主管部门出具意见。</w:t>
            </w:r>
          </w:p>
          <w:p w14:paraId="62219094">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建设单位应当将渔业行政主管部门的意见纳入环境影响评价报告书，并根据渔业行政主管部门意见采取有关保护措施。</w:t>
            </w:r>
          </w:p>
          <w:p w14:paraId="0A29CFF3">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第二十一条禁止在水产种质资源保护区内新建排污口。</w:t>
            </w:r>
          </w:p>
          <w:p w14:paraId="62C07E67">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在水产种质资源保护区附近新建、改建、扩建排污口，应当保证保护区水体不受污染。</w:t>
            </w:r>
          </w:p>
          <w:p w14:paraId="1E0CD7E5">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经现场踏勘以及相关文献查询比对，后河特有鱼类国家级水产种质资源保护区位于本项目东侧，本项目距离实验区边界最近距离为</w:t>
            </w:r>
            <w:r>
              <w:rPr>
                <w:rFonts w:hint="default" w:ascii="Times New Roman" w:hAnsi="Times New Roman" w:cs="Times New Roman"/>
                <w:color w:val="auto"/>
                <w:sz w:val="24"/>
                <w:szCs w:val="32"/>
                <w:lang w:val="en-US" w:eastAsia="zh-CN"/>
              </w:rPr>
              <w:t>2924</w:t>
            </w:r>
            <w:r>
              <w:rPr>
                <w:rFonts w:hint="default" w:ascii="Times New Roman" w:hAnsi="Times New Roman" w:cs="Times New Roman"/>
                <w:color w:val="auto"/>
                <w:sz w:val="24"/>
                <w:szCs w:val="32"/>
              </w:rPr>
              <w:t>m，不涉及占用水产种质资源保护区、不涉及在水产种质资源保护区附近新建、改建、扩建排污口，</w:t>
            </w:r>
            <w:r>
              <w:rPr>
                <w:rFonts w:hint="default" w:ascii="Times New Roman" w:hAnsi="Times New Roman" w:cs="Times New Roman"/>
                <w:b/>
                <w:bCs/>
                <w:color w:val="auto"/>
                <w:sz w:val="24"/>
                <w:szCs w:val="32"/>
                <w:lang w:val="en-US" w:eastAsia="zh-CN"/>
              </w:rPr>
              <w:t>不在</w:t>
            </w:r>
            <w:r>
              <w:rPr>
                <w:rFonts w:hint="default" w:ascii="Times New Roman" w:hAnsi="Times New Roman" w:cs="Times New Roman"/>
                <w:b/>
                <w:bCs/>
                <w:color w:val="auto"/>
                <w:sz w:val="24"/>
                <w:szCs w:val="32"/>
              </w:rPr>
              <w:t>后河特有鱼类国家级水产种质资源保护区</w:t>
            </w:r>
            <w:r>
              <w:rPr>
                <w:rFonts w:hint="default" w:ascii="Times New Roman" w:hAnsi="Times New Roman" w:cs="Times New Roman"/>
                <w:b/>
                <w:bCs/>
                <w:color w:val="auto"/>
                <w:sz w:val="24"/>
                <w:szCs w:val="32"/>
                <w:lang w:val="en-US" w:eastAsia="zh-CN"/>
              </w:rPr>
              <w:t>内</w:t>
            </w:r>
            <w:r>
              <w:rPr>
                <w:rFonts w:hint="default" w:ascii="Times New Roman" w:hAnsi="Times New Roman" w:cs="Times New Roman"/>
                <w:b/>
                <w:bCs/>
                <w:color w:val="auto"/>
                <w:sz w:val="24"/>
                <w:szCs w:val="32"/>
                <w:lang w:eastAsia="zh-CN"/>
              </w:rPr>
              <w:t>，</w:t>
            </w:r>
            <w:r>
              <w:rPr>
                <w:rFonts w:hint="default" w:ascii="Times New Roman" w:hAnsi="Times New Roman" w:cs="Times New Roman"/>
                <w:color w:val="auto"/>
                <w:sz w:val="24"/>
                <w:szCs w:val="32"/>
              </w:rPr>
              <w:t>不会对后河特有鱼类国家级水产种质资源保护区产生明显影响。</w:t>
            </w:r>
          </w:p>
          <w:p w14:paraId="1073A91E">
            <w:pPr>
              <w:keepNext w:val="0"/>
              <w:keepLines w:val="0"/>
              <w:pageBreakBefore w:val="0"/>
              <w:widowControl w:val="0"/>
              <w:kinsoku/>
              <w:wordWrap/>
              <w:overflowPunct/>
              <w:topLinePunct w:val="0"/>
              <w:bidi w:val="0"/>
              <w:adjustRightInd w:val="0"/>
              <w:snapToGrid w:val="0"/>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eastAsia" w:ascii="Times New Roman" w:hAnsi="Times New Roman" w:cs="Times New Roman"/>
                <w:b/>
                <w:bCs/>
                <w:color w:val="auto"/>
                <w:sz w:val="24"/>
                <w:szCs w:val="32"/>
                <w:lang w:val="en-US" w:eastAsia="zh-CN"/>
              </w:rPr>
              <w:t>8</w:t>
            </w:r>
            <w:r>
              <w:rPr>
                <w:rFonts w:hint="default" w:ascii="Times New Roman" w:hAnsi="Times New Roman" w:cs="Times New Roman"/>
                <w:b/>
                <w:bCs/>
                <w:color w:val="auto"/>
                <w:sz w:val="24"/>
                <w:szCs w:val="32"/>
                <w:lang w:val="en-US" w:eastAsia="zh-CN"/>
              </w:rPr>
              <w:t>、与饮用水源保护区相关规划及保护要求的符合性</w:t>
            </w:r>
          </w:p>
          <w:p w14:paraId="6F673BA8">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根据达州市人民政府《关于划定万源市、宣汉县和大竹县乡镇及以下集中式饮用水水源地保护区的批复》（达市府函【2020】124号）可知，本项目涉及集中式饮用水水源地及其保护区基本信息如下：</w:t>
            </w:r>
          </w:p>
          <w:p w14:paraId="7E8C3226">
            <w:pPr>
              <w:autoSpaceDE w:val="0"/>
              <w:autoSpaceDN w:val="0"/>
              <w:adjustRightInd w:val="0"/>
              <w:snapToGrid w:val="0"/>
              <w:spacing w:line="460" w:lineRule="exact"/>
              <w:jc w:val="center"/>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表1-4本项目与集中式饮用水水源地及其保护区范围位置关系</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28" w:type="dxa"/>
                <w:bottom w:w="28" w:type="dxa"/>
                <w:right w:w="28" w:type="dxa"/>
              </w:tblCellMar>
            </w:tblPr>
            <w:tblGrid>
              <w:gridCol w:w="1193"/>
              <w:gridCol w:w="5257"/>
              <w:gridCol w:w="1245"/>
            </w:tblGrid>
            <w:tr w14:paraId="77396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454" w:hRule="atLeast"/>
                <w:jc w:val="center"/>
              </w:trPr>
              <w:tc>
                <w:tcPr>
                  <w:tcW w:w="775" w:type="pct"/>
                  <w:tcBorders>
                    <w:tl2br w:val="nil"/>
                    <w:tr2bl w:val="nil"/>
                  </w:tcBorders>
                  <w:shd w:val="clear" w:color="auto" w:fill="auto"/>
                  <w:vAlign w:val="center"/>
                </w:tcPr>
                <w:p w14:paraId="0D191E6E">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水源地名称</w:t>
                  </w:r>
                </w:p>
              </w:tc>
              <w:tc>
                <w:tcPr>
                  <w:tcW w:w="3415" w:type="pct"/>
                  <w:tcBorders>
                    <w:tl2br w:val="nil"/>
                    <w:tr2bl w:val="nil"/>
                  </w:tcBorders>
                  <w:shd w:val="clear" w:color="auto" w:fill="auto"/>
                  <w:vAlign w:val="center"/>
                </w:tcPr>
                <w:p w14:paraId="6A59533E">
                  <w:pPr>
                    <w:adjustRightInd w:val="0"/>
                    <w:snapToGrid w:val="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kern w:val="0"/>
                      <w:sz w:val="21"/>
                      <w:szCs w:val="21"/>
                    </w:rPr>
                    <w:t>集中式饮用水水源地及其保护区范围</w:t>
                  </w:r>
                </w:p>
              </w:tc>
              <w:tc>
                <w:tcPr>
                  <w:tcW w:w="808" w:type="pct"/>
                  <w:tcBorders>
                    <w:tl2br w:val="nil"/>
                    <w:tr2bl w:val="nil"/>
                  </w:tcBorders>
                  <w:shd w:val="clear" w:color="auto" w:fill="auto"/>
                  <w:vAlign w:val="center"/>
                </w:tcPr>
                <w:p w14:paraId="1A7682B5">
                  <w:pPr>
                    <w:adjustRightInd w:val="0"/>
                    <w:snapToGrid w:val="0"/>
                    <w:jc w:val="center"/>
                    <w:rPr>
                      <w:rFonts w:hint="default" w:ascii="Times New Roman" w:hAnsi="Times New Roman" w:eastAsia="宋体" w:cs="Times New Roman"/>
                      <w:b/>
                      <w:bCs/>
                      <w:color w:val="auto"/>
                      <w:kern w:val="0"/>
                      <w:sz w:val="21"/>
                      <w:szCs w:val="21"/>
                      <w:lang w:val="en-US" w:eastAsia="zh-CN"/>
                    </w:rPr>
                  </w:pPr>
                  <w:r>
                    <w:rPr>
                      <w:rFonts w:hint="default" w:ascii="Times New Roman" w:hAnsi="Times New Roman" w:cs="Times New Roman"/>
                      <w:b/>
                      <w:bCs/>
                      <w:color w:val="auto"/>
                      <w:kern w:val="0"/>
                      <w:sz w:val="21"/>
                      <w:szCs w:val="21"/>
                      <w:lang w:val="en-US" w:eastAsia="zh-CN"/>
                    </w:rPr>
                    <w:t>本项目与其位置关系</w:t>
                  </w:r>
                </w:p>
              </w:tc>
            </w:tr>
            <w:tr w14:paraId="39773D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74" w:hRule="atLeast"/>
                <w:jc w:val="center"/>
              </w:trPr>
              <w:tc>
                <w:tcPr>
                  <w:tcW w:w="775" w:type="pct"/>
                  <w:vMerge w:val="restart"/>
                  <w:tcBorders>
                    <w:tl2br w:val="nil"/>
                    <w:tr2bl w:val="nil"/>
                  </w:tcBorders>
                  <w:shd w:val="clear" w:color="auto" w:fill="auto"/>
                  <w:vAlign w:val="center"/>
                </w:tcPr>
                <w:p w14:paraId="78D0D88A">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宣汉县普光镇常家沟集中式饮用水水源地</w:t>
                  </w:r>
                </w:p>
              </w:tc>
              <w:tc>
                <w:tcPr>
                  <w:tcW w:w="3415" w:type="pct"/>
                  <w:tcBorders>
                    <w:tl2br w:val="nil"/>
                    <w:tr2bl w:val="nil"/>
                  </w:tcBorders>
                  <w:shd w:val="clear" w:color="auto" w:fill="auto"/>
                  <w:vAlign w:val="center"/>
                </w:tcPr>
                <w:p w14:paraId="749ED880">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取水口信息：</w:t>
                  </w:r>
                </w:p>
                <w:p w14:paraId="0A65BE9F">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N31°30′22.653″，E107°42′29.892″</w:t>
                  </w:r>
                </w:p>
              </w:tc>
              <w:tc>
                <w:tcPr>
                  <w:tcW w:w="808" w:type="pct"/>
                  <w:vMerge w:val="restart"/>
                  <w:tcBorders>
                    <w:tl2br w:val="nil"/>
                    <w:tr2bl w:val="nil"/>
                  </w:tcBorders>
                  <w:shd w:val="clear" w:color="auto" w:fill="auto"/>
                  <w:vAlign w:val="center"/>
                </w:tcPr>
                <w:p w14:paraId="45E6BAD4">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本项目距离二级保护区范围最近距离为2882m</w:t>
                  </w:r>
                </w:p>
              </w:tc>
            </w:tr>
            <w:tr w14:paraId="3102D4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315" w:hRule="atLeast"/>
                <w:jc w:val="center"/>
              </w:trPr>
              <w:tc>
                <w:tcPr>
                  <w:tcW w:w="775" w:type="pct"/>
                  <w:vMerge w:val="continue"/>
                  <w:tcBorders>
                    <w:tl2br w:val="nil"/>
                    <w:tr2bl w:val="nil"/>
                  </w:tcBorders>
                  <w:shd w:val="clear" w:color="auto" w:fill="auto"/>
                  <w:vAlign w:val="center"/>
                </w:tcPr>
                <w:p w14:paraId="148D9360">
                  <w:pPr>
                    <w:adjustRightInd w:val="0"/>
                    <w:snapToGrid w:val="0"/>
                    <w:jc w:val="center"/>
                    <w:rPr>
                      <w:rFonts w:hint="default" w:ascii="Times New Roman" w:hAnsi="Times New Roman" w:cs="Times New Roman"/>
                      <w:color w:val="auto"/>
                      <w:sz w:val="21"/>
                      <w:szCs w:val="21"/>
                      <w:lang w:val="en-US" w:eastAsia="zh-CN"/>
                    </w:rPr>
                  </w:pPr>
                </w:p>
              </w:tc>
              <w:tc>
                <w:tcPr>
                  <w:tcW w:w="3415" w:type="pct"/>
                  <w:tcBorders>
                    <w:tl2br w:val="nil"/>
                    <w:tr2bl w:val="nil"/>
                  </w:tcBorders>
                  <w:shd w:val="clear" w:color="auto" w:fill="auto"/>
                  <w:vAlign w:val="center"/>
                </w:tcPr>
                <w:p w14:paraId="684AFC30">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水源类型：地下水型</w:t>
                  </w:r>
                </w:p>
              </w:tc>
              <w:tc>
                <w:tcPr>
                  <w:tcW w:w="808" w:type="pct"/>
                  <w:vMerge w:val="continue"/>
                  <w:tcBorders>
                    <w:tl2br w:val="nil"/>
                    <w:tr2bl w:val="nil"/>
                  </w:tcBorders>
                  <w:shd w:val="clear" w:color="auto" w:fill="auto"/>
                  <w:vAlign w:val="center"/>
                </w:tcPr>
                <w:p w14:paraId="48D1B642">
                  <w:pPr>
                    <w:adjustRightInd w:val="0"/>
                    <w:snapToGrid w:val="0"/>
                    <w:jc w:val="center"/>
                    <w:rPr>
                      <w:rFonts w:hint="default" w:ascii="Times New Roman" w:hAnsi="Times New Roman" w:cs="Times New Roman"/>
                      <w:color w:val="auto"/>
                      <w:sz w:val="21"/>
                      <w:szCs w:val="21"/>
                    </w:rPr>
                  </w:pPr>
                </w:p>
              </w:tc>
            </w:tr>
            <w:tr w14:paraId="76C7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74" w:hRule="atLeast"/>
                <w:jc w:val="center"/>
              </w:trPr>
              <w:tc>
                <w:tcPr>
                  <w:tcW w:w="775" w:type="pct"/>
                  <w:vMerge w:val="continue"/>
                  <w:tcBorders>
                    <w:tl2br w:val="nil"/>
                    <w:tr2bl w:val="nil"/>
                  </w:tcBorders>
                  <w:shd w:val="clear" w:color="auto" w:fill="auto"/>
                  <w:vAlign w:val="center"/>
                </w:tcPr>
                <w:p w14:paraId="29056A3C">
                  <w:pPr>
                    <w:adjustRightInd w:val="0"/>
                    <w:snapToGrid w:val="0"/>
                    <w:jc w:val="center"/>
                    <w:rPr>
                      <w:rFonts w:hint="default" w:ascii="Times New Roman" w:hAnsi="Times New Roman" w:cs="Times New Roman"/>
                      <w:color w:val="auto"/>
                      <w:sz w:val="21"/>
                      <w:szCs w:val="21"/>
                      <w:lang w:val="en-US" w:eastAsia="zh-CN"/>
                    </w:rPr>
                  </w:pPr>
                </w:p>
              </w:tc>
              <w:tc>
                <w:tcPr>
                  <w:tcW w:w="3415" w:type="pct"/>
                  <w:tcBorders>
                    <w:tl2br w:val="nil"/>
                    <w:tr2bl w:val="nil"/>
                  </w:tcBorders>
                  <w:shd w:val="clear" w:color="auto" w:fill="auto"/>
                  <w:vAlign w:val="center"/>
                </w:tcPr>
                <w:p w14:paraId="5C5F5E0A">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一级保护区</w:t>
                  </w:r>
                </w:p>
                <w:p w14:paraId="67063267">
                  <w:pPr>
                    <w:adjustRightInd w:val="0"/>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sz w:val="21"/>
                      <w:szCs w:val="21"/>
                      <w:lang w:val="en-US" w:eastAsia="zh-CN"/>
                    </w:rPr>
                    <w:t>以取水点为中心，半径30米范围内的圆形区域</w:t>
                  </w:r>
                </w:p>
              </w:tc>
              <w:tc>
                <w:tcPr>
                  <w:tcW w:w="808" w:type="pct"/>
                  <w:vMerge w:val="continue"/>
                  <w:tcBorders>
                    <w:tl2br w:val="nil"/>
                    <w:tr2bl w:val="nil"/>
                  </w:tcBorders>
                  <w:shd w:val="clear" w:color="auto" w:fill="auto"/>
                  <w:vAlign w:val="center"/>
                </w:tcPr>
                <w:p w14:paraId="5388D3B8">
                  <w:pPr>
                    <w:adjustRightInd w:val="0"/>
                    <w:snapToGrid w:val="0"/>
                    <w:jc w:val="center"/>
                    <w:rPr>
                      <w:rFonts w:hint="default" w:ascii="Times New Roman" w:hAnsi="Times New Roman" w:cs="Times New Roman"/>
                      <w:color w:val="auto"/>
                      <w:sz w:val="21"/>
                      <w:szCs w:val="21"/>
                    </w:rPr>
                  </w:pPr>
                </w:p>
              </w:tc>
            </w:tr>
            <w:tr w14:paraId="298615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28" w:type="dxa"/>
                  <w:left w:w="28" w:type="dxa"/>
                  <w:bottom w:w="28" w:type="dxa"/>
                  <w:right w:w="28" w:type="dxa"/>
                </w:tblCellMar>
              </w:tblPrEx>
              <w:trPr>
                <w:trHeight w:val="574" w:hRule="atLeast"/>
                <w:jc w:val="center"/>
              </w:trPr>
              <w:tc>
                <w:tcPr>
                  <w:tcW w:w="775" w:type="pct"/>
                  <w:vMerge w:val="continue"/>
                  <w:tcBorders>
                    <w:tl2br w:val="nil"/>
                    <w:tr2bl w:val="nil"/>
                  </w:tcBorders>
                  <w:shd w:val="clear" w:color="auto" w:fill="auto"/>
                  <w:vAlign w:val="center"/>
                </w:tcPr>
                <w:p w14:paraId="661A89A0">
                  <w:pPr>
                    <w:adjustRightInd w:val="0"/>
                    <w:snapToGrid w:val="0"/>
                    <w:jc w:val="center"/>
                    <w:rPr>
                      <w:rFonts w:hint="default" w:ascii="Times New Roman" w:hAnsi="Times New Roman" w:cs="Times New Roman"/>
                      <w:color w:val="auto"/>
                      <w:sz w:val="21"/>
                      <w:szCs w:val="21"/>
                      <w:lang w:val="en-US" w:eastAsia="zh-CN"/>
                    </w:rPr>
                  </w:pPr>
                </w:p>
              </w:tc>
              <w:tc>
                <w:tcPr>
                  <w:tcW w:w="3415" w:type="pct"/>
                  <w:tcBorders>
                    <w:tl2br w:val="nil"/>
                    <w:tr2bl w:val="nil"/>
                  </w:tcBorders>
                  <w:shd w:val="clear" w:color="auto" w:fill="auto"/>
                  <w:vAlign w:val="center"/>
                </w:tcPr>
                <w:p w14:paraId="396A8C83">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二级保护区</w:t>
                  </w:r>
                </w:p>
                <w:p w14:paraId="5F2FBAA4">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除一级保护区外，以取水点为中心，300米范围内，但不超过道路临取水口一侧的区域。</w:t>
                  </w:r>
                </w:p>
              </w:tc>
              <w:tc>
                <w:tcPr>
                  <w:tcW w:w="808" w:type="pct"/>
                  <w:vMerge w:val="continue"/>
                  <w:tcBorders>
                    <w:tl2br w:val="nil"/>
                    <w:tr2bl w:val="nil"/>
                  </w:tcBorders>
                  <w:shd w:val="clear" w:color="auto" w:fill="auto"/>
                  <w:vAlign w:val="center"/>
                </w:tcPr>
                <w:p w14:paraId="6C6D4A00">
                  <w:pPr>
                    <w:adjustRightInd w:val="0"/>
                    <w:snapToGrid w:val="0"/>
                    <w:jc w:val="center"/>
                    <w:rPr>
                      <w:rFonts w:hint="default" w:ascii="Times New Roman" w:hAnsi="Times New Roman" w:cs="Times New Roman"/>
                      <w:color w:val="auto"/>
                      <w:sz w:val="21"/>
                      <w:szCs w:val="21"/>
                    </w:rPr>
                  </w:pPr>
                </w:p>
              </w:tc>
            </w:tr>
          </w:tbl>
          <w:p w14:paraId="277BECD0">
            <w:pPr>
              <w:keepNext w:val="0"/>
              <w:keepLines w:val="0"/>
              <w:pageBreakBefore w:val="0"/>
              <w:widowControl w:val="0"/>
              <w:kinsoku/>
              <w:wordWrap/>
              <w:overflowPunct/>
              <w:topLinePunct w:val="0"/>
              <w:bidi w:val="0"/>
              <w:adjustRightInd w:val="0"/>
              <w:snapToGrid w:val="0"/>
              <w:spacing w:line="360" w:lineRule="auto"/>
              <w:ind w:left="0" w:leftChars="0" w:firstLine="0" w:firstLineChars="0"/>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rPr>
              <mc:AlternateContent>
                <mc:Choice Requires="wps">
                  <w:drawing>
                    <wp:anchor distT="0" distB="0" distL="114300" distR="114300" simplePos="0" relativeHeight="251667456" behindDoc="0" locked="0" layoutInCell="1" allowOverlap="1">
                      <wp:simplePos x="0" y="0"/>
                      <wp:positionH relativeFrom="column">
                        <wp:posOffset>2138045</wp:posOffset>
                      </wp:positionH>
                      <wp:positionV relativeFrom="paragraph">
                        <wp:posOffset>1564640</wp:posOffset>
                      </wp:positionV>
                      <wp:extent cx="560705" cy="238125"/>
                      <wp:effectExtent l="0" t="0" r="0" b="0"/>
                      <wp:wrapNone/>
                      <wp:docPr id="14" name="文本框 14"/>
                      <wp:cNvGraphicFramePr/>
                      <a:graphic xmlns:a="http://schemas.openxmlformats.org/drawingml/2006/main">
                        <a:graphicData uri="http://schemas.microsoft.com/office/word/2010/wordprocessingShape">
                          <wps:wsp>
                            <wps:cNvSpPr txBox="1"/>
                            <wps:spPr>
                              <a:xfrm>
                                <a:off x="4163695" y="4390390"/>
                                <a:ext cx="560705" cy="2381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6B744C0">
                                  <w:pPr>
                                    <w:rPr>
                                      <w:rFonts w:hint="default" w:eastAsia="宋体"/>
                                      <w:highlight w:val="yellow"/>
                                      <w:lang w:val="en-US" w:eastAsia="zh-CN"/>
                                    </w:rPr>
                                  </w:pPr>
                                  <w:r>
                                    <w:rPr>
                                      <w:rFonts w:hint="eastAsia"/>
                                      <w:color w:val="FFFF00"/>
                                      <w:highlight w:val="none"/>
                                      <w:lang w:val="en-US" w:eastAsia="zh-CN"/>
                                    </w:rPr>
                                    <w:t>2882m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8.35pt;margin-top:123.2pt;height:18.75pt;width:44.15pt;z-index:251667456;mso-width-relative:page;mso-height-relative:page;" filled="f" stroked="f" coordsize="21600,21600" o:gfxdata="UEsDBAoAAAAAAIdO4kAAAAAAAAAAAAAAAAAEAAAAZHJzL1BLAwQUAAAACACHTuJAOF02MdwAAAAL&#10;AQAADwAAAGRycy9kb3ducmV2LnhtbE2PTU+DQBCG7yb+h82YeLNLgSJFlsaQNCbGHlp76W1hp0Dc&#10;D2S3H/rrHU96nJkn7zxvuboazc44+cFZAfNZBAxt69RgOwH79/VDDswHaZXUzqKAL/Swqm5vSlko&#10;d7FbPO9CxyjE+kIK6EMYC85926ORfuZGtHQ7usnIQOPUcTXJC4UbzeMoyriRg6UPvRyx7rH92J2M&#10;gNd6vZHbJjb5t65f3o7P4+f+sBDi/m4ePQELeA1/MPzqkzpU5NS4k1WeaQFJkj0SKiBOsxQYEWm8&#10;oHYNbfJkCbwq+f8O1Q9QSwMEFAAAAAgAh07iQPZbQGlGAgAAcwQAAA4AAABkcnMvZTJvRG9jLnht&#10;bK1Uy24TMRTdI/EPlvd0Js82USdVaFWEVNFKAbF2PJ7OSH5hO5kpHwB/wIoNe74r38GxJ0mrwqIL&#10;pMi59j251+fc45xfdEqSrXC+Mbqgg5OcEqG5KRt9X9BPH6/fnFHiA9Mlk0aLgj4ITy8Wr1+dt3Yu&#10;hqY2shSOoIj289YWtA7BzrPM81oo5k+MFRrJyjjFArbuPisda1FdyWyY59OsNa60znDhPU6v+iTd&#10;V3QvKWiqquHiyvCNEjr0VZ2QLICSrxvr6SLdtqoED7dV5UUgsqBgGtKKJojXcc0W52x+75itG76/&#10;AnvJFZ5xUqzRaHosdcUCIxvX/FVKNdwZb6pwwo3KeiJJEbAY5M+0WdXMisQFUnt7FN3/v7L8w/bO&#10;kaaEE8aUaKYw8d2P77ufv3e/vhGcQaDW+jlwKwtk6N6aDuDDucdh5N1VTsVvMCLIjwfT0XQ2oeQB&#10;8WiW49NLLbpAOACTaX6aI88BGI7OBsNJzGePhazz4Z0wisSgoA6TTAKz7Y0PPfQAiX21uW6kTNOU&#10;mrQFnY4mefrBMYPiUqNHpNNfO0ahW3d7jmtTPoCiM71LvOXXDZrfMB/umIMtYBo8nHCLpZIGTcw+&#10;oqQ27uu/ziMe00KWkhY2K6j/smFOUCLfa8xxNhiPoy/TZjw5HWLjnmbWTzN6oy4NnDzAE7U8hREf&#10;5CGsnFGf8b6WsStSTHP0Lmg4hJehNz/eJxfLZQLBiZaFG72yPJbu5VxugqmapHSUqddmrx68mGa1&#10;fzfR7E/3CfX4X7H4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hdNjHcAAAACwEAAA8AAAAAAAAA&#10;AQAgAAAAIgAAAGRycy9kb3ducmV2LnhtbFBLAQIUABQAAAAIAIdO4kD2W0BpRgIAAHMEAAAOAAAA&#10;AAAAAAEAIAAAACsBAABkcnMvZTJvRG9jLnhtbFBLBQYAAAAABgAGAFkBAADjBQAAAAA=&#10;">
                      <v:fill on="f" focussize="0,0"/>
                      <v:stroke on="f" weight="0.5pt"/>
                      <v:imagedata o:title=""/>
                      <o:lock v:ext="edit" aspectratio="f"/>
                      <v:textbox>
                        <w:txbxContent>
                          <w:p w14:paraId="46B744C0">
                            <w:pPr>
                              <w:rPr>
                                <w:rFonts w:hint="default" w:eastAsia="宋体"/>
                                <w:highlight w:val="yellow"/>
                                <w:lang w:val="en-US" w:eastAsia="zh-CN"/>
                              </w:rPr>
                            </w:pPr>
                            <w:r>
                              <w:rPr>
                                <w:rFonts w:hint="eastAsia"/>
                                <w:color w:val="FFFF00"/>
                                <w:highlight w:val="none"/>
                                <w:lang w:val="en-US" w:eastAsia="zh-CN"/>
                              </w:rPr>
                              <w:t>2882m</w:t>
                            </w:r>
                          </w:p>
                        </w:txbxContent>
                      </v:textbox>
                    </v:shape>
                  </w:pict>
                </mc:Fallback>
              </mc:AlternateContent>
            </w:r>
            <w:r>
              <w:rPr>
                <w:rFonts w:hint="default" w:ascii="Times New Roman" w:hAnsi="Times New Roman" w:cs="Times New Roman"/>
                <w:color w:val="auto"/>
                <w:sz w:val="24"/>
              </w:rPr>
              <mc:AlternateContent>
                <mc:Choice Requires="wps">
                  <w:drawing>
                    <wp:anchor distT="0" distB="0" distL="114300" distR="114300" simplePos="0" relativeHeight="251666432" behindDoc="0" locked="0" layoutInCell="1" allowOverlap="1">
                      <wp:simplePos x="0" y="0"/>
                      <wp:positionH relativeFrom="column">
                        <wp:posOffset>2090420</wp:posOffset>
                      </wp:positionH>
                      <wp:positionV relativeFrom="paragraph">
                        <wp:posOffset>1183640</wp:posOffset>
                      </wp:positionV>
                      <wp:extent cx="771525" cy="695325"/>
                      <wp:effectExtent l="3175" t="3810" r="0" b="12065"/>
                      <wp:wrapNone/>
                      <wp:docPr id="13" name="直接箭头连接符 13"/>
                      <wp:cNvGraphicFramePr/>
                      <a:graphic xmlns:a="http://schemas.openxmlformats.org/drawingml/2006/main">
                        <a:graphicData uri="http://schemas.microsoft.com/office/word/2010/wordprocessingShape">
                          <wps:wsp>
                            <wps:cNvCnPr/>
                            <wps:spPr>
                              <a:xfrm>
                                <a:off x="3725545" y="4285615"/>
                                <a:ext cx="771525" cy="695325"/>
                              </a:xfrm>
                              <a:prstGeom prst="straightConnector1">
                                <a:avLst/>
                              </a:prstGeom>
                              <a:ln>
                                <a:solidFill>
                                  <a:srgbClr val="FFFF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margin-left:164.6pt;margin-top:93.2pt;height:54.75pt;width:60.75pt;z-index:251666432;mso-width-relative:page;mso-height-relative:page;" filled="f" stroked="t" coordsize="21600,21600" o:gfxdata="UEsDBAoAAAAAAIdO4kAAAAAAAAAAAAAAAAAEAAAAZHJzL1BLAwQUAAAACACHTuJAqy/93tsAAAAL&#10;AQAADwAAAGRycy9kb3ducmV2LnhtbE2Py26DMBBF95XyD9ZE6q6xoeQBxWRRKZuqQmoade3gCaDg&#10;McIOkH593VW7HN2je8/k+9l0bMTBtZYkRCsBDKmyuqVawunz8LQD5rwirTpLKOGODvbF4iFXmbYT&#10;feB49DULJeQyJaHxvs84d1WDRrmV7ZFCdrGDUT6cQ831oKZQbjoeC7HhRrUUFhrV42uD1fV4MxJG&#10;0RO/RIev+/V7St5P23Iu30opH5eReAHmcfZ/MPzqB3UogtPZ3kg71kl4jtM4oCHYbRJggUjWYgvs&#10;LCFO1ynwIuf/fyh+AFBLAwQUAAAACACHTuJAsgAtOAwCAADZAwAADgAAAGRycy9lMm9Eb2MueG1s&#10;rVPNjtMwEL4j8Q6W7zRpu2l3o6Z7aCkXBJWAB3AdJ7HkP429TfsSvAASJ+AEnPbO08DyGIydsgvL&#10;ZQ/k4Iw9M9/M93m8uDxoRfYCvLSmouNRTokw3NbStBV983rz5JwSH5ipmbJGVPQoPL1cPn606F0p&#10;JrazqhZAEMT4sncV7UJwZZZ53gnN/Mg6YdDZWNAs4BbarAbWI7pW2STPZ1lvoXZgufAeT9eDk54Q&#10;4SGAtmkkF2vLr7QwYUAFoVhASr6TztNl6rZpBA8vm8aLQFRFkWlIKxZBexfXbLlgZQvMdZKfWmAP&#10;aeEeJ82kwaK3UGsWGLkC+Q+Ulhyst00YcauzgUhSBFmM83vavOqYE4kLSu3drej+/8HyF/stEFnj&#10;JEwpMUzjjd+8u/7x9uPN1y/fP1z//PY+2p8/EfSjWL3zJeaszBZOO++2EJkfGtDxj5zIoaLT+aQo&#10;zgpKjhU9m5wXs3ExiC0OgXAMmM/HxQT9HANmF8UUbUTM7oAc+PBMWE2iUVEfgMm2CytrDF6rhXES&#10;nO2f+zAk/k6IXRi7kUrhOSuVIX1FL4ZiDCe2wUnButoha29aSphq8SnwAAnRWyXrmB2TPbS7lQKy&#10;ZzhAG/zyNDPY5l9hsfSa+W6IS66BbWBSPTU1CUeHyjIA259oKoNso5yDgNHa2fqYdE3neONJj9N0&#10;xpH6c5+y717k8h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CrL/3e2wAAAAsBAAAPAAAAAAAAAAEA&#10;IAAAACIAAABkcnMvZG93bnJldi54bWxQSwECFAAUAAAACACHTuJAsgAtOAwCAADZAwAADgAAAAAA&#10;AAABACAAAAAqAQAAZHJzL2Uyb0RvYy54bWxQSwUGAAAAAAYABgBZAQAAqAUAAAAA&#10;">
                      <v:fill on="f" focussize="0,0"/>
                      <v:stroke color="#FFFF00 [3204]" joinstyle="round" endarrow="open"/>
                      <v:imagedata o:title=""/>
                      <o:lock v:ext="edit" aspectratio="f"/>
                    </v:shape>
                  </w:pict>
                </mc:Fallback>
              </mc:AlternateContent>
            </w:r>
            <w:r>
              <w:rPr>
                <w:rFonts w:hint="default" w:ascii="Times New Roman" w:hAnsi="Times New Roman" w:eastAsia="宋体" w:cs="Times New Roman"/>
                <w:color w:val="auto"/>
                <w:sz w:val="24"/>
                <w:szCs w:val="32"/>
                <w:lang w:eastAsia="zh-CN"/>
              </w:rPr>
              <w:drawing>
                <wp:inline distT="0" distB="0" distL="114300" distR="114300">
                  <wp:extent cx="4888865" cy="2364740"/>
                  <wp:effectExtent l="0" t="0" r="635" b="10160"/>
                  <wp:docPr id="11" name="图片 11" descr="敏感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敏感区"/>
                          <pic:cNvPicPr>
                            <a:picLocks noChangeAspect="1"/>
                          </pic:cNvPicPr>
                        </pic:nvPicPr>
                        <pic:blipFill>
                          <a:blip r:embed="rId17"/>
                          <a:stretch>
                            <a:fillRect/>
                          </a:stretch>
                        </pic:blipFill>
                        <pic:spPr>
                          <a:xfrm>
                            <a:off x="0" y="0"/>
                            <a:ext cx="4888865" cy="2364740"/>
                          </a:xfrm>
                          <a:prstGeom prst="rect">
                            <a:avLst/>
                          </a:prstGeom>
                        </pic:spPr>
                      </pic:pic>
                    </a:graphicData>
                  </a:graphic>
                </wp:inline>
              </w:drawing>
            </w:r>
          </w:p>
          <w:p w14:paraId="20FAE829">
            <w:pPr>
              <w:keepNext w:val="0"/>
              <w:keepLines w:val="0"/>
              <w:pageBreakBefore w:val="0"/>
              <w:widowControl w:val="0"/>
              <w:kinsoku/>
              <w:wordWrap/>
              <w:overflowPunct/>
              <w:topLinePunct w:val="0"/>
              <w:bidi w:val="0"/>
              <w:adjustRightInd w:val="0"/>
              <w:snapToGrid w:val="0"/>
              <w:spacing w:line="360" w:lineRule="auto"/>
              <w:ind w:left="0" w:leftChars="0" w:firstLine="0" w:firstLineChars="0"/>
              <w:jc w:val="center"/>
              <w:textAlignment w:val="auto"/>
              <w:rPr>
                <w:rFonts w:hint="default" w:ascii="Times New Roman" w:hAnsi="Times New Roman" w:eastAsia="宋体" w:cs="Times New Roman"/>
                <w:b/>
                <w:bCs/>
                <w:color w:val="auto"/>
                <w:sz w:val="21"/>
                <w:szCs w:val="24"/>
                <w:lang w:eastAsia="zh-CN"/>
              </w:rPr>
            </w:pPr>
            <w:r>
              <w:rPr>
                <w:rFonts w:hint="default" w:ascii="Times New Roman" w:hAnsi="Times New Roman" w:eastAsia="宋体" w:cs="Times New Roman"/>
                <w:b/>
                <w:bCs/>
                <w:color w:val="auto"/>
                <w:sz w:val="21"/>
                <w:szCs w:val="24"/>
                <w:lang w:eastAsia="zh-CN"/>
              </w:rPr>
              <w:t>图</w:t>
            </w:r>
            <w:r>
              <w:rPr>
                <w:rFonts w:hint="default" w:ascii="Times New Roman" w:hAnsi="Times New Roman" w:cs="Times New Roman"/>
                <w:b/>
                <w:bCs/>
                <w:color w:val="auto"/>
                <w:sz w:val="21"/>
                <w:szCs w:val="24"/>
                <w:lang w:val="en-US" w:eastAsia="zh-CN"/>
              </w:rPr>
              <w:t xml:space="preserve">1-3 </w:t>
            </w:r>
            <w:r>
              <w:rPr>
                <w:rFonts w:hint="default" w:ascii="Times New Roman" w:hAnsi="Times New Roman" w:eastAsia="宋体" w:cs="Times New Roman"/>
                <w:b/>
                <w:bCs/>
                <w:color w:val="auto"/>
                <w:sz w:val="21"/>
                <w:szCs w:val="24"/>
                <w:lang w:eastAsia="zh-CN"/>
              </w:rPr>
              <w:t>本项目与饮用水水源保护地位置关系图</w:t>
            </w:r>
          </w:p>
          <w:p w14:paraId="29757CEE">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由上表可知，本项目距离宣汉县普光镇常家沟集中式饮用水水源地二级保护区范围距离为</w:t>
            </w:r>
            <w:r>
              <w:rPr>
                <w:rFonts w:hint="default" w:ascii="Times New Roman" w:hAnsi="Times New Roman" w:cs="Times New Roman"/>
                <w:color w:val="auto"/>
                <w:sz w:val="24"/>
                <w:szCs w:val="32"/>
                <w:lang w:val="en-US" w:eastAsia="zh-CN"/>
              </w:rPr>
              <w:t>2882</w:t>
            </w:r>
            <w:r>
              <w:rPr>
                <w:rFonts w:hint="default" w:ascii="Times New Roman" w:hAnsi="Times New Roman" w:cs="Times New Roman"/>
                <w:color w:val="auto"/>
                <w:sz w:val="24"/>
                <w:szCs w:val="32"/>
              </w:rPr>
              <w:t>m，距离较远，</w:t>
            </w:r>
            <w:r>
              <w:rPr>
                <w:rFonts w:hint="default" w:ascii="Times New Roman" w:hAnsi="Times New Roman" w:cs="Times New Roman"/>
                <w:b/>
                <w:bCs/>
                <w:color w:val="auto"/>
                <w:sz w:val="24"/>
                <w:szCs w:val="32"/>
                <w:lang w:val="en-US" w:eastAsia="zh-CN"/>
              </w:rPr>
              <w:t>不在</w:t>
            </w:r>
            <w:r>
              <w:rPr>
                <w:rFonts w:hint="default" w:ascii="Times New Roman" w:hAnsi="Times New Roman" w:cs="Times New Roman"/>
                <w:b/>
                <w:bCs/>
                <w:color w:val="auto"/>
                <w:sz w:val="24"/>
                <w:szCs w:val="32"/>
              </w:rPr>
              <w:t>宣汉县普光镇常家沟集中式饮用水水源地二级保护区</w:t>
            </w:r>
            <w:r>
              <w:rPr>
                <w:rFonts w:hint="default" w:ascii="Times New Roman" w:hAnsi="Times New Roman" w:cs="Times New Roman"/>
                <w:b/>
                <w:bCs/>
                <w:color w:val="auto"/>
                <w:sz w:val="24"/>
                <w:szCs w:val="32"/>
                <w:lang w:val="en-US" w:eastAsia="zh-CN"/>
              </w:rPr>
              <w:t>内，</w:t>
            </w:r>
            <w:r>
              <w:rPr>
                <w:rFonts w:hint="default" w:ascii="Times New Roman" w:hAnsi="Times New Roman" w:cs="Times New Roman"/>
                <w:color w:val="auto"/>
                <w:sz w:val="24"/>
                <w:szCs w:val="32"/>
              </w:rPr>
              <w:t>不会对以上集中式饮用水水源地产生明显影响。</w:t>
            </w:r>
          </w:p>
          <w:p w14:paraId="699C693E">
            <w:pPr>
              <w:keepNext w:val="0"/>
              <w:keepLines w:val="0"/>
              <w:pageBreakBefore w:val="0"/>
              <w:widowControl w:val="0"/>
              <w:numPr>
                <w:ilvl w:val="0"/>
                <w:numId w:val="0"/>
              </w:numPr>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eastAsia" w:ascii="Times New Roman" w:hAnsi="Times New Roman" w:cs="Times New Roman"/>
                <w:b/>
                <w:bCs/>
                <w:color w:val="auto"/>
                <w:kern w:val="2"/>
                <w:sz w:val="24"/>
                <w:szCs w:val="32"/>
                <w:lang w:val="en-US" w:eastAsia="zh-CN" w:bidi="ar-SA"/>
              </w:rPr>
              <w:t>9</w:t>
            </w:r>
            <w:r>
              <w:rPr>
                <w:rFonts w:hint="default" w:ascii="Times New Roman" w:hAnsi="Times New Roman" w:eastAsia="宋体" w:cs="Times New Roman"/>
                <w:b/>
                <w:bCs/>
                <w:color w:val="auto"/>
                <w:kern w:val="2"/>
                <w:sz w:val="24"/>
                <w:szCs w:val="32"/>
                <w:lang w:val="en-US" w:eastAsia="zh-CN" w:bidi="ar-SA"/>
              </w:rPr>
              <w:t>、</w:t>
            </w:r>
            <w:r>
              <w:rPr>
                <w:rFonts w:hint="default" w:ascii="Times New Roman" w:hAnsi="Times New Roman" w:cs="Times New Roman"/>
                <w:b/>
                <w:bCs/>
                <w:color w:val="auto"/>
                <w:sz w:val="24"/>
                <w:szCs w:val="32"/>
              </w:rPr>
              <w:t>生态环境分区管控符合性分析</w:t>
            </w:r>
          </w:p>
          <w:p w14:paraId="7C1EC7B0">
            <w:pPr>
              <w:pStyle w:val="7"/>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right="0" w:rightChars="0" w:firstLine="480" w:firstLineChars="200"/>
              <w:jc w:val="both"/>
              <w:textAlignment w:val="auto"/>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根据四川省生态环境厅生态环境分区管控符合性分析平台查询，本项目位于达州市宣汉县环境综合管控单元工业重点管控单元（管控单元名称：四川达州普光经济开发区，管控单元编号：ZH51172220002）和环境综合管控单元一般管控单元（管控单元名称：宣汉县一般管控单元，管控单元编号：ZH51172230001）。项目与管控单元相对位置如下图所示：（图中▼表示项目位置）。</w:t>
            </w:r>
          </w:p>
          <w:p w14:paraId="59372CE2">
            <w:pPr>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cs="Times New Roman"/>
                <w:color w:val="auto"/>
                <w:sz w:val="24"/>
              </w:rPr>
              <mc:AlternateContent>
                <mc:Choice Requires="wps">
                  <w:drawing>
                    <wp:anchor distT="0" distB="0" distL="114300" distR="114300" simplePos="0" relativeHeight="251665408" behindDoc="0" locked="0" layoutInCell="1" allowOverlap="1">
                      <wp:simplePos x="0" y="0"/>
                      <wp:positionH relativeFrom="column">
                        <wp:posOffset>684530</wp:posOffset>
                      </wp:positionH>
                      <wp:positionV relativeFrom="paragraph">
                        <wp:posOffset>934720</wp:posOffset>
                      </wp:positionV>
                      <wp:extent cx="1029335" cy="284480"/>
                      <wp:effectExtent l="4445" t="5080" r="414020" b="383540"/>
                      <wp:wrapNone/>
                      <wp:docPr id="59" name="矩形标注 59"/>
                      <wp:cNvGraphicFramePr/>
                      <a:graphic xmlns:a="http://schemas.openxmlformats.org/drawingml/2006/main">
                        <a:graphicData uri="http://schemas.microsoft.com/office/word/2010/wordprocessingShape">
                          <wps:wsp>
                            <wps:cNvSpPr/>
                            <wps:spPr>
                              <a:xfrm>
                                <a:off x="0" y="0"/>
                                <a:ext cx="1029335" cy="284480"/>
                              </a:xfrm>
                              <a:prstGeom prst="wedgeRectCallout">
                                <a:avLst>
                                  <a:gd name="adj1" fmla="val 88926"/>
                                  <a:gd name="adj2" fmla="val 179017"/>
                                </a:avLst>
                              </a:pr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8A8EFDF">
                                  <w:pPr>
                                    <w:jc w:val="center"/>
                                    <w:rPr>
                                      <w:rFonts w:hint="default" w:eastAsia="宋体"/>
                                      <w:color w:val="FF0000"/>
                                      <w:sz w:val="21"/>
                                      <w:szCs w:val="21"/>
                                      <w:lang w:val="en-US" w:eastAsia="zh-CN"/>
                                    </w:rPr>
                                  </w:pPr>
                                  <w:r>
                                    <w:rPr>
                                      <w:rFonts w:hint="eastAsia"/>
                                      <w:color w:val="FF0000"/>
                                      <w:sz w:val="21"/>
                                      <w:szCs w:val="21"/>
                                      <w:lang w:val="en-US" w:eastAsia="zh-CN"/>
                                    </w:rPr>
                                    <w:t>本项目所在地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3.9pt;margin-top:73.6pt;height:22.4pt;width:81.05pt;z-index:251665408;v-text-anchor:middle;mso-width-relative:page;mso-height-relative:page;" filled="f" stroked="t" coordsize="21600,21600" o:gfxdata="UEsDBAoAAAAAAIdO4kAAAAAAAAAAAAAAAAAEAAAAZHJzL1BLAwQUAAAACACHTuJA6m9XetkAAAAL&#10;AQAADwAAAGRycy9kb3ducmV2LnhtbE2PT0/DMAzF70h8h8hI3FjSCm20azpNaEgIcemAw25e47UR&#10;TVI12R++PebEbn728/PP1eriBnGiKdrgNWQzBYJ8G4z1nYbPj5eHJxAxoTc4BE8afijCqr69qbA0&#10;4ewbOm1TJzjExxI19CmNpZSx7clhnIWRPM8OYXKYWE6dNBOeOdwNMldqLh1azxd6HOm5p/Z7e3SM&#10;gevd+LrevH9lu8YWdvMmG0Kt7+8ytQSR6JL+zfCHzztQM9M+HL2JYmCtFoyeuHhc5CDYkc+LAsSe&#10;O0WuQNaVvP6h/gVQSwMEFAAAAAgAh07iQCtCcaadAgAAJAUAAA4AAABkcnMvZTJvRG9jLnhtbK1U&#10;zW4TMRC+I/EOlu9kf5q0SdRNFSUKQqpoREGcHa+9u8h/2E425QV4DBAnOHPmcSivwdi7TUPh0AM5&#10;ODOe2W9mvpnx+cVeCrRj1jVaFTgbpBgxRXXZqKrAb16vno0xcp6okgitWIFvmMMXs6dPzlszZbmu&#10;tSiZRQCi3LQ1Ba69N9MkcbRmkriBNkyBkWsriQfVVklpSQvoUiR5mp4mrbalsZoy5+B22Rlxj2gf&#10;A6g5byhbarqVTPkO1TJBPJTk6sY4PIvZcs6ov+LcMY9EgaFSH08IAvImnMnsnEwrS0zd0D4F8pgU&#10;HtQkSaMg6AFqSTxBW9v8BSUbarXT3A+olklXSGQEqsjSB9xc18SwWAtQ7cyBdPf/YOnL3dqipizw&#10;aIKRIhI6/uvTt58/vtx+/nj7/SuCa+CoNW4KrtdmbXvNgRgK3nMrwz+UgvaR15sDr2zvEYXLLM0n&#10;JycjjCjY8vFwOI7EJ/dfG+v8c6YlCkKBW1ZW7BU0b0GE0FsfqSW7S+cjx2WfKCnfZRhxKaBlOyLQ&#10;eDzJT/uWHvnkxz7Z2STNzoIThO8hQbpLIOArvWqEiJMhFGoLPBnlIXkC085hykCUBhhzqsKIiArW&#10;iHobc3RaNGX4OuA4W20WwiJIrcCrVQq/Pu4fbiH0kri684um3k0oyDJQ35EdJL/f7PsObHR5A72z&#10;uhtqZ+iqAahL4vyaWKAEZhz23F/BwYWGOnQvYVRr++Ff98EfhgusGLWwFVDk+y2xDCPxQsHYTbLh&#10;MKxRVIajsxwUe2zZHFvUVi401A5NguyiGPy9uBO51fItPAfzEBVMRFGI3dHZKwvfbSs8KJTN59EN&#10;VscQf6muDQ3gXc/mW69540NjA1EdO70CyxP73S962M5jPXrdP26z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OpvV3rZAAAACwEAAA8AAAAAAAAAAQAgAAAAIgAAAGRycy9kb3ducmV2LnhtbFBLAQIU&#10;ABQAAAAIAIdO4kArQnGmnQIAACQFAAAOAAAAAAAAAAEAIAAAACgBAABkcnMvZTJvRG9jLnhtbFBL&#10;BQYAAAAABgAGAFkBAAA3BgAAAAA=&#10;" adj="30008,49468">
                      <v:fill on="f" focussize="0,0"/>
                      <v:stroke color="#FF0000 [2404]" joinstyle="round"/>
                      <v:imagedata o:title=""/>
                      <o:lock v:ext="edit" aspectratio="f"/>
                      <v:textbox>
                        <w:txbxContent>
                          <w:p w14:paraId="38A8EFDF">
                            <w:pPr>
                              <w:jc w:val="center"/>
                              <w:rPr>
                                <w:rFonts w:hint="default" w:eastAsia="宋体"/>
                                <w:color w:val="FF0000"/>
                                <w:sz w:val="21"/>
                                <w:szCs w:val="21"/>
                                <w:lang w:val="en-US" w:eastAsia="zh-CN"/>
                              </w:rPr>
                            </w:pPr>
                            <w:r>
                              <w:rPr>
                                <w:rFonts w:hint="eastAsia"/>
                                <w:color w:val="FF0000"/>
                                <w:sz w:val="21"/>
                                <w:szCs w:val="21"/>
                                <w:lang w:val="en-US" w:eastAsia="zh-CN"/>
                              </w:rPr>
                              <w:t>本项目所在地</w:t>
                            </w:r>
                          </w:p>
                        </w:txbxContent>
                      </v:textbox>
                    </v:shape>
                  </w:pict>
                </mc:Fallback>
              </mc:AlternateContent>
            </w:r>
            <w:r>
              <w:rPr>
                <w:rFonts w:hint="default" w:ascii="Times New Roman" w:hAnsi="Times New Roman" w:eastAsia="宋体" w:cs="Times New Roman"/>
                <w:color w:val="auto"/>
                <w:sz w:val="24"/>
                <w:szCs w:val="24"/>
              </w:rPr>
              <w:drawing>
                <wp:inline distT="0" distB="0" distL="114300" distR="114300">
                  <wp:extent cx="4870450" cy="3463290"/>
                  <wp:effectExtent l="0" t="0" r="6350" b="3810"/>
                  <wp:docPr id="4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descr="IMG_256"/>
                          <pic:cNvPicPr>
                            <a:picLocks noChangeAspect="1"/>
                          </pic:cNvPicPr>
                        </pic:nvPicPr>
                        <pic:blipFill>
                          <a:blip r:embed="rId18"/>
                          <a:srcRect l="1862" t="2119" r="1471" b="1823"/>
                          <a:stretch>
                            <a:fillRect/>
                          </a:stretch>
                        </pic:blipFill>
                        <pic:spPr>
                          <a:xfrm>
                            <a:off x="0" y="0"/>
                            <a:ext cx="4870450" cy="3463290"/>
                          </a:xfrm>
                          <a:prstGeom prst="rect">
                            <a:avLst/>
                          </a:prstGeom>
                          <a:noFill/>
                          <a:ln w="9525">
                            <a:noFill/>
                          </a:ln>
                        </pic:spPr>
                      </pic:pic>
                    </a:graphicData>
                  </a:graphic>
                </wp:inline>
              </w:drawing>
            </w:r>
          </w:p>
          <w:p w14:paraId="55885AAB">
            <w:pPr>
              <w:spacing w:line="360" w:lineRule="auto"/>
              <w:ind w:firstLine="422" w:firstLineChars="200"/>
              <w:jc w:val="center"/>
              <w:textAlignment w:val="baseline"/>
              <w:rPr>
                <w:rFonts w:hint="default" w:ascii="Times New Roman" w:hAnsi="Times New Roman" w:eastAsia="宋体" w:cs="Times New Roman"/>
                <w:b/>
                <w:bCs/>
                <w:color w:val="auto"/>
                <w:kern w:val="0"/>
                <w:szCs w:val="21"/>
                <w:lang w:val="en-US" w:eastAsia="zh-CN"/>
              </w:rPr>
            </w:pPr>
            <w:r>
              <w:rPr>
                <w:rFonts w:hint="default" w:ascii="Times New Roman" w:hAnsi="Times New Roman" w:eastAsia="宋体" w:cs="Times New Roman"/>
                <w:b/>
                <w:bCs/>
                <w:color w:val="auto"/>
                <w:kern w:val="0"/>
                <w:szCs w:val="21"/>
                <w:lang w:val="en-US" w:eastAsia="zh-CN"/>
              </w:rPr>
              <w:t>图1-</w:t>
            </w:r>
            <w:r>
              <w:rPr>
                <w:rFonts w:hint="default" w:ascii="Times New Roman" w:hAnsi="Times New Roman" w:cs="Times New Roman"/>
                <w:b/>
                <w:bCs/>
                <w:color w:val="auto"/>
                <w:kern w:val="0"/>
                <w:szCs w:val="21"/>
                <w:lang w:val="en-US" w:eastAsia="zh-CN"/>
              </w:rPr>
              <w:t xml:space="preserve">4 </w:t>
            </w:r>
            <w:r>
              <w:rPr>
                <w:rFonts w:hint="default" w:ascii="Times New Roman" w:hAnsi="Times New Roman" w:eastAsia="宋体" w:cs="Times New Roman"/>
                <w:b/>
                <w:bCs/>
                <w:color w:val="auto"/>
                <w:kern w:val="0"/>
                <w:szCs w:val="21"/>
                <w:lang w:val="en-US" w:eastAsia="zh-CN"/>
              </w:rPr>
              <w:t>本项目与达州环境管控单元位置关系图</w:t>
            </w:r>
          </w:p>
          <w:p w14:paraId="49188AB2">
            <w:pPr>
              <w:pStyle w:val="7"/>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0" w:leftChars="0" w:right="0" w:rightChars="0" w:firstLine="0" w:firstLineChars="0"/>
              <w:jc w:val="both"/>
              <w:textAlignment w:val="auto"/>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Helvetica" w:cs="Times New Roman"/>
                <w:color w:val="auto"/>
                <w:sz w:val="28"/>
                <w:szCs w:val="24"/>
              </w:rPr>
              <w:drawing>
                <wp:inline distT="0" distB="0" distL="114300" distR="114300">
                  <wp:extent cx="4895850" cy="3462020"/>
                  <wp:effectExtent l="0" t="0" r="6350" b="508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19"/>
                          <a:stretch>
                            <a:fillRect/>
                          </a:stretch>
                        </pic:blipFill>
                        <pic:spPr>
                          <a:xfrm>
                            <a:off x="0" y="0"/>
                            <a:ext cx="4895850" cy="3462020"/>
                          </a:xfrm>
                          <a:prstGeom prst="rect">
                            <a:avLst/>
                          </a:prstGeom>
                          <a:noFill/>
                          <a:ln>
                            <a:noFill/>
                          </a:ln>
                        </pic:spPr>
                      </pic:pic>
                    </a:graphicData>
                  </a:graphic>
                </wp:inline>
              </w:drawing>
            </w:r>
          </w:p>
          <w:p w14:paraId="7A1BC0FD">
            <w:pPr>
              <w:spacing w:line="360" w:lineRule="auto"/>
              <w:ind w:firstLine="422" w:firstLineChars="200"/>
              <w:jc w:val="center"/>
              <w:textAlignment w:val="baseline"/>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5 </w:t>
            </w:r>
            <w:r>
              <w:rPr>
                <w:rFonts w:hint="default" w:ascii="Times New Roman" w:hAnsi="Times New Roman" w:eastAsia="宋体" w:cs="Times New Roman"/>
                <w:b/>
                <w:bCs/>
                <w:color w:val="auto"/>
                <w:kern w:val="0"/>
                <w:szCs w:val="21"/>
              </w:rPr>
              <w:t>项目与区域环境管控单元位置关系图</w:t>
            </w:r>
            <w:r>
              <w:rPr>
                <w:rFonts w:hint="default" w:ascii="Times New Roman" w:hAnsi="Times New Roman" w:eastAsia="宋体" w:cs="Times New Roman"/>
                <w:b/>
                <w:bCs/>
                <w:color w:val="auto"/>
                <w:kern w:val="0"/>
                <w:szCs w:val="21"/>
                <w:lang w:eastAsia="zh-CN"/>
              </w:rPr>
              <w:t>（</w:t>
            </w:r>
            <w:r>
              <w:rPr>
                <w:rFonts w:hint="default" w:ascii="Times New Roman" w:hAnsi="Times New Roman" w:eastAsia="宋体" w:cs="Times New Roman"/>
                <w:b/>
                <w:bCs/>
                <w:color w:val="auto"/>
                <w:kern w:val="0"/>
                <w:szCs w:val="21"/>
                <w:lang w:val="en-US" w:eastAsia="zh-CN"/>
              </w:rPr>
              <w:t>起点</w:t>
            </w:r>
            <w:r>
              <w:rPr>
                <w:rFonts w:hint="default" w:ascii="Times New Roman" w:hAnsi="Times New Roman" w:eastAsia="宋体" w:cs="Times New Roman"/>
                <w:b/>
                <w:bCs/>
                <w:color w:val="auto"/>
                <w:kern w:val="0"/>
                <w:szCs w:val="21"/>
                <w:lang w:eastAsia="zh-CN"/>
              </w:rPr>
              <w:t>）</w:t>
            </w:r>
          </w:p>
          <w:p w14:paraId="04BFDF5A">
            <w:pPr>
              <w:pStyle w:val="7"/>
              <w:keepNext w:val="0"/>
              <w:keepLines w:val="0"/>
              <w:pageBreakBefore w:val="0"/>
              <w:widowControl/>
              <w:numPr>
                <w:ilvl w:val="0"/>
                <w:numId w:val="0"/>
              </w:numPr>
              <w:kinsoku/>
              <w:wordWrap/>
              <w:overflowPunct/>
              <w:topLinePunct w:val="0"/>
              <w:autoSpaceDE/>
              <w:autoSpaceDN/>
              <w:bidi w:val="0"/>
              <w:adjustRightInd/>
              <w:snapToGrid w:val="0"/>
              <w:spacing w:before="0" w:after="0" w:line="360" w:lineRule="auto"/>
              <w:ind w:left="0" w:leftChars="0" w:right="0" w:rightChars="0" w:firstLine="0" w:firstLineChars="0"/>
              <w:jc w:val="both"/>
              <w:textAlignment w:val="auto"/>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Helvetica" w:cs="Times New Roman"/>
                <w:color w:val="auto"/>
                <w:sz w:val="28"/>
                <w:szCs w:val="24"/>
              </w:rPr>
              <w:drawing>
                <wp:inline distT="0" distB="0" distL="114300" distR="114300">
                  <wp:extent cx="4898390" cy="3463290"/>
                  <wp:effectExtent l="0" t="0" r="3810" b="381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20"/>
                          <a:stretch>
                            <a:fillRect/>
                          </a:stretch>
                        </pic:blipFill>
                        <pic:spPr>
                          <a:xfrm>
                            <a:off x="0" y="0"/>
                            <a:ext cx="4898390" cy="3463290"/>
                          </a:xfrm>
                          <a:prstGeom prst="rect">
                            <a:avLst/>
                          </a:prstGeom>
                          <a:noFill/>
                          <a:ln>
                            <a:noFill/>
                          </a:ln>
                        </pic:spPr>
                      </pic:pic>
                    </a:graphicData>
                  </a:graphic>
                </wp:inline>
              </w:drawing>
            </w:r>
          </w:p>
          <w:p w14:paraId="4D43CF0E">
            <w:pPr>
              <w:spacing w:line="360" w:lineRule="auto"/>
              <w:ind w:firstLine="422" w:firstLineChars="200"/>
              <w:jc w:val="center"/>
              <w:textAlignment w:val="baseline"/>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6 </w:t>
            </w:r>
            <w:r>
              <w:rPr>
                <w:rFonts w:hint="default" w:ascii="Times New Roman" w:hAnsi="Times New Roman" w:eastAsia="宋体" w:cs="Times New Roman"/>
                <w:b/>
                <w:bCs/>
                <w:color w:val="auto"/>
                <w:kern w:val="0"/>
                <w:szCs w:val="21"/>
              </w:rPr>
              <w:t>项目与区域环境管控单元位置关系图</w:t>
            </w:r>
            <w:r>
              <w:rPr>
                <w:rFonts w:hint="default" w:ascii="Times New Roman" w:hAnsi="Times New Roman" w:eastAsia="宋体" w:cs="Times New Roman"/>
                <w:b/>
                <w:bCs/>
                <w:color w:val="auto"/>
                <w:kern w:val="0"/>
                <w:szCs w:val="21"/>
                <w:lang w:eastAsia="zh-CN"/>
              </w:rPr>
              <w:t>（</w:t>
            </w:r>
            <w:r>
              <w:rPr>
                <w:rFonts w:hint="default" w:ascii="Times New Roman" w:hAnsi="Times New Roman" w:eastAsia="宋体" w:cs="Times New Roman"/>
                <w:b/>
                <w:bCs/>
                <w:color w:val="auto"/>
                <w:kern w:val="0"/>
                <w:szCs w:val="21"/>
                <w:lang w:val="en-US" w:eastAsia="zh-CN"/>
              </w:rPr>
              <w:t>终点</w:t>
            </w:r>
            <w:r>
              <w:rPr>
                <w:rFonts w:hint="default" w:ascii="Times New Roman" w:hAnsi="Times New Roman" w:eastAsia="宋体" w:cs="Times New Roman"/>
                <w:b/>
                <w:bCs/>
                <w:color w:val="auto"/>
                <w:kern w:val="0"/>
                <w:szCs w:val="21"/>
                <w:lang w:eastAsia="zh-CN"/>
              </w:rPr>
              <w:t>）</w:t>
            </w:r>
          </w:p>
          <w:p w14:paraId="58B74D5F">
            <w:pPr>
              <w:spacing w:line="360" w:lineRule="auto"/>
              <w:ind w:left="0" w:leftChars="0" w:firstLine="0" w:firstLineChars="0"/>
              <w:jc w:val="center"/>
              <w:textAlignment w:val="baseline"/>
              <w:rPr>
                <w:rFonts w:hint="default" w:ascii="Times New Roman" w:hAnsi="Times New Roman" w:eastAsia="宋体" w:cs="Times New Roman"/>
                <w:b/>
                <w:bCs/>
                <w:color w:val="auto"/>
                <w:kern w:val="0"/>
                <w:szCs w:val="21"/>
              </w:rPr>
            </w:pPr>
            <w:r>
              <w:rPr>
                <w:rFonts w:hint="default" w:ascii="Times New Roman" w:hAnsi="Times New Roman" w:eastAsia="Helvetica" w:cs="Times New Roman"/>
                <w:color w:val="auto"/>
                <w:sz w:val="28"/>
                <w:szCs w:val="24"/>
              </w:rPr>
              <w:drawing>
                <wp:inline distT="0" distB="0" distL="114300" distR="114300">
                  <wp:extent cx="4898390" cy="3463290"/>
                  <wp:effectExtent l="0" t="0" r="3810" b="3810"/>
                  <wp:docPr id="4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3"/>
                          <pic:cNvPicPr>
                            <a:picLocks noChangeAspect="1"/>
                          </pic:cNvPicPr>
                        </pic:nvPicPr>
                        <pic:blipFill>
                          <a:blip r:embed="rId21"/>
                          <a:stretch>
                            <a:fillRect/>
                          </a:stretch>
                        </pic:blipFill>
                        <pic:spPr>
                          <a:xfrm>
                            <a:off x="0" y="0"/>
                            <a:ext cx="4898390" cy="3463290"/>
                          </a:xfrm>
                          <a:prstGeom prst="rect">
                            <a:avLst/>
                          </a:prstGeom>
                          <a:noFill/>
                          <a:ln>
                            <a:noFill/>
                          </a:ln>
                        </pic:spPr>
                      </pic:pic>
                    </a:graphicData>
                  </a:graphic>
                </wp:inline>
              </w:drawing>
            </w:r>
          </w:p>
          <w:p w14:paraId="6BC87A43">
            <w:pPr>
              <w:spacing w:line="360" w:lineRule="auto"/>
              <w:ind w:firstLine="422" w:firstLineChars="200"/>
              <w:jc w:val="center"/>
              <w:textAlignment w:val="baseline"/>
              <w:rPr>
                <w:rFonts w:hint="default" w:ascii="Times New Roman" w:hAnsi="Times New Roman" w:eastAsia="宋体" w:cs="Times New Roman"/>
                <w:b/>
                <w:bCs/>
                <w:color w:val="auto"/>
                <w:kern w:val="0"/>
                <w:szCs w:val="21"/>
                <w:lang w:eastAsia="zh-CN"/>
              </w:rPr>
            </w:pPr>
            <w:r>
              <w:rPr>
                <w:rFonts w:hint="default" w:ascii="Times New Roman" w:hAnsi="Times New Roman" w:eastAsia="宋体"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7 </w:t>
            </w:r>
            <w:r>
              <w:rPr>
                <w:rFonts w:hint="default" w:ascii="Times New Roman" w:hAnsi="Times New Roman" w:eastAsia="宋体" w:cs="Times New Roman"/>
                <w:b/>
                <w:bCs/>
                <w:color w:val="auto"/>
                <w:kern w:val="0"/>
                <w:szCs w:val="21"/>
              </w:rPr>
              <w:t>项目与区域环境管控单元位置关系图</w:t>
            </w:r>
            <w:r>
              <w:rPr>
                <w:rFonts w:hint="default" w:ascii="Times New Roman" w:hAnsi="Times New Roman" w:eastAsia="宋体" w:cs="Times New Roman"/>
                <w:b/>
                <w:bCs/>
                <w:color w:val="auto"/>
                <w:kern w:val="0"/>
                <w:szCs w:val="21"/>
                <w:lang w:eastAsia="zh-CN"/>
              </w:rPr>
              <w:t>（韩家岩隧道）</w:t>
            </w:r>
          </w:p>
          <w:p w14:paraId="22DC2F1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根据四川省生态环境厅“三线一单”符合性分析系统识别结果，本项目涉及</w:t>
            </w:r>
            <w:r>
              <w:rPr>
                <w:rFonts w:hint="default" w:ascii="Times New Roman" w:hAnsi="Times New Roman" w:cs="Times New Roman"/>
                <w:color w:val="auto"/>
                <w:sz w:val="24"/>
                <w:szCs w:val="32"/>
                <w:lang w:val="en-US" w:eastAsia="zh-CN"/>
              </w:rPr>
              <w:t>7</w:t>
            </w:r>
            <w:r>
              <w:rPr>
                <w:rFonts w:hint="default" w:ascii="Times New Roman" w:hAnsi="Times New Roman" w:cs="Times New Roman"/>
                <w:color w:val="auto"/>
                <w:sz w:val="24"/>
                <w:szCs w:val="32"/>
              </w:rPr>
              <w:t>个管控单元，管控单元类型为优先保护单元、一般管控单元，生态空间分区为一般生态空间。</w:t>
            </w:r>
          </w:p>
          <w:p w14:paraId="1C22BB33">
            <w:pPr>
              <w:autoSpaceDE w:val="0"/>
              <w:autoSpaceDN w:val="0"/>
              <w:adjustRightInd w:val="0"/>
              <w:snapToGrid w:val="0"/>
              <w:spacing w:line="460" w:lineRule="exact"/>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表1-</w:t>
            </w:r>
            <w:r>
              <w:rPr>
                <w:rFonts w:hint="default" w:ascii="Times New Roman" w:hAnsi="Times New Roman" w:cs="Times New Roman"/>
                <w:b/>
                <w:bCs/>
                <w:color w:val="auto"/>
                <w:kern w:val="0"/>
                <w:szCs w:val="21"/>
                <w:lang w:val="en-US" w:eastAsia="zh-CN"/>
              </w:rPr>
              <w:t xml:space="preserve">3 </w:t>
            </w:r>
            <w:r>
              <w:rPr>
                <w:rFonts w:hint="default" w:ascii="Times New Roman" w:hAnsi="Times New Roman" w:cs="Times New Roman"/>
                <w:b/>
                <w:bCs/>
                <w:color w:val="auto"/>
                <w:kern w:val="0"/>
                <w:szCs w:val="21"/>
              </w:rPr>
              <w:t>本项目涉及环境管控单元表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05"/>
              <w:gridCol w:w="1677"/>
              <w:gridCol w:w="1731"/>
              <w:gridCol w:w="711"/>
              <w:gridCol w:w="711"/>
              <w:gridCol w:w="1138"/>
              <w:gridCol w:w="1222"/>
            </w:tblGrid>
            <w:tr w14:paraId="19043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770096D0">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089" w:type="pct"/>
                  <w:vAlign w:val="center"/>
                </w:tcPr>
                <w:p w14:paraId="3C9E9EE6">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管控单元编码</w:t>
                  </w:r>
                </w:p>
              </w:tc>
              <w:tc>
                <w:tcPr>
                  <w:tcW w:w="1124" w:type="pct"/>
                  <w:vAlign w:val="center"/>
                </w:tcPr>
                <w:p w14:paraId="1FC7C3F4">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管控单元名称</w:t>
                  </w:r>
                </w:p>
              </w:tc>
              <w:tc>
                <w:tcPr>
                  <w:tcW w:w="461" w:type="pct"/>
                  <w:vAlign w:val="center"/>
                </w:tcPr>
                <w:p w14:paraId="0A408158">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所属</w:t>
                  </w:r>
                </w:p>
                <w:p w14:paraId="597642B9">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城市</w:t>
                  </w:r>
                </w:p>
              </w:tc>
              <w:tc>
                <w:tcPr>
                  <w:tcW w:w="461" w:type="pct"/>
                  <w:vAlign w:val="center"/>
                </w:tcPr>
                <w:p w14:paraId="29AB6B7A">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所属</w:t>
                  </w:r>
                </w:p>
                <w:p w14:paraId="741A6B60">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区县</w:t>
                  </w:r>
                </w:p>
              </w:tc>
              <w:tc>
                <w:tcPr>
                  <w:tcW w:w="739" w:type="pct"/>
                  <w:vAlign w:val="center"/>
                </w:tcPr>
                <w:p w14:paraId="74F5F4DA">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准入清单类型</w:t>
                  </w:r>
                </w:p>
              </w:tc>
              <w:tc>
                <w:tcPr>
                  <w:tcW w:w="794" w:type="pct"/>
                  <w:vAlign w:val="center"/>
                </w:tcPr>
                <w:p w14:paraId="484D1C36">
                  <w:pPr>
                    <w:adjustRightInd w:val="0"/>
                    <w:snapToGrid w:val="0"/>
                    <w:jc w:val="center"/>
                    <w:textAlignment w:val="baseline"/>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管控类型</w:t>
                  </w:r>
                </w:p>
              </w:tc>
            </w:tr>
            <w:tr w14:paraId="0EA990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7A42E20B">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089" w:type="pct"/>
                  <w:shd w:val="clear" w:color="auto" w:fill="auto"/>
                  <w:vAlign w:val="center"/>
                </w:tcPr>
                <w:p w14:paraId="6A878A77">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YS5117222210001</w:t>
                  </w:r>
                </w:p>
              </w:tc>
              <w:tc>
                <w:tcPr>
                  <w:tcW w:w="1124" w:type="pct"/>
                  <w:shd w:val="clear" w:color="auto" w:fill="auto"/>
                  <w:vAlign w:val="center"/>
                </w:tcPr>
                <w:p w14:paraId="0E745158">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州河-宣汉县-张鼓坪-控制单元</w:t>
                  </w:r>
                </w:p>
              </w:tc>
              <w:tc>
                <w:tcPr>
                  <w:tcW w:w="461" w:type="pct"/>
                  <w:vAlign w:val="center"/>
                </w:tcPr>
                <w:p w14:paraId="072E8C24">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3E39F1F6">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3A154CB8">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水环境管控分区</w:t>
                  </w:r>
                </w:p>
              </w:tc>
              <w:tc>
                <w:tcPr>
                  <w:tcW w:w="794" w:type="pct"/>
                  <w:shd w:val="clear" w:color="auto" w:fill="auto"/>
                  <w:vAlign w:val="center"/>
                </w:tcPr>
                <w:p w14:paraId="0B09D437">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水环境工业污染重点管控区</w:t>
                  </w:r>
                </w:p>
              </w:tc>
            </w:tr>
            <w:tr w14:paraId="38F3B0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19415734">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089" w:type="pct"/>
                  <w:shd w:val="clear" w:color="auto" w:fill="auto"/>
                  <w:vAlign w:val="center"/>
                </w:tcPr>
                <w:p w14:paraId="465F6B6E">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YS5117222310001</w:t>
                  </w:r>
                </w:p>
              </w:tc>
              <w:tc>
                <w:tcPr>
                  <w:tcW w:w="1124" w:type="pct"/>
                  <w:shd w:val="clear" w:color="auto" w:fill="auto"/>
                  <w:vAlign w:val="center"/>
                </w:tcPr>
                <w:p w14:paraId="66839A78">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四川达州普光经济开发区</w:t>
                  </w:r>
                </w:p>
              </w:tc>
              <w:tc>
                <w:tcPr>
                  <w:tcW w:w="461" w:type="pct"/>
                  <w:vAlign w:val="center"/>
                </w:tcPr>
                <w:p w14:paraId="7A2853C2">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0B648510">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300A0E6E">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大气环境管控分区</w:t>
                  </w:r>
                </w:p>
              </w:tc>
              <w:tc>
                <w:tcPr>
                  <w:tcW w:w="794" w:type="pct"/>
                  <w:shd w:val="clear" w:color="auto" w:fill="auto"/>
                  <w:vAlign w:val="center"/>
                </w:tcPr>
                <w:p w14:paraId="6860BBF2">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大气环境高排放重点管控区</w:t>
                  </w:r>
                </w:p>
              </w:tc>
            </w:tr>
            <w:tr w14:paraId="1F806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137AEEA4">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089" w:type="pct"/>
                  <w:shd w:val="clear" w:color="auto" w:fill="auto"/>
                  <w:vAlign w:val="center"/>
                </w:tcPr>
                <w:p w14:paraId="052E1DF9">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YS5117222530001</w:t>
                  </w:r>
                </w:p>
              </w:tc>
              <w:tc>
                <w:tcPr>
                  <w:tcW w:w="1124" w:type="pct"/>
                  <w:shd w:val="clear" w:color="auto" w:fill="auto"/>
                  <w:vAlign w:val="center"/>
                </w:tcPr>
                <w:p w14:paraId="0AA99DEC">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宣汉县城镇开发边界</w:t>
                  </w:r>
                </w:p>
              </w:tc>
              <w:tc>
                <w:tcPr>
                  <w:tcW w:w="461" w:type="pct"/>
                  <w:vAlign w:val="center"/>
                </w:tcPr>
                <w:p w14:paraId="31A8B97B">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7ECB8A14">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406F901D">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资源管控分区</w:t>
                  </w:r>
                </w:p>
              </w:tc>
              <w:tc>
                <w:tcPr>
                  <w:tcW w:w="794" w:type="pct"/>
                  <w:shd w:val="clear" w:color="auto" w:fill="auto"/>
                  <w:vAlign w:val="center"/>
                </w:tcPr>
                <w:p w14:paraId="281A9124">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土地资源重点管控区</w:t>
                  </w:r>
                </w:p>
              </w:tc>
            </w:tr>
            <w:tr w14:paraId="16F5B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3BF08368">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089" w:type="pct"/>
                  <w:shd w:val="clear" w:color="auto" w:fill="auto"/>
                  <w:vAlign w:val="center"/>
                </w:tcPr>
                <w:p w14:paraId="7DE521E4">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YS5117222550001</w:t>
                  </w:r>
                </w:p>
              </w:tc>
              <w:tc>
                <w:tcPr>
                  <w:tcW w:w="1124" w:type="pct"/>
                  <w:shd w:val="clear" w:color="auto" w:fill="auto"/>
                  <w:vAlign w:val="center"/>
                </w:tcPr>
                <w:p w14:paraId="69C316CB">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宣汉县自然资源重点管控区</w:t>
                  </w:r>
                </w:p>
              </w:tc>
              <w:tc>
                <w:tcPr>
                  <w:tcW w:w="461" w:type="pct"/>
                  <w:vAlign w:val="center"/>
                </w:tcPr>
                <w:p w14:paraId="30D9DB3D">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53CC651E">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56603C98">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资源管控分区</w:t>
                  </w:r>
                </w:p>
              </w:tc>
              <w:tc>
                <w:tcPr>
                  <w:tcW w:w="794" w:type="pct"/>
                  <w:shd w:val="clear" w:color="auto" w:fill="auto"/>
                  <w:vAlign w:val="center"/>
                </w:tcPr>
                <w:p w14:paraId="15FA8AF2">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自然资源重点管控区</w:t>
                  </w:r>
                </w:p>
              </w:tc>
            </w:tr>
            <w:tr w14:paraId="4F7D4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4902FC24">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089" w:type="pct"/>
                  <w:shd w:val="clear" w:color="auto" w:fill="auto"/>
                  <w:vAlign w:val="center"/>
                </w:tcPr>
                <w:p w14:paraId="32E97851">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ZH51172220002</w:t>
                  </w:r>
                </w:p>
              </w:tc>
              <w:tc>
                <w:tcPr>
                  <w:tcW w:w="1124" w:type="pct"/>
                  <w:shd w:val="clear" w:color="auto" w:fill="auto"/>
                  <w:vAlign w:val="center"/>
                </w:tcPr>
                <w:p w14:paraId="15D64BED">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四川达州普光经济开发区</w:t>
                  </w:r>
                </w:p>
              </w:tc>
              <w:tc>
                <w:tcPr>
                  <w:tcW w:w="461" w:type="pct"/>
                  <w:vAlign w:val="center"/>
                </w:tcPr>
                <w:p w14:paraId="20A11D55">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3E21B951">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43CF6DF8">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环境综合管控单元</w:t>
                  </w:r>
                </w:p>
              </w:tc>
              <w:tc>
                <w:tcPr>
                  <w:tcW w:w="794" w:type="pct"/>
                  <w:shd w:val="clear" w:color="auto" w:fill="auto"/>
                  <w:vAlign w:val="center"/>
                </w:tcPr>
                <w:p w14:paraId="3E598CD3">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环境综合管控单元工业重点管控单元</w:t>
                  </w:r>
                </w:p>
              </w:tc>
            </w:tr>
            <w:tr w14:paraId="0EC25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0F400589">
                  <w:pPr>
                    <w:adjustRightInd w:val="0"/>
                    <w:snapToGrid w:val="0"/>
                    <w:jc w:val="center"/>
                    <w:textAlignment w:val="baseline"/>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089" w:type="pct"/>
                  <w:shd w:val="clear" w:color="auto" w:fill="auto"/>
                  <w:vAlign w:val="center"/>
                </w:tcPr>
                <w:p w14:paraId="36A0ACBE">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YS5117222320001</w:t>
                  </w:r>
                </w:p>
              </w:tc>
              <w:tc>
                <w:tcPr>
                  <w:tcW w:w="1124" w:type="pct"/>
                  <w:shd w:val="clear" w:color="auto" w:fill="auto"/>
                  <w:vAlign w:val="center"/>
                </w:tcPr>
                <w:p w14:paraId="7A0BE08C">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宣汉县大气环境布局敏感重点管控区</w:t>
                  </w:r>
                </w:p>
              </w:tc>
              <w:tc>
                <w:tcPr>
                  <w:tcW w:w="461" w:type="pct"/>
                  <w:vAlign w:val="center"/>
                </w:tcPr>
                <w:p w14:paraId="1D8B419F">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达州市</w:t>
                  </w:r>
                </w:p>
              </w:tc>
              <w:tc>
                <w:tcPr>
                  <w:tcW w:w="461" w:type="pct"/>
                  <w:vAlign w:val="center"/>
                </w:tcPr>
                <w:p w14:paraId="3D784247">
                  <w:pPr>
                    <w:pStyle w:val="92"/>
                    <w:widowControl/>
                    <w:spacing w:line="240" w:lineRule="auto"/>
                    <w:ind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4EEEC2BA">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大气环境管控分区</w:t>
                  </w:r>
                </w:p>
              </w:tc>
              <w:tc>
                <w:tcPr>
                  <w:tcW w:w="794" w:type="pct"/>
                  <w:shd w:val="clear" w:color="auto" w:fill="auto"/>
                  <w:vAlign w:val="center"/>
                </w:tcPr>
                <w:p w14:paraId="006E2D3B">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大气环境布局敏感重点管控区</w:t>
                  </w:r>
                </w:p>
              </w:tc>
            </w:tr>
            <w:tr w14:paraId="458B2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28" w:type="pct"/>
                  <w:vAlign w:val="center"/>
                </w:tcPr>
                <w:p w14:paraId="02DFEAAF">
                  <w:pPr>
                    <w:adjustRightInd w:val="0"/>
                    <w:snapToGrid w:val="0"/>
                    <w:jc w:val="center"/>
                    <w:textAlignment w:val="baseline"/>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7</w:t>
                  </w:r>
                </w:p>
              </w:tc>
              <w:tc>
                <w:tcPr>
                  <w:tcW w:w="1089" w:type="pct"/>
                  <w:shd w:val="clear" w:color="auto" w:fill="auto"/>
                  <w:vAlign w:val="center"/>
                </w:tcPr>
                <w:p w14:paraId="5C48E345">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ZH51172230001</w:t>
                  </w:r>
                </w:p>
              </w:tc>
              <w:tc>
                <w:tcPr>
                  <w:tcW w:w="1124" w:type="pct"/>
                  <w:shd w:val="clear" w:color="auto" w:fill="auto"/>
                  <w:vAlign w:val="center"/>
                </w:tcPr>
                <w:p w14:paraId="6A92D383">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宣汉县一般管控单元</w:t>
                  </w:r>
                </w:p>
              </w:tc>
              <w:tc>
                <w:tcPr>
                  <w:tcW w:w="461" w:type="pct"/>
                  <w:shd w:val="clear" w:color="auto" w:fill="auto"/>
                  <w:vAlign w:val="center"/>
                </w:tcPr>
                <w:p w14:paraId="38D2ECA9">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达州市</w:t>
                  </w:r>
                </w:p>
              </w:tc>
              <w:tc>
                <w:tcPr>
                  <w:tcW w:w="461" w:type="pct"/>
                  <w:shd w:val="clear" w:color="auto" w:fill="auto"/>
                  <w:vAlign w:val="center"/>
                </w:tcPr>
                <w:p w14:paraId="52E201EE">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sz w:val="21"/>
                      <w:szCs w:val="21"/>
                    </w:rPr>
                    <w:t>宣汉县</w:t>
                  </w:r>
                </w:p>
              </w:tc>
              <w:tc>
                <w:tcPr>
                  <w:tcW w:w="739" w:type="pct"/>
                  <w:shd w:val="clear" w:color="auto" w:fill="auto"/>
                  <w:vAlign w:val="center"/>
                </w:tcPr>
                <w:p w14:paraId="536CFBF7">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环境综合管控单元</w:t>
                  </w:r>
                </w:p>
              </w:tc>
              <w:tc>
                <w:tcPr>
                  <w:tcW w:w="794" w:type="pct"/>
                  <w:shd w:val="clear" w:color="auto" w:fill="auto"/>
                  <w:vAlign w:val="center"/>
                </w:tcPr>
                <w:p w14:paraId="6844339F">
                  <w:pPr>
                    <w:pStyle w:val="92"/>
                    <w:widowControl/>
                    <w:spacing w:line="240" w:lineRule="auto"/>
                    <w:ind w:firstLine="0" w:firstLineChars="0"/>
                    <w:jc w:val="center"/>
                    <w:rPr>
                      <w:rFonts w:hint="default" w:ascii="Times New Roman" w:hAnsi="Times New Roman" w:eastAsia="宋体" w:cs="Times New Roman"/>
                      <w:color w:val="auto"/>
                      <w:kern w:val="2"/>
                      <w:sz w:val="21"/>
                      <w:szCs w:val="21"/>
                      <w:lang w:val="en-US" w:eastAsia="zh-CN" w:bidi="ar-SA"/>
                    </w:rPr>
                  </w:pPr>
                  <w:r>
                    <w:rPr>
                      <w:rStyle w:val="25"/>
                      <w:rFonts w:hint="default" w:ascii="Times New Roman" w:hAnsi="Times New Roman" w:eastAsia="宋体" w:cs="Times New Roman"/>
                      <w:color w:val="auto"/>
                      <w:kern w:val="2"/>
                      <w:sz w:val="21"/>
                      <w:szCs w:val="21"/>
                      <w:lang w:val="en-US" w:eastAsia="zh-CN" w:bidi="ar-SA"/>
                    </w:rPr>
                    <w:t>环境综合管控单元一般管控单元</w:t>
                  </w:r>
                </w:p>
              </w:tc>
            </w:tr>
          </w:tbl>
          <w:p w14:paraId="736B829F">
            <w:pPr>
              <w:autoSpaceDE w:val="0"/>
              <w:autoSpaceDN w:val="0"/>
              <w:adjustRightInd w:val="0"/>
              <w:snapToGrid w:val="0"/>
              <w:jc w:val="center"/>
              <w:rPr>
                <w:rFonts w:hint="default" w:ascii="Times New Roman" w:hAnsi="Times New Roman" w:cs="Times New Roman"/>
                <w:color w:val="auto"/>
              </w:rPr>
            </w:pPr>
          </w:p>
          <w:p w14:paraId="26D0C276">
            <w:pPr>
              <w:autoSpaceDE w:val="0"/>
              <w:autoSpaceDN w:val="0"/>
              <w:adjustRightInd w:val="0"/>
              <w:snapToGrid w:val="0"/>
              <w:jc w:val="cente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880610" cy="2573655"/>
                  <wp:effectExtent l="0" t="0" r="8890" b="4445"/>
                  <wp:docPr id="44" name="图片 44" descr="起点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起点截图"/>
                          <pic:cNvPicPr>
                            <a:picLocks noChangeAspect="1"/>
                          </pic:cNvPicPr>
                        </pic:nvPicPr>
                        <pic:blipFill>
                          <a:blip r:embed="rId22"/>
                          <a:stretch>
                            <a:fillRect/>
                          </a:stretch>
                        </pic:blipFill>
                        <pic:spPr>
                          <a:xfrm>
                            <a:off x="0" y="0"/>
                            <a:ext cx="4880610" cy="2573655"/>
                          </a:xfrm>
                          <a:prstGeom prst="rect">
                            <a:avLst/>
                          </a:prstGeom>
                        </pic:spPr>
                      </pic:pic>
                    </a:graphicData>
                  </a:graphic>
                </wp:inline>
              </w:drawing>
            </w:r>
          </w:p>
          <w:p w14:paraId="28BEF551">
            <w:pPr>
              <w:autoSpaceDE w:val="0"/>
              <w:autoSpaceDN w:val="0"/>
              <w:adjustRightInd w:val="0"/>
              <w:snapToGri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8 </w:t>
            </w:r>
            <w:r>
              <w:rPr>
                <w:rFonts w:hint="default" w:ascii="Times New Roman" w:hAnsi="Times New Roman" w:cs="Times New Roman"/>
                <w:b/>
                <w:bCs/>
                <w:color w:val="auto"/>
                <w:kern w:val="0"/>
                <w:szCs w:val="21"/>
              </w:rPr>
              <w:t>四川省生态环境厅“</w:t>
            </w:r>
            <w:r>
              <w:rPr>
                <w:rFonts w:hint="default" w:ascii="Times New Roman" w:hAnsi="Times New Roman" w:cs="Times New Roman"/>
                <w:b/>
                <w:bCs/>
                <w:color w:val="auto"/>
                <w:kern w:val="0"/>
                <w:szCs w:val="21"/>
                <w:lang w:val="en-US" w:eastAsia="zh-CN"/>
              </w:rPr>
              <w:t>生态环境分区管控符合性分析</w:t>
            </w:r>
            <w:r>
              <w:rPr>
                <w:rFonts w:hint="default" w:ascii="Times New Roman" w:hAnsi="Times New Roman" w:cs="Times New Roman"/>
                <w:b/>
                <w:bCs/>
                <w:color w:val="auto"/>
                <w:kern w:val="0"/>
                <w:szCs w:val="21"/>
              </w:rPr>
              <w:t>”应用平台查询结果图（起点）</w:t>
            </w:r>
          </w:p>
          <w:p w14:paraId="373C72F5">
            <w:pPr>
              <w:pStyle w:val="7"/>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879340" cy="2572385"/>
                  <wp:effectExtent l="0" t="0" r="10160" b="5715"/>
                  <wp:docPr id="45" name="图片 45" descr="终点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终点截图"/>
                          <pic:cNvPicPr>
                            <a:picLocks noChangeAspect="1"/>
                          </pic:cNvPicPr>
                        </pic:nvPicPr>
                        <pic:blipFill>
                          <a:blip r:embed="rId23"/>
                          <a:stretch>
                            <a:fillRect/>
                          </a:stretch>
                        </pic:blipFill>
                        <pic:spPr>
                          <a:xfrm>
                            <a:off x="0" y="0"/>
                            <a:ext cx="4879340" cy="2572385"/>
                          </a:xfrm>
                          <a:prstGeom prst="rect">
                            <a:avLst/>
                          </a:prstGeom>
                        </pic:spPr>
                      </pic:pic>
                    </a:graphicData>
                  </a:graphic>
                </wp:inline>
              </w:drawing>
            </w:r>
          </w:p>
          <w:p w14:paraId="19F77F56">
            <w:pPr>
              <w:autoSpaceDE w:val="0"/>
              <w:autoSpaceDN w:val="0"/>
              <w:adjustRightInd w:val="0"/>
              <w:snapToGrid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9 </w:t>
            </w:r>
            <w:r>
              <w:rPr>
                <w:rFonts w:hint="default" w:ascii="Times New Roman" w:hAnsi="Times New Roman" w:cs="Times New Roman"/>
                <w:b/>
                <w:bCs/>
                <w:color w:val="auto"/>
                <w:kern w:val="0"/>
                <w:szCs w:val="21"/>
              </w:rPr>
              <w:t>四川省生态环境厅“</w:t>
            </w:r>
            <w:r>
              <w:rPr>
                <w:rFonts w:hint="default" w:ascii="Times New Roman" w:hAnsi="Times New Roman" w:cs="Times New Roman"/>
                <w:b/>
                <w:bCs/>
                <w:color w:val="auto"/>
                <w:kern w:val="0"/>
                <w:szCs w:val="21"/>
                <w:lang w:val="en-US" w:eastAsia="zh-CN"/>
              </w:rPr>
              <w:t>生态环境分区管控符合性分析</w:t>
            </w:r>
            <w:r>
              <w:rPr>
                <w:rFonts w:hint="default" w:ascii="Times New Roman" w:hAnsi="Times New Roman" w:cs="Times New Roman"/>
                <w:b/>
                <w:bCs/>
                <w:color w:val="auto"/>
                <w:kern w:val="0"/>
                <w:szCs w:val="21"/>
              </w:rPr>
              <w:t>”应用平台查询结果图（</w:t>
            </w:r>
            <w:r>
              <w:rPr>
                <w:rFonts w:hint="default" w:ascii="Times New Roman" w:hAnsi="Times New Roman" w:cs="Times New Roman"/>
                <w:b/>
                <w:bCs/>
                <w:color w:val="auto"/>
                <w:kern w:val="0"/>
                <w:szCs w:val="21"/>
                <w:lang w:val="en-US" w:eastAsia="zh-CN"/>
              </w:rPr>
              <w:t>终点</w:t>
            </w:r>
            <w:r>
              <w:rPr>
                <w:rFonts w:hint="default" w:ascii="Times New Roman" w:hAnsi="Times New Roman" w:cs="Times New Roman"/>
                <w:b/>
                <w:bCs/>
                <w:color w:val="auto"/>
                <w:kern w:val="0"/>
                <w:szCs w:val="21"/>
              </w:rPr>
              <w:t>）</w:t>
            </w:r>
          </w:p>
          <w:p w14:paraId="086AAB9D">
            <w:pPr>
              <w:rPr>
                <w:rFonts w:hint="default" w:ascii="Times New Roman" w:hAnsi="Times New Roman" w:eastAsia="宋体" w:cs="Times New Roman"/>
                <w:color w:val="auto"/>
                <w:lang w:eastAsia="zh-CN"/>
              </w:rPr>
            </w:pPr>
            <w:r>
              <w:rPr>
                <w:rFonts w:hint="default" w:ascii="Times New Roman" w:hAnsi="Times New Roman" w:eastAsia="宋体" w:cs="Times New Roman"/>
                <w:color w:val="auto"/>
                <w:lang w:eastAsia="zh-CN"/>
              </w:rPr>
              <w:drawing>
                <wp:inline distT="0" distB="0" distL="114300" distR="114300">
                  <wp:extent cx="4888865" cy="2617470"/>
                  <wp:effectExtent l="0" t="0" r="635" b="11430"/>
                  <wp:docPr id="47" name="图片 47" descr="隧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隧洞"/>
                          <pic:cNvPicPr>
                            <a:picLocks noChangeAspect="1"/>
                          </pic:cNvPicPr>
                        </pic:nvPicPr>
                        <pic:blipFill>
                          <a:blip r:embed="rId24"/>
                          <a:stretch>
                            <a:fillRect/>
                          </a:stretch>
                        </pic:blipFill>
                        <pic:spPr>
                          <a:xfrm>
                            <a:off x="0" y="0"/>
                            <a:ext cx="4888865" cy="2617470"/>
                          </a:xfrm>
                          <a:prstGeom prst="rect">
                            <a:avLst/>
                          </a:prstGeom>
                        </pic:spPr>
                      </pic:pic>
                    </a:graphicData>
                  </a:graphic>
                </wp:inline>
              </w:drawing>
            </w:r>
          </w:p>
          <w:p w14:paraId="3D4246EB">
            <w:pPr>
              <w:autoSpaceDE w:val="0"/>
              <w:autoSpaceDN w:val="0"/>
              <w:adjustRightInd w:val="0"/>
              <w:snapToGrid w:val="0"/>
              <w:jc w:val="center"/>
              <w:rPr>
                <w:rFonts w:hint="default" w:ascii="Times New Roman" w:hAnsi="Times New Roman" w:cs="Times New Roman"/>
                <w:color w:val="auto"/>
              </w:rPr>
            </w:pPr>
            <w:r>
              <w:rPr>
                <w:rFonts w:hint="default" w:ascii="Times New Roman" w:hAnsi="Times New Roman" w:cs="Times New Roman"/>
                <w:b/>
                <w:bCs/>
                <w:color w:val="auto"/>
                <w:kern w:val="0"/>
                <w:szCs w:val="21"/>
              </w:rPr>
              <w:t>图1-</w:t>
            </w:r>
            <w:r>
              <w:rPr>
                <w:rFonts w:hint="default" w:ascii="Times New Roman" w:hAnsi="Times New Roman" w:cs="Times New Roman"/>
                <w:b/>
                <w:bCs/>
                <w:color w:val="auto"/>
                <w:kern w:val="0"/>
                <w:szCs w:val="21"/>
                <w:lang w:val="en-US" w:eastAsia="zh-CN"/>
              </w:rPr>
              <w:t xml:space="preserve">10 </w:t>
            </w:r>
            <w:r>
              <w:rPr>
                <w:rFonts w:hint="default" w:ascii="Times New Roman" w:hAnsi="Times New Roman" w:cs="Times New Roman"/>
                <w:b/>
                <w:bCs/>
                <w:color w:val="auto"/>
                <w:kern w:val="0"/>
                <w:szCs w:val="21"/>
              </w:rPr>
              <w:t>四川省生态环境厅“</w:t>
            </w:r>
            <w:r>
              <w:rPr>
                <w:rFonts w:hint="default" w:ascii="Times New Roman" w:hAnsi="Times New Roman" w:cs="Times New Roman"/>
                <w:b/>
                <w:bCs/>
                <w:color w:val="auto"/>
                <w:kern w:val="0"/>
                <w:szCs w:val="21"/>
                <w:lang w:val="en-US" w:eastAsia="zh-CN"/>
              </w:rPr>
              <w:t>生态环境分区管控符合性分析</w:t>
            </w:r>
            <w:r>
              <w:rPr>
                <w:rFonts w:hint="default" w:ascii="Times New Roman" w:hAnsi="Times New Roman" w:cs="Times New Roman"/>
                <w:b/>
                <w:bCs/>
                <w:color w:val="auto"/>
                <w:kern w:val="0"/>
                <w:szCs w:val="21"/>
              </w:rPr>
              <w:t>”应用平台查询结果图（</w:t>
            </w:r>
            <w:r>
              <w:rPr>
                <w:rFonts w:hint="default" w:ascii="Times New Roman" w:hAnsi="Times New Roman" w:eastAsia="宋体" w:cs="Times New Roman"/>
                <w:b/>
                <w:bCs/>
                <w:color w:val="auto"/>
                <w:kern w:val="0"/>
                <w:szCs w:val="21"/>
                <w:lang w:eastAsia="zh-CN"/>
              </w:rPr>
              <w:t>韩家岩隧道</w:t>
            </w:r>
            <w:r>
              <w:rPr>
                <w:rFonts w:hint="default" w:ascii="Times New Roman" w:hAnsi="Times New Roman" w:cs="Times New Roman"/>
                <w:b/>
                <w:bCs/>
                <w:color w:val="auto"/>
                <w:kern w:val="0"/>
                <w:szCs w:val="21"/>
              </w:rPr>
              <w:t>）</w:t>
            </w:r>
          </w:p>
        </w:tc>
      </w:tr>
    </w:tbl>
    <w:p w14:paraId="0137EA2A">
      <w:pPr>
        <w:autoSpaceDE w:val="0"/>
        <w:autoSpaceDN w:val="0"/>
        <w:adjustRightInd w:val="0"/>
        <w:snapToGrid w:val="0"/>
        <w:jc w:val="center"/>
        <w:rPr>
          <w:rFonts w:hint="default" w:ascii="Times New Roman" w:hAnsi="Times New Roman" w:cs="Times New Roman"/>
          <w:color w:val="auto"/>
          <w:kern w:val="0"/>
          <w:szCs w:val="21"/>
        </w:rPr>
        <w:sectPr>
          <w:footerReference r:id="rId11" w:type="default"/>
          <w:pgSz w:w="11906" w:h="16838"/>
          <w:pgMar w:top="1701" w:right="1531" w:bottom="1701" w:left="1531" w:header="851" w:footer="1077" w:gutter="0"/>
          <w:pgNumType w:fmt="decimal" w:start="1"/>
          <w:cols w:space="720" w:num="1"/>
          <w:docGrid w:linePitch="312" w:charSpace="0"/>
        </w:sectPr>
      </w:pPr>
    </w:p>
    <w:p w14:paraId="340FD880">
      <w:pPr>
        <w:snapToGrid w:val="0"/>
        <w:jc w:val="center"/>
        <w:rPr>
          <w:rFonts w:hint="default" w:ascii="Times New Roman" w:hAnsi="Times New Roman" w:cs="Times New Roman"/>
          <w:b/>
          <w:color w:val="auto"/>
        </w:rPr>
      </w:pPr>
      <w:bookmarkStart w:id="7" w:name="_Hlk133592622"/>
      <w:r>
        <w:rPr>
          <w:rFonts w:hint="default" w:ascii="Times New Roman" w:hAnsi="Times New Roman" w:cs="Times New Roman"/>
          <w:b/>
          <w:color w:val="auto"/>
        </w:rPr>
        <w:t>表1-</w:t>
      </w:r>
      <w:r>
        <w:rPr>
          <w:rFonts w:hint="default" w:ascii="Times New Roman" w:hAnsi="Times New Roman" w:cs="Times New Roman"/>
          <w:b/>
          <w:color w:val="auto"/>
          <w:lang w:val="en-US" w:eastAsia="zh-CN"/>
        </w:rPr>
        <w:t xml:space="preserve">4 </w:t>
      </w:r>
      <w:r>
        <w:rPr>
          <w:rFonts w:hint="default" w:ascii="Times New Roman" w:hAnsi="Times New Roman" w:cs="Times New Roman"/>
          <w:b/>
          <w:color w:val="auto"/>
          <w:kern w:val="0"/>
          <w:sz w:val="21"/>
          <w:szCs w:val="21"/>
        </w:rPr>
        <w:t>本项目与生态环境准入清单符合性分析表</w:t>
      </w:r>
    </w:p>
    <w:bookmarkEnd w:id="7"/>
    <w:tbl>
      <w:tblPr>
        <w:tblStyle w:val="24"/>
        <w:tblW w:w="141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9"/>
        <w:gridCol w:w="1336"/>
        <w:gridCol w:w="1336"/>
        <w:gridCol w:w="6826"/>
        <w:gridCol w:w="1683"/>
        <w:gridCol w:w="873"/>
      </w:tblGrid>
      <w:tr w14:paraId="50C14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119" w:type="dxa"/>
            <w:vAlign w:val="center"/>
          </w:tcPr>
          <w:p w14:paraId="2DA8786D">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b/>
                <w:bCs w:val="0"/>
                <w:color w:val="auto"/>
                <w:kern w:val="0"/>
                <w:sz w:val="21"/>
                <w:szCs w:val="21"/>
              </w:rPr>
              <w:t>环境管控单元编码、名称</w:t>
            </w:r>
          </w:p>
        </w:tc>
        <w:tc>
          <w:tcPr>
            <w:tcW w:w="2672" w:type="dxa"/>
            <w:gridSpan w:val="2"/>
            <w:vAlign w:val="center"/>
          </w:tcPr>
          <w:p w14:paraId="25C3417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b/>
                <w:bCs w:val="0"/>
                <w:color w:val="auto"/>
                <w:kern w:val="0"/>
                <w:sz w:val="21"/>
                <w:szCs w:val="21"/>
              </w:rPr>
              <w:t>管控类别</w:t>
            </w:r>
          </w:p>
        </w:tc>
        <w:tc>
          <w:tcPr>
            <w:tcW w:w="6826" w:type="dxa"/>
            <w:vAlign w:val="center"/>
          </w:tcPr>
          <w:p w14:paraId="4B4129DE">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b/>
                <w:bCs w:val="0"/>
                <w:color w:val="auto"/>
                <w:kern w:val="0"/>
                <w:sz w:val="21"/>
                <w:szCs w:val="21"/>
              </w:rPr>
              <w:t>对应管控要求</w:t>
            </w:r>
          </w:p>
        </w:tc>
        <w:tc>
          <w:tcPr>
            <w:tcW w:w="1683" w:type="dxa"/>
            <w:vAlign w:val="center"/>
          </w:tcPr>
          <w:p w14:paraId="77B2660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b/>
                <w:bCs w:val="0"/>
                <w:color w:val="auto"/>
                <w:kern w:val="0"/>
                <w:sz w:val="21"/>
                <w:szCs w:val="21"/>
              </w:rPr>
              <w:t>本项目情况</w:t>
            </w:r>
          </w:p>
        </w:tc>
        <w:tc>
          <w:tcPr>
            <w:tcW w:w="873" w:type="dxa"/>
            <w:vAlign w:val="center"/>
          </w:tcPr>
          <w:p w14:paraId="3ED9902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b/>
                <w:bCs w:val="0"/>
                <w:color w:val="auto"/>
                <w:kern w:val="0"/>
                <w:sz w:val="21"/>
                <w:szCs w:val="21"/>
              </w:rPr>
              <w:t>符合性</w:t>
            </w:r>
          </w:p>
        </w:tc>
      </w:tr>
      <w:tr w14:paraId="059BE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Align w:val="center"/>
          </w:tcPr>
          <w:p w14:paraId="63ACA47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YS5117222210001</w:t>
            </w:r>
            <w:r>
              <w:rPr>
                <w:rFonts w:hint="default" w:ascii="Times New Roman" w:hAnsi="Times New Roman" w:cs="Times New Roman"/>
                <w:color w:val="auto"/>
                <w:sz w:val="21"/>
                <w:szCs w:val="21"/>
                <w:vertAlign w:val="baseline"/>
                <w:lang w:val="en-US" w:eastAsia="zh-CN"/>
              </w:rPr>
              <w:t>-州河-宣汉县-张鼓坪-控制单元</w:t>
            </w:r>
          </w:p>
        </w:tc>
        <w:tc>
          <w:tcPr>
            <w:tcW w:w="2672" w:type="dxa"/>
            <w:gridSpan w:val="2"/>
            <w:vAlign w:val="center"/>
          </w:tcPr>
          <w:p w14:paraId="4464343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达州市普适性清单</w:t>
            </w:r>
          </w:p>
        </w:tc>
        <w:tc>
          <w:tcPr>
            <w:tcW w:w="6826" w:type="dxa"/>
            <w:vAlign w:val="center"/>
          </w:tcPr>
          <w:p w14:paraId="7804B975">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空间布局约束：</w:t>
            </w:r>
          </w:p>
          <w:p w14:paraId="524218C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禁止开发建设活动的要求</w:t>
            </w:r>
          </w:p>
          <w:p w14:paraId="7C00F3D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5B448A62">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限制开发建设活动的要求</w:t>
            </w:r>
          </w:p>
          <w:p w14:paraId="033778F5">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4BA410E5">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不符合空间布局要求活动的退出要求</w:t>
            </w:r>
          </w:p>
          <w:p w14:paraId="5909590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70568073">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其他空间布局约束要求</w:t>
            </w:r>
          </w:p>
          <w:p w14:paraId="15285D86">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6B72D29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污染物排放管控：</w:t>
            </w:r>
          </w:p>
          <w:p w14:paraId="290CAF71">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允许排放量要求</w:t>
            </w:r>
          </w:p>
          <w:p w14:paraId="7F55F580">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55FE9A7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现有源提标升级改造</w:t>
            </w:r>
          </w:p>
          <w:p w14:paraId="5ECDB3D3">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66CDAFE0">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其他污染物排放管控要求</w:t>
            </w:r>
          </w:p>
          <w:p w14:paraId="6484BB6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2DAE4760">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环境风险防控：</w:t>
            </w:r>
          </w:p>
          <w:p w14:paraId="475BE06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联防联控要求</w:t>
            </w:r>
          </w:p>
          <w:p w14:paraId="32EE95A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733E925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其他环境风险防控要求</w:t>
            </w:r>
          </w:p>
          <w:p w14:paraId="5C2242E6">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220942D2">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资源开发利用效率要求：</w:t>
            </w:r>
          </w:p>
          <w:p w14:paraId="0BD471ED">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水资源利用总量要求</w:t>
            </w:r>
          </w:p>
          <w:p w14:paraId="6885039D">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779D0D2C">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地下水开采要求</w:t>
            </w:r>
          </w:p>
          <w:p w14:paraId="3ADFD760">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1F6087A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能源利用总量及效率要求</w:t>
            </w:r>
          </w:p>
          <w:p w14:paraId="49C91263">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12FCE393">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禁燃区要求</w:t>
            </w:r>
          </w:p>
          <w:p w14:paraId="2682CC7D">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p w14:paraId="4C879D60">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其他资源利用效率要求</w:t>
            </w:r>
          </w:p>
          <w:p w14:paraId="1F20FB9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暂无</w:t>
            </w:r>
          </w:p>
        </w:tc>
        <w:tc>
          <w:tcPr>
            <w:tcW w:w="1683" w:type="dxa"/>
            <w:vAlign w:val="center"/>
          </w:tcPr>
          <w:p w14:paraId="3F746374">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7008B892">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58087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67224377">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YS5117222210001</w:t>
            </w:r>
            <w:r>
              <w:rPr>
                <w:rFonts w:hint="default" w:ascii="Times New Roman" w:hAnsi="Times New Roman" w:cs="Times New Roman"/>
                <w:color w:val="auto"/>
                <w:sz w:val="21"/>
                <w:szCs w:val="21"/>
                <w:vertAlign w:val="baseline"/>
                <w:lang w:val="en-US" w:eastAsia="zh-CN"/>
              </w:rPr>
              <w:t>-州河-宣汉县-张鼓坪-控制单元</w:t>
            </w:r>
          </w:p>
        </w:tc>
        <w:tc>
          <w:tcPr>
            <w:tcW w:w="1336" w:type="dxa"/>
            <w:vMerge w:val="restart"/>
            <w:vAlign w:val="center"/>
          </w:tcPr>
          <w:p w14:paraId="02D7FDAD">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53F94CFA">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0AC35EB9">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禁止开发建设活动的要求</w:t>
            </w:r>
            <w:r>
              <w:rPr>
                <w:rFonts w:hint="default" w:ascii="Times New Roman" w:hAnsi="Times New Roman" w:cs="Times New Roman"/>
                <w:color w:val="auto"/>
                <w:sz w:val="21"/>
                <w:szCs w:val="21"/>
                <w:vertAlign w:val="baseline"/>
                <w:lang w:val="en-US" w:eastAsia="zh-CN"/>
              </w:rPr>
              <w:t>/</w:t>
            </w:r>
          </w:p>
          <w:p w14:paraId="12B17EB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0639170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严控磷铵、黄磷等产业违规新增产能加快退出不符合产业政策和环保要求、不满足安全生产条件的涉磷企业</w:t>
            </w:r>
          </w:p>
          <w:p w14:paraId="2A70870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允许开发建设活动的要求</w:t>
            </w:r>
            <w:r>
              <w:rPr>
                <w:rFonts w:hint="default" w:ascii="Times New Roman" w:hAnsi="Times New Roman" w:cs="Times New Roman"/>
                <w:color w:val="auto"/>
                <w:sz w:val="21"/>
                <w:szCs w:val="21"/>
                <w:vertAlign w:val="baseline"/>
                <w:lang w:val="en-US" w:eastAsia="zh-CN"/>
              </w:rPr>
              <w:t>/</w:t>
            </w:r>
          </w:p>
          <w:p w14:paraId="4A8EB142">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不符合空间布局要求活动的退出要求</w:t>
            </w:r>
            <w:r>
              <w:rPr>
                <w:rFonts w:hint="default" w:ascii="Times New Roman" w:hAnsi="Times New Roman" w:cs="Times New Roman"/>
                <w:color w:val="auto"/>
                <w:sz w:val="21"/>
                <w:szCs w:val="21"/>
                <w:vertAlign w:val="baseline"/>
                <w:lang w:val="en-US" w:eastAsia="zh-CN"/>
              </w:rPr>
              <w:t>/</w:t>
            </w:r>
          </w:p>
          <w:p w14:paraId="4068EC5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其他空间布局约束要求</w:t>
            </w:r>
            <w:r>
              <w:rPr>
                <w:rFonts w:hint="default" w:ascii="Times New Roman" w:hAnsi="Times New Roman" w:cs="Times New Roman"/>
                <w:color w:val="auto"/>
                <w:sz w:val="21"/>
                <w:szCs w:val="21"/>
                <w:vertAlign w:val="baseline"/>
                <w:lang w:val="en-US" w:eastAsia="zh-CN"/>
              </w:rPr>
              <w:t>/</w:t>
            </w:r>
          </w:p>
        </w:tc>
        <w:tc>
          <w:tcPr>
            <w:tcW w:w="1683" w:type="dxa"/>
            <w:vAlign w:val="center"/>
          </w:tcPr>
          <w:p w14:paraId="462D4153">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本项目属于公路工程建筑项目，不属于涉磷企业。</w:t>
            </w:r>
          </w:p>
        </w:tc>
        <w:tc>
          <w:tcPr>
            <w:tcW w:w="873" w:type="dxa"/>
            <w:vAlign w:val="center"/>
          </w:tcPr>
          <w:p w14:paraId="7EF35585">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471F8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E93BA9F">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20EC0DE4">
            <w:pPr>
              <w:pStyle w:val="48"/>
              <w:jc w:val="center"/>
              <w:rPr>
                <w:rFonts w:hint="default" w:ascii="Times New Roman" w:hAnsi="Times New Roman" w:cs="Times New Roman"/>
                <w:color w:val="auto"/>
                <w:sz w:val="21"/>
                <w:szCs w:val="21"/>
                <w:vertAlign w:val="baseline"/>
              </w:rPr>
            </w:pPr>
          </w:p>
        </w:tc>
        <w:tc>
          <w:tcPr>
            <w:tcW w:w="1336" w:type="dxa"/>
            <w:vAlign w:val="center"/>
          </w:tcPr>
          <w:p w14:paraId="258278AD">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14244BA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城镇污水污染控制措施要求</w:t>
            </w:r>
            <w:r>
              <w:rPr>
                <w:rFonts w:hint="default" w:ascii="Times New Roman" w:hAnsi="Times New Roman" w:cs="Times New Roman"/>
                <w:color w:val="auto"/>
                <w:sz w:val="21"/>
                <w:szCs w:val="21"/>
                <w:vertAlign w:val="baseline"/>
                <w:lang w:val="en-US" w:eastAsia="zh-CN"/>
              </w:rPr>
              <w:t>/</w:t>
            </w:r>
          </w:p>
          <w:p w14:paraId="767E30D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工业废水污染控制措施要求</w:t>
            </w:r>
          </w:p>
          <w:p w14:paraId="397F4EE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深入实施工业企业污水处理设施升级改造，全面实现工业废水达标排放。2、强化工业集聚区污水治理，推进工业污水集中处理设施及配套收集系统建设与提标升级改造，大力推进现有污水收集、处理设施问题排查及整治；完善园区及企业雨污分流系统，全面推进医药、化工等行业初期雨水收集处理，推动有条件的园区实施入园企业“一企一管、明管输送、实时监测”。3、化工园区应按照分类收集，分质处理的要求，配备专业化工生产废水集中处理设施（独立建设或依托骨干企业）及专管或明管输送的配套管网，化工生产废水纳管率达到100%；入河排污口设置应符合相关规定。4、加强工业园区集中污水处理设施运行监管，强企业废水预处理和排水管理，鼓励纳管企业与园区污水处理厂运营单位通过签订委托处理合同等方式协同处理废水。5、加强新化学物质环境管理，严格执行《新化学物质环境管理登记办法》,落实企业新化学物质环境风险防控主体责任。落实国家《优先控制化学品名录（第一批）》《优先控制化学品名录（第二批）》《重点管控新污染物清单（2023年版）》环境风险管控措施。</w:t>
            </w:r>
          </w:p>
          <w:p w14:paraId="05362E8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农业面源水污染控制措施要求</w:t>
            </w:r>
            <w:r>
              <w:rPr>
                <w:rFonts w:hint="default" w:ascii="Times New Roman" w:hAnsi="Times New Roman" w:cs="Times New Roman"/>
                <w:color w:val="auto"/>
                <w:sz w:val="21"/>
                <w:szCs w:val="21"/>
                <w:vertAlign w:val="baseline"/>
                <w:lang w:val="en-US" w:eastAsia="zh-CN"/>
              </w:rPr>
              <w:t>/</w:t>
            </w:r>
          </w:p>
          <w:p w14:paraId="21DD817D">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船舶港口水污染控制措施要求</w:t>
            </w:r>
            <w:r>
              <w:rPr>
                <w:rFonts w:hint="default" w:ascii="Times New Roman" w:hAnsi="Times New Roman" w:cs="Times New Roman"/>
                <w:color w:val="auto"/>
                <w:sz w:val="21"/>
                <w:szCs w:val="21"/>
                <w:vertAlign w:val="baseline"/>
                <w:lang w:val="en-US" w:eastAsia="zh-CN"/>
              </w:rPr>
              <w:t>/</w:t>
            </w:r>
          </w:p>
          <w:p w14:paraId="7831F93C">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饮用水水源和其它特殊水体保护要求</w:t>
            </w:r>
            <w:r>
              <w:rPr>
                <w:rFonts w:hint="default" w:ascii="Times New Roman" w:hAnsi="Times New Roman" w:cs="Times New Roman"/>
                <w:color w:val="auto"/>
                <w:sz w:val="21"/>
                <w:szCs w:val="21"/>
                <w:vertAlign w:val="baseline"/>
                <w:lang w:val="en-US" w:eastAsia="zh-CN"/>
              </w:rPr>
              <w:t>/</w:t>
            </w:r>
          </w:p>
        </w:tc>
        <w:tc>
          <w:tcPr>
            <w:tcW w:w="1683" w:type="dxa"/>
            <w:vAlign w:val="center"/>
          </w:tcPr>
          <w:p w14:paraId="66082E73">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rPr>
              <w:t>本项目施工扬尘主要产生于施工车辆行驶产生的扬尘及路基开挖产生的风力扬尘等。施工段和汽车行驶产生的扬尘源强大小与施工强度、路面状况和天气状况有关，扬尘浓度随距离的增加逐渐减小。针对施工期大气污染物产生情况，应制定严格的污染防治措施控制扬尘，施工单位参照《防治城市扬尘污染技术规范》（HJ/T-2007）、《四川省人民政府办公厅关于加强灰霾污染防治的通知》（川办发[2013]32号）、《四川省施工场地扬尘排放标准》（DB51/2682-2020）的相关要求，做好扬尘的污染防治。施工期对水环境的影响主要包括施工废水对水环境的影响、施工人员生活污水对水体的影响等，均不外排。本项目施工期噪声主要包括设备机械运行噪声和运输交通噪声，通过降噪措施后达标排放。施工期产生的固体废物主要包括建筑垃圾、弃方、生活垃圾、钻渣、污泥、钢筋加工产生的废机油、废焊条、焊渣，均妥善处置。</w:t>
            </w:r>
          </w:p>
        </w:tc>
        <w:tc>
          <w:tcPr>
            <w:tcW w:w="873" w:type="dxa"/>
            <w:vAlign w:val="center"/>
          </w:tcPr>
          <w:p w14:paraId="7C3E6494">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A8B3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763FEB27">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00828EE3">
            <w:pPr>
              <w:pStyle w:val="48"/>
              <w:jc w:val="center"/>
              <w:rPr>
                <w:rFonts w:hint="default" w:ascii="Times New Roman" w:hAnsi="Times New Roman" w:cs="Times New Roman"/>
                <w:color w:val="auto"/>
                <w:sz w:val="21"/>
                <w:szCs w:val="21"/>
                <w:vertAlign w:val="baseline"/>
              </w:rPr>
            </w:pPr>
          </w:p>
        </w:tc>
        <w:tc>
          <w:tcPr>
            <w:tcW w:w="1336" w:type="dxa"/>
            <w:vAlign w:val="center"/>
          </w:tcPr>
          <w:p w14:paraId="4520F2BC">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41F6A57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干支流岸线一公里范围内新建、扩建化工园区和化工项目。按要求设置生态隔离带，建设相应的防护工程。合理设置与抗风险能力相匹配的事故调蓄设施和环境应急措施；化工园区应建设园区事故废水防控系统，做好事故废水的收集、暂存和处理，并在污水处理厂排口下游配置水质自动监测设施等预警设施，强化风险预警。强化工业园区环境风险防控工作，突出全防全控，完善各项环境风险防范制度，确保将风险防范纳入日常环境管理制度体系。加强执法监督，实现对工业园区、重点工矿企业和主要环境风险类型的动态监控。</w:t>
            </w:r>
          </w:p>
        </w:tc>
        <w:tc>
          <w:tcPr>
            <w:tcW w:w="1683" w:type="dxa"/>
            <w:vAlign w:val="center"/>
          </w:tcPr>
          <w:p w14:paraId="6E458873">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本项目属于公路工程建筑项目，不属于化工项目。</w:t>
            </w:r>
          </w:p>
        </w:tc>
        <w:tc>
          <w:tcPr>
            <w:tcW w:w="873" w:type="dxa"/>
            <w:vAlign w:val="center"/>
          </w:tcPr>
          <w:p w14:paraId="13A14E07">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符合</w:t>
            </w:r>
          </w:p>
        </w:tc>
      </w:tr>
      <w:tr w14:paraId="11C2D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6747F657">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2CDA8062">
            <w:pPr>
              <w:pStyle w:val="48"/>
              <w:jc w:val="center"/>
              <w:rPr>
                <w:rFonts w:hint="default" w:ascii="Times New Roman" w:hAnsi="Times New Roman" w:cs="Times New Roman"/>
                <w:color w:val="auto"/>
                <w:sz w:val="21"/>
                <w:szCs w:val="21"/>
                <w:vertAlign w:val="baseline"/>
              </w:rPr>
            </w:pPr>
          </w:p>
        </w:tc>
        <w:tc>
          <w:tcPr>
            <w:tcW w:w="1336" w:type="dxa"/>
            <w:vAlign w:val="center"/>
          </w:tcPr>
          <w:p w14:paraId="08DB0722">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026EA3D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加强高耗水行业用水定额管理，以水定产，严格控制高耗水新建、改建、扩建项目。</w:t>
            </w:r>
          </w:p>
        </w:tc>
        <w:tc>
          <w:tcPr>
            <w:tcW w:w="1683" w:type="dxa"/>
            <w:vAlign w:val="center"/>
          </w:tcPr>
          <w:p w14:paraId="42D2B208">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本项目属于公路工程建筑项目，营运期不涉及新鲜水的使用。</w:t>
            </w:r>
          </w:p>
        </w:tc>
        <w:tc>
          <w:tcPr>
            <w:tcW w:w="873" w:type="dxa"/>
            <w:vAlign w:val="center"/>
          </w:tcPr>
          <w:p w14:paraId="3EC8503A">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1FB42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2A4B765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YS5117222310001四川达州普光经济开发区</w:t>
            </w:r>
          </w:p>
        </w:tc>
        <w:tc>
          <w:tcPr>
            <w:tcW w:w="1336" w:type="dxa"/>
            <w:vMerge w:val="restart"/>
            <w:vAlign w:val="center"/>
          </w:tcPr>
          <w:p w14:paraId="7D95B1AD">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656A04B6">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3E7DDF5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3D8E74A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06C3A80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56AD1A3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15032E0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允许开发建设活动的要求</w:t>
            </w:r>
          </w:p>
          <w:p w14:paraId="212F1A9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19FA769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42A218E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4A50FD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29AAD6A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6AB1F046">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4189CD1C">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25B4C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044018E8">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08C13BF4">
            <w:pPr>
              <w:pStyle w:val="48"/>
              <w:jc w:val="center"/>
              <w:rPr>
                <w:rFonts w:hint="default" w:ascii="Times New Roman" w:hAnsi="Times New Roman" w:cs="Times New Roman"/>
                <w:color w:val="auto"/>
                <w:sz w:val="21"/>
                <w:szCs w:val="21"/>
                <w:vertAlign w:val="baseline"/>
              </w:rPr>
            </w:pPr>
          </w:p>
        </w:tc>
        <w:tc>
          <w:tcPr>
            <w:tcW w:w="1336" w:type="dxa"/>
            <w:vAlign w:val="center"/>
          </w:tcPr>
          <w:p w14:paraId="18A0C96C">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6D174D0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大气环境质量执行标准</w:t>
            </w:r>
          </w:p>
          <w:p w14:paraId="4E12DD5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《环境空气质量标准》（GB3095-2012）：二级</w:t>
            </w:r>
          </w:p>
          <w:p w14:paraId="12095DD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区域大气污染物削减/替代要求</w:t>
            </w:r>
          </w:p>
          <w:p w14:paraId="64348D1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2AA40AC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燃煤和其他能源大气污染控制要求</w:t>
            </w:r>
          </w:p>
          <w:p w14:paraId="6CC80C6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6387D9C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工业废气污染控制要求</w:t>
            </w:r>
          </w:p>
          <w:p w14:paraId="4349FDB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1、全面淘汰10蒸吨/小时及以下燃煤锅炉，原则上不再新建35蒸吨/小时及以下的燃煤锅炉，推进县级及以上城市建成区淘汰35蒸吨/小时及以下燃煤锅炉，以工业余热、电厂热力、清洁能源等替代煤炭。</w:t>
            </w:r>
          </w:p>
          <w:p w14:paraId="53BDB95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14:paraId="5761D51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机动车船大气污染控制要求</w:t>
            </w:r>
          </w:p>
          <w:p w14:paraId="49476A6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4DA2DA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扬尘污染控制要求</w:t>
            </w:r>
          </w:p>
          <w:p w14:paraId="717EF62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1104970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农业生产经营活动大气污染控制要求</w:t>
            </w:r>
          </w:p>
          <w:p w14:paraId="78C7580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653C86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重点行业企业专项治理要求</w:t>
            </w:r>
          </w:p>
          <w:p w14:paraId="1A585F9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加快实施低VOCs含量原辅材料替代。持续开展VOCs治理设施提级增效，对采用单一低温等离子、光氧化、光催化以及非水溶性VOCs废气采用单一喷淋吸收等治理技术且无法稳定达标的，加快推进升级改造。强化VOCs无组织排放整治。石化、化工等行业加强非正常工况废气排放管控。推进涉VOCs产业集群治理提升</w:t>
            </w:r>
          </w:p>
          <w:p w14:paraId="534AE70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其他大气污染物排放管控要求</w:t>
            </w:r>
          </w:p>
          <w:p w14:paraId="4F63F77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17F23EB2">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本项目所在地大气环境质量符合《环境空气质量标准》（GB3095-2012）：二级。不涉及锅炉、工业炉窑使用，不涉及VOCs排放。</w:t>
            </w:r>
          </w:p>
        </w:tc>
        <w:tc>
          <w:tcPr>
            <w:tcW w:w="873" w:type="dxa"/>
            <w:vAlign w:val="center"/>
          </w:tcPr>
          <w:p w14:paraId="14986912">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1495A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2C7BBC99">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5D3D2464">
            <w:pPr>
              <w:pStyle w:val="48"/>
              <w:jc w:val="center"/>
              <w:rPr>
                <w:rFonts w:hint="default" w:ascii="Times New Roman" w:hAnsi="Times New Roman" w:cs="Times New Roman"/>
                <w:color w:val="auto"/>
                <w:sz w:val="21"/>
                <w:szCs w:val="21"/>
                <w:vertAlign w:val="baseline"/>
              </w:rPr>
            </w:pPr>
          </w:p>
        </w:tc>
        <w:tc>
          <w:tcPr>
            <w:tcW w:w="1336" w:type="dxa"/>
            <w:vAlign w:val="center"/>
          </w:tcPr>
          <w:p w14:paraId="621C9727">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1513388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60EFC17D">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5F67613D">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48080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63966CF4">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6414CB75">
            <w:pPr>
              <w:pStyle w:val="48"/>
              <w:jc w:val="center"/>
              <w:rPr>
                <w:rFonts w:hint="default" w:ascii="Times New Roman" w:hAnsi="Times New Roman" w:cs="Times New Roman"/>
                <w:color w:val="auto"/>
                <w:sz w:val="21"/>
                <w:szCs w:val="21"/>
                <w:vertAlign w:val="baseline"/>
              </w:rPr>
            </w:pPr>
          </w:p>
        </w:tc>
        <w:tc>
          <w:tcPr>
            <w:tcW w:w="1336" w:type="dxa"/>
            <w:vAlign w:val="center"/>
          </w:tcPr>
          <w:p w14:paraId="4503618E">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4190A83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294862D4">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5627F308">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34517D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0005E5E9">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宣汉县城镇开发边界YS5117222530001</w:t>
            </w:r>
          </w:p>
        </w:tc>
        <w:tc>
          <w:tcPr>
            <w:tcW w:w="1336" w:type="dxa"/>
            <w:vMerge w:val="restart"/>
            <w:vAlign w:val="center"/>
          </w:tcPr>
          <w:p w14:paraId="4418A0B3">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1AE6124A">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788A512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以城镇开发建设现状为基础，综合考虑资源承载能力、人口分布、经济布局、城乡统筹、城镇无序蔓延科学预留一定比例的留白区，为未来发展留有开发空间城镇建设和发展不得违法违规侵占河道、湖面、滩地2.城镇开发边界调整报国土空间规划原审批机关审批</w:t>
            </w:r>
          </w:p>
        </w:tc>
        <w:tc>
          <w:tcPr>
            <w:tcW w:w="1683" w:type="dxa"/>
            <w:vAlign w:val="center"/>
          </w:tcPr>
          <w:p w14:paraId="7B93B675">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47387DE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28D70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59B6227">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0FCC4048">
            <w:pPr>
              <w:pStyle w:val="48"/>
              <w:jc w:val="center"/>
              <w:rPr>
                <w:rFonts w:hint="default" w:ascii="Times New Roman" w:hAnsi="Times New Roman" w:cs="Times New Roman"/>
                <w:color w:val="auto"/>
                <w:sz w:val="21"/>
                <w:szCs w:val="21"/>
                <w:vertAlign w:val="baseline"/>
              </w:rPr>
            </w:pPr>
          </w:p>
        </w:tc>
        <w:tc>
          <w:tcPr>
            <w:tcW w:w="1336" w:type="dxa"/>
            <w:vAlign w:val="center"/>
          </w:tcPr>
          <w:p w14:paraId="14577E6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6C759EF7">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6DCFBDCB">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77A283F9">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4050F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5D536CE1">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68C6F592">
            <w:pPr>
              <w:pStyle w:val="48"/>
              <w:jc w:val="center"/>
              <w:rPr>
                <w:rFonts w:hint="default" w:ascii="Times New Roman" w:hAnsi="Times New Roman" w:cs="Times New Roman"/>
                <w:color w:val="auto"/>
                <w:sz w:val="21"/>
                <w:szCs w:val="21"/>
                <w:vertAlign w:val="baseline"/>
              </w:rPr>
            </w:pPr>
          </w:p>
        </w:tc>
        <w:tc>
          <w:tcPr>
            <w:tcW w:w="1336" w:type="dxa"/>
            <w:vAlign w:val="center"/>
          </w:tcPr>
          <w:p w14:paraId="49AB52BC">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1A4511AF">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6839C674">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065E3771">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7A909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3159582A">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1F368CE8">
            <w:pPr>
              <w:pStyle w:val="48"/>
              <w:jc w:val="center"/>
              <w:rPr>
                <w:rFonts w:hint="default" w:ascii="Times New Roman" w:hAnsi="Times New Roman" w:cs="Times New Roman"/>
                <w:color w:val="auto"/>
                <w:sz w:val="21"/>
                <w:szCs w:val="21"/>
                <w:vertAlign w:val="baseline"/>
              </w:rPr>
            </w:pPr>
          </w:p>
        </w:tc>
        <w:tc>
          <w:tcPr>
            <w:tcW w:w="1336" w:type="dxa"/>
            <w:vAlign w:val="center"/>
          </w:tcPr>
          <w:p w14:paraId="2467C2D8">
            <w:pPr>
              <w:pStyle w:val="48"/>
              <w:jc w:val="center"/>
              <w:rPr>
                <w:rFonts w:hint="default" w:ascii="Times New Roman" w:hAnsi="Times New Roman" w:cs="Times New Roman"/>
                <w:color w:val="auto"/>
                <w:sz w:val="21"/>
                <w:szCs w:val="21"/>
                <w:vertAlign w:val="baseline"/>
              </w:rPr>
            </w:pPr>
            <w:r>
              <w:rPr>
                <w:rFonts w:hint="default" w:ascii="Times New Roman" w:hAnsi="Times New Roman" w:eastAsia="宋体" w:cs="Times New Roman"/>
                <w:color w:val="auto"/>
                <w:sz w:val="21"/>
                <w:szCs w:val="21"/>
                <w:vertAlign w:val="baseline"/>
                <w:lang w:val="en-US" w:eastAsia="zh-CN"/>
              </w:rPr>
              <w:t>资源开发效率要求</w:t>
            </w:r>
          </w:p>
        </w:tc>
        <w:tc>
          <w:tcPr>
            <w:tcW w:w="6826" w:type="dxa"/>
            <w:vAlign w:val="center"/>
          </w:tcPr>
          <w:p w14:paraId="3EF3E57E">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土地资源开发效率要求</w:t>
            </w:r>
          </w:p>
          <w:p w14:paraId="44E4588E">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土地资源开发利用量不得超过土地资源利用上线控制性指标。</w:t>
            </w:r>
          </w:p>
          <w:p w14:paraId="038074E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能源资源开发效率要求</w:t>
            </w:r>
            <w:r>
              <w:rPr>
                <w:rFonts w:hint="default" w:ascii="Times New Roman" w:hAnsi="Times New Roman" w:cs="Times New Roman"/>
                <w:color w:val="auto"/>
                <w:sz w:val="21"/>
                <w:szCs w:val="21"/>
                <w:vertAlign w:val="baseline"/>
                <w:lang w:val="en-US" w:eastAsia="zh-CN"/>
              </w:rPr>
              <w:t>/</w:t>
            </w:r>
          </w:p>
          <w:p w14:paraId="74FD6426">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其他资源开发效率要求</w:t>
            </w:r>
            <w:r>
              <w:rPr>
                <w:rFonts w:hint="default" w:ascii="Times New Roman" w:hAnsi="Times New Roman" w:cs="Times New Roman"/>
                <w:color w:val="auto"/>
                <w:sz w:val="21"/>
                <w:szCs w:val="21"/>
                <w:vertAlign w:val="baseline"/>
                <w:lang w:val="en-US" w:eastAsia="zh-CN"/>
              </w:rPr>
              <w:t>/</w:t>
            </w:r>
          </w:p>
        </w:tc>
        <w:tc>
          <w:tcPr>
            <w:tcW w:w="1683" w:type="dxa"/>
            <w:shd w:val="clear" w:color="auto" w:fill="auto"/>
            <w:vAlign w:val="center"/>
          </w:tcPr>
          <w:p w14:paraId="70447273">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不涉及</w:t>
            </w:r>
          </w:p>
        </w:tc>
        <w:tc>
          <w:tcPr>
            <w:tcW w:w="873" w:type="dxa"/>
            <w:shd w:val="clear" w:color="auto" w:fill="auto"/>
            <w:vAlign w:val="center"/>
          </w:tcPr>
          <w:p w14:paraId="0F74CD59">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符合</w:t>
            </w:r>
          </w:p>
        </w:tc>
      </w:tr>
      <w:tr w14:paraId="4CB41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793E3D2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宣汉县自然资源重点管控区YS5117222550001</w:t>
            </w:r>
          </w:p>
        </w:tc>
        <w:tc>
          <w:tcPr>
            <w:tcW w:w="1336" w:type="dxa"/>
            <w:vMerge w:val="restart"/>
            <w:vAlign w:val="center"/>
          </w:tcPr>
          <w:p w14:paraId="2EC0EE5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012AFDD1">
            <w:pPr>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空间布局约束</w:t>
            </w:r>
          </w:p>
        </w:tc>
        <w:tc>
          <w:tcPr>
            <w:tcW w:w="6826" w:type="dxa"/>
            <w:vAlign w:val="center"/>
          </w:tcPr>
          <w:p w14:paraId="3771D2D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shd w:val="clear" w:color="auto" w:fill="auto"/>
            <w:vAlign w:val="center"/>
          </w:tcPr>
          <w:p w14:paraId="6DA82250">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873" w:type="dxa"/>
            <w:shd w:val="clear" w:color="auto" w:fill="auto"/>
            <w:vAlign w:val="center"/>
          </w:tcPr>
          <w:p w14:paraId="50A956B9">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r>
      <w:tr w14:paraId="3F0FE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6660F4E4">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502D5BC">
            <w:pPr>
              <w:pStyle w:val="48"/>
              <w:jc w:val="center"/>
              <w:rPr>
                <w:rFonts w:hint="default" w:ascii="Times New Roman" w:hAnsi="Times New Roman" w:cs="Times New Roman"/>
                <w:color w:val="auto"/>
                <w:sz w:val="21"/>
                <w:szCs w:val="21"/>
                <w:vertAlign w:val="baseline"/>
              </w:rPr>
            </w:pPr>
          </w:p>
        </w:tc>
        <w:tc>
          <w:tcPr>
            <w:tcW w:w="1336" w:type="dxa"/>
            <w:vAlign w:val="center"/>
          </w:tcPr>
          <w:p w14:paraId="2A6510C8">
            <w:pPr>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污染物排放管控</w:t>
            </w:r>
          </w:p>
        </w:tc>
        <w:tc>
          <w:tcPr>
            <w:tcW w:w="6826" w:type="dxa"/>
            <w:vAlign w:val="center"/>
          </w:tcPr>
          <w:p w14:paraId="5971DCB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shd w:val="clear" w:color="auto" w:fill="auto"/>
            <w:vAlign w:val="center"/>
          </w:tcPr>
          <w:p w14:paraId="2B081C66">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873" w:type="dxa"/>
            <w:shd w:val="clear" w:color="auto" w:fill="auto"/>
            <w:vAlign w:val="center"/>
          </w:tcPr>
          <w:p w14:paraId="3C5E45C9">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r>
      <w:tr w14:paraId="193230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4A58B240">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7A390CFB">
            <w:pPr>
              <w:pStyle w:val="48"/>
              <w:jc w:val="center"/>
              <w:rPr>
                <w:rFonts w:hint="default" w:ascii="Times New Roman" w:hAnsi="Times New Roman" w:cs="Times New Roman"/>
                <w:color w:val="auto"/>
                <w:sz w:val="21"/>
                <w:szCs w:val="21"/>
                <w:vertAlign w:val="baseline"/>
              </w:rPr>
            </w:pPr>
          </w:p>
        </w:tc>
        <w:tc>
          <w:tcPr>
            <w:tcW w:w="1336" w:type="dxa"/>
            <w:vAlign w:val="center"/>
          </w:tcPr>
          <w:p w14:paraId="5B52228C">
            <w:pPr>
              <w:jc w:val="center"/>
              <w:rPr>
                <w:rFonts w:hint="default" w:ascii="Times New Roman" w:hAnsi="Times New Roman" w:eastAsia="宋体" w:cs="Times New Roman"/>
                <w:color w:val="auto"/>
                <w:kern w:val="0"/>
                <w:sz w:val="21"/>
                <w:szCs w:val="21"/>
                <w:vertAlign w:val="baseline"/>
                <w:lang w:val="en-US" w:eastAsia="zh-CN" w:bidi="ar-SA"/>
              </w:rPr>
            </w:pPr>
            <w:r>
              <w:rPr>
                <w:rFonts w:hint="default" w:ascii="Times New Roman" w:hAnsi="Times New Roman" w:eastAsia="宋体" w:cs="Times New Roman"/>
                <w:color w:val="auto"/>
                <w:kern w:val="0"/>
                <w:sz w:val="21"/>
                <w:szCs w:val="21"/>
                <w:vertAlign w:val="baseline"/>
                <w:lang w:val="en-US" w:eastAsia="zh-CN" w:bidi="ar-SA"/>
              </w:rPr>
              <w:t>环境风险防控</w:t>
            </w:r>
          </w:p>
        </w:tc>
        <w:tc>
          <w:tcPr>
            <w:tcW w:w="6826" w:type="dxa"/>
            <w:vAlign w:val="center"/>
          </w:tcPr>
          <w:p w14:paraId="022ACE13">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shd w:val="clear" w:color="auto" w:fill="auto"/>
            <w:vAlign w:val="center"/>
          </w:tcPr>
          <w:p w14:paraId="15E5370F">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873" w:type="dxa"/>
            <w:shd w:val="clear" w:color="auto" w:fill="auto"/>
            <w:vAlign w:val="center"/>
          </w:tcPr>
          <w:p w14:paraId="002075C4">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r>
      <w:tr w14:paraId="25BFB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25B64C26">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1EE16E6F">
            <w:pPr>
              <w:pStyle w:val="48"/>
              <w:jc w:val="center"/>
              <w:rPr>
                <w:rFonts w:hint="default" w:ascii="Times New Roman" w:hAnsi="Times New Roman" w:cs="Times New Roman"/>
                <w:color w:val="auto"/>
                <w:sz w:val="21"/>
                <w:szCs w:val="21"/>
                <w:vertAlign w:val="baseline"/>
              </w:rPr>
            </w:pPr>
          </w:p>
        </w:tc>
        <w:tc>
          <w:tcPr>
            <w:tcW w:w="1336" w:type="dxa"/>
            <w:vAlign w:val="center"/>
          </w:tcPr>
          <w:p w14:paraId="2E8C970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716399FC">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土地资源开发效率要求</w:t>
            </w:r>
            <w:r>
              <w:rPr>
                <w:rFonts w:hint="default" w:ascii="Times New Roman" w:hAnsi="Times New Roman" w:cs="Times New Roman"/>
                <w:color w:val="auto"/>
                <w:sz w:val="21"/>
                <w:szCs w:val="21"/>
                <w:vertAlign w:val="baseline"/>
                <w:lang w:val="en-US" w:eastAsia="zh-CN"/>
              </w:rPr>
              <w:t>/</w:t>
            </w:r>
          </w:p>
          <w:p w14:paraId="3FEDB244">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能源资源开发效率要求</w:t>
            </w:r>
            <w:r>
              <w:rPr>
                <w:rFonts w:hint="default" w:ascii="Times New Roman" w:hAnsi="Times New Roman" w:cs="Times New Roman"/>
                <w:color w:val="auto"/>
                <w:sz w:val="21"/>
                <w:szCs w:val="21"/>
                <w:vertAlign w:val="baseline"/>
                <w:lang w:val="en-US" w:eastAsia="zh-CN"/>
              </w:rPr>
              <w:t>/</w:t>
            </w:r>
          </w:p>
          <w:p w14:paraId="48830E46">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其他资源开发效率要求</w:t>
            </w:r>
            <w:r>
              <w:rPr>
                <w:rFonts w:hint="default" w:ascii="Times New Roman" w:hAnsi="Times New Roman" w:cs="Times New Roman"/>
                <w:color w:val="auto"/>
                <w:sz w:val="21"/>
                <w:szCs w:val="21"/>
                <w:vertAlign w:val="baseline"/>
                <w:lang w:val="en-US" w:eastAsia="zh-CN"/>
              </w:rPr>
              <w:t>/</w:t>
            </w:r>
          </w:p>
        </w:tc>
        <w:tc>
          <w:tcPr>
            <w:tcW w:w="1683" w:type="dxa"/>
            <w:shd w:val="clear" w:color="auto" w:fill="auto"/>
            <w:vAlign w:val="center"/>
          </w:tcPr>
          <w:p w14:paraId="29B8AB95">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c>
          <w:tcPr>
            <w:tcW w:w="873" w:type="dxa"/>
            <w:shd w:val="clear" w:color="auto" w:fill="auto"/>
            <w:vAlign w:val="center"/>
          </w:tcPr>
          <w:p w14:paraId="43D7CDEF">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w:t>
            </w:r>
          </w:p>
        </w:tc>
      </w:tr>
      <w:tr w14:paraId="23DD4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2E6DB6FE">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四川达州普光经济开发区ZH51172220002</w:t>
            </w:r>
          </w:p>
        </w:tc>
        <w:tc>
          <w:tcPr>
            <w:tcW w:w="1336" w:type="dxa"/>
            <w:vMerge w:val="restart"/>
            <w:vAlign w:val="center"/>
          </w:tcPr>
          <w:p w14:paraId="7758323E">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达州市普适性清单</w:t>
            </w:r>
          </w:p>
        </w:tc>
        <w:tc>
          <w:tcPr>
            <w:tcW w:w="1336" w:type="dxa"/>
            <w:vAlign w:val="center"/>
          </w:tcPr>
          <w:p w14:paraId="557DD67F">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5CAA7E9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14D0747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-禁止在长江干支流、重要湖泊岸线一公里范围内新建、扩建化工园区和化工项目，严控新建石油化工、煤化工、涉磷、造纸、印染、制革等项目。</w:t>
            </w:r>
          </w:p>
          <w:p w14:paraId="1F2F33C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-禁止从事《长江经济带发展负面清单指南（试行）》禁止准入类事项。</w:t>
            </w:r>
          </w:p>
          <w:p w14:paraId="2F5A3FF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-引进项目应符合园区规划环评和区域产业准入及负面清单要求。</w:t>
            </w:r>
          </w:p>
          <w:p w14:paraId="0902C20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-禁止新建不符合国家产业政策和行业准入条件的高污染项目。</w:t>
            </w:r>
          </w:p>
          <w:p w14:paraId="4034294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-工业园区禁止新建高污染燃料锅炉。</w:t>
            </w:r>
          </w:p>
          <w:p w14:paraId="5971407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-禁止在长江流域河湖管理范围内倾倒、填埋、堆放、弃置、处理固体废物。</w:t>
            </w:r>
          </w:p>
          <w:p w14:paraId="72C0AC6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-未通过认定的化工园区，不得新建、改扩建化工项目（安全、环保、节能和智能化改造项目除外），按属地原则依法依规妥善做好未通过认定化工园区及园内企业的转型、关闭、处置及监管工作。</w:t>
            </w:r>
          </w:p>
        </w:tc>
        <w:tc>
          <w:tcPr>
            <w:tcW w:w="1683" w:type="dxa"/>
            <w:vAlign w:val="center"/>
          </w:tcPr>
          <w:p w14:paraId="219791ED">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本项目属于公路工程建筑项目，不涉及石油化工、煤化工、涉磷、造纸、印染、制革等项目。</w:t>
            </w:r>
          </w:p>
        </w:tc>
        <w:tc>
          <w:tcPr>
            <w:tcW w:w="873" w:type="dxa"/>
            <w:vAlign w:val="center"/>
          </w:tcPr>
          <w:p w14:paraId="13D6E08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22D0E6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30D1E61E">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1973CDAA">
            <w:pPr>
              <w:pStyle w:val="48"/>
              <w:jc w:val="center"/>
              <w:rPr>
                <w:rFonts w:hint="default" w:ascii="Times New Roman" w:hAnsi="Times New Roman" w:cs="Times New Roman"/>
                <w:color w:val="auto"/>
                <w:sz w:val="21"/>
                <w:szCs w:val="21"/>
                <w:vertAlign w:val="baseline"/>
              </w:rPr>
            </w:pPr>
          </w:p>
        </w:tc>
        <w:tc>
          <w:tcPr>
            <w:tcW w:w="1336" w:type="dxa"/>
            <w:vAlign w:val="center"/>
          </w:tcPr>
          <w:p w14:paraId="2F94824F">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tc>
        <w:tc>
          <w:tcPr>
            <w:tcW w:w="6826" w:type="dxa"/>
            <w:vAlign w:val="center"/>
          </w:tcPr>
          <w:p w14:paraId="124B47E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-严格控制污染物新增排放量，对新建排放二氧化硫、氮氧化物、工业烟粉尘和VOC</w:t>
            </w:r>
            <w:r>
              <w:rPr>
                <w:rFonts w:hint="default" w:ascii="Times New Roman" w:hAnsi="Times New Roman" w:cs="Times New Roman"/>
                <w:color w:val="auto"/>
                <w:sz w:val="21"/>
                <w:szCs w:val="21"/>
                <w:vertAlign w:val="baseline"/>
                <w:lang w:val="en-US" w:eastAsia="zh-CN"/>
              </w:rPr>
              <w:t>s</w:t>
            </w:r>
            <w:r>
              <w:rPr>
                <w:rFonts w:hint="default" w:ascii="Times New Roman" w:hAnsi="Times New Roman" w:cs="Times New Roman"/>
                <w:color w:val="auto"/>
                <w:sz w:val="21"/>
                <w:szCs w:val="21"/>
                <w:vertAlign w:val="baseline"/>
              </w:rPr>
              <w:t>的项目实施现役源2倍削减量替代。</w:t>
            </w:r>
          </w:p>
          <w:p w14:paraId="7F285EF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-严格实施环评制度，将细颗粒物达标情况纳入规划环评和相关项目环评内容，加快制定颗粒物、VOC</w:t>
            </w:r>
            <w:r>
              <w:rPr>
                <w:rFonts w:hint="default" w:ascii="Times New Roman" w:hAnsi="Times New Roman" w:cs="Times New Roman"/>
                <w:color w:val="auto"/>
                <w:sz w:val="21"/>
                <w:szCs w:val="21"/>
                <w:vertAlign w:val="baseline"/>
                <w:lang w:val="en-US" w:eastAsia="zh-CN"/>
              </w:rPr>
              <w:t>s</w:t>
            </w:r>
            <w:r>
              <w:rPr>
                <w:rFonts w:hint="default" w:ascii="Times New Roman" w:hAnsi="Times New Roman" w:cs="Times New Roman"/>
                <w:color w:val="auto"/>
                <w:sz w:val="21"/>
                <w:szCs w:val="21"/>
                <w:vertAlign w:val="baseline"/>
              </w:rPr>
              <w:t>排放总量管理配套政策。</w:t>
            </w:r>
          </w:p>
          <w:p w14:paraId="5AB6037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-严格控制新建、扩建燃煤发电项目。</w:t>
            </w:r>
          </w:p>
          <w:p w14:paraId="56229A2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-严控达州市主城区上游沿岸地区新建石油化工、煤化工、涉磷、造纸、印染、制革等项目。</w:t>
            </w:r>
          </w:p>
        </w:tc>
        <w:tc>
          <w:tcPr>
            <w:tcW w:w="1683" w:type="dxa"/>
            <w:vAlign w:val="center"/>
          </w:tcPr>
          <w:p w14:paraId="348FA4FB">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本项目属于公路工程建筑项目，不涉及VOCs排放，不涉及燃煤发电、石油化工、煤化工、涉磷、造纸、印染、制革等项目。</w:t>
            </w:r>
          </w:p>
        </w:tc>
        <w:tc>
          <w:tcPr>
            <w:tcW w:w="873" w:type="dxa"/>
            <w:vAlign w:val="center"/>
          </w:tcPr>
          <w:p w14:paraId="31942DDF">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符合</w:t>
            </w:r>
          </w:p>
        </w:tc>
      </w:tr>
      <w:tr w14:paraId="6A613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4FD036F5">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2EA77835">
            <w:pPr>
              <w:pStyle w:val="48"/>
              <w:jc w:val="center"/>
              <w:rPr>
                <w:rFonts w:hint="default" w:ascii="Times New Roman" w:hAnsi="Times New Roman" w:cs="Times New Roman"/>
                <w:color w:val="auto"/>
                <w:sz w:val="21"/>
                <w:szCs w:val="21"/>
                <w:vertAlign w:val="baseline"/>
              </w:rPr>
            </w:pPr>
          </w:p>
        </w:tc>
        <w:tc>
          <w:tcPr>
            <w:tcW w:w="1336" w:type="dxa"/>
            <w:vAlign w:val="center"/>
          </w:tcPr>
          <w:p w14:paraId="5CE71404">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tc>
        <w:tc>
          <w:tcPr>
            <w:tcW w:w="6826" w:type="dxa"/>
            <w:vAlign w:val="center"/>
          </w:tcPr>
          <w:p w14:paraId="1C6F23F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-现有属于禁止引入产业门类的企业，应按相关规定限期整治或退出。</w:t>
            </w:r>
          </w:p>
          <w:p w14:paraId="5C464817">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重点区域城市钢铁企业要切实采取彻底关停、转型发展、就地改造、域外搬迁等方式。四川省达州钢铁集团有限责任公司处于四川省大气污染防治重点区域，属于“彻底关停、转型发展、就地改造、域外搬迁”企业；</w:t>
            </w:r>
          </w:p>
          <w:p w14:paraId="2FF6A50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-引导重污染产业退出或搬迁、企业分类退城入园，逐步打破近水靠城的历史工业布局。加大城市区域现有装备水平低、环保设施差的微小企业“关、停、并、转”实施力度，清理建成区上风向重点涉气项目。</w:t>
            </w:r>
          </w:p>
          <w:p w14:paraId="7DA64BA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-石化、现代煤化工项目应纳入国家产业规划。新建、扩建石化、化工、焦化、有色金属冶炼、平板玻璃项目应布设在依法合规设立并经规划环评的产业园区。</w:t>
            </w:r>
          </w:p>
        </w:tc>
        <w:tc>
          <w:tcPr>
            <w:tcW w:w="1683" w:type="dxa"/>
            <w:vAlign w:val="center"/>
          </w:tcPr>
          <w:p w14:paraId="663B16BB">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本项目属于公路工程建筑项目。</w:t>
            </w:r>
          </w:p>
        </w:tc>
        <w:tc>
          <w:tcPr>
            <w:tcW w:w="873" w:type="dxa"/>
            <w:vAlign w:val="center"/>
          </w:tcPr>
          <w:p w14:paraId="2C577E8F">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75ABF9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4B0CD827">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41389CEE">
            <w:pPr>
              <w:pStyle w:val="48"/>
              <w:jc w:val="center"/>
              <w:rPr>
                <w:rFonts w:hint="default" w:ascii="Times New Roman" w:hAnsi="Times New Roman" w:cs="Times New Roman"/>
                <w:color w:val="auto"/>
                <w:sz w:val="21"/>
                <w:szCs w:val="21"/>
                <w:vertAlign w:val="baseline"/>
              </w:rPr>
            </w:pPr>
          </w:p>
        </w:tc>
        <w:tc>
          <w:tcPr>
            <w:tcW w:w="1336" w:type="dxa"/>
            <w:vAlign w:val="center"/>
          </w:tcPr>
          <w:p w14:paraId="6FBC996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tc>
        <w:tc>
          <w:tcPr>
            <w:tcW w:w="6826" w:type="dxa"/>
            <w:vAlign w:val="center"/>
          </w:tcPr>
          <w:p w14:paraId="7E80EB91">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6330D5F3">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4B5680A1">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51CEA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2300FD6">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C9F1509">
            <w:pPr>
              <w:pStyle w:val="48"/>
              <w:jc w:val="center"/>
              <w:rPr>
                <w:rFonts w:hint="default" w:ascii="Times New Roman" w:hAnsi="Times New Roman" w:cs="Times New Roman"/>
                <w:color w:val="auto"/>
                <w:sz w:val="21"/>
                <w:szCs w:val="21"/>
                <w:vertAlign w:val="baseline"/>
              </w:rPr>
            </w:pPr>
          </w:p>
        </w:tc>
        <w:tc>
          <w:tcPr>
            <w:tcW w:w="1336" w:type="dxa"/>
            <w:vAlign w:val="center"/>
          </w:tcPr>
          <w:p w14:paraId="45B0411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4CDE4E3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允许排放量要求</w:t>
            </w:r>
          </w:p>
          <w:p w14:paraId="3DA7483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达州市2025年水污染物允许排放量COD4396.41t，氨氮418.7t，TP45.36t；达州市2025年大气污染物一次PM</w:t>
            </w:r>
            <w:r>
              <w:rPr>
                <w:rFonts w:hint="default" w:ascii="Times New Roman" w:hAnsi="Times New Roman" w:cs="Times New Roman"/>
                <w:color w:val="auto"/>
                <w:sz w:val="21"/>
                <w:szCs w:val="21"/>
                <w:vertAlign w:val="subscript"/>
              </w:rPr>
              <w:t>2.5</w:t>
            </w:r>
            <w:r>
              <w:rPr>
                <w:rFonts w:hint="default" w:ascii="Times New Roman" w:hAnsi="Times New Roman" w:cs="Times New Roman"/>
                <w:color w:val="auto"/>
                <w:sz w:val="21"/>
                <w:szCs w:val="21"/>
                <w:vertAlign w:val="baseline"/>
              </w:rPr>
              <w:t>5805t、SO</w:t>
            </w:r>
            <w:r>
              <w:rPr>
                <w:rFonts w:hint="default" w:ascii="Times New Roman" w:hAnsi="Times New Roman" w:cs="Times New Roman"/>
                <w:color w:val="auto"/>
                <w:sz w:val="21"/>
                <w:szCs w:val="21"/>
                <w:vertAlign w:val="subscript"/>
              </w:rPr>
              <w:t>2</w:t>
            </w:r>
            <w:r>
              <w:rPr>
                <w:rFonts w:hint="default" w:ascii="Times New Roman" w:hAnsi="Times New Roman" w:cs="Times New Roman"/>
                <w:color w:val="auto"/>
                <w:sz w:val="21"/>
                <w:szCs w:val="21"/>
                <w:vertAlign w:val="baseline"/>
              </w:rPr>
              <w:t>12773t、NOx11892t、VOCs13969t</w:t>
            </w:r>
          </w:p>
          <w:p w14:paraId="6941464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现有源提标升级改造</w:t>
            </w:r>
          </w:p>
          <w:p w14:paraId="7E953CE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-污水收集处理率达100%；</w:t>
            </w:r>
          </w:p>
          <w:p w14:paraId="4800A77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底前，现有钢铁行业80%以上产能完成超低排放改造，烧结机机头、球团焙烧烟气颗粒物、二氧化硫、氮氧化物排放浓度小时均值分别不高于10、35、50毫克/立方米；其他主要污染源颗粒物、二氧化硫、氮氧化物排放浓度小时均值原则上分别不高于10、50、200毫克/立方米。</w:t>
            </w:r>
          </w:p>
          <w:p w14:paraId="1918CC6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有行业标准的工业炉窑，要求严格执行已有的行业排放标准，配套建设高效除尘脱硫脱硝设施，确保稳定达标排放。有排污许可证的，应严格执行许可要求。暂没有行业标准的，要求参照有关行业标准执行，其中，铸造行业烧结、高炉工序污染排放控制按照钢铁行业相关标准要求执行；颗粒物、二氧化硫、氮氧化物排放限值分别不高于30、200、300毫克/立方米实施改造，其中，日用玻璃、玻璃棉氮氧化物排放限值不高于400毫克/立方米。</w:t>
            </w:r>
          </w:p>
          <w:p w14:paraId="395905D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完善园区及企业雨污分流系统，全面推进医药、化工等行业初期雨水收集处理，推动有条件的园区实施入园企业“一企一管、明管输送、实时监测”。加强企业废水预处理和排水管理，鼓励纳管企业与园区污水处理厂运营单位通过签订委托处理合同等方式协同处理废水。</w:t>
            </w:r>
          </w:p>
          <w:p w14:paraId="349A58F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其他污染物排放管控要求</w:t>
            </w:r>
          </w:p>
          <w:p w14:paraId="6EE5D78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新增源等量或倍量替代:上一年度水环境质量未完成目标的，新建排放水污染的建设项目按照总量管控要求进行倍量削减替代。</w:t>
            </w:r>
          </w:p>
          <w:p w14:paraId="54674503">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上一年度空气质量年平均浓度不达标的城市，建设项目新增相关污染物按照总量管控要求进行倍量削减替代。</w:t>
            </w:r>
          </w:p>
          <w:p w14:paraId="5D1EBF81">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对新建排放二氧化硫、氮氧化物、工业烟粉尘和VOCs的项目实施现役源倍量削减量替代。严禁钢铁、水泥、电解铝、平板玻璃等行业新增产能，对确有必要新建的必须实施等量或减量置换，防范过剩和落后产能跨地区转移.</w:t>
            </w:r>
          </w:p>
          <w:p w14:paraId="449BCBA2">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污染物排放绩效水平准入要求:新、改扩建项目污染排放指标满足《四川省省级生态工业园区指标》综合类生态工业园区要求。工业固体废弃物利用处置率达100%，危险废物处置率达100%。</w:t>
            </w:r>
          </w:p>
          <w:p w14:paraId="67DC9B58">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国家大气污染防治重点区域(以下称重点区域)内新建耗煤项目还应严格按规定采取煤炭消费减量替代措施，不得使用高污染燃料作为煤炭减量替代措施;重点区域执行大气污染物特别排放限值，严禁新增钢铁、电力、水泥、玻璃、砖瓦、陶瓷、焦化、电解铝、有色等重点行业大气污染物排放。</w:t>
            </w:r>
          </w:p>
          <w:p w14:paraId="61791953">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钢铁行业新建应参考达州市“三线一单”生态环境分区管控中钢铁行业资源环境绩效准入门槛。</w:t>
            </w:r>
          </w:p>
          <w:p w14:paraId="6B0A067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2030年，渠江流域用水总量控制在31.61亿立方米以内，渠江干流COD排放总量限制在4.89万t/a内、氨氮排放总量限制在0.54万t/a内。全面推进节水型社会建设，加强河湖（库）水域岸线保护及管理，加强入河排污口规范化建设，加强工业污染、农业农村污染、船舶港口污染防治。对流域内饮用水源地进行有效保护及规范化建设。</w:t>
            </w:r>
          </w:p>
          <w:p w14:paraId="5A3C056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化工园区应按照分类收集，分质处理的要求，配备专业化工生产废水集中处理设施（独立建设或依托骨干企业）及专管或明管输送的配套管网，化工生产废水纳管率达到100%。入河排污口设置应符合相关规定。</w:t>
            </w:r>
          </w:p>
          <w:p w14:paraId="3B54D2B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重点行业建设项目应遵循重点重金属污染物排放“等量替代”原则。按国家规定，建设单位在提交环境影响评价文件时应明确重点重金属污染物排放总量及来源，无明确具体总量来源的，各级生态环境部门不得批准相关环境影响评价文件。重金属污染物排放总量替代管理豁免的情形参见《四川省“十四五”重金属污染防控工作方案》；重点行业、重点重金属的界定参见《四川省“十四五”重金属污染防控工作方案》。</w:t>
            </w:r>
          </w:p>
          <w:p w14:paraId="79FB168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落实《四川省深入打好重污染天气消除、臭氧污染防治和柴油货车污染治理攻坚战实施方案》要求，推进重点行业超低排放改造和深度治理，加快实施低VOCs含量原辅材料替代，持续开展VOCs治理设施提级增效，强化VOCs无组织排放整治，加强非正常工况废气排放管控，推进涉VOCs产业集群治理提升，推进油品VOCs综合管控。</w:t>
            </w:r>
          </w:p>
        </w:tc>
        <w:tc>
          <w:tcPr>
            <w:tcW w:w="1683" w:type="dxa"/>
            <w:vAlign w:val="center"/>
          </w:tcPr>
          <w:p w14:paraId="433842E8">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施工扬尘主要产生于施工车辆行驶产生的扬尘及路基开挖产生的风力扬尘等。施工段和汽车行驶产生的扬尘源强大小与施工强度、路面状况和天气状况有关，扬尘浓度随距离的增加逐渐减小。针对施工期大气污染物产生情况，应制定严格的污染防治措施控制扬尘，施工单位参照《防治城市扬尘污染技术规范》（HJ/T-2007）、《四川省人民政府办公厅关于加强灰霾污染防治的通知》（川办发[2013]32号）、《四川省施工场地扬尘排放标准》（DB51/2682-2020）的相关要求，做好扬尘的污染防治。施工期对水环境的影响主要包括施工废水对水环境的影响、施工人员生活污水对水体的影响等，均不外排。本项目施工期噪声主要包括设备机械运行噪声和运输交通噪声，通过降噪措施后达标排放。施工期产生的固体废物主要包括建筑垃圾、弃方、生活垃圾、钻渣、污泥、钢筋加工产生的废机油、废焊条、焊渣，均妥善处置。</w:t>
            </w:r>
          </w:p>
        </w:tc>
        <w:tc>
          <w:tcPr>
            <w:tcW w:w="873" w:type="dxa"/>
            <w:vAlign w:val="center"/>
          </w:tcPr>
          <w:p w14:paraId="0C9BA7B5">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7362B7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5A1F0206">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544878C">
            <w:pPr>
              <w:pStyle w:val="48"/>
              <w:jc w:val="center"/>
              <w:rPr>
                <w:rFonts w:hint="default" w:ascii="Times New Roman" w:hAnsi="Times New Roman" w:cs="Times New Roman"/>
                <w:color w:val="auto"/>
                <w:sz w:val="21"/>
                <w:szCs w:val="21"/>
                <w:vertAlign w:val="baseline"/>
              </w:rPr>
            </w:pPr>
          </w:p>
        </w:tc>
        <w:tc>
          <w:tcPr>
            <w:tcW w:w="1336" w:type="dxa"/>
            <w:vAlign w:val="center"/>
          </w:tcPr>
          <w:p w14:paraId="176241D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5C3608C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联防联控要求</w:t>
            </w:r>
          </w:p>
          <w:p w14:paraId="4B2C579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14:paraId="08329DC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其他环境风险防控要求</w:t>
            </w:r>
          </w:p>
          <w:p w14:paraId="4C71331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企业环境风险防控要求:涉及有毒有害、易燃易爆物质新建、改扩建项目，严控准入要求。（根据《GB8978-2002》中第一类污染物以及《优先控制化学品名录</w:t>
            </w:r>
            <w:r>
              <w:rPr>
                <w:rFonts w:hint="eastAsia"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vertAlign w:val="baseline"/>
              </w:rPr>
              <w:t>有毒有害大气污染物名录</w:t>
            </w:r>
            <w:r>
              <w:rPr>
                <w:rFonts w:hint="eastAsia"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vertAlign w:val="baseline"/>
              </w:rPr>
              <w:t>有毒有害水污染物名录》确定）。对钢铁、焦化平板玻璃、铜铅锌硅冶炼等环境影响大或环境风险高的项目类别，不得以改革试点名义随意下放环评审批权限或降低审批要求。</w:t>
            </w:r>
          </w:p>
          <w:p w14:paraId="5E47DD7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园区环境风险防控要求:园区风险防控体系要求：构建三级环境风险防控体系，强化危化品泄漏应急处置措施，确保风险可控。针对化工园区进一步强化风险防控。化工园区应具有安全风险监控体系、建立生态环境监测监控体系、建立必要的突发环境事件应急体系。杜绝危化品泄漏、事故排放等，确保环境安全。</w:t>
            </w:r>
          </w:p>
          <w:p w14:paraId="0A0F425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用地环境风险防控要求:化工、电镀等行业企业拆除生产设施设备、构筑物和污染治理设施，要事先制定残留污染物清理和安全处置方案，要严格按照有关规定实施安全处理处置，防范拆除活动污染土壤。有色金属矿采选、有色金属冶炼、石油加工、化工、焦化、电镀、制革、天然（页岩）气开采、铅蓄电池、汽车制造、农药、危废处置、电子拆解等行业企业及其他可能影响土壤环境质量的生产设施设备、构筑物和污染治理设施的拆除，按照有关规定制定残留污染物清理和安全处置方案，要严格按照有关规定实施安全处理处置，防范拆除活动污染土壤。</w:t>
            </w:r>
          </w:p>
        </w:tc>
        <w:tc>
          <w:tcPr>
            <w:tcW w:w="1683" w:type="dxa"/>
            <w:vAlign w:val="center"/>
          </w:tcPr>
          <w:p w14:paraId="49EAA43F">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本项目为公路工程建筑，不属于化工项目。</w:t>
            </w:r>
            <w:r>
              <w:rPr>
                <w:rFonts w:hint="default" w:ascii="Times New Roman" w:hAnsi="Times New Roman" w:cs="Times New Roman"/>
                <w:color w:val="auto"/>
                <w:sz w:val="21"/>
                <w:szCs w:val="21"/>
                <w:vertAlign w:val="baseline"/>
                <w:lang w:val="en-US" w:eastAsia="zh-CN"/>
              </w:rPr>
              <w:t>风险管控措施如下：</w:t>
            </w:r>
            <w:r>
              <w:rPr>
                <w:rFonts w:hint="default" w:ascii="Times New Roman" w:hAnsi="Times New Roman" w:cs="Times New Roman"/>
                <w:color w:val="auto"/>
                <w:sz w:val="21"/>
                <w:szCs w:val="21"/>
                <w:vertAlign w:val="baseline"/>
              </w:rPr>
              <w:t>油品现用现购；施工废水和泥浆处理设施设备日常巡检和保养；弃土场坍塌风险：严格执行“先拦后弃”的原则，弃土堆放前必须在弃土场坡脚修建挡墙，并在弃土场的周边修建截、排水沟，严格控制弃土场的堆土高度和坡面坡率；弃土场迹地恢复：施工结束后，对土体顶面进行土地整治，并对土体坡面和顶部进行复耕；建立环境风险管理制度，场地内预备应急</w:t>
            </w:r>
            <w:r>
              <w:rPr>
                <w:rFonts w:hint="default" w:ascii="Times New Roman" w:hAnsi="Times New Roman" w:cs="Times New Roman"/>
                <w:color w:val="auto"/>
                <w:sz w:val="21"/>
                <w:szCs w:val="21"/>
                <w:vertAlign w:val="baseline"/>
                <w:lang w:val="en-US" w:eastAsia="zh-CN"/>
              </w:rPr>
              <w:t>物资。</w:t>
            </w:r>
          </w:p>
        </w:tc>
        <w:tc>
          <w:tcPr>
            <w:tcW w:w="873" w:type="dxa"/>
            <w:vAlign w:val="center"/>
          </w:tcPr>
          <w:p w14:paraId="025A5A6A">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61B4A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3D8E1F4">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65F49C5C">
            <w:pPr>
              <w:pStyle w:val="48"/>
              <w:jc w:val="center"/>
              <w:rPr>
                <w:rFonts w:hint="default" w:ascii="Times New Roman" w:hAnsi="Times New Roman" w:cs="Times New Roman"/>
                <w:color w:val="auto"/>
                <w:sz w:val="21"/>
                <w:szCs w:val="21"/>
                <w:vertAlign w:val="baseline"/>
              </w:rPr>
            </w:pPr>
          </w:p>
        </w:tc>
        <w:tc>
          <w:tcPr>
            <w:tcW w:w="1336" w:type="dxa"/>
            <w:vAlign w:val="center"/>
          </w:tcPr>
          <w:p w14:paraId="6F27E1D7">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资源开发利用效率要求</w:t>
            </w:r>
          </w:p>
        </w:tc>
        <w:tc>
          <w:tcPr>
            <w:tcW w:w="6826" w:type="dxa"/>
            <w:vAlign w:val="center"/>
          </w:tcPr>
          <w:p w14:paraId="06C21FB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水资源利用总量要求</w:t>
            </w:r>
          </w:p>
          <w:p w14:paraId="7F021FE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新、改扩建项目污染水耗指标满足《四川省省级生态工业园区指标》综合类生态工业园区要求；到2022年，万元国内生产总值用水量、万元工业增加值用水量较2015年分别下降30%和28%。</w:t>
            </w:r>
          </w:p>
          <w:p w14:paraId="5A65F3D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地下水开采要求</w:t>
            </w:r>
          </w:p>
          <w:p w14:paraId="0751FD2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以省市下发指标为准</w:t>
            </w:r>
          </w:p>
          <w:p w14:paraId="0F3F9AE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能源利用总量及效率要求</w:t>
            </w:r>
          </w:p>
          <w:p w14:paraId="3ECADC5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川东北区域实施新建项目与煤炭消费总量控制挂钩机制，耗煤建设项目实行煤炭消耗等量减量替代。提高煤炭利用效率和天然气利用占比，工业领域有序推进“煤改电”和有序推进“煤改气”。</w:t>
            </w:r>
          </w:p>
          <w:p w14:paraId="630DD1F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-大力实施和推广以电代煤、以电代油工程，重点在城市交通、工商业等领域实施以电代油、以电代煤。</w:t>
            </w:r>
          </w:p>
          <w:p w14:paraId="242B4A4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-增加天然气对煤炭和石油的替代，提高天然气民用、交通、发电、工业领域天然气消费比重。</w:t>
            </w:r>
          </w:p>
          <w:p w14:paraId="7E887EA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-实施煤炭消费总量控制：严格控制煤炭消费总量；严格控制新建、改建、扩建耗煤项目，新增耗煤项目实行煤炭消耗减量倍量替代。</w:t>
            </w:r>
          </w:p>
          <w:p w14:paraId="1DD32DC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鼓励使用清洁燃料，重点区域建设项目原则上不新建燃煤自备锅炉。鼓励重点区域高炉-转炉长流程钢铁企业转型为电炉短流程企业。大宗物料优先采用铁路、管道或水路运输，短途接驳优先使用新能源车辆运输。</w:t>
            </w:r>
          </w:p>
          <w:p w14:paraId="2971E23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-推进清洁能源的推广使用，全面推进散煤清洁化整治；</w:t>
            </w:r>
          </w:p>
          <w:p w14:paraId="726F85B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全面淘汰10蒸吨/小时及以下燃煤锅炉，原则上不再新建35蒸吨/小时及以下的燃煤锅炉，推进县级及以上城市建成区淘汰35蒸吨/小时及以下燃煤锅炉，以工业余热、电厂热力、清洁能源等替代煤炭。加快推进火电、钢铁、铸造（含烧结、球团、高炉工序）水泥、焦化行业燃煤锅炉和工业炉窑超低排放改造及深度治理。稳步实施陶瓷、玻璃、铁合金、有色、砖瓦等行业企业深度治理，推进工业炉窑煤改电（气）和低氮燃烧改造。全面加强钢铁、建材、有色、焦化、铸造重点行业无组织排放治理。生物质锅炉采用专用锅炉，配套布袋等高效除尘设施，禁止掺烧煤炭、垃圾等其他物料。</w:t>
            </w:r>
          </w:p>
          <w:p w14:paraId="3A98B48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-对20蒸吨及以上燃煤锅炉实施脱硫改造，建设高效脱硫设施；对循环流化床锅炉以外的燃煤发电机组一律安装脱硫设施，对燃煤锅炉和工业锅炉现有除尘设施实施升级改造，确保达到新的排放标准和特别排放限值</w:t>
            </w:r>
          </w:p>
          <w:p w14:paraId="71EB6EB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禁燃区要求</w:t>
            </w:r>
          </w:p>
          <w:p w14:paraId="58A31C9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14:paraId="204D44A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-禁燃区内禁止销售、燃用高污染燃料；禁止新建、改建、扩建燃用高污染燃料的设施和设备。</w:t>
            </w:r>
          </w:p>
          <w:p w14:paraId="1B5E6C9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-禁燃区内已建成的高污染燃料燃用设施由辖区人民政府制定限期改造计划，改用天然气、页岩气、液化石油气、电或其他清洁能源。</w:t>
            </w:r>
          </w:p>
        </w:tc>
        <w:tc>
          <w:tcPr>
            <w:tcW w:w="1683" w:type="dxa"/>
            <w:vAlign w:val="center"/>
          </w:tcPr>
          <w:p w14:paraId="091C2A12">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314A8089">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4EC1E9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5504E6B2">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00AC16E7">
            <w:pPr>
              <w:pStyle w:val="48"/>
              <w:jc w:val="center"/>
              <w:rPr>
                <w:rFonts w:hint="default" w:ascii="Times New Roman" w:hAnsi="Times New Roman" w:cs="Times New Roman"/>
                <w:color w:val="auto"/>
                <w:sz w:val="21"/>
                <w:szCs w:val="21"/>
                <w:vertAlign w:val="baseline"/>
              </w:rPr>
            </w:pPr>
          </w:p>
        </w:tc>
        <w:tc>
          <w:tcPr>
            <w:tcW w:w="1336" w:type="dxa"/>
            <w:vAlign w:val="center"/>
          </w:tcPr>
          <w:p w14:paraId="7F08048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其他资源利用效率要求</w:t>
            </w:r>
          </w:p>
        </w:tc>
        <w:tc>
          <w:tcPr>
            <w:tcW w:w="6826" w:type="dxa"/>
            <w:vAlign w:val="center"/>
          </w:tcPr>
          <w:p w14:paraId="2927F5F8">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1EE83BDC">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2E520D05">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113FE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75ED256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四川达州普光经济开发区ZH51172220002</w:t>
            </w:r>
          </w:p>
        </w:tc>
        <w:tc>
          <w:tcPr>
            <w:tcW w:w="1336" w:type="dxa"/>
            <w:vMerge w:val="restart"/>
            <w:vAlign w:val="center"/>
          </w:tcPr>
          <w:p w14:paraId="6511180C">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4A60CDA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71D7BDE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261CF42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1、禁止引入有色金属冶炼（再生铝除外）、印染、皮革鞣制、制浆造纸、印制电路板、专业电镀等重污染项目；</w:t>
            </w:r>
          </w:p>
          <w:p w14:paraId="11783DE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2、宣汉县徐家坡饮用水源地准保护区撤销前，柳池功能区饮用水源准保护区内禁止新建、扩建对水体污染严重的建设项目，改建建设项目，不得增加排污量；</w:t>
            </w:r>
          </w:p>
          <w:p w14:paraId="217F9B7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3、其它同达州市工业重点管控单元要求</w:t>
            </w:r>
          </w:p>
          <w:p w14:paraId="6364DC7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5AC1628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1、涉及电镀的工序必须达到清洁生产一级水平</w:t>
            </w:r>
          </w:p>
          <w:p w14:paraId="088D457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2、普光化工园区周边涉及永久基本农田区域，布局项目应充分考虑涉气特征污染物（氟化氢、氯气、硫酸雾、硫化氢、氯化氢等）对基本农田的影响，适当优化布局</w:t>
            </w:r>
          </w:p>
          <w:p w14:paraId="3E14984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3、其它同达州市工业重点管控单元要求</w:t>
            </w:r>
          </w:p>
          <w:p w14:paraId="29706E3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允许开发建设活动的要求</w:t>
            </w:r>
          </w:p>
          <w:p w14:paraId="5281345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19EC876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1743EB3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南坝功能区：1）中石油净化厂厂址用地可布局改性硫磺、天然气脱硫净化配套服务业、相关设备制造等环境影响较小的产业；2）该功能区不得在规划边界外现有或已规划的居住区等敏感目标的近距离范围内布设与敏感目标相禁忌的产业；不得入驻食品、医药成品等与该功能区主导产业相禁忌的产业</w:t>
            </w:r>
          </w:p>
          <w:p w14:paraId="2775F35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普光功能区：将天然气化工、硫化工、锂钾综合开发等符合相关规划的化工产业布局在达州普光化工园区内；改性硫磺、天然气脱硫净化、锂钾综合开发等化工产业的配套服务业、相关设备制造业等符合相关规划的产业优先布局在达州普光化工园区之外的工业用地上</w:t>
            </w:r>
          </w:p>
          <w:p w14:paraId="5237B26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3、方斗功能区：农副食品加工产业中涉及恶臭、异味的企业建议集中布局在方斗社区以西、国道210线以南的区域</w:t>
            </w:r>
          </w:p>
          <w:p w14:paraId="51FFA89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3BDB3F3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5A4080F7">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本项目属于公路工程建筑项目，不属于禁止开发建设活动。</w:t>
            </w:r>
          </w:p>
        </w:tc>
        <w:tc>
          <w:tcPr>
            <w:tcW w:w="873" w:type="dxa"/>
            <w:vAlign w:val="center"/>
          </w:tcPr>
          <w:p w14:paraId="502CE929">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F4B9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75C46A4">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4BBC76F0">
            <w:pPr>
              <w:pStyle w:val="48"/>
              <w:jc w:val="center"/>
              <w:rPr>
                <w:rFonts w:hint="default" w:ascii="Times New Roman" w:hAnsi="Times New Roman" w:cs="Times New Roman"/>
                <w:color w:val="auto"/>
                <w:sz w:val="21"/>
                <w:szCs w:val="21"/>
                <w:vertAlign w:val="baseline"/>
              </w:rPr>
            </w:pPr>
          </w:p>
        </w:tc>
        <w:tc>
          <w:tcPr>
            <w:tcW w:w="1336" w:type="dxa"/>
            <w:vAlign w:val="center"/>
          </w:tcPr>
          <w:p w14:paraId="3175347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56F15C3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现有源提标升级改造</w:t>
            </w:r>
          </w:p>
          <w:p w14:paraId="2D67147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除柳池—方斗功能区二区废水需经深度处理至主要水污染物指标达《地表水环境质量标准》III类水域水质标准，石柱槽功能区废水处理达到回用水质标准外，其他各功能区污水厂出水标准执行《城镇污水处理厂污染物排放标准》一级A标准。</w:t>
            </w:r>
          </w:p>
          <w:p w14:paraId="49AFB29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-含五类重点控制的重金属（汞、镉、铅、砷、铬）废水实现零排放。其他同达州市工业重点总体准入要求</w:t>
            </w:r>
          </w:p>
          <w:p w14:paraId="078E44E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新增源等量或倍量替代</w:t>
            </w:r>
          </w:p>
          <w:p w14:paraId="5ED5FD0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执行达州市工业重点管控单元总体准入要求</w:t>
            </w:r>
          </w:p>
          <w:p w14:paraId="7B3026D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新增源排放标准限值</w:t>
            </w:r>
          </w:p>
          <w:p w14:paraId="7B2E9F5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同达州市工业重点总体准入要求</w:t>
            </w:r>
          </w:p>
          <w:p w14:paraId="0D129BE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污染物排放绩效水平准入要求</w:t>
            </w:r>
          </w:p>
          <w:p w14:paraId="02530B1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针对该区域重点发展行业提出大气和水污染物排放约束性和建议性准入指标，逐步构建绿色化工等产业园区。其他同达州市工业重点总体准入要求</w:t>
            </w:r>
          </w:p>
          <w:p w14:paraId="5CCAC54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其他污染物排放管控要求</w:t>
            </w:r>
          </w:p>
          <w:p w14:paraId="7D84286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2AEC2D5F">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6C29390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6EE30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06AACE03">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1AC330D8">
            <w:pPr>
              <w:pStyle w:val="48"/>
              <w:jc w:val="center"/>
              <w:rPr>
                <w:rFonts w:hint="default" w:ascii="Times New Roman" w:hAnsi="Times New Roman" w:cs="Times New Roman"/>
                <w:color w:val="auto"/>
                <w:sz w:val="21"/>
                <w:szCs w:val="21"/>
                <w:vertAlign w:val="baseline"/>
              </w:rPr>
            </w:pPr>
          </w:p>
        </w:tc>
        <w:tc>
          <w:tcPr>
            <w:tcW w:w="1336" w:type="dxa"/>
            <w:vAlign w:val="center"/>
          </w:tcPr>
          <w:p w14:paraId="528CDC9F">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6A1132B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水资源利用效率要求</w:t>
            </w:r>
          </w:p>
          <w:p w14:paraId="3EEC171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执行达州市工业重点管控单元总体要求</w:t>
            </w:r>
          </w:p>
          <w:p w14:paraId="55ECE92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地下水开采要求</w:t>
            </w:r>
          </w:p>
          <w:p w14:paraId="7300096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执行达州市工业重点管控单元总体要求</w:t>
            </w:r>
          </w:p>
          <w:p w14:paraId="496BBEA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能源利用效率要求</w:t>
            </w:r>
          </w:p>
          <w:p w14:paraId="4B177FB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执行达州市工业重点管控单元总体要求</w:t>
            </w:r>
          </w:p>
          <w:p w14:paraId="11215F2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其他资源利用效率要求</w:t>
            </w:r>
          </w:p>
          <w:p w14:paraId="79538D7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69214F08">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1F3167F5">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4F4F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Align w:val="center"/>
          </w:tcPr>
          <w:p w14:paraId="0D92BA9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宣汉县大气环境布局敏感重点管控区YS5117222320001</w:t>
            </w:r>
          </w:p>
        </w:tc>
        <w:tc>
          <w:tcPr>
            <w:tcW w:w="2672" w:type="dxa"/>
            <w:gridSpan w:val="2"/>
            <w:vAlign w:val="center"/>
          </w:tcPr>
          <w:p w14:paraId="0EE9A13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达州市普适性清单</w:t>
            </w:r>
          </w:p>
        </w:tc>
        <w:tc>
          <w:tcPr>
            <w:tcW w:w="6826" w:type="dxa"/>
            <w:vAlign w:val="center"/>
          </w:tcPr>
          <w:p w14:paraId="4BA6519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p w14:paraId="53ECAF6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4894BEE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48D2560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26EA6A3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45C42F5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775CD6D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754B7A5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53A95D5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3F15C33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p w14:paraId="578755F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允许排放量要求</w:t>
            </w:r>
          </w:p>
          <w:p w14:paraId="1EC8AFE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3FE2C2E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现有源提标升级改造</w:t>
            </w:r>
          </w:p>
          <w:p w14:paraId="5FE563B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59FCB76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其他污染物排放管控要求</w:t>
            </w:r>
          </w:p>
          <w:p w14:paraId="614F651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20C3B86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p w14:paraId="7948AE8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联防联控要求</w:t>
            </w:r>
          </w:p>
          <w:p w14:paraId="07D8591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54F314A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其他环境风险防控要求</w:t>
            </w:r>
          </w:p>
          <w:p w14:paraId="7D2BFDF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3D40C8B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资源开发利用效率要求：</w:t>
            </w:r>
          </w:p>
          <w:p w14:paraId="0BE966E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水资源利用总量要求</w:t>
            </w:r>
          </w:p>
          <w:p w14:paraId="19BB380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02894AD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地下水开采要求</w:t>
            </w:r>
          </w:p>
          <w:p w14:paraId="1EF6681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5A25A0A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能源利用总量及效率要求</w:t>
            </w:r>
          </w:p>
          <w:p w14:paraId="331D676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7D90603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禁燃区要求</w:t>
            </w:r>
          </w:p>
          <w:p w14:paraId="71333CD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p w14:paraId="55CBE06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其他资源利用效率要求</w:t>
            </w:r>
          </w:p>
          <w:p w14:paraId="51278CD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暂无</w:t>
            </w:r>
          </w:p>
        </w:tc>
        <w:tc>
          <w:tcPr>
            <w:tcW w:w="1683" w:type="dxa"/>
            <w:vAlign w:val="center"/>
          </w:tcPr>
          <w:p w14:paraId="1C9F1C01">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7C9DAD3B">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64B17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6FBCF456">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宣汉县大气环境布局敏感重点管控区YS5117222320001</w:t>
            </w:r>
          </w:p>
        </w:tc>
        <w:tc>
          <w:tcPr>
            <w:tcW w:w="1336" w:type="dxa"/>
            <w:vMerge w:val="restart"/>
            <w:vAlign w:val="center"/>
          </w:tcPr>
          <w:p w14:paraId="52D2B3B4">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4B061B9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66C7549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4904DFE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1、坚决遏制高耗能、高排放、低水平项目盲目发展，严格落实国家和四川省产业规划、产业政策、规划环评，以及产能置换、煤炭消费减量替代、区域污染物削减等要求，坚决叫停不符合要求的高耗能、高排放、低水平项目2、严禁新增钢铁、焦化、炼油、电解铝、水泥、平板玻璃（不含光伏玻璃）等产能</w:t>
            </w:r>
          </w:p>
          <w:p w14:paraId="058336A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64A5819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D620CA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允许开发建设活动的要求</w:t>
            </w:r>
          </w:p>
          <w:p w14:paraId="0E9B5A7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4E26F61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04302AB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20C2AAA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7A5FE71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6E1E926B">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本项目属于公路工程建筑项目，不属于禁止开发建设活动。</w:t>
            </w:r>
          </w:p>
        </w:tc>
        <w:tc>
          <w:tcPr>
            <w:tcW w:w="873" w:type="dxa"/>
            <w:vAlign w:val="center"/>
          </w:tcPr>
          <w:p w14:paraId="443F38A9">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7A3AAA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0F35270D">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4B37C16F">
            <w:pPr>
              <w:pStyle w:val="48"/>
              <w:jc w:val="center"/>
              <w:rPr>
                <w:rFonts w:hint="default" w:ascii="Times New Roman" w:hAnsi="Times New Roman" w:cs="Times New Roman"/>
                <w:color w:val="auto"/>
                <w:sz w:val="21"/>
                <w:szCs w:val="21"/>
                <w:vertAlign w:val="baseline"/>
              </w:rPr>
            </w:pPr>
          </w:p>
        </w:tc>
        <w:tc>
          <w:tcPr>
            <w:tcW w:w="1336" w:type="dxa"/>
            <w:vAlign w:val="center"/>
          </w:tcPr>
          <w:p w14:paraId="215DDF4D">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3CF8FDF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大气环境质量执行标准</w:t>
            </w:r>
          </w:p>
          <w:p w14:paraId="76CD9E0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《环境空气质量标准》（GB3095-2012）：二级</w:t>
            </w:r>
          </w:p>
          <w:p w14:paraId="7A9A3BB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区域大气污染物削减/替代要求</w:t>
            </w:r>
          </w:p>
          <w:p w14:paraId="69A49D6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929E96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燃煤和其他能源大气污染控制要求</w:t>
            </w:r>
          </w:p>
          <w:p w14:paraId="1D0A276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690EFE2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工业废气污染控制要求</w:t>
            </w:r>
          </w:p>
          <w:p w14:paraId="37995DA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57EA1A3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机动车船大气污染控制要求</w:t>
            </w:r>
          </w:p>
          <w:p w14:paraId="52E71A8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2D355B6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扬尘污染控制要求</w:t>
            </w:r>
          </w:p>
          <w:p w14:paraId="7A3AED7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702105C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农业生产经营活动大气污染控制要求</w:t>
            </w:r>
          </w:p>
          <w:p w14:paraId="64C5C25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2ABBED2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重点行业企业专项治理要求</w:t>
            </w:r>
          </w:p>
          <w:p w14:paraId="3632358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1FD743C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其他大气污染物排放管控要求</w:t>
            </w:r>
          </w:p>
          <w:p w14:paraId="0BEFAE8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0D13FA8B">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本项目所在地大气环境质量符合《环境空气质量标准》（GB3095-2012）：二级。</w:t>
            </w:r>
          </w:p>
        </w:tc>
        <w:tc>
          <w:tcPr>
            <w:tcW w:w="873" w:type="dxa"/>
            <w:vAlign w:val="center"/>
          </w:tcPr>
          <w:p w14:paraId="05F017D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09341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578DB201">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5895DC42">
            <w:pPr>
              <w:pStyle w:val="48"/>
              <w:jc w:val="center"/>
              <w:rPr>
                <w:rFonts w:hint="default" w:ascii="Times New Roman" w:hAnsi="Times New Roman" w:cs="Times New Roman"/>
                <w:color w:val="auto"/>
                <w:sz w:val="21"/>
                <w:szCs w:val="21"/>
                <w:vertAlign w:val="baseline"/>
              </w:rPr>
            </w:pPr>
          </w:p>
        </w:tc>
        <w:tc>
          <w:tcPr>
            <w:tcW w:w="1336" w:type="dxa"/>
            <w:vAlign w:val="center"/>
          </w:tcPr>
          <w:p w14:paraId="274A77B7">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0A8E8E86">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56EC286F">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484AA95A">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54915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0C7BFF86">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0A266F77">
            <w:pPr>
              <w:pStyle w:val="48"/>
              <w:jc w:val="center"/>
              <w:rPr>
                <w:rFonts w:hint="default" w:ascii="Times New Roman" w:hAnsi="Times New Roman" w:cs="Times New Roman"/>
                <w:color w:val="auto"/>
                <w:sz w:val="21"/>
                <w:szCs w:val="21"/>
                <w:vertAlign w:val="baseline"/>
              </w:rPr>
            </w:pPr>
          </w:p>
        </w:tc>
        <w:tc>
          <w:tcPr>
            <w:tcW w:w="1336" w:type="dxa"/>
            <w:vAlign w:val="center"/>
          </w:tcPr>
          <w:p w14:paraId="61D58DF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403B21FA">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683" w:type="dxa"/>
            <w:vAlign w:val="center"/>
          </w:tcPr>
          <w:p w14:paraId="0F78FBEC">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873" w:type="dxa"/>
            <w:vAlign w:val="center"/>
          </w:tcPr>
          <w:p w14:paraId="5207D7CB">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210EFD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restart"/>
            <w:vAlign w:val="center"/>
          </w:tcPr>
          <w:p w14:paraId="7579BC92">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宣汉县一般管控单元ZH51172230001</w:t>
            </w:r>
          </w:p>
        </w:tc>
        <w:tc>
          <w:tcPr>
            <w:tcW w:w="1336" w:type="dxa"/>
            <w:vMerge w:val="restart"/>
            <w:vAlign w:val="center"/>
          </w:tcPr>
          <w:p w14:paraId="0529E665">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达州市普适性清单</w:t>
            </w:r>
          </w:p>
        </w:tc>
        <w:tc>
          <w:tcPr>
            <w:tcW w:w="1336" w:type="dxa"/>
            <w:vAlign w:val="center"/>
          </w:tcPr>
          <w:p w14:paraId="63E41FB0">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1296134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2A6A650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-禁止在长江干支流1公里范围内新建、扩建化工园区和化工项目。</w:t>
            </w:r>
          </w:p>
          <w:p w14:paraId="5AFCF77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-禁止在法律法规规定的禁采区内新建矿山；禁止土法采、选、冶严重污染环境的矿产资源。</w:t>
            </w:r>
          </w:p>
          <w:p w14:paraId="740F0BB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-涉及永久基本农田的区域，除法律规定的重点建设项目选址确实无法避让外，其他任何建设不得占用。</w:t>
            </w:r>
          </w:p>
          <w:p w14:paraId="143EC3C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-禁止在长江流域河湖管理范围内倾倒、填埋、堆放、弃置、处理固体废物。</w:t>
            </w:r>
          </w:p>
          <w:p w14:paraId="2E5AC62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-禁止在永久基本农田集中区域和其他需要特别保护的区域选址建设尾矿库、冶炼渣库、磷石膏库。</w:t>
            </w:r>
          </w:p>
          <w:p w14:paraId="076D879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-禁止在长江干流岸线三公里范围内和重要支流岸线一公里范围内新建、改建、扩建尾矿库、冶炼渣库、磷石膏库，以提升安全、生态环境保护水平为目的的改建除外。</w:t>
            </w:r>
          </w:p>
          <w:p w14:paraId="1D3F76F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限制开发建设活动的要求</w:t>
            </w:r>
          </w:p>
          <w:p w14:paraId="5C166C0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-按照相关要求严控水泥新增产能。</w:t>
            </w:r>
          </w:p>
          <w:p w14:paraId="3E8AC02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-涉及法定保护地，严格按照国家及地方法律法规、管理办法等相关要求进行控制。配套旅游、基础设施等建设项目，在符合规划和相关保护要求的前提下，应实施生态避让、减缓影响及生态恢复措施。</w:t>
            </w:r>
          </w:p>
          <w:p w14:paraId="39C73FA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按照相关要求严控水泥新增产能。</w:t>
            </w:r>
          </w:p>
          <w:p w14:paraId="2B4B664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环境布局敏感重点管控区：（1）坚决遏制高耗能、高排放、低水平项目盲目发展，严格落实国家和四川省产业规划、产业政策、规划环评，以及产能置换、煤炭消费减量替代、区域污染物削减等要求，坚决叫停不符合要求的高耗能、高排放、低水平项目。（2）提升高耗能项目能耗准入标准，能耗、物耗要达到清洁生产先进水平。严禁新增钢铁、焦化、炼油、电解铝、水泥、平板玻璃（不含光伏玻璃）等产能。</w:t>
            </w:r>
          </w:p>
          <w:p w14:paraId="42738E4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弱扩散重点管控区：强化落后产能退出机制，对能耗、环保、安全、技术达不到标准，生产不合格或淘汰类产品的企业和产能，依法予以关闭淘汰，推动重污染企业搬迁入园或依法关闭。对长江及重要支流沿线存在重大环境安全隐患的生产企业，加快推进就地改造异地迁建、关闭退出。开展差别化环境管理，对能耗、物耗、污染物排放等指标提出最严格管控要求，倒逼竞争乏力的产能退出。支持现有钢铁、水泥、焦化等废气排放量大的产业向有刚性需求、具有资源优势、环境容量允许的地区转移布局。</w:t>
            </w:r>
          </w:p>
          <w:p w14:paraId="4947401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环境农业污染重点管控区：（1）稳步推进建制镇污水处理设施建设，适当预留发展空间，宜集中则集中，宜分散则分散。农村生活污水处理设施排水执行《农村生活污水处理设施水污染物排放标准》（DB512626-2019）要求。（2）深入推进化肥减量增效。鼓励以循环利用与生态净化相结合的方式控制种植业污染，农企合作推进测土配方施肥。</w:t>
            </w:r>
          </w:p>
          <w:p w14:paraId="193215E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18359D7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针对现有水泥企业，强化污染治理和污染物减排，依法依规整治或搬迁。</w:t>
            </w:r>
          </w:p>
          <w:p w14:paraId="050820A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全面取缔禁养区内规模化畜禽养殖场。</w:t>
            </w:r>
          </w:p>
          <w:p w14:paraId="032242B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2025年基本完成全域内“散乱污”企业整治工作。</w:t>
            </w:r>
          </w:p>
          <w:p w14:paraId="4A353FB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在全市范围深入开展集中整治“散乱污”工业企业，对不符合产业政策和规划布局的，一律责令停产、限期搬迁或关停；</w:t>
            </w:r>
          </w:p>
          <w:p w14:paraId="02A3DE9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3350B91F">
            <w:pPr>
              <w:pStyle w:val="48"/>
              <w:jc w:val="both"/>
              <w:rPr>
                <w:rFonts w:hint="default" w:ascii="Times New Roman" w:hAnsi="Times New Roman" w:eastAsia="宋体" w:cs="Times New Roman"/>
                <w:color w:val="auto"/>
                <w:sz w:val="21"/>
                <w:szCs w:val="21"/>
                <w:vertAlign w:val="baseline"/>
                <w:lang w:eastAsia="zh-CN"/>
              </w:rPr>
            </w:pPr>
            <w:r>
              <w:rPr>
                <w:rFonts w:hint="default" w:ascii="Times New Roman" w:hAnsi="Times New Roman" w:cs="Times New Roman"/>
                <w:color w:val="auto"/>
                <w:sz w:val="21"/>
                <w:szCs w:val="21"/>
                <w:vertAlign w:val="baseline"/>
              </w:rPr>
              <w:t>新建矿山全部达到绿色矿山建设要求，生产矿山加快改造升级，逐步达到要求</w:t>
            </w:r>
            <w:r>
              <w:rPr>
                <w:rFonts w:hint="default" w:ascii="Times New Roman" w:hAnsi="Times New Roman" w:cs="Times New Roman"/>
                <w:color w:val="auto"/>
                <w:sz w:val="21"/>
                <w:szCs w:val="21"/>
                <w:vertAlign w:val="baseline"/>
                <w:lang w:eastAsia="zh-CN"/>
              </w:rPr>
              <w:t>。</w:t>
            </w:r>
          </w:p>
        </w:tc>
        <w:tc>
          <w:tcPr>
            <w:tcW w:w="1683" w:type="dxa"/>
            <w:vAlign w:val="center"/>
          </w:tcPr>
          <w:p w14:paraId="789E0CDC">
            <w:pPr>
              <w:pStyle w:val="48"/>
              <w:jc w:val="center"/>
              <w:rPr>
                <w:rFonts w:hint="default" w:ascii="Times New Roman" w:hAnsi="Times New Roman" w:cs="Times New Roman"/>
                <w:color w:val="auto"/>
                <w:sz w:val="21"/>
                <w:szCs w:val="21"/>
                <w:vertAlign w:val="baseline"/>
                <w:lang w:val="en-US"/>
              </w:rPr>
            </w:pPr>
            <w:r>
              <w:rPr>
                <w:rFonts w:hint="default" w:ascii="Times New Roman" w:hAnsi="Times New Roman" w:cs="Times New Roman"/>
                <w:color w:val="auto"/>
                <w:sz w:val="21"/>
                <w:szCs w:val="21"/>
                <w:vertAlign w:val="baseline"/>
                <w:lang w:val="en-US" w:eastAsia="zh-CN"/>
              </w:rPr>
              <w:t>本项目属于公路工程建筑项目，不属于禁止、限制、不符合开发建设活动。</w:t>
            </w:r>
          </w:p>
        </w:tc>
        <w:tc>
          <w:tcPr>
            <w:tcW w:w="873" w:type="dxa"/>
            <w:vAlign w:val="center"/>
          </w:tcPr>
          <w:p w14:paraId="28EE9528">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640FFF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5D95BED2">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D1A1940">
            <w:pPr>
              <w:pStyle w:val="48"/>
              <w:jc w:val="center"/>
              <w:rPr>
                <w:rFonts w:hint="default" w:ascii="Times New Roman" w:hAnsi="Times New Roman" w:cs="Times New Roman"/>
                <w:color w:val="auto"/>
                <w:sz w:val="21"/>
                <w:szCs w:val="21"/>
                <w:vertAlign w:val="baseline"/>
              </w:rPr>
            </w:pPr>
          </w:p>
        </w:tc>
        <w:tc>
          <w:tcPr>
            <w:tcW w:w="1336" w:type="dxa"/>
            <w:vAlign w:val="center"/>
          </w:tcPr>
          <w:p w14:paraId="12301231">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7F91CAB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允许排放量要求</w:t>
            </w:r>
          </w:p>
          <w:p w14:paraId="5D226AC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7822291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现有源提标升级改造</w:t>
            </w:r>
          </w:p>
          <w:p w14:paraId="1797FF4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加快现有乡镇污水处理设施升级改造，按要求达《城镇污水处理厂污染物排放标准》一级A标后排放。</w:t>
            </w:r>
          </w:p>
          <w:p w14:paraId="5E10E9F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在矿产资源开发活动集中区域，废水执行重金属污染物排放特别限值。</w:t>
            </w:r>
          </w:p>
          <w:p w14:paraId="2A97596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火电、水泥等行业按相关要求推进大气污染物超低排放和深度治理。</w:t>
            </w:r>
          </w:p>
          <w:p w14:paraId="3438B2D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砖瓦行业实施脱硫、除尘升级改造，污染物排放达到《砖瓦工业大气污染物排放标准》相关要求。</w:t>
            </w:r>
          </w:p>
          <w:p w14:paraId="6FB672B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其他污染物排放管控要求</w:t>
            </w:r>
          </w:p>
          <w:p w14:paraId="728E5D7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新增源等量或倍量替代</w:t>
            </w:r>
            <w:r>
              <w:rPr>
                <w:rFonts w:hint="default" w:ascii="Times New Roman" w:hAnsi="Times New Roman" w:cs="Times New Roman"/>
                <w:color w:val="auto"/>
                <w:sz w:val="21"/>
                <w:szCs w:val="21"/>
                <w:vertAlign w:val="baseline"/>
                <w:lang w:eastAsia="zh-CN"/>
              </w:rPr>
              <w:t>：</w:t>
            </w:r>
            <w:r>
              <w:rPr>
                <w:rFonts w:hint="default" w:ascii="Times New Roman" w:hAnsi="Times New Roman" w:cs="Times New Roman"/>
                <w:color w:val="auto"/>
                <w:sz w:val="21"/>
                <w:szCs w:val="21"/>
                <w:vertAlign w:val="baseline"/>
              </w:rPr>
              <w:t>上一年度水环境质量未完成目标的，新建排放水污染的建设项目按照总量管控要求进行倍量削减替代。上一年度空气质量年平均浓度不达标的城市，建设项目新增相关污染物按照总量管控要求进行倍量削减替代。大气环境重点管控区内，新增大气污染物排放的建设项目实施总量削减替代。</w:t>
            </w:r>
          </w:p>
          <w:p w14:paraId="5E6BC50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污染物排放绩效水平准入要求:屠宰项目必须配套污水处理设施或进入城市污水管网。</w:t>
            </w:r>
          </w:p>
          <w:p w14:paraId="400DEEE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环境重点管控区内加强“高架源”污染治理，深化施工扬尘监管，严格落实“六必须、六不准”管控要求，强化道路施工管控，提高道路清扫机械化和精细化作业水平。-至2022年底，基本实现乡镇污水处理设施全覆盖，配套建设污水收集管网，乡镇污水处理率达到65%。</w:t>
            </w:r>
          </w:p>
          <w:p w14:paraId="69BC08C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-到2023年底，力争全市生活垃圾焚烧处理能力占比达60%以上，各县（市）生活垃圾无害化处理率保持95%以上，乡镇及行政村生活垃圾收转运处置体系基本实现全覆盖。</w:t>
            </w:r>
          </w:p>
          <w:p w14:paraId="442E878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-到2025年，农药包装废弃物回收率达80%；粮油绿色高质高效示范区、茶叶主产区和现代农业园区农药包装废弃物回收率100%。</w:t>
            </w:r>
          </w:p>
          <w:p w14:paraId="1BCD90A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-到2025年，全国主要农作物化肥、农药利用率达43%，测土配方施肥技术推广覆盖率保持在90%以上，控制农村面源污染，采取灌排分离等措施控制农田氮磷流失。</w:t>
            </w:r>
          </w:p>
          <w:p w14:paraId="3BEEB2A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新、改扩建规模化畜禽养殖场（小区）要实施雨污分流、粪便污水资源化利用；规模化畜禽养殖场（小区）粪污处理设施装备配套率达到95%以上，粪污综合利用率达到80%以上，大型规模养殖场粪污处理设施装备配套率达到100%，畜禽粪污基本实现资源化利用；散养密集区要实行畜禽粪便污水分户收集、集中处理利用。</w:t>
            </w:r>
          </w:p>
          <w:p w14:paraId="0FF7F62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-到2025年，废旧农膜回收利用率达到85%以上。</w:t>
            </w:r>
          </w:p>
          <w:p w14:paraId="5DE03A7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-非金属矿行业绿色矿山建设要求：固体废物妥善处置率应达到100%；选矿废水重复利用率一般达到85%以上。</w:t>
            </w:r>
          </w:p>
        </w:tc>
        <w:tc>
          <w:tcPr>
            <w:tcW w:w="1683" w:type="dxa"/>
            <w:vAlign w:val="center"/>
          </w:tcPr>
          <w:p w14:paraId="07B4A1CD">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eastAsia="宋体" w:cs="Times New Roman"/>
                <w:color w:val="auto"/>
                <w:sz w:val="21"/>
                <w:szCs w:val="21"/>
                <w:vertAlign w:val="baseline"/>
                <w:lang w:val="en-US" w:eastAsia="zh-CN"/>
              </w:rPr>
              <w:t>本项目施工扬尘主要产生于施工车辆行驶产生的扬尘及路基开挖产生的风力扬尘等。施工段和汽车行驶产生的扬尘源强大小与施工强度、路面状况和天气状况有关，扬尘浓度随距离的增加逐渐减小。针对施工期大气污染物产生情况，应制定严格的污染防治措施控制扬尘，施工单位参照《防治城市扬尘污染技术规范》（HJ/T-2007）、《四川省人民政府办公厅关于加强灰霾污染防治的通知》（川办发[2013]32号）、《四川省施工场地扬尘排放标准》（DB51/2682-2020）的相关要求，做好扬尘的污染防治。施工期对水环境的影响主要包括施工废水对水环境的影响、施工人员生活污水对水体的影响等，均不外排。本项目施工期噪声主要包括设备机械运行噪声和运输交通噪声，通过降噪措施后达标排放。施工期产生的固体废物主要包括建筑垃圾、弃方、生活垃圾、钻渣、污泥、钢筋加工产生的废机油、废焊条、焊渣，均妥善处置。</w:t>
            </w:r>
          </w:p>
        </w:tc>
        <w:tc>
          <w:tcPr>
            <w:tcW w:w="873" w:type="dxa"/>
            <w:vAlign w:val="center"/>
          </w:tcPr>
          <w:p w14:paraId="7C035064">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2D4145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217ED9A6">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C6B3AEF">
            <w:pPr>
              <w:pStyle w:val="48"/>
              <w:jc w:val="center"/>
              <w:rPr>
                <w:rFonts w:hint="default" w:ascii="Times New Roman" w:hAnsi="Times New Roman" w:cs="Times New Roman"/>
                <w:color w:val="auto"/>
                <w:sz w:val="21"/>
                <w:szCs w:val="21"/>
                <w:vertAlign w:val="baseline"/>
              </w:rPr>
            </w:pPr>
          </w:p>
        </w:tc>
        <w:tc>
          <w:tcPr>
            <w:tcW w:w="1336" w:type="dxa"/>
            <w:vAlign w:val="center"/>
          </w:tcPr>
          <w:p w14:paraId="49509AFB">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63AA469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联防联控要求</w:t>
            </w:r>
          </w:p>
          <w:p w14:paraId="0B5F58B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强化区域联防联控，严格落实《关于建立跨省流域上下游突发水污染事件联防联控机制的指导意见》；定期召开区域大气环境形式分析会，强化信息共享和联动合作，实行环境规划，标准，环评，执法，信息公开“六统一”，协力推进大气污染源头防控，加强川东北区域大气污染防治合作。</w:t>
            </w:r>
          </w:p>
          <w:p w14:paraId="0444D66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其他环境风险防控要求</w:t>
            </w:r>
          </w:p>
          <w:p w14:paraId="38E3932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企业环境风险防控要求:工业企业退出用地，须经评估、修复满足相应用地功能后，方可改变用途。</w:t>
            </w:r>
          </w:p>
          <w:p w14:paraId="0C67D37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加强“散乱污”企业环境风险防控。对拟收回土地使用权的有色金属矿采选、有色金属冶炼、石油加工、化工、焦化、电镀、制革、天然（页岩）气开采、铅蓄电池、汽车制造、农药、危废处置、电子拆解等行业企业用地，以及用途拟变更为居住和商业、学校、医疗、养老机构等公共设施的上述企业用地，以及由重度污染农用地转为的城镇建设用地，开展土壤环境状况调查评估。用地环境风险防控要求:严禁将城镇生活垃圾、污泥、工业废物直接用作肥料，禁止处理不达标的污泥进入耕地；禁止在农用地排放、倾倒、使用污泥、清淤底泥、尾矿（渣）等可能对土壤造成污染的固体废物。</w:t>
            </w:r>
          </w:p>
          <w:p w14:paraId="3B8F6D5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定期对单元内尾矿库进行风险巡查，建立监测系统和环境风险应急预案；完善各尾矿库渗滤液收集、处理、回用系统，杜绝事故排放；尾矿库闭矿后因地制宜进行植被恢复和综合利用。</w:t>
            </w:r>
          </w:p>
          <w:p w14:paraId="06BC032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规范排土场、渣场等整治。禁止处理不达标的污泥进入耕地。</w:t>
            </w:r>
          </w:p>
          <w:p w14:paraId="217E558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严格控制林地、草地、园地的农药使用量，禁止使用高毒、高残留农药。</w:t>
            </w:r>
          </w:p>
          <w:p w14:paraId="32F2B4C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到2030年，全市受污染耕地安全利用率达到95%以上，污染地块安全利用率达到95%以上。</w:t>
            </w:r>
          </w:p>
        </w:tc>
        <w:tc>
          <w:tcPr>
            <w:tcW w:w="1683" w:type="dxa"/>
            <w:shd w:val="clear" w:color="auto" w:fill="auto"/>
            <w:vAlign w:val="center"/>
          </w:tcPr>
          <w:p w14:paraId="433FA5D8">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不涉及</w:t>
            </w:r>
          </w:p>
        </w:tc>
        <w:tc>
          <w:tcPr>
            <w:tcW w:w="873" w:type="dxa"/>
            <w:shd w:val="clear" w:color="auto" w:fill="auto"/>
            <w:vAlign w:val="center"/>
          </w:tcPr>
          <w:p w14:paraId="09889E24">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符合</w:t>
            </w:r>
          </w:p>
        </w:tc>
      </w:tr>
      <w:tr w14:paraId="39304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E3E28D0">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3F63FD0E">
            <w:pPr>
              <w:pStyle w:val="48"/>
              <w:jc w:val="center"/>
              <w:rPr>
                <w:rFonts w:hint="default" w:ascii="Times New Roman" w:hAnsi="Times New Roman" w:cs="Times New Roman"/>
                <w:color w:val="auto"/>
                <w:sz w:val="21"/>
                <w:szCs w:val="21"/>
                <w:vertAlign w:val="baseline"/>
              </w:rPr>
            </w:pPr>
          </w:p>
        </w:tc>
        <w:tc>
          <w:tcPr>
            <w:tcW w:w="1336" w:type="dxa"/>
            <w:vAlign w:val="center"/>
          </w:tcPr>
          <w:p w14:paraId="175B6F79">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资源开发利用效率要求</w:t>
            </w:r>
          </w:p>
        </w:tc>
        <w:tc>
          <w:tcPr>
            <w:tcW w:w="6826" w:type="dxa"/>
            <w:vAlign w:val="center"/>
          </w:tcPr>
          <w:p w14:paraId="3BDE0C1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水资源利用总量要求</w:t>
            </w:r>
          </w:p>
          <w:p w14:paraId="4F4598F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-到2025年，农田灌溉水有效利用系数达到0.57以上。</w:t>
            </w:r>
          </w:p>
          <w:p w14:paraId="32BF5D78">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地下水开采要求</w:t>
            </w:r>
          </w:p>
          <w:p w14:paraId="74E17AF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以省市下发指标为准</w:t>
            </w:r>
          </w:p>
          <w:p w14:paraId="1E2A4ED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能源利用总量及效率要求</w:t>
            </w:r>
          </w:p>
          <w:p w14:paraId="4E52AAD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推进清洁能源的推广使用，全面推进散煤清洁化整治；禁止新建每小时10蒸吨以下的燃煤锅炉及其他燃煤设施。</w:t>
            </w:r>
          </w:p>
          <w:p w14:paraId="438F69F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禁止焚烧秸秆和垃圾，到2025年底，秸秆综合利用率达到86%以上。</w:t>
            </w:r>
          </w:p>
          <w:p w14:paraId="6239295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禁燃区要求</w:t>
            </w:r>
          </w:p>
          <w:p w14:paraId="40A63DD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高污染燃料禁燃区内禁止燃用的燃料为《高污染燃料目录》（2017）中III类（严格）燃料组合，包括：（一）煤炭及其制品；（二）石油焦、油页岩、原油、重油、渣油、煤焦油；（三）非专用锅炉或未配置高效除尘设施的专用锅炉燃用的生物质成型燃料。</w:t>
            </w:r>
          </w:p>
          <w:p w14:paraId="5BB02C1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-禁燃区内禁止销售、燃用高污染燃料；禁止新建、改建、扩建燃用高污染燃料的设施和设备。</w:t>
            </w:r>
          </w:p>
          <w:p w14:paraId="27A3CDC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-禁燃区内已建成的高污染燃料燃用设施由辖区人民政府制定限期改造计划，改用天然气、页岩气、液化石油气、电或其他清洁能源。</w:t>
            </w:r>
          </w:p>
          <w:p w14:paraId="7A38EED9">
            <w:pPr>
              <w:pStyle w:val="48"/>
              <w:jc w:val="both"/>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rPr>
              <w:t>其他资源利用效率要求</w:t>
            </w:r>
            <w:r>
              <w:rPr>
                <w:rFonts w:hint="default" w:ascii="Times New Roman" w:hAnsi="Times New Roman" w:cs="Times New Roman"/>
                <w:color w:val="auto"/>
                <w:sz w:val="21"/>
                <w:szCs w:val="21"/>
                <w:vertAlign w:val="baseline"/>
                <w:lang w:val="en-US" w:eastAsia="zh-CN"/>
              </w:rPr>
              <w:t>/</w:t>
            </w:r>
          </w:p>
        </w:tc>
        <w:tc>
          <w:tcPr>
            <w:tcW w:w="1683" w:type="dxa"/>
            <w:vAlign w:val="center"/>
          </w:tcPr>
          <w:p w14:paraId="70485F7E">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10F83077">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C6F1C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29A0DC01">
            <w:pPr>
              <w:pStyle w:val="48"/>
              <w:jc w:val="center"/>
              <w:rPr>
                <w:rFonts w:hint="default" w:ascii="Times New Roman" w:hAnsi="Times New Roman" w:cs="Times New Roman"/>
                <w:color w:val="auto"/>
                <w:sz w:val="21"/>
                <w:szCs w:val="21"/>
                <w:vertAlign w:val="baseline"/>
              </w:rPr>
            </w:pPr>
          </w:p>
        </w:tc>
        <w:tc>
          <w:tcPr>
            <w:tcW w:w="1336" w:type="dxa"/>
            <w:vMerge w:val="restart"/>
            <w:vAlign w:val="center"/>
          </w:tcPr>
          <w:p w14:paraId="02BF934A">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单元特性管控要求</w:t>
            </w:r>
          </w:p>
        </w:tc>
        <w:tc>
          <w:tcPr>
            <w:tcW w:w="1336" w:type="dxa"/>
            <w:vAlign w:val="center"/>
          </w:tcPr>
          <w:p w14:paraId="6FD95508">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空间布局约束</w:t>
            </w:r>
          </w:p>
        </w:tc>
        <w:tc>
          <w:tcPr>
            <w:tcW w:w="6826" w:type="dxa"/>
            <w:vAlign w:val="center"/>
          </w:tcPr>
          <w:p w14:paraId="2C719C1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禁止开发建设活动的要求</w:t>
            </w:r>
          </w:p>
          <w:p w14:paraId="5F5F71E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4EBBB91F">
            <w:pPr>
              <w:pStyle w:val="48"/>
              <w:jc w:val="both"/>
              <w:rPr>
                <w:rFonts w:hint="default" w:ascii="Times New Roman" w:hAnsi="Times New Roman" w:cs="Times New Roman"/>
                <w:color w:val="auto"/>
                <w:sz w:val="18"/>
                <w:szCs w:val="18"/>
                <w:vertAlign w:val="baseline"/>
              </w:rPr>
            </w:pPr>
            <w:r>
              <w:rPr>
                <w:rFonts w:hint="default" w:ascii="Times New Roman" w:hAnsi="Times New Roman" w:cs="Times New Roman"/>
                <w:color w:val="auto"/>
                <w:sz w:val="21"/>
                <w:szCs w:val="21"/>
                <w:vertAlign w:val="baseline"/>
              </w:rPr>
              <w:t>限制开</w:t>
            </w:r>
            <w:r>
              <w:rPr>
                <w:rFonts w:hint="default" w:ascii="Times New Roman" w:hAnsi="Times New Roman" w:cs="Times New Roman"/>
                <w:color w:val="auto"/>
                <w:sz w:val="18"/>
                <w:szCs w:val="18"/>
                <w:vertAlign w:val="baseline"/>
              </w:rPr>
              <w:t>发建设活动的要求</w:t>
            </w:r>
          </w:p>
          <w:p w14:paraId="0EC2822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18"/>
                <w:szCs w:val="18"/>
                <w:vertAlign w:val="baseline"/>
              </w:rPr>
              <w:t>对四川省主体功能区划中的农</w:t>
            </w:r>
            <w:r>
              <w:rPr>
                <w:rFonts w:hint="default" w:ascii="Times New Roman" w:hAnsi="Times New Roman" w:cs="Times New Roman"/>
                <w:color w:val="auto"/>
                <w:sz w:val="21"/>
                <w:szCs w:val="21"/>
                <w:vertAlign w:val="baseline"/>
              </w:rPr>
              <w:t>产品主产区，应限制进行大规模高强度工业化城镇化开发，严格控制有色金属冶炼、石油加工、化工、焦化、电镀、制革等产能，原则上不增加产能</w:t>
            </w:r>
          </w:p>
          <w:p w14:paraId="6AD2717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其他同达州市一般管控单元总体准入要求</w:t>
            </w:r>
          </w:p>
          <w:p w14:paraId="64F4621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允许开发建设活动的要求</w:t>
            </w:r>
          </w:p>
          <w:p w14:paraId="18C22A11">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00A2E91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不符合空间布局要求活动的退出要求</w:t>
            </w:r>
          </w:p>
          <w:p w14:paraId="7D59E16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区外企业：位于城镇空间外的工业园区外工业企业：具有合法手续的企业，且污染物排放及环境风险满足管理要求的企业，可继续保留，要求污染物排放只降不增，并进一步加强日常环保监管；严控新（扩）建水泥厂、危废焚烧、陶瓷厂等以大气污染为主的企业；不具备合法手续，或污染物排放超标、环境风险不可控的企业，限期进行整改提升，通过环保、安全、工艺装备升级等落实整改措施并达到相关标准实现合法生产，整改后仍不能达到要求的，属地政府应按相关要求责令关停并退出</w:t>
            </w:r>
          </w:p>
          <w:p w14:paraId="1173AB9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-其他同达州市一般管控单元总体准入要求</w:t>
            </w:r>
          </w:p>
          <w:p w14:paraId="24DA7B9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其他空间布局约束要求</w:t>
            </w:r>
          </w:p>
          <w:p w14:paraId="2464681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42878FD2">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lang w:val="en-US" w:eastAsia="zh-CN"/>
              </w:rPr>
              <w:t>本项目属于公路工程建筑项目</w:t>
            </w:r>
          </w:p>
        </w:tc>
        <w:tc>
          <w:tcPr>
            <w:tcW w:w="873" w:type="dxa"/>
            <w:vAlign w:val="center"/>
          </w:tcPr>
          <w:p w14:paraId="1FAED1B0">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59582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3AAB6507">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45CFB3F9">
            <w:pPr>
              <w:pStyle w:val="48"/>
              <w:jc w:val="center"/>
              <w:rPr>
                <w:rFonts w:hint="default" w:ascii="Times New Roman" w:hAnsi="Times New Roman" w:cs="Times New Roman"/>
                <w:color w:val="auto"/>
                <w:sz w:val="21"/>
                <w:szCs w:val="21"/>
                <w:vertAlign w:val="baseline"/>
              </w:rPr>
            </w:pPr>
          </w:p>
        </w:tc>
        <w:tc>
          <w:tcPr>
            <w:tcW w:w="1336" w:type="dxa"/>
            <w:vAlign w:val="center"/>
          </w:tcPr>
          <w:p w14:paraId="253D87C4">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污染物排放管控</w:t>
            </w:r>
          </w:p>
        </w:tc>
        <w:tc>
          <w:tcPr>
            <w:tcW w:w="6826" w:type="dxa"/>
            <w:vAlign w:val="center"/>
          </w:tcPr>
          <w:p w14:paraId="4930BD9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现有源提标升级改造</w:t>
            </w:r>
          </w:p>
          <w:p w14:paraId="1CED38A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0EAA2BC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新增源等量或倍量替代</w:t>
            </w:r>
          </w:p>
          <w:p w14:paraId="1E43D0D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0504EB7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新增源排放标准限值</w:t>
            </w:r>
          </w:p>
          <w:p w14:paraId="3C898E9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4A1B8DC0">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污染物排放绩效水平准入要求</w:t>
            </w:r>
          </w:p>
          <w:p w14:paraId="0320B31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-大气环境布局敏感和弱扩散重点管控区内，现有大气污染重点企业，限期进行深度治理或关停并转。</w:t>
            </w:r>
          </w:p>
          <w:p w14:paraId="7FAA3C3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-其它同达州市一般管控单元总体准入要求</w:t>
            </w:r>
          </w:p>
          <w:p w14:paraId="2AB3BEA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其他污染物排放管控要求</w:t>
            </w:r>
          </w:p>
          <w:p w14:paraId="30EC06E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vAlign w:val="center"/>
          </w:tcPr>
          <w:p w14:paraId="13AFE3AD">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不涉及</w:t>
            </w:r>
          </w:p>
        </w:tc>
        <w:tc>
          <w:tcPr>
            <w:tcW w:w="873" w:type="dxa"/>
            <w:vAlign w:val="center"/>
          </w:tcPr>
          <w:p w14:paraId="09C5F476">
            <w:pPr>
              <w:pStyle w:val="48"/>
              <w:jc w:val="center"/>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符合</w:t>
            </w:r>
          </w:p>
        </w:tc>
      </w:tr>
      <w:tr w14:paraId="3C69B5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1665A862">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5B458528">
            <w:pPr>
              <w:pStyle w:val="48"/>
              <w:jc w:val="center"/>
              <w:rPr>
                <w:rFonts w:hint="default" w:ascii="Times New Roman" w:hAnsi="Times New Roman" w:cs="Times New Roman"/>
                <w:color w:val="auto"/>
                <w:sz w:val="21"/>
                <w:szCs w:val="21"/>
                <w:vertAlign w:val="baseline"/>
              </w:rPr>
            </w:pPr>
          </w:p>
        </w:tc>
        <w:tc>
          <w:tcPr>
            <w:tcW w:w="1336" w:type="dxa"/>
            <w:vAlign w:val="center"/>
          </w:tcPr>
          <w:p w14:paraId="7EE0EE03">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环境风险防控</w:t>
            </w:r>
          </w:p>
        </w:tc>
        <w:tc>
          <w:tcPr>
            <w:tcW w:w="6826" w:type="dxa"/>
            <w:vAlign w:val="center"/>
          </w:tcPr>
          <w:p w14:paraId="6C1540CA">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严格管控类农用地管控要求</w:t>
            </w:r>
          </w:p>
          <w:p w14:paraId="32F91D4D">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3B392B8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安全利用类农用地管控要求</w:t>
            </w:r>
          </w:p>
          <w:p w14:paraId="75612E8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2FDC4F9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污染地块管控要求</w:t>
            </w:r>
          </w:p>
          <w:p w14:paraId="7725BC9B">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0B0D4D2F">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园区环境风险防控要求</w:t>
            </w:r>
          </w:p>
          <w:p w14:paraId="4E7FF4C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p w14:paraId="47685409">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企业环境风险防控要求</w:t>
            </w:r>
          </w:p>
          <w:p w14:paraId="14F26B5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0030F6B6">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其他环境风险防控要求</w:t>
            </w:r>
          </w:p>
          <w:p w14:paraId="77C1D08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shd w:val="clear" w:color="auto" w:fill="auto"/>
            <w:vAlign w:val="center"/>
          </w:tcPr>
          <w:p w14:paraId="0CC1CE6D">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不涉及</w:t>
            </w:r>
          </w:p>
        </w:tc>
        <w:tc>
          <w:tcPr>
            <w:tcW w:w="873" w:type="dxa"/>
            <w:shd w:val="clear" w:color="auto" w:fill="auto"/>
            <w:vAlign w:val="center"/>
          </w:tcPr>
          <w:p w14:paraId="20AE8B80">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符合</w:t>
            </w:r>
          </w:p>
        </w:tc>
      </w:tr>
      <w:tr w14:paraId="07C2C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119" w:type="dxa"/>
            <w:vMerge w:val="continue"/>
            <w:vAlign w:val="center"/>
          </w:tcPr>
          <w:p w14:paraId="4326D5DD">
            <w:pPr>
              <w:pStyle w:val="48"/>
              <w:jc w:val="center"/>
              <w:rPr>
                <w:rFonts w:hint="default" w:ascii="Times New Roman" w:hAnsi="Times New Roman" w:cs="Times New Roman"/>
                <w:color w:val="auto"/>
                <w:sz w:val="21"/>
                <w:szCs w:val="21"/>
                <w:vertAlign w:val="baseline"/>
              </w:rPr>
            </w:pPr>
          </w:p>
        </w:tc>
        <w:tc>
          <w:tcPr>
            <w:tcW w:w="1336" w:type="dxa"/>
            <w:vMerge w:val="continue"/>
            <w:vAlign w:val="center"/>
          </w:tcPr>
          <w:p w14:paraId="577B682B">
            <w:pPr>
              <w:pStyle w:val="48"/>
              <w:jc w:val="center"/>
              <w:rPr>
                <w:rFonts w:hint="default" w:ascii="Times New Roman" w:hAnsi="Times New Roman" w:cs="Times New Roman"/>
                <w:color w:val="auto"/>
                <w:sz w:val="21"/>
                <w:szCs w:val="21"/>
                <w:vertAlign w:val="baseline"/>
              </w:rPr>
            </w:pPr>
          </w:p>
        </w:tc>
        <w:tc>
          <w:tcPr>
            <w:tcW w:w="1336" w:type="dxa"/>
            <w:vAlign w:val="center"/>
          </w:tcPr>
          <w:p w14:paraId="414DAA6A">
            <w:pPr>
              <w:pStyle w:val="48"/>
              <w:jc w:val="center"/>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资源开发效率要求</w:t>
            </w:r>
          </w:p>
        </w:tc>
        <w:tc>
          <w:tcPr>
            <w:tcW w:w="6826" w:type="dxa"/>
            <w:vAlign w:val="center"/>
          </w:tcPr>
          <w:p w14:paraId="6FC8F64C">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水资源利用效率要求</w:t>
            </w:r>
          </w:p>
          <w:p w14:paraId="1963C263">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5B7668E7">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地下水开采要求</w:t>
            </w:r>
          </w:p>
          <w:p w14:paraId="46476982">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1365E31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能源利用效率要求</w:t>
            </w:r>
          </w:p>
          <w:p w14:paraId="4C4EDE7E">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同达州市一般管控单元总体准入要求</w:t>
            </w:r>
          </w:p>
          <w:p w14:paraId="5A696B75">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其他资源利用效率要求</w:t>
            </w:r>
          </w:p>
          <w:p w14:paraId="161E90F4">
            <w:pPr>
              <w:pStyle w:val="48"/>
              <w:jc w:val="both"/>
              <w:rPr>
                <w:rFonts w:hint="default" w:ascii="Times New Roman" w:hAnsi="Times New Roman" w:cs="Times New Roman"/>
                <w:color w:val="auto"/>
                <w:sz w:val="21"/>
                <w:szCs w:val="21"/>
                <w:vertAlign w:val="baseline"/>
              </w:rPr>
            </w:pPr>
            <w:r>
              <w:rPr>
                <w:rFonts w:hint="default" w:ascii="Times New Roman" w:hAnsi="Times New Roman" w:cs="Times New Roman"/>
                <w:color w:val="auto"/>
                <w:sz w:val="21"/>
                <w:szCs w:val="21"/>
                <w:vertAlign w:val="baseline"/>
              </w:rPr>
              <w:t>/</w:t>
            </w:r>
          </w:p>
        </w:tc>
        <w:tc>
          <w:tcPr>
            <w:tcW w:w="1683" w:type="dxa"/>
            <w:shd w:val="clear" w:color="auto" w:fill="auto"/>
            <w:vAlign w:val="center"/>
          </w:tcPr>
          <w:p w14:paraId="3771B6CE">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不涉及</w:t>
            </w:r>
          </w:p>
        </w:tc>
        <w:tc>
          <w:tcPr>
            <w:tcW w:w="873" w:type="dxa"/>
            <w:shd w:val="clear" w:color="auto" w:fill="auto"/>
            <w:vAlign w:val="center"/>
          </w:tcPr>
          <w:p w14:paraId="152F91EC">
            <w:pPr>
              <w:pStyle w:val="48"/>
              <w:jc w:val="center"/>
              <w:rPr>
                <w:rFonts w:hint="default" w:ascii="Times New Roman" w:hAnsi="Times New Roman" w:eastAsia="宋体" w:cs="Times New Roman"/>
                <w:color w:val="auto"/>
                <w:sz w:val="21"/>
                <w:szCs w:val="21"/>
                <w:vertAlign w:val="baseline"/>
                <w:lang w:val="en-US" w:eastAsia="zh-CN" w:bidi="ar-SA"/>
              </w:rPr>
            </w:pPr>
            <w:r>
              <w:rPr>
                <w:rFonts w:hint="default" w:ascii="Times New Roman" w:hAnsi="Times New Roman" w:cs="Times New Roman"/>
                <w:color w:val="auto"/>
                <w:sz w:val="21"/>
                <w:szCs w:val="21"/>
                <w:vertAlign w:val="baseline"/>
                <w:lang w:val="en-US" w:eastAsia="zh-CN"/>
              </w:rPr>
              <w:t>符合</w:t>
            </w:r>
          </w:p>
        </w:tc>
      </w:tr>
    </w:tbl>
    <w:p w14:paraId="1D129A6E">
      <w:pPr>
        <w:pStyle w:val="48"/>
        <w:rPr>
          <w:rFonts w:hint="default" w:ascii="Times New Roman" w:hAnsi="Times New Roman" w:cs="Times New Roman"/>
          <w:color w:val="auto"/>
        </w:rPr>
        <w:sectPr>
          <w:pgSz w:w="16838" w:h="11906" w:orient="landscape"/>
          <w:pgMar w:top="1531" w:right="1701" w:bottom="1531" w:left="1701" w:header="851" w:footer="1077" w:gutter="0"/>
          <w:pgNumType w:fmt="decimal"/>
          <w:cols w:space="720" w:num="1"/>
          <w:docGrid w:linePitch="312" w:charSpace="0"/>
        </w:sectPr>
      </w:pPr>
    </w:p>
    <w:p w14:paraId="2C4CFB0F">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二、建设内容</w:t>
      </w:r>
      <w:bookmarkEnd w:id="6"/>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0"/>
        <w:gridCol w:w="8274"/>
      </w:tblGrid>
      <w:tr w14:paraId="4B3BDE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17" w:hRule="atLeast"/>
          <w:jc w:val="center"/>
        </w:trPr>
        <w:tc>
          <w:tcPr>
            <w:tcW w:w="710" w:type="dxa"/>
            <w:vAlign w:val="center"/>
          </w:tcPr>
          <w:p w14:paraId="26E188C9">
            <w:pPr>
              <w:pStyle w:val="20"/>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地理位置</w:t>
            </w:r>
          </w:p>
        </w:tc>
        <w:tc>
          <w:tcPr>
            <w:tcW w:w="8274" w:type="dxa"/>
            <w:vAlign w:val="center"/>
          </w:tcPr>
          <w:p w14:paraId="0FCC90C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本项目为宣汉县普光镇杏树村5社至6社道路，长2.96</w:t>
            </w:r>
            <w:r>
              <w:rPr>
                <w:rFonts w:hint="default"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km，</w:t>
            </w:r>
            <w:r>
              <w:rPr>
                <w:rFonts w:hint="default" w:ascii="Times New Roman" w:hAnsi="Times New Roman" w:cs="Times New Roman"/>
                <w:color w:val="auto"/>
                <w:sz w:val="24"/>
                <w:szCs w:val="24"/>
                <w:lang w:val="en-US" w:eastAsia="zh-CN"/>
              </w:rPr>
              <w:t>沿老林沟以隧道穿越韩家岩过后，接入铁路转运站场坪道路。</w:t>
            </w:r>
            <w:r>
              <w:rPr>
                <w:rFonts w:hint="default" w:ascii="Times New Roman" w:hAnsi="Times New Roman" w:cs="Times New Roman"/>
                <w:color w:val="auto"/>
                <w:sz w:val="24"/>
                <w:szCs w:val="24"/>
              </w:rPr>
              <w:t>沿线无河流和城镇。</w:t>
            </w:r>
            <w:r>
              <w:rPr>
                <w:rFonts w:hint="default" w:ascii="Times New Roman" w:hAnsi="Times New Roman" w:cs="Times New Roman"/>
                <w:color w:val="auto"/>
                <w:sz w:val="24"/>
                <w:szCs w:val="24"/>
                <w:lang w:val="en-US" w:eastAsia="zh-CN"/>
              </w:rPr>
              <w:t>主线K0+000~终点K2+792.59，支线ZK0+000~ZK0+170。其中非涉铁范围：主线K0+000~K2+300；涉铁范围：主线K2+300~终点K2+792.59，支线ZK0+000~ZK0+170。</w:t>
            </w:r>
          </w:p>
          <w:p w14:paraId="3C5D9BD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eastAsia="宋体" w:cs="Times New Roman"/>
                <w:color w:val="auto"/>
                <w:kern w:val="2"/>
                <w:sz w:val="24"/>
                <w:szCs w:val="24"/>
                <w:lang w:val="en-US" w:eastAsia="zh-CN" w:bidi="ar-SA"/>
              </w:rPr>
              <w:t>1、</w:t>
            </w:r>
            <w:r>
              <w:rPr>
                <w:rFonts w:hint="default" w:ascii="Times New Roman" w:hAnsi="Times New Roman" w:cs="Times New Roman"/>
                <w:color w:val="auto"/>
                <w:sz w:val="24"/>
                <w:szCs w:val="24"/>
                <w:lang w:val="en-US" w:eastAsia="zh-CN"/>
              </w:rPr>
              <w:t>起点选择</w:t>
            </w:r>
          </w:p>
          <w:p w14:paraId="33CF5D7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道路起点主要服务于普光镇杏树村5社居民，将起点定于规划道路路口，道路建成后村民通行、货物运输距离也相应较短，节省通行距离约为12km，地理坐标为：107度41分25.4626秒，31度31分21.8183秒。</w:t>
            </w:r>
          </w:p>
          <w:p w14:paraId="5A53F1D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2、终点选择</w:t>
            </w:r>
          </w:p>
          <w:p w14:paraId="1BB538C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终点止于杏树村6社，与拟建铁路场坪道路相连接，便于杏树村6社村民及普光工业园区和铁路货场的货物出行。</w:t>
            </w:r>
            <w:r>
              <w:rPr>
                <w:rFonts w:hint="default" w:ascii="Times New Roman" w:hAnsi="Times New Roman" w:cs="Times New Roman"/>
                <w:color w:val="auto"/>
                <w:sz w:val="24"/>
                <w:szCs w:val="24"/>
                <w:lang w:val="en-US" w:eastAsia="zh-CN"/>
              </w:rPr>
              <w:t>终点地理坐标为：107度41分48.7673秒，31度32分40.6913秒，支线终点地理坐标为：107度41分53.9943秒，31度32分37.2386秒。</w:t>
            </w:r>
          </w:p>
          <w:p w14:paraId="2C11053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3、中间控制点</w:t>
            </w:r>
          </w:p>
          <w:p w14:paraId="1626D39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控制点主要有基本农田、油气管线、韩家岩隧道及普光铁路专用线。基本农田主要采用绕避方案，油气管线采用上跨方案，普光铁路专用线采用下穿铁路方案，韩家岩隧道进行适当的展线、尽量缩短隧道长度。</w:t>
            </w:r>
          </w:p>
          <w:p w14:paraId="1639F07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4、铁路</w:t>
            </w:r>
          </w:p>
          <w:p w14:paraId="208F13F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sz w:val="24"/>
                <w:szCs w:val="24"/>
                <w:lang w:val="en-US" w:eastAsia="zh-CN"/>
              </w:rPr>
              <w:t>本项目在设计终点附近下穿既有普光铁路专用线后接入拟建的铁路运转站场坪道路。设计范围内无客运铁路，有一条既有的铁路专用线和拟建的铁路专用线。</w:t>
            </w:r>
          </w:p>
        </w:tc>
      </w:tr>
      <w:tr w14:paraId="005C112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274" w:hRule="atLeast"/>
          <w:jc w:val="center"/>
        </w:trPr>
        <w:tc>
          <w:tcPr>
            <w:tcW w:w="710" w:type="dxa"/>
            <w:vAlign w:val="center"/>
          </w:tcPr>
          <w:p w14:paraId="49012796">
            <w:pPr>
              <w:pStyle w:val="20"/>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项目组成及规模</w:t>
            </w:r>
          </w:p>
        </w:tc>
        <w:tc>
          <w:tcPr>
            <w:tcW w:w="8274" w:type="dxa"/>
          </w:tcPr>
          <w:p w14:paraId="4E080205">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1、项目由来及编制依据</w:t>
            </w:r>
          </w:p>
          <w:p w14:paraId="0314C659">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（1）项目由来</w:t>
            </w:r>
          </w:p>
          <w:p w14:paraId="5E5A07A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bookmarkStart w:id="8" w:name="_Hlk136433510"/>
            <w:r>
              <w:rPr>
                <w:rFonts w:hint="default" w:ascii="Times New Roman" w:hAnsi="Times New Roman" w:cs="Times New Roman"/>
                <w:color w:val="auto"/>
                <w:sz w:val="24"/>
                <w:szCs w:val="32"/>
              </w:rPr>
              <w:t>《宣汉县国土空间总体规划》提到巩固提升“四好农村路”国家级示范县成果。进一步优化完善农村路网结构，实施“路网优化”“桥梁纽带”“生命防护”三大工程、建制村联网路、农村公路窄路加宽、村内通组路等，提高农村公路密度和质量，畅通农村公路“微循环”，建成“布局合理、内通外联、通村畅乡、城乡一体”的农村公路网络，促进农村公路“建、管、养、运”协调发展。</w:t>
            </w:r>
          </w:p>
          <w:p w14:paraId="3B22760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宣汉县国民经济和社会发展第十四个五年规划和二〇三五年远景目标纲要》提出加强农村人居环境整治。持续推进农村厕所、污水、垃圾治理“三大革命”，全面推进农村人居环境整治，建设生态宜居美丽乡村。目前宣汉县农村道路蜿蜒曲折连通条件差道路阻碍发展，生态环境落后缺少农村基础设施。因此，急需推动农村人居环境整治，项目建成将完善生态宜居美丽乡村的进度。</w:t>
            </w:r>
          </w:p>
          <w:p w14:paraId="4C96DC8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宣汉县“十四五”推进农业农村现代化规划》提到按照产业集聚地发展路径，重点打造以“宣汉脆李”为核心的庙安—柏树、毛坝—红峰、南坝—茶河、巴山大峡谷片区四个脆李示范区；形成东乡—清溪—南坝柑橘产业示范带，蒲江—君塘枇杷产业示范带，沿线串联发展；形成峰城—南坪车厘子产业示范基地和普光蓝莓谷、毛坝红岩村、君塘花仙谷和普光廪君山四个蓝莓产业示范园两翼，构建“一核四区两带两翼N 基地”的水果产业布局，辐射带动县域内猕猴桃、桃、果桑、草莓等其他水果产业发展。</w:t>
            </w:r>
          </w:p>
          <w:p w14:paraId="067DCCE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关于深入实施贫困村“一村一品”产业推进行动的意见》提出要切实按照中央脱贫攻坚决策部署，重点围绕选准做强特色产业、培育新型经营主体、打造特色知名品牌、推动产业融合发展、强化利益联结机制等五个方面，支持引导有一定资源禀赋和产业基础的贫困村，通过发展“一村一品”，加快培育能带动贫困户长期稳定增收的特色主导产业，促进产业扶贫对象如期实现脱贫。本项目建设地点杏树村坐落于宣汉县土主镇的东南方，有着悠久的杏树传统种植习惯，杏树村充分利用得天独厚的地理环境优势、红色文化和科技资源，大力发展杏树产业，初步实现了“一村一品”，促进了乡村振兴。</w:t>
            </w:r>
          </w:p>
          <w:p w14:paraId="227234B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2023年上半年，省交通运输厅、财政厅、农业农村厅、省乡村振兴局和省邮政管理局联合印发了《四川省推动“四好农村路”和乡村运输“金通工程”高质量发展支撑乡村振兴行动方案（2023-2025年）》。该方案是“十四五”期后三年全省推动农村交通运输高质量发展的“任务书”和“路线图”，聚焦“安全、高效、适用、耐用”农村交通运输发展根本导向，紧盯“道路、车辆、人员、管理、服务”五个重点，着力实施安全保障提升、快捷直连提升、服务标准提升、监管能力提升“四大工程”，力争到2025年四川现代化农村交通运输体系基础更实、态势更好、成势见效，为乡村全面振兴、农业农村现代化和共同富裕提供支撑、当好先行。</w:t>
            </w:r>
            <w:bookmarkEnd w:id="8"/>
          </w:p>
          <w:p w14:paraId="045D241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宣汉县“十四五”交通路网规划及园区规划，本项目是宣汉县普光经开区总规修编用地规划图中化工大道的一部分，起点为规划园区规划的纵一路、横一路平交口。沿老林沟以隧道穿越韩家岩后，接入铁路转运站场坪道路。</w:t>
            </w:r>
          </w:p>
          <w:p w14:paraId="2E6A5BD1">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202</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年</w:t>
            </w:r>
            <w:r>
              <w:rPr>
                <w:rFonts w:hint="default" w:ascii="Times New Roman" w:hAnsi="Times New Roman" w:cs="Times New Roman"/>
                <w:color w:val="auto"/>
                <w:sz w:val="24"/>
                <w:szCs w:val="32"/>
                <w:lang w:val="en-US" w:eastAsia="zh-CN"/>
              </w:rPr>
              <w:t>5</w:t>
            </w:r>
            <w:r>
              <w:rPr>
                <w:rFonts w:hint="default" w:ascii="Times New Roman" w:hAnsi="Times New Roman" w:cs="Times New Roman"/>
                <w:color w:val="auto"/>
                <w:sz w:val="24"/>
                <w:szCs w:val="32"/>
              </w:rPr>
              <w:t>月</w:t>
            </w:r>
            <w:r>
              <w:rPr>
                <w:rFonts w:hint="default" w:ascii="Times New Roman" w:hAnsi="Times New Roman" w:cs="Times New Roman"/>
                <w:color w:val="auto"/>
                <w:sz w:val="24"/>
                <w:szCs w:val="32"/>
                <w:lang w:val="en-US" w:eastAsia="zh-CN"/>
              </w:rPr>
              <w:t>13</w:t>
            </w:r>
            <w:r>
              <w:rPr>
                <w:rFonts w:hint="default" w:ascii="Times New Roman" w:hAnsi="Times New Roman" w:cs="Times New Roman"/>
                <w:color w:val="auto"/>
                <w:sz w:val="24"/>
                <w:szCs w:val="32"/>
              </w:rPr>
              <w:t>日，宣汉县发展和改革局出具了《</w:t>
            </w:r>
            <w:r>
              <w:rPr>
                <w:rFonts w:hint="default" w:ascii="Times New Roman" w:hAnsi="Times New Roman" w:cs="Times New Roman"/>
                <w:color w:val="auto"/>
                <w:sz w:val="24"/>
                <w:szCs w:val="32"/>
                <w:lang w:val="en-US" w:eastAsia="zh-CN"/>
              </w:rPr>
              <w:t>关于宣汉县中部片区乡村振兴·千万工程示范带建设项目核准的批复</w:t>
            </w:r>
            <w:r>
              <w:rPr>
                <w:rFonts w:hint="default" w:ascii="Times New Roman" w:hAnsi="Times New Roman" w:cs="Times New Roman"/>
                <w:color w:val="auto"/>
                <w:sz w:val="24"/>
                <w:szCs w:val="32"/>
              </w:rPr>
              <w:t>》（宣发改审〔202</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w:t>
            </w:r>
            <w:r>
              <w:rPr>
                <w:rFonts w:hint="default" w:ascii="Times New Roman" w:hAnsi="Times New Roman" w:cs="Times New Roman"/>
                <w:color w:val="auto"/>
                <w:sz w:val="24"/>
                <w:szCs w:val="32"/>
                <w:lang w:val="en-US" w:eastAsia="zh-CN"/>
              </w:rPr>
              <w:t>180</w:t>
            </w:r>
            <w:r>
              <w:rPr>
                <w:rFonts w:hint="default" w:ascii="Times New Roman" w:hAnsi="Times New Roman" w:cs="Times New Roman"/>
                <w:color w:val="auto"/>
                <w:sz w:val="24"/>
                <w:szCs w:val="32"/>
              </w:rPr>
              <w:t>号），同意项目建设。</w:t>
            </w:r>
          </w:p>
          <w:p w14:paraId="1F8814D3">
            <w:pPr>
              <w:keepNext w:val="0"/>
              <w:keepLines w:val="0"/>
              <w:pageBreakBefore w:val="0"/>
              <w:widowControl w:val="0"/>
              <w:kinsoku/>
              <w:wordWrap/>
              <w:overflowPunct/>
              <w:topLinePunct w:val="0"/>
              <w:bidi w:val="0"/>
              <w:adjustRightInd w:val="0"/>
              <w:snapToGrid w:val="0"/>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2024年11月23日，四川宣宏实业有限公司出具了说明：宣汉县中部片区乡村振兴·千万工程示范带建设项目总投资30016.62万元。项目建设主要内容：（一）改造厕所1200户、厨房870户，地面硬化900户等室内附属配套设施；（二）改造院坝900户、入户道路35公里等室外附属配套设施；（三）提升场镇道路20公里、污水管网5公里及农贸市场等相关基础设施；（四）改造村级文化阵地5200平方米全民健身体育设施10套；改造村道路20公里，新建杏树村道路2.94公里等相关公共服务设施；（五）整治蓝莓种植基地3500亩，建设生产道路、排水渠等相关附属工程；（六）整治杏树种植基地2000亩，建设生产道路、排水渠等相关附属工程。上述建设内容按计划分批实施。</w:t>
            </w:r>
          </w:p>
          <w:p w14:paraId="27A6747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因项目建设内容较多，无法一次性全部实施，该项目按计划分批分标段实施，目前先行实施该项目的新建杏树村道路2.94公里等相关公共服务设施的内容，为宣汉县中部片区乡村振兴·千万工程示范带建设项目一标段</w:t>
            </w:r>
            <w:r>
              <w:rPr>
                <w:rFonts w:hint="eastAsia" w:cs="Times New Roman"/>
                <w:color w:val="auto"/>
                <w:sz w:val="24"/>
                <w:szCs w:val="32"/>
                <w:lang w:val="en-US" w:eastAsia="zh-CN"/>
              </w:rPr>
              <w:t>，共计五个标段。</w:t>
            </w:r>
          </w:p>
          <w:p w14:paraId="1C2FB87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四川宣宏实业有限公司拟投资14712.3万元，建设“宣汉县中部片区乡村振兴</w:t>
            </w:r>
            <w:r>
              <w:rPr>
                <w:rFonts w:hint="default" w:ascii="Times New Roman" w:hAnsi="Times New Roman" w:cs="Times New Roman"/>
                <w:color w:val="auto"/>
                <w:sz w:val="24"/>
                <w:szCs w:val="32"/>
                <w:lang w:val="en-US" w:eastAsia="zh-CN"/>
              </w:rPr>
              <w:t>·</w:t>
            </w:r>
            <w:r>
              <w:rPr>
                <w:rFonts w:hint="default" w:ascii="Times New Roman" w:hAnsi="Times New Roman" w:cs="Times New Roman"/>
                <w:color w:val="auto"/>
                <w:sz w:val="24"/>
                <w:szCs w:val="32"/>
              </w:rPr>
              <w:t>千万工程示范带建设项目一标段”（以下简称“本项目”），本项目道路路面宽度6.5m，路基宽度7.5m。主线设计速度30km/h，长2792.59m，设隧道1座，长983m；新建桥梁1座、涵洞共</w:t>
            </w:r>
            <w:r>
              <w:rPr>
                <w:rFonts w:hint="default" w:ascii="Times New Roman" w:hAnsi="Times New Roman" w:cs="Times New Roman"/>
                <w:color w:val="auto"/>
                <w:sz w:val="24"/>
                <w:szCs w:val="32"/>
                <w:lang w:val="en-US" w:eastAsia="zh-CN"/>
              </w:rPr>
              <w:t>8</w:t>
            </w:r>
            <w:r>
              <w:rPr>
                <w:rFonts w:hint="default" w:ascii="Times New Roman" w:hAnsi="Times New Roman" w:cs="Times New Roman"/>
                <w:color w:val="auto"/>
                <w:sz w:val="24"/>
                <w:szCs w:val="32"/>
              </w:rPr>
              <w:t>座、框架桥1座。支线设计速度20km/h，长170m，全部为路基地段。</w:t>
            </w:r>
          </w:p>
          <w:p w14:paraId="168F7D9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（2）编制依据</w:t>
            </w:r>
          </w:p>
          <w:p w14:paraId="1780732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cs="Times New Roman"/>
                <w:b w:val="0"/>
                <w:bCs w:val="0"/>
                <w:color w:val="auto"/>
                <w:sz w:val="24"/>
                <w:szCs w:val="32"/>
                <w:lang w:val="en-US" w:eastAsia="zh-CN"/>
              </w:rPr>
            </w:pPr>
            <w:r>
              <w:rPr>
                <w:rFonts w:hint="eastAsia" w:cs="Times New Roman"/>
                <w:b w:val="0"/>
                <w:bCs w:val="0"/>
                <w:color w:val="auto"/>
                <w:sz w:val="24"/>
                <w:szCs w:val="32"/>
                <w:lang w:val="en-US" w:eastAsia="zh-CN"/>
              </w:rPr>
              <w:t>根据建设项目环境影响评价分类管理名录（2021年版），本项目编制依据如下：</w:t>
            </w:r>
          </w:p>
          <w:p w14:paraId="72791339">
            <w:pPr>
              <w:widowControl/>
              <w:spacing w:line="460" w:lineRule="exact"/>
              <w:jc w:val="center"/>
              <w:rPr>
                <w:rFonts w:hint="eastAsia" w:ascii="Times New Roman" w:hAnsi="Times New Roman" w:cs="Times New Roman"/>
                <w:b/>
                <w:bCs/>
                <w:color w:val="auto"/>
                <w:lang w:val="en-US" w:eastAsia="zh-CN"/>
              </w:rPr>
            </w:pPr>
            <w:r>
              <w:rPr>
                <w:rFonts w:hint="eastAsia" w:ascii="Times New Roman" w:hAnsi="Times New Roman" w:cs="Times New Roman"/>
                <w:b/>
                <w:bCs/>
                <w:color w:val="auto"/>
                <w:lang w:val="en-US" w:eastAsia="zh-CN"/>
              </w:rPr>
              <w:t>表2-1 编制依据</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0"/>
              <w:gridCol w:w="1432"/>
              <w:gridCol w:w="1341"/>
              <w:gridCol w:w="1341"/>
              <w:gridCol w:w="1342"/>
              <w:gridCol w:w="1342"/>
            </w:tblGrid>
            <w:tr w14:paraId="31079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48" w:type="dxa"/>
                  <w:gridSpan w:val="6"/>
                  <w:vAlign w:val="center"/>
                </w:tcPr>
                <w:p w14:paraId="73B614B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五十二、交通运输业、管道运输业</w:t>
                  </w:r>
                </w:p>
              </w:tc>
            </w:tr>
            <w:tr w14:paraId="40E708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4" w:hRule="atLeast"/>
                <w:jc w:val="center"/>
              </w:trPr>
              <w:tc>
                <w:tcPr>
                  <w:tcW w:w="2682" w:type="dxa"/>
                  <w:gridSpan w:val="2"/>
                  <w:vAlign w:val="center"/>
                  <mc:AlternateContent>
                    <mc:Choice Requires="wpsCustomData">
                      <wpsCustomData:diagonals>
                        <wpsCustomData:diagonal from="10000" to="30000">
                          <wpsCustomData:border w:val="single" w:color="auto" w:sz="4" w:space="0"/>
                        </wpsCustomData:diagonal>
                      </wpsCustomData:diagonals>
                    </mc:Choice>
                  </mc:AlternateContent>
                </w:tcPr>
                <w:p w14:paraId="2FD3398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b/>
                      <w:bCs/>
                      <w:color w:val="auto"/>
                      <w:sz w:val="21"/>
                      <w:szCs w:val="24"/>
                      <w:vertAlign w:val="baseline"/>
                      <w:lang w:val="en-US" w:eastAsia="zh-CN"/>
                    </w:rPr>
                  </w:pPr>
                </w:p>
                <w:p w14:paraId="0E05ABF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eastAsia" w:cs="Times New Roman"/>
                      <w:b/>
                      <w:bCs/>
                      <w:color w:val="auto"/>
                      <w:sz w:val="21"/>
                      <w:szCs w:val="24"/>
                      <w:vertAlign w:val="baseline"/>
                      <w:lang w:val="en-US" w:eastAsia="zh-CN"/>
                    </w:rPr>
                  </w:pPr>
                </w:p>
                <w:p w14:paraId="03EDA8F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mc:AlternateContent>
                      <mc:Choice Requires="wpsCustomData">
                        <wpsCustomData:diagonalParaType/>
                      </mc:Choice>
                    </mc:AlternateContent>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项目类别</w:t>
                  </w:r>
                </w:p>
                <w:p w14:paraId="33BD75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环评类别</w:t>
                  </w:r>
                </w:p>
              </w:tc>
              <w:tc>
                <w:tcPr>
                  <w:tcW w:w="1341" w:type="dxa"/>
                  <w:vAlign w:val="center"/>
                </w:tcPr>
                <w:p w14:paraId="6CDFC41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报告书</w:t>
                  </w:r>
                </w:p>
              </w:tc>
              <w:tc>
                <w:tcPr>
                  <w:tcW w:w="1341" w:type="dxa"/>
                  <w:vAlign w:val="center"/>
                </w:tcPr>
                <w:p w14:paraId="0C6A44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报告表</w:t>
                  </w:r>
                </w:p>
              </w:tc>
              <w:tc>
                <w:tcPr>
                  <w:tcW w:w="1342" w:type="dxa"/>
                  <w:vAlign w:val="center"/>
                </w:tcPr>
                <w:p w14:paraId="726DAE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登记表</w:t>
                  </w:r>
                </w:p>
              </w:tc>
              <w:tc>
                <w:tcPr>
                  <w:tcW w:w="1342" w:type="dxa"/>
                  <w:vAlign w:val="center"/>
                </w:tcPr>
                <w:p w14:paraId="25B9DA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bCs/>
                      <w:color w:val="auto"/>
                      <w:sz w:val="21"/>
                      <w:szCs w:val="24"/>
                      <w:vertAlign w:val="baseline"/>
                      <w:lang w:val="en-US" w:eastAsia="zh-CN"/>
                    </w:rPr>
                  </w:pPr>
                  <w:r>
                    <w:rPr>
                      <w:rFonts w:hint="eastAsia" w:cs="Times New Roman"/>
                      <w:b/>
                      <w:bCs/>
                      <w:color w:val="auto"/>
                      <w:sz w:val="21"/>
                      <w:szCs w:val="24"/>
                      <w:vertAlign w:val="baseline"/>
                      <w:lang w:val="en-US" w:eastAsia="zh-CN"/>
                    </w:rPr>
                    <w:t>本栏目环境敏感区含义</w:t>
                  </w:r>
                </w:p>
              </w:tc>
            </w:tr>
            <w:tr w14:paraId="02221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250" w:type="dxa"/>
                  <w:vAlign w:val="center"/>
                </w:tcPr>
                <w:p w14:paraId="5C165B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eastAsia" w:cs="Times New Roman"/>
                      <w:b w:val="0"/>
                      <w:bCs w:val="0"/>
                      <w:color w:val="auto"/>
                      <w:sz w:val="21"/>
                      <w:szCs w:val="24"/>
                      <w:vertAlign w:val="baseline"/>
                      <w:lang w:val="en-US" w:eastAsia="zh-CN"/>
                    </w:rPr>
                    <w:t>130</w:t>
                  </w:r>
                </w:p>
              </w:tc>
              <w:tc>
                <w:tcPr>
                  <w:tcW w:w="1432" w:type="dxa"/>
                  <w:vAlign w:val="center"/>
                </w:tcPr>
                <w:p w14:paraId="41B656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等级公路（不含维护；不含生命救援、应急保通工程以及国防交</w:t>
                  </w:r>
                </w:p>
                <w:p w14:paraId="50A1DC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通保障项目；不含改扩建四级公路）</w:t>
                  </w:r>
                </w:p>
              </w:tc>
              <w:tc>
                <w:tcPr>
                  <w:tcW w:w="1341" w:type="dxa"/>
                  <w:vAlign w:val="center"/>
                </w:tcPr>
                <w:p w14:paraId="435C60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新建30公里（不含）以上的二级及以上等级公路；新建涉及环境敏感区的二级及以上等级公路</w:t>
                  </w:r>
                </w:p>
              </w:tc>
              <w:tc>
                <w:tcPr>
                  <w:tcW w:w="1341" w:type="dxa"/>
                  <w:vAlign w:val="center"/>
                </w:tcPr>
                <w:p w14:paraId="154E056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其他（配套设施除外；不涉及环境敏感区的三级、四级公路除外）</w:t>
                  </w:r>
                </w:p>
              </w:tc>
              <w:tc>
                <w:tcPr>
                  <w:tcW w:w="1342" w:type="dxa"/>
                  <w:vAlign w:val="center"/>
                </w:tcPr>
                <w:p w14:paraId="30CC5E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配套设施；不涉及环境敏感区的三级、四级公路</w:t>
                  </w:r>
                </w:p>
              </w:tc>
              <w:tc>
                <w:tcPr>
                  <w:tcW w:w="1342" w:type="dxa"/>
                  <w:vAlign w:val="center"/>
                </w:tcPr>
                <w:p w14:paraId="618FE7D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 w:val="0"/>
                      <w:bCs w:val="0"/>
                      <w:color w:val="auto"/>
                      <w:sz w:val="21"/>
                      <w:szCs w:val="24"/>
                      <w:vertAlign w:val="baseline"/>
                      <w:lang w:val="en-US" w:eastAsia="zh-CN"/>
                    </w:rPr>
                  </w:pPr>
                  <w:r>
                    <w:rPr>
                      <w:rFonts w:hint="default" w:cs="Times New Roman"/>
                      <w:b w:val="0"/>
                      <w:bCs w:val="0"/>
                      <w:color w:val="auto"/>
                      <w:sz w:val="21"/>
                      <w:szCs w:val="24"/>
                      <w:vertAlign w:val="baseline"/>
                      <w:lang w:val="en-US" w:eastAsia="zh-CN"/>
                    </w:rPr>
                    <w:t>第三条（一）中的全部区域；第三条（二）中的全部区域；第三条（三）中的全部区域</w:t>
                  </w:r>
                </w:p>
              </w:tc>
            </w:tr>
          </w:tbl>
          <w:p w14:paraId="5FC1EB1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为三级公路，根据《水利部办公厅关于印发全国水土保持规划国家级水土流失重点预防区和重点治理区复核划分成果的通知》（办水保[2013]188号），宣汉县属于沱江中下游国家级水土流失重点治理区（GII2），故本项目为涉及环境敏感区的三级公路建设。根据《中华人民共和国环境保护法</w:t>
            </w:r>
            <w:r>
              <w:rPr>
                <w:rFonts w:hint="eastAsia" w:cs="Times New Roman"/>
                <w:color w:val="auto"/>
                <w:sz w:val="24"/>
                <w:szCs w:val="32"/>
                <w:lang w:eastAsia="zh-CN"/>
              </w:rPr>
              <w:t>》《</w:t>
            </w:r>
            <w:r>
              <w:rPr>
                <w:rFonts w:hint="default" w:ascii="Times New Roman" w:hAnsi="Times New Roman" w:cs="Times New Roman"/>
                <w:color w:val="auto"/>
                <w:sz w:val="24"/>
                <w:szCs w:val="32"/>
              </w:rPr>
              <w:t>中华人民共和国环境影响评价法》以及《建设项目环境保护管理条例》（国务院令第682号）的要求，本项目须进行环境影响评价；同时，根据《建设项目环境影响评价分类管理名录》（2021年版）（生态环境部第16号令），本项目属于“五十二、交通运输业、管道运输业”中“130、等级公路（不含维护；不含生命救援、应急保通工程以及国防交通保障项目；不含改扩建四级公路）”的“其他（配套设施除外；不涉及环境敏感区的三、四级公路除外）”类项目，需编制环境影响评价报告表。</w:t>
            </w:r>
          </w:p>
          <w:p w14:paraId="7A97226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由此，202</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年</w:t>
            </w:r>
            <w:r>
              <w:rPr>
                <w:rFonts w:hint="default" w:ascii="Times New Roman" w:hAnsi="Times New Roman" w:cs="Times New Roman"/>
                <w:color w:val="auto"/>
                <w:sz w:val="24"/>
                <w:szCs w:val="32"/>
                <w:lang w:val="en-US" w:eastAsia="zh-CN"/>
              </w:rPr>
              <w:t>9</w:t>
            </w:r>
            <w:r>
              <w:rPr>
                <w:rFonts w:hint="default" w:ascii="Times New Roman" w:hAnsi="Times New Roman" w:cs="Times New Roman"/>
                <w:color w:val="auto"/>
                <w:sz w:val="24"/>
                <w:szCs w:val="32"/>
              </w:rPr>
              <w:t>月28日，四川宣宏实业有限公司委托我公司开展本项目环境影响评价工作。我公司接受委托后，组织有关技术人员考察踏勘了工程现场，进行了资料初步收集和工程初步分析，在完成环境影响识别的基础上，按照有关环保法规和“建设项目环境影响报告表编制技术指南（生态影响类）”等技术规范的要求开展工作，编制完成了《宣汉县中部片区乡村振兴</w:t>
            </w:r>
            <w:r>
              <w:rPr>
                <w:rFonts w:hint="default" w:ascii="Times New Roman" w:hAnsi="Times New Roman" w:cs="Times New Roman"/>
                <w:color w:val="auto"/>
                <w:kern w:val="0"/>
                <w:sz w:val="24"/>
                <w:szCs w:val="24"/>
                <w:lang w:val="en-US" w:eastAsia="zh-CN" w:bidi="ar"/>
              </w:rPr>
              <w:t>·</w:t>
            </w:r>
            <w:r>
              <w:rPr>
                <w:rFonts w:hint="default" w:ascii="Times New Roman" w:hAnsi="Times New Roman" w:cs="Times New Roman"/>
                <w:color w:val="auto"/>
                <w:sz w:val="24"/>
                <w:szCs w:val="32"/>
              </w:rPr>
              <w:t>千万工程示范带建设项目一标段环境影响报告表》。</w:t>
            </w:r>
          </w:p>
          <w:p w14:paraId="690E4737">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2、主要建设内容及规模</w:t>
            </w:r>
          </w:p>
          <w:p w14:paraId="7FC24E1C">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本项目按三级公路标准设计，道路路面宽度6.5m，路基宽度7.5m。包含主线、支线，其中主线设计速度30km/h，长2792.59m，设隧道1座，长983m；新建</w:t>
            </w:r>
            <w:r>
              <w:rPr>
                <w:rFonts w:hint="default" w:ascii="Times New Roman" w:hAnsi="Times New Roman" w:cs="Times New Roman"/>
                <w:color w:val="auto"/>
                <w:sz w:val="24"/>
                <w:szCs w:val="32"/>
                <w:lang w:val="en-US" w:eastAsia="zh-CN"/>
              </w:rPr>
              <w:t>文家湾跨燃气管线大桥</w:t>
            </w:r>
            <w:r>
              <w:rPr>
                <w:rFonts w:hint="default" w:ascii="Times New Roman" w:hAnsi="Times New Roman" w:cs="Times New Roman"/>
                <w:color w:val="auto"/>
                <w:sz w:val="24"/>
                <w:szCs w:val="32"/>
              </w:rPr>
              <w:t>1座</w:t>
            </w:r>
            <w:r>
              <w:rPr>
                <w:rFonts w:hint="default" w:ascii="Times New Roman" w:hAnsi="Times New Roman" w:cs="Times New Roman"/>
                <w:color w:val="auto"/>
                <w:sz w:val="24"/>
                <w:szCs w:val="32"/>
                <w:lang w:val="en-US" w:eastAsia="zh-CN"/>
              </w:rPr>
              <w:t>长度64.6米</w:t>
            </w:r>
            <w:r>
              <w:rPr>
                <w:rFonts w:hint="default" w:ascii="Times New Roman" w:hAnsi="Times New Roman" w:cs="Times New Roman"/>
                <w:color w:val="auto"/>
                <w:sz w:val="24"/>
                <w:szCs w:val="32"/>
              </w:rPr>
              <w:t>、涵洞共</w:t>
            </w:r>
            <w:r>
              <w:rPr>
                <w:rFonts w:hint="default" w:ascii="Times New Roman" w:hAnsi="Times New Roman" w:cs="Times New Roman"/>
                <w:color w:val="auto"/>
                <w:sz w:val="24"/>
                <w:szCs w:val="32"/>
                <w:lang w:val="en-US" w:eastAsia="zh-CN"/>
              </w:rPr>
              <w:t>8</w:t>
            </w:r>
            <w:r>
              <w:rPr>
                <w:rFonts w:hint="default" w:ascii="Times New Roman" w:hAnsi="Times New Roman" w:cs="Times New Roman"/>
                <w:color w:val="auto"/>
                <w:sz w:val="24"/>
                <w:szCs w:val="32"/>
              </w:rPr>
              <w:t>座、框架桥1座</w:t>
            </w:r>
            <w:r>
              <w:rPr>
                <w:rFonts w:hint="default" w:ascii="Times New Roman" w:hAnsi="Times New Roman" w:cs="Times New Roman"/>
                <w:color w:val="auto"/>
                <w:sz w:val="24"/>
                <w:szCs w:val="32"/>
                <w:lang w:val="en-US" w:eastAsia="zh-CN"/>
              </w:rPr>
              <w:t>长度60.17米</w:t>
            </w:r>
            <w:r>
              <w:rPr>
                <w:rFonts w:hint="default" w:ascii="Times New Roman" w:hAnsi="Times New Roman" w:cs="Times New Roman"/>
                <w:color w:val="auto"/>
                <w:sz w:val="24"/>
                <w:szCs w:val="32"/>
              </w:rPr>
              <w:t>。支线设计速度20km/h，长170m，全部为路基地段</w:t>
            </w:r>
            <w:r>
              <w:rPr>
                <w:rFonts w:hint="default" w:ascii="Times New Roman" w:hAnsi="Times New Roman" w:cs="Times New Roman"/>
                <w:color w:val="auto"/>
                <w:sz w:val="24"/>
                <w:szCs w:val="32"/>
                <w:lang w:eastAsia="zh-CN"/>
              </w:rPr>
              <w:t>。</w:t>
            </w:r>
          </w:p>
          <w:p w14:paraId="39D6D31E">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表2-1</w:t>
            </w:r>
            <w:r>
              <w:rPr>
                <w:rFonts w:hint="default" w:ascii="Times New Roman" w:hAnsi="Times New Roman" w:cs="Times New Roman"/>
                <w:b/>
                <w:bCs/>
                <w:color w:val="auto"/>
                <w:lang w:val="en-US" w:eastAsia="zh-CN"/>
              </w:rPr>
              <w:t xml:space="preserve"> </w:t>
            </w:r>
            <w:r>
              <w:rPr>
                <w:rFonts w:hint="default" w:ascii="Times New Roman" w:hAnsi="Times New Roman" w:cs="Times New Roman"/>
                <w:b/>
                <w:bCs/>
                <w:color w:val="auto"/>
              </w:rPr>
              <w:t>主要技术指标表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84"/>
              <w:gridCol w:w="2454"/>
              <w:gridCol w:w="2454"/>
              <w:gridCol w:w="2456"/>
            </w:tblGrid>
            <w:tr w14:paraId="5ED47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4FAE2FFE">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序号</w:t>
                  </w:r>
                </w:p>
              </w:tc>
              <w:tc>
                <w:tcPr>
                  <w:tcW w:w="2460" w:type="dxa"/>
                  <w:vAlign w:val="center"/>
                </w:tcPr>
                <w:p w14:paraId="196A810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项目名称</w:t>
                  </w:r>
                </w:p>
              </w:tc>
              <w:tc>
                <w:tcPr>
                  <w:tcW w:w="2460" w:type="dxa"/>
                  <w:vAlign w:val="center"/>
                </w:tcPr>
                <w:p w14:paraId="28EA9BC0">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主线</w:t>
                  </w:r>
                </w:p>
              </w:tc>
              <w:tc>
                <w:tcPr>
                  <w:tcW w:w="2462" w:type="dxa"/>
                  <w:vAlign w:val="center"/>
                </w:tcPr>
                <w:p w14:paraId="3181F85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支线</w:t>
                  </w:r>
                </w:p>
              </w:tc>
            </w:tr>
            <w:tr w14:paraId="58814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38B63ECB">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w:t>
                  </w:r>
                </w:p>
              </w:tc>
              <w:tc>
                <w:tcPr>
                  <w:tcW w:w="2460" w:type="dxa"/>
                  <w:vAlign w:val="center"/>
                </w:tcPr>
                <w:p w14:paraId="63ACB3B9">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道路等级</w:t>
                  </w:r>
                </w:p>
              </w:tc>
              <w:tc>
                <w:tcPr>
                  <w:tcW w:w="2460" w:type="dxa"/>
                  <w:vAlign w:val="center"/>
                </w:tcPr>
                <w:p w14:paraId="31CF7D4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农村道路</w:t>
                  </w:r>
                </w:p>
              </w:tc>
              <w:tc>
                <w:tcPr>
                  <w:tcW w:w="2462" w:type="dxa"/>
                  <w:vAlign w:val="center"/>
                </w:tcPr>
                <w:p w14:paraId="23E801BE">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农村道路</w:t>
                  </w:r>
                </w:p>
              </w:tc>
            </w:tr>
            <w:tr w14:paraId="1BF5FC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6D1A97AC">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p>
              </w:tc>
              <w:tc>
                <w:tcPr>
                  <w:tcW w:w="2460" w:type="dxa"/>
                  <w:vAlign w:val="center"/>
                </w:tcPr>
                <w:p w14:paraId="757BFFF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设计速度</w:t>
                  </w:r>
                </w:p>
              </w:tc>
              <w:tc>
                <w:tcPr>
                  <w:tcW w:w="2460" w:type="dxa"/>
                  <w:vAlign w:val="center"/>
                </w:tcPr>
                <w:p w14:paraId="2FC16DAA">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30km/h</w:t>
                  </w:r>
                </w:p>
              </w:tc>
              <w:tc>
                <w:tcPr>
                  <w:tcW w:w="2462" w:type="dxa"/>
                  <w:vAlign w:val="center"/>
                </w:tcPr>
                <w:p w14:paraId="7E543228">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20km/h</w:t>
                  </w:r>
                </w:p>
              </w:tc>
            </w:tr>
            <w:tr w14:paraId="22ADF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473BCC45">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w:t>
                  </w:r>
                </w:p>
              </w:tc>
              <w:tc>
                <w:tcPr>
                  <w:tcW w:w="2460" w:type="dxa"/>
                  <w:vAlign w:val="center"/>
                </w:tcPr>
                <w:p w14:paraId="72AF36D2">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道路长度</w:t>
                  </w:r>
                </w:p>
              </w:tc>
              <w:tc>
                <w:tcPr>
                  <w:tcW w:w="2460" w:type="dxa"/>
                  <w:vAlign w:val="center"/>
                </w:tcPr>
                <w:p w14:paraId="5B68F766">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2792m</w:t>
                  </w:r>
                </w:p>
              </w:tc>
              <w:tc>
                <w:tcPr>
                  <w:tcW w:w="2462" w:type="dxa"/>
                  <w:vAlign w:val="center"/>
                </w:tcPr>
                <w:p w14:paraId="474FF4B2">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170m</w:t>
                  </w:r>
                </w:p>
              </w:tc>
            </w:tr>
            <w:tr w14:paraId="49C71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767B313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w:t>
                  </w:r>
                </w:p>
              </w:tc>
              <w:tc>
                <w:tcPr>
                  <w:tcW w:w="2460" w:type="dxa"/>
                  <w:vAlign w:val="center"/>
                </w:tcPr>
                <w:p w14:paraId="5A419886">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车道数/车道宽度</w:t>
                  </w:r>
                </w:p>
              </w:tc>
              <w:tc>
                <w:tcPr>
                  <w:tcW w:w="2460" w:type="dxa"/>
                  <w:vAlign w:val="center"/>
                </w:tcPr>
                <w:p w14:paraId="3972F6A0">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2/3.25m</w:t>
                  </w:r>
                </w:p>
              </w:tc>
              <w:tc>
                <w:tcPr>
                  <w:tcW w:w="2462" w:type="dxa"/>
                  <w:vAlign w:val="center"/>
                </w:tcPr>
                <w:p w14:paraId="5E7B495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2/3.25m</w:t>
                  </w:r>
                </w:p>
              </w:tc>
            </w:tr>
            <w:tr w14:paraId="53E93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12B3A736">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5</w:t>
                  </w:r>
                </w:p>
              </w:tc>
              <w:tc>
                <w:tcPr>
                  <w:tcW w:w="2460" w:type="dxa"/>
                  <w:vAlign w:val="center"/>
                </w:tcPr>
                <w:p w14:paraId="343CB3F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停车视距</w:t>
                  </w:r>
                </w:p>
              </w:tc>
              <w:tc>
                <w:tcPr>
                  <w:tcW w:w="2460" w:type="dxa"/>
                  <w:vAlign w:val="center"/>
                </w:tcPr>
                <w:p w14:paraId="5A513CAF">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30m</w:t>
                  </w:r>
                </w:p>
              </w:tc>
              <w:tc>
                <w:tcPr>
                  <w:tcW w:w="2462" w:type="dxa"/>
                  <w:vAlign w:val="center"/>
                </w:tcPr>
                <w:p w14:paraId="4C6422B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20m</w:t>
                  </w:r>
                </w:p>
              </w:tc>
            </w:tr>
            <w:tr w14:paraId="4B6EF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5CC2F164">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w:t>
                  </w:r>
                </w:p>
              </w:tc>
              <w:tc>
                <w:tcPr>
                  <w:tcW w:w="2460" w:type="dxa"/>
                  <w:vAlign w:val="center"/>
                </w:tcPr>
                <w:p w14:paraId="1595125F">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圆曲线最小半径（一般值）</w:t>
                  </w:r>
                </w:p>
              </w:tc>
              <w:tc>
                <w:tcPr>
                  <w:tcW w:w="2460" w:type="dxa"/>
                  <w:vAlign w:val="center"/>
                </w:tcPr>
                <w:p w14:paraId="58771D5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65</w:t>
                  </w:r>
                </w:p>
              </w:tc>
              <w:tc>
                <w:tcPr>
                  <w:tcW w:w="2462" w:type="dxa"/>
                  <w:vAlign w:val="center"/>
                </w:tcPr>
                <w:p w14:paraId="540DA1D6">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w:t>
                  </w:r>
                </w:p>
              </w:tc>
            </w:tr>
            <w:tr w14:paraId="20D946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410C932B">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w:t>
                  </w:r>
                </w:p>
              </w:tc>
              <w:tc>
                <w:tcPr>
                  <w:tcW w:w="2460" w:type="dxa"/>
                  <w:vAlign w:val="center"/>
                </w:tcPr>
                <w:p w14:paraId="49021628">
                  <w:pPr>
                    <w:widowControl/>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圆曲线最小半径（极限值）</w:t>
                  </w:r>
                </w:p>
              </w:tc>
              <w:tc>
                <w:tcPr>
                  <w:tcW w:w="2460" w:type="dxa"/>
                  <w:vAlign w:val="center"/>
                </w:tcPr>
                <w:p w14:paraId="12EDCC3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30</w:t>
                  </w:r>
                </w:p>
              </w:tc>
              <w:tc>
                <w:tcPr>
                  <w:tcW w:w="2462" w:type="dxa"/>
                  <w:vAlign w:val="center"/>
                </w:tcPr>
                <w:p w14:paraId="2F74B46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20</w:t>
                  </w:r>
                </w:p>
              </w:tc>
            </w:tr>
            <w:tr w14:paraId="1C5FD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0BFD5DF0">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w:t>
                  </w:r>
                </w:p>
              </w:tc>
              <w:tc>
                <w:tcPr>
                  <w:tcW w:w="2460" w:type="dxa"/>
                  <w:vAlign w:val="center"/>
                </w:tcPr>
                <w:p w14:paraId="01953A7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不设超高曲线最小半径</w:t>
                  </w:r>
                </w:p>
              </w:tc>
              <w:tc>
                <w:tcPr>
                  <w:tcW w:w="2460" w:type="dxa"/>
                  <w:vAlign w:val="center"/>
                </w:tcPr>
                <w:p w14:paraId="303C2760">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350</w:t>
                  </w:r>
                </w:p>
              </w:tc>
              <w:tc>
                <w:tcPr>
                  <w:tcW w:w="2462" w:type="dxa"/>
                  <w:vAlign w:val="center"/>
                </w:tcPr>
                <w:p w14:paraId="4E665B9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150</w:t>
                  </w:r>
                </w:p>
              </w:tc>
            </w:tr>
            <w:tr w14:paraId="5F87E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531ABC4F">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w:t>
                  </w:r>
                </w:p>
              </w:tc>
              <w:tc>
                <w:tcPr>
                  <w:tcW w:w="2460" w:type="dxa"/>
                  <w:vAlign w:val="center"/>
                </w:tcPr>
                <w:p w14:paraId="5744D62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最大纵坡</w:t>
                  </w:r>
                </w:p>
              </w:tc>
              <w:tc>
                <w:tcPr>
                  <w:tcW w:w="2460" w:type="dxa"/>
                  <w:vAlign w:val="center"/>
                </w:tcPr>
                <w:p w14:paraId="0B56CF8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w:t>
                  </w:r>
                </w:p>
              </w:tc>
              <w:tc>
                <w:tcPr>
                  <w:tcW w:w="2462" w:type="dxa"/>
                  <w:vAlign w:val="center"/>
                </w:tcPr>
                <w:p w14:paraId="37EAC8A2">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9%</w:t>
                  </w:r>
                </w:p>
              </w:tc>
            </w:tr>
            <w:tr w14:paraId="6A5280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63BE952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w:t>
                  </w:r>
                </w:p>
              </w:tc>
              <w:tc>
                <w:tcPr>
                  <w:tcW w:w="2460" w:type="dxa"/>
                  <w:vAlign w:val="center"/>
                </w:tcPr>
                <w:p w14:paraId="0E6D5A09">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最小纵坡</w:t>
                  </w:r>
                </w:p>
              </w:tc>
              <w:tc>
                <w:tcPr>
                  <w:tcW w:w="2460" w:type="dxa"/>
                  <w:vAlign w:val="center"/>
                </w:tcPr>
                <w:p w14:paraId="52A3B947">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0.3%</w:t>
                  </w:r>
                </w:p>
              </w:tc>
              <w:tc>
                <w:tcPr>
                  <w:tcW w:w="2462" w:type="dxa"/>
                  <w:vAlign w:val="center"/>
                </w:tcPr>
                <w:p w14:paraId="094B0164">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0.3%</w:t>
                  </w:r>
                </w:p>
              </w:tc>
            </w:tr>
            <w:tr w14:paraId="21921A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22CD51E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11</w:t>
                  </w:r>
                </w:p>
              </w:tc>
              <w:tc>
                <w:tcPr>
                  <w:tcW w:w="2460" w:type="dxa"/>
                  <w:vAlign w:val="center"/>
                </w:tcPr>
                <w:p w14:paraId="50207948">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最小坡长</w:t>
                  </w:r>
                </w:p>
              </w:tc>
              <w:tc>
                <w:tcPr>
                  <w:tcW w:w="2460" w:type="dxa"/>
                  <w:vAlign w:val="center"/>
                </w:tcPr>
                <w:p w14:paraId="6793088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85m</w:t>
                  </w:r>
                </w:p>
              </w:tc>
              <w:tc>
                <w:tcPr>
                  <w:tcW w:w="2462" w:type="dxa"/>
                  <w:vAlign w:val="center"/>
                </w:tcPr>
                <w:p w14:paraId="2794CE42">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60m</w:t>
                  </w:r>
                </w:p>
              </w:tc>
            </w:tr>
            <w:tr w14:paraId="1B003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03D17335">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12</w:t>
                  </w:r>
                </w:p>
              </w:tc>
              <w:tc>
                <w:tcPr>
                  <w:tcW w:w="2460" w:type="dxa"/>
                  <w:vAlign w:val="center"/>
                </w:tcPr>
                <w:p w14:paraId="286352BC">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最小竖曲线半径</w:t>
                  </w:r>
                </w:p>
              </w:tc>
              <w:tc>
                <w:tcPr>
                  <w:tcW w:w="2460" w:type="dxa"/>
                  <w:vAlign w:val="center"/>
                </w:tcPr>
                <w:p w14:paraId="20438B8B">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一般400m，极限值250m</w:t>
                  </w:r>
                </w:p>
              </w:tc>
              <w:tc>
                <w:tcPr>
                  <w:tcW w:w="2462" w:type="dxa"/>
                  <w:vAlign w:val="center"/>
                </w:tcPr>
                <w:p w14:paraId="54466B95">
                  <w:pPr>
                    <w:widowControl/>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一般200m，极限值100m</w:t>
                  </w:r>
                </w:p>
              </w:tc>
            </w:tr>
            <w:tr w14:paraId="084EB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1E6EA9AA">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13</w:t>
                  </w:r>
                </w:p>
              </w:tc>
              <w:tc>
                <w:tcPr>
                  <w:tcW w:w="2460" w:type="dxa"/>
                  <w:vAlign w:val="center"/>
                </w:tcPr>
                <w:p w14:paraId="220E5F5A">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路拱横坡</w:t>
                  </w:r>
                </w:p>
              </w:tc>
              <w:tc>
                <w:tcPr>
                  <w:tcW w:w="2460" w:type="dxa"/>
                  <w:vAlign w:val="center"/>
                </w:tcPr>
                <w:p w14:paraId="265FF34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p>
              </w:tc>
              <w:tc>
                <w:tcPr>
                  <w:tcW w:w="2462" w:type="dxa"/>
                  <w:vAlign w:val="center"/>
                </w:tcPr>
                <w:p w14:paraId="021BFEEA">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2%</w:t>
                  </w:r>
                </w:p>
              </w:tc>
            </w:tr>
            <w:tr w14:paraId="6ADDD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56315866">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14</w:t>
                  </w:r>
                </w:p>
              </w:tc>
              <w:tc>
                <w:tcPr>
                  <w:tcW w:w="2460" w:type="dxa"/>
                  <w:vAlign w:val="center"/>
                </w:tcPr>
                <w:p w14:paraId="7C9BEC3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净空</w:t>
                  </w:r>
                </w:p>
              </w:tc>
              <w:tc>
                <w:tcPr>
                  <w:tcW w:w="2460" w:type="dxa"/>
                  <w:vAlign w:val="center"/>
                </w:tcPr>
                <w:p w14:paraId="555975CC">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4.5m</w:t>
                  </w:r>
                </w:p>
              </w:tc>
              <w:tc>
                <w:tcPr>
                  <w:tcW w:w="2462" w:type="dxa"/>
                  <w:vAlign w:val="center"/>
                </w:tcPr>
                <w:p w14:paraId="6CAAA4D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4.5m</w:t>
                  </w:r>
                </w:p>
              </w:tc>
            </w:tr>
            <w:tr w14:paraId="278A65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7F600096">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15</w:t>
                  </w:r>
                </w:p>
              </w:tc>
              <w:tc>
                <w:tcPr>
                  <w:tcW w:w="2460" w:type="dxa"/>
                  <w:vAlign w:val="center"/>
                </w:tcPr>
                <w:p w14:paraId="632F25D5">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标准路幅</w:t>
                  </w:r>
                </w:p>
              </w:tc>
              <w:tc>
                <w:tcPr>
                  <w:tcW w:w="2460" w:type="dxa"/>
                  <w:vAlign w:val="center"/>
                </w:tcPr>
                <w:p w14:paraId="016FD251">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7.5m</w:t>
                  </w:r>
                </w:p>
              </w:tc>
              <w:tc>
                <w:tcPr>
                  <w:tcW w:w="2462" w:type="dxa"/>
                  <w:vAlign w:val="center"/>
                </w:tcPr>
                <w:p w14:paraId="42F7D0F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7.5m</w:t>
                  </w:r>
                </w:p>
              </w:tc>
            </w:tr>
            <w:tr w14:paraId="2362E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3506FF66">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16</w:t>
                  </w:r>
                </w:p>
              </w:tc>
              <w:tc>
                <w:tcPr>
                  <w:tcW w:w="2460" w:type="dxa"/>
                  <w:vAlign w:val="center"/>
                </w:tcPr>
                <w:p w14:paraId="0BDDEE0C">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路面类型</w:t>
                  </w:r>
                </w:p>
              </w:tc>
              <w:tc>
                <w:tcPr>
                  <w:tcW w:w="2460" w:type="dxa"/>
                  <w:vAlign w:val="center"/>
                </w:tcPr>
                <w:p w14:paraId="47820CA6">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沥青混凝土路面</w:t>
                  </w:r>
                </w:p>
              </w:tc>
              <w:tc>
                <w:tcPr>
                  <w:tcW w:w="2462" w:type="dxa"/>
                  <w:vAlign w:val="center"/>
                </w:tcPr>
                <w:p w14:paraId="4D7FB766">
                  <w:pPr>
                    <w:widowControl/>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沥青混凝土路面</w:t>
                  </w:r>
                </w:p>
              </w:tc>
            </w:tr>
            <w:tr w14:paraId="70BEBD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07D2EB5B">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17</w:t>
                  </w:r>
                </w:p>
              </w:tc>
              <w:tc>
                <w:tcPr>
                  <w:tcW w:w="2460" w:type="dxa"/>
                  <w:vAlign w:val="center"/>
                </w:tcPr>
                <w:p w14:paraId="554B4FEA">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路面结构设计年限</w:t>
                  </w:r>
                </w:p>
              </w:tc>
              <w:tc>
                <w:tcPr>
                  <w:tcW w:w="2460" w:type="dxa"/>
                  <w:vAlign w:val="center"/>
                </w:tcPr>
                <w:p w14:paraId="0459934B">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10年</w:t>
                  </w:r>
                </w:p>
              </w:tc>
              <w:tc>
                <w:tcPr>
                  <w:tcW w:w="2462" w:type="dxa"/>
                  <w:vAlign w:val="center"/>
                </w:tcPr>
                <w:p w14:paraId="5B9ECB15">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10年</w:t>
                  </w:r>
                </w:p>
              </w:tc>
            </w:tr>
            <w:tr w14:paraId="4BE37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71AB3CB8">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18</w:t>
                  </w:r>
                </w:p>
              </w:tc>
              <w:tc>
                <w:tcPr>
                  <w:tcW w:w="2460" w:type="dxa"/>
                  <w:vAlign w:val="center"/>
                </w:tcPr>
                <w:p w14:paraId="03A3F878">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桥梁设计洪水频率</w:t>
                  </w:r>
                </w:p>
              </w:tc>
              <w:tc>
                <w:tcPr>
                  <w:tcW w:w="2460" w:type="dxa"/>
                  <w:vAlign w:val="center"/>
                </w:tcPr>
                <w:p w14:paraId="40CA851D">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大小桥：1/100、小桥：1/50</w:t>
                  </w:r>
                </w:p>
              </w:tc>
              <w:tc>
                <w:tcPr>
                  <w:tcW w:w="2462" w:type="dxa"/>
                  <w:vAlign w:val="center"/>
                </w:tcPr>
                <w:p w14:paraId="1DD111DF">
                  <w:pPr>
                    <w:widowControl/>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大小桥：1/100、小桥：1/50</w:t>
                  </w:r>
                </w:p>
              </w:tc>
            </w:tr>
            <w:tr w14:paraId="3BA72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686" w:type="dxa"/>
                  <w:vAlign w:val="center"/>
                </w:tcPr>
                <w:p w14:paraId="62433684">
                  <w:pPr>
                    <w:widowControl/>
                    <w:jc w:val="center"/>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19</w:t>
                  </w:r>
                </w:p>
              </w:tc>
              <w:tc>
                <w:tcPr>
                  <w:tcW w:w="2460" w:type="dxa"/>
                  <w:vAlign w:val="center"/>
                </w:tcPr>
                <w:p w14:paraId="6B094C35">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标准轴载</w:t>
                  </w:r>
                </w:p>
              </w:tc>
              <w:tc>
                <w:tcPr>
                  <w:tcW w:w="2460" w:type="dxa"/>
                  <w:vAlign w:val="center"/>
                </w:tcPr>
                <w:p w14:paraId="40E8DC43">
                  <w:pPr>
                    <w:widowControl/>
                    <w:jc w:val="center"/>
                    <w:rPr>
                      <w:rFonts w:hint="default" w:ascii="Times New Roman" w:hAnsi="Times New Roman" w:eastAsia="宋体"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BZZ-100</w:t>
                  </w:r>
                </w:p>
              </w:tc>
              <w:tc>
                <w:tcPr>
                  <w:tcW w:w="2462" w:type="dxa"/>
                  <w:vAlign w:val="center"/>
                </w:tcPr>
                <w:p w14:paraId="2A68A91B">
                  <w:pPr>
                    <w:widowControl/>
                    <w:jc w:val="center"/>
                    <w:rPr>
                      <w:rFonts w:hint="default" w:ascii="Times New Roman" w:hAnsi="Times New Roman" w:cs="Times New Roman"/>
                      <w:b w:val="0"/>
                      <w:bCs w:val="0"/>
                      <w:color w:val="auto"/>
                      <w:sz w:val="21"/>
                      <w:szCs w:val="21"/>
                    </w:rPr>
                  </w:pPr>
                  <w:r>
                    <w:rPr>
                      <w:rFonts w:hint="default" w:ascii="Times New Roman" w:hAnsi="Times New Roman" w:cs="Times New Roman"/>
                      <w:b w:val="0"/>
                      <w:bCs w:val="0"/>
                      <w:color w:val="auto"/>
                      <w:sz w:val="21"/>
                      <w:szCs w:val="21"/>
                      <w:lang w:val="en-US" w:eastAsia="zh-CN"/>
                    </w:rPr>
                    <w:t>BZZ-100</w:t>
                  </w:r>
                </w:p>
              </w:tc>
            </w:tr>
          </w:tbl>
          <w:p w14:paraId="72FAA741">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2、交通量预测</w:t>
            </w:r>
          </w:p>
          <w:p w14:paraId="3D667EA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从本项目所在地区的路网现状和交通流的分布情况出发，以沿线乡镇、村</w:t>
            </w:r>
            <w:r>
              <w:rPr>
                <w:rFonts w:hint="eastAsia" w:cs="Times New Roman"/>
                <w:color w:val="auto"/>
                <w:sz w:val="24"/>
                <w:szCs w:val="32"/>
                <w:lang w:eastAsia="zh-CN"/>
              </w:rPr>
              <w:t>作为</w:t>
            </w:r>
            <w:r>
              <w:rPr>
                <w:rFonts w:hint="default" w:ascii="Times New Roman" w:hAnsi="Times New Roman" w:eastAsia="宋体" w:cs="Times New Roman"/>
                <w:color w:val="auto"/>
                <w:sz w:val="24"/>
                <w:szCs w:val="32"/>
              </w:rPr>
              <w:t>节点进行路段划分，本次调查在普光镇杏树村5社影响区域内布设了2个24小时交通量调查点，进行24小时交通量观测，调查点布设在与本项目相关的主要道路。其中杏树村6社布设1个、普光镇布设1个调查点，调查方式分车型、分行车方向。同时结合沿线历年交通量观测站数据，进行分析。</w:t>
            </w:r>
          </w:p>
          <w:p w14:paraId="1D56D688">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2 基年交通量统计表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0"/>
              <w:gridCol w:w="670"/>
              <w:gridCol w:w="670"/>
              <w:gridCol w:w="670"/>
              <w:gridCol w:w="670"/>
              <w:gridCol w:w="670"/>
              <w:gridCol w:w="671"/>
              <w:gridCol w:w="671"/>
              <w:gridCol w:w="671"/>
              <w:gridCol w:w="671"/>
              <w:gridCol w:w="672"/>
              <w:gridCol w:w="672"/>
            </w:tblGrid>
            <w:tr w14:paraId="0F132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Merge w:val="restart"/>
                  <w:vAlign w:val="center"/>
                </w:tcPr>
                <w:p w14:paraId="679CD61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调查时间</w:t>
                  </w:r>
                </w:p>
              </w:tc>
              <w:tc>
                <w:tcPr>
                  <w:tcW w:w="670" w:type="dxa"/>
                  <w:vMerge w:val="restart"/>
                  <w:vAlign w:val="center"/>
                </w:tcPr>
                <w:p w14:paraId="563862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调查地点</w:t>
                  </w:r>
                </w:p>
              </w:tc>
              <w:tc>
                <w:tcPr>
                  <w:tcW w:w="670" w:type="dxa"/>
                  <w:vMerge w:val="restart"/>
                  <w:vAlign w:val="center"/>
                </w:tcPr>
                <w:p w14:paraId="61DD1DB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小货</w:t>
                  </w:r>
                </w:p>
              </w:tc>
              <w:tc>
                <w:tcPr>
                  <w:tcW w:w="670" w:type="dxa"/>
                  <w:vMerge w:val="restart"/>
                  <w:vAlign w:val="center"/>
                </w:tcPr>
                <w:p w14:paraId="74938D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中货</w:t>
                  </w:r>
                </w:p>
              </w:tc>
              <w:tc>
                <w:tcPr>
                  <w:tcW w:w="670" w:type="dxa"/>
                  <w:vMerge w:val="restart"/>
                  <w:vAlign w:val="center"/>
                </w:tcPr>
                <w:p w14:paraId="60E211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大货</w:t>
                  </w:r>
                </w:p>
              </w:tc>
              <w:tc>
                <w:tcPr>
                  <w:tcW w:w="670" w:type="dxa"/>
                  <w:vMerge w:val="restart"/>
                  <w:vAlign w:val="center"/>
                </w:tcPr>
                <w:p w14:paraId="548729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拖挂</w:t>
                  </w:r>
                </w:p>
              </w:tc>
              <w:tc>
                <w:tcPr>
                  <w:tcW w:w="671" w:type="dxa"/>
                  <w:vMerge w:val="restart"/>
                  <w:vAlign w:val="center"/>
                </w:tcPr>
                <w:p w14:paraId="17E7D7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小客</w:t>
                  </w:r>
                </w:p>
              </w:tc>
              <w:tc>
                <w:tcPr>
                  <w:tcW w:w="671" w:type="dxa"/>
                  <w:vMerge w:val="restart"/>
                  <w:vAlign w:val="center"/>
                </w:tcPr>
                <w:p w14:paraId="7A17C6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大客</w:t>
                  </w:r>
                </w:p>
              </w:tc>
              <w:tc>
                <w:tcPr>
                  <w:tcW w:w="671" w:type="dxa"/>
                  <w:vMerge w:val="restart"/>
                  <w:shd w:val="clear" w:color="auto" w:fill="auto"/>
                  <w:vAlign w:val="center"/>
                </w:tcPr>
                <w:p w14:paraId="42A7C8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摩托车</w:t>
                  </w:r>
                </w:p>
              </w:tc>
              <w:tc>
                <w:tcPr>
                  <w:tcW w:w="671" w:type="dxa"/>
                  <w:vMerge w:val="restart"/>
                  <w:shd w:val="clear" w:color="auto" w:fill="auto"/>
                  <w:vAlign w:val="center"/>
                </w:tcPr>
                <w:p w14:paraId="09C443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拖拉机</w:t>
                  </w:r>
                </w:p>
              </w:tc>
              <w:tc>
                <w:tcPr>
                  <w:tcW w:w="1344" w:type="dxa"/>
                  <w:gridSpan w:val="2"/>
                  <w:vAlign w:val="center"/>
                </w:tcPr>
                <w:p w14:paraId="0CE35B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车辆合计</w:t>
                  </w:r>
                </w:p>
              </w:tc>
            </w:tr>
            <w:tr w14:paraId="29AE5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Merge w:val="continue"/>
                  <w:vAlign w:val="center"/>
                </w:tcPr>
                <w:p w14:paraId="1693C5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0" w:type="dxa"/>
                  <w:vMerge w:val="continue"/>
                  <w:vAlign w:val="center"/>
                </w:tcPr>
                <w:p w14:paraId="6D50EA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0" w:type="dxa"/>
                  <w:vMerge w:val="continue"/>
                  <w:vAlign w:val="center"/>
                </w:tcPr>
                <w:p w14:paraId="13AAE1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0" w:type="dxa"/>
                  <w:vMerge w:val="continue"/>
                  <w:vAlign w:val="center"/>
                </w:tcPr>
                <w:p w14:paraId="311FF6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0" w:type="dxa"/>
                  <w:vMerge w:val="continue"/>
                  <w:vAlign w:val="center"/>
                </w:tcPr>
                <w:p w14:paraId="53B990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0" w:type="dxa"/>
                  <w:vMerge w:val="continue"/>
                  <w:vAlign w:val="center"/>
                </w:tcPr>
                <w:p w14:paraId="6C90E1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1" w:type="dxa"/>
                  <w:vMerge w:val="continue"/>
                  <w:vAlign w:val="center"/>
                </w:tcPr>
                <w:p w14:paraId="05E7CE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1" w:type="dxa"/>
                  <w:vMerge w:val="continue"/>
                  <w:vAlign w:val="center"/>
                </w:tcPr>
                <w:p w14:paraId="5F549B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1" w:type="dxa"/>
                  <w:vMerge w:val="continue"/>
                  <w:shd w:val="clear" w:color="auto" w:fill="auto"/>
                  <w:vAlign w:val="center"/>
                </w:tcPr>
                <w:p w14:paraId="684FEA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1" w:type="dxa"/>
                  <w:vMerge w:val="continue"/>
                  <w:shd w:val="clear" w:color="auto" w:fill="auto"/>
                  <w:vAlign w:val="center"/>
                </w:tcPr>
                <w:p w14:paraId="771951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672" w:type="dxa"/>
                  <w:shd w:val="clear" w:color="auto" w:fill="auto"/>
                  <w:vAlign w:val="center"/>
                </w:tcPr>
                <w:p w14:paraId="7CD854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绝对数</w:t>
                  </w:r>
                </w:p>
              </w:tc>
              <w:tc>
                <w:tcPr>
                  <w:tcW w:w="672" w:type="dxa"/>
                  <w:shd w:val="clear" w:color="auto" w:fill="auto"/>
                  <w:vAlign w:val="center"/>
                </w:tcPr>
                <w:p w14:paraId="56338E9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折算数</w:t>
                  </w:r>
                </w:p>
              </w:tc>
            </w:tr>
            <w:tr w14:paraId="02B58E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Align w:val="center"/>
                </w:tcPr>
                <w:p w14:paraId="239356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11.12</w:t>
                  </w:r>
                </w:p>
              </w:tc>
              <w:tc>
                <w:tcPr>
                  <w:tcW w:w="670" w:type="dxa"/>
                  <w:vAlign w:val="center"/>
                </w:tcPr>
                <w:p w14:paraId="75EE2A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陈家河附近乡道</w:t>
                  </w:r>
                </w:p>
              </w:tc>
              <w:tc>
                <w:tcPr>
                  <w:tcW w:w="670" w:type="dxa"/>
                  <w:vAlign w:val="center"/>
                </w:tcPr>
                <w:p w14:paraId="14B6F4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103</w:t>
                  </w:r>
                </w:p>
              </w:tc>
              <w:tc>
                <w:tcPr>
                  <w:tcW w:w="670" w:type="dxa"/>
                  <w:vAlign w:val="center"/>
                </w:tcPr>
                <w:p w14:paraId="6B5403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44</w:t>
                  </w:r>
                </w:p>
              </w:tc>
              <w:tc>
                <w:tcPr>
                  <w:tcW w:w="670" w:type="dxa"/>
                  <w:vAlign w:val="center"/>
                </w:tcPr>
                <w:p w14:paraId="048482C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15</w:t>
                  </w:r>
                </w:p>
              </w:tc>
              <w:tc>
                <w:tcPr>
                  <w:tcW w:w="670" w:type="dxa"/>
                  <w:vAlign w:val="center"/>
                </w:tcPr>
                <w:p w14:paraId="7D6A46E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w:t>
                  </w:r>
                </w:p>
              </w:tc>
              <w:tc>
                <w:tcPr>
                  <w:tcW w:w="671" w:type="dxa"/>
                  <w:vAlign w:val="center"/>
                </w:tcPr>
                <w:p w14:paraId="25D9B4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22</w:t>
                  </w:r>
                </w:p>
              </w:tc>
              <w:tc>
                <w:tcPr>
                  <w:tcW w:w="671" w:type="dxa"/>
                  <w:vAlign w:val="center"/>
                </w:tcPr>
                <w:p w14:paraId="2C3CAB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22</w:t>
                  </w:r>
                </w:p>
              </w:tc>
              <w:tc>
                <w:tcPr>
                  <w:tcW w:w="671" w:type="dxa"/>
                  <w:shd w:val="clear" w:color="auto" w:fill="auto"/>
                  <w:vAlign w:val="center"/>
                </w:tcPr>
                <w:p w14:paraId="5F6C1E2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103</w:t>
                  </w:r>
                </w:p>
              </w:tc>
              <w:tc>
                <w:tcPr>
                  <w:tcW w:w="671" w:type="dxa"/>
                  <w:shd w:val="clear" w:color="auto" w:fill="auto"/>
                  <w:vAlign w:val="center"/>
                </w:tcPr>
                <w:p w14:paraId="2F7DB4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6</w:t>
                  </w:r>
                </w:p>
              </w:tc>
              <w:tc>
                <w:tcPr>
                  <w:tcW w:w="672" w:type="dxa"/>
                  <w:vAlign w:val="center"/>
                </w:tcPr>
                <w:p w14:paraId="7A37B1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426</w:t>
                  </w:r>
                </w:p>
              </w:tc>
              <w:tc>
                <w:tcPr>
                  <w:tcW w:w="672" w:type="dxa"/>
                  <w:vAlign w:val="center"/>
                </w:tcPr>
                <w:p w14:paraId="064464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479</w:t>
                  </w:r>
                </w:p>
              </w:tc>
            </w:tr>
            <w:tr w14:paraId="68C85F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0" w:type="dxa"/>
                  <w:vAlign w:val="center"/>
                </w:tcPr>
                <w:p w14:paraId="7E8898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11.12</w:t>
                  </w:r>
                </w:p>
              </w:tc>
              <w:tc>
                <w:tcPr>
                  <w:tcW w:w="670" w:type="dxa"/>
                  <w:vAlign w:val="center"/>
                </w:tcPr>
                <w:p w14:paraId="44D065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杏树村5社</w:t>
                  </w:r>
                </w:p>
              </w:tc>
              <w:tc>
                <w:tcPr>
                  <w:tcW w:w="670" w:type="dxa"/>
                  <w:vAlign w:val="center"/>
                </w:tcPr>
                <w:p w14:paraId="7F8B9F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64</w:t>
                  </w:r>
                </w:p>
              </w:tc>
              <w:tc>
                <w:tcPr>
                  <w:tcW w:w="670" w:type="dxa"/>
                  <w:vAlign w:val="center"/>
                </w:tcPr>
                <w:p w14:paraId="2577C0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31</w:t>
                  </w:r>
                </w:p>
              </w:tc>
              <w:tc>
                <w:tcPr>
                  <w:tcW w:w="670" w:type="dxa"/>
                  <w:vAlign w:val="center"/>
                </w:tcPr>
                <w:p w14:paraId="59FAD3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15</w:t>
                  </w:r>
                </w:p>
              </w:tc>
              <w:tc>
                <w:tcPr>
                  <w:tcW w:w="670" w:type="dxa"/>
                  <w:vAlign w:val="center"/>
                </w:tcPr>
                <w:p w14:paraId="021AD8B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w:t>
                  </w:r>
                </w:p>
              </w:tc>
              <w:tc>
                <w:tcPr>
                  <w:tcW w:w="671" w:type="dxa"/>
                  <w:vAlign w:val="center"/>
                </w:tcPr>
                <w:p w14:paraId="681BDB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22</w:t>
                  </w:r>
                </w:p>
              </w:tc>
              <w:tc>
                <w:tcPr>
                  <w:tcW w:w="671" w:type="dxa"/>
                  <w:vAlign w:val="center"/>
                </w:tcPr>
                <w:p w14:paraId="4DA151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22</w:t>
                  </w:r>
                </w:p>
              </w:tc>
              <w:tc>
                <w:tcPr>
                  <w:tcW w:w="671" w:type="dxa"/>
                  <w:shd w:val="clear" w:color="auto" w:fill="auto"/>
                  <w:vAlign w:val="center"/>
                </w:tcPr>
                <w:p w14:paraId="45E7705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99</w:t>
                  </w:r>
                </w:p>
              </w:tc>
              <w:tc>
                <w:tcPr>
                  <w:tcW w:w="671" w:type="dxa"/>
                  <w:shd w:val="clear" w:color="auto" w:fill="auto"/>
                  <w:vAlign w:val="center"/>
                </w:tcPr>
                <w:p w14:paraId="0D7C2F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color w:val="auto"/>
                      <w:sz w:val="21"/>
                      <w:szCs w:val="24"/>
                      <w:vertAlign w:val="baseline"/>
                      <w:lang w:val="en-US" w:eastAsia="zh-CN"/>
                    </w:rPr>
                    <w:t>6</w:t>
                  </w:r>
                </w:p>
              </w:tc>
              <w:tc>
                <w:tcPr>
                  <w:tcW w:w="672" w:type="dxa"/>
                  <w:vAlign w:val="center"/>
                </w:tcPr>
                <w:p w14:paraId="00846F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321</w:t>
                  </w:r>
                </w:p>
              </w:tc>
              <w:tc>
                <w:tcPr>
                  <w:tcW w:w="672" w:type="dxa"/>
                  <w:vAlign w:val="center"/>
                </w:tcPr>
                <w:p w14:paraId="6D5119A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361</w:t>
                  </w:r>
                </w:p>
              </w:tc>
            </w:tr>
          </w:tbl>
          <w:p w14:paraId="34E0C2C4">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3 推荐方案各特征年交通量预测结果（单位：pcu/d）</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149"/>
              <w:gridCol w:w="1149"/>
              <w:gridCol w:w="1149"/>
              <w:gridCol w:w="1149"/>
              <w:gridCol w:w="1149"/>
              <w:gridCol w:w="1151"/>
            </w:tblGrid>
            <w:tr w14:paraId="127F2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restart"/>
                  <w:vAlign w:val="center"/>
                </w:tcPr>
                <w:p w14:paraId="60E23D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路段</w:t>
                  </w:r>
                </w:p>
              </w:tc>
              <w:tc>
                <w:tcPr>
                  <w:tcW w:w="1149" w:type="dxa"/>
                  <w:vMerge w:val="restart"/>
                  <w:vAlign w:val="center"/>
                </w:tcPr>
                <w:p w14:paraId="47371C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类型</w:t>
                  </w:r>
                </w:p>
              </w:tc>
              <w:tc>
                <w:tcPr>
                  <w:tcW w:w="1149" w:type="dxa"/>
                  <w:vMerge w:val="restart"/>
                  <w:vAlign w:val="center"/>
                </w:tcPr>
                <w:p w14:paraId="0473B6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2026年</w:t>
                  </w:r>
                </w:p>
              </w:tc>
              <w:tc>
                <w:tcPr>
                  <w:tcW w:w="1149" w:type="dxa"/>
                  <w:vMerge w:val="restart"/>
                  <w:vAlign w:val="center"/>
                </w:tcPr>
                <w:p w14:paraId="43F319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2031年</w:t>
                  </w:r>
                </w:p>
              </w:tc>
              <w:tc>
                <w:tcPr>
                  <w:tcW w:w="1149" w:type="dxa"/>
                  <w:vMerge w:val="restart"/>
                  <w:vAlign w:val="center"/>
                </w:tcPr>
                <w:p w14:paraId="397DBE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2036年</w:t>
                  </w:r>
                </w:p>
              </w:tc>
              <w:tc>
                <w:tcPr>
                  <w:tcW w:w="1149" w:type="dxa"/>
                  <w:vMerge w:val="restart"/>
                  <w:vAlign w:val="center"/>
                </w:tcPr>
                <w:p w14:paraId="40DBA9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2041年</w:t>
                  </w:r>
                </w:p>
              </w:tc>
              <w:tc>
                <w:tcPr>
                  <w:tcW w:w="1151" w:type="dxa"/>
                  <w:vMerge w:val="restart"/>
                  <w:vAlign w:val="center"/>
                </w:tcPr>
                <w:p w14:paraId="1AC8F2C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4046年</w:t>
                  </w:r>
                </w:p>
              </w:tc>
            </w:tr>
            <w:tr w14:paraId="75CD4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347A33A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064EBC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0A0C4E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5734A9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545B4D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6B4285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51" w:type="dxa"/>
                  <w:vMerge w:val="continue"/>
                  <w:vAlign w:val="center"/>
                </w:tcPr>
                <w:p w14:paraId="0534A5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r>
            <w:tr w14:paraId="16E0BF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restart"/>
                  <w:vAlign w:val="center"/>
                </w:tcPr>
                <w:p w14:paraId="0CD648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普光杏树村农村道路（主线）</w:t>
                  </w:r>
                </w:p>
              </w:tc>
              <w:tc>
                <w:tcPr>
                  <w:tcW w:w="1149" w:type="dxa"/>
                  <w:vAlign w:val="center"/>
                </w:tcPr>
                <w:p w14:paraId="38A69F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客车</w:t>
                  </w:r>
                </w:p>
              </w:tc>
              <w:tc>
                <w:tcPr>
                  <w:tcW w:w="1149" w:type="dxa"/>
                  <w:vAlign w:val="center"/>
                </w:tcPr>
                <w:p w14:paraId="5D6B52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411</w:t>
                  </w:r>
                </w:p>
              </w:tc>
              <w:tc>
                <w:tcPr>
                  <w:tcW w:w="1149" w:type="dxa"/>
                  <w:vAlign w:val="center"/>
                </w:tcPr>
                <w:p w14:paraId="075603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659</w:t>
                  </w:r>
                </w:p>
              </w:tc>
              <w:tc>
                <w:tcPr>
                  <w:tcW w:w="1149" w:type="dxa"/>
                  <w:vAlign w:val="center"/>
                </w:tcPr>
                <w:p w14:paraId="5FEA0C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969</w:t>
                  </w:r>
                </w:p>
              </w:tc>
              <w:tc>
                <w:tcPr>
                  <w:tcW w:w="1149" w:type="dxa"/>
                  <w:vAlign w:val="center"/>
                </w:tcPr>
                <w:p w14:paraId="12D8B0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1333</w:t>
                  </w:r>
                </w:p>
              </w:tc>
              <w:tc>
                <w:tcPr>
                  <w:tcW w:w="1151" w:type="dxa"/>
                  <w:vAlign w:val="center"/>
                </w:tcPr>
                <w:p w14:paraId="6536DA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1597</w:t>
                  </w:r>
                </w:p>
              </w:tc>
            </w:tr>
            <w:tr w14:paraId="725B22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45AE5C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Align w:val="center"/>
                </w:tcPr>
                <w:p w14:paraId="1B1839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货车</w:t>
                  </w:r>
                </w:p>
              </w:tc>
              <w:tc>
                <w:tcPr>
                  <w:tcW w:w="1149" w:type="dxa"/>
                  <w:vAlign w:val="center"/>
                </w:tcPr>
                <w:p w14:paraId="18945B4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289</w:t>
                  </w:r>
                </w:p>
              </w:tc>
              <w:tc>
                <w:tcPr>
                  <w:tcW w:w="1149" w:type="dxa"/>
                  <w:vAlign w:val="center"/>
                </w:tcPr>
                <w:p w14:paraId="5A2BD9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498</w:t>
                  </w:r>
                </w:p>
              </w:tc>
              <w:tc>
                <w:tcPr>
                  <w:tcW w:w="1149" w:type="dxa"/>
                  <w:vAlign w:val="center"/>
                </w:tcPr>
                <w:p w14:paraId="37380F0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642</w:t>
                  </w:r>
                </w:p>
              </w:tc>
              <w:tc>
                <w:tcPr>
                  <w:tcW w:w="1149" w:type="dxa"/>
                  <w:vAlign w:val="center"/>
                </w:tcPr>
                <w:p w14:paraId="0FFE54E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970</w:t>
                  </w:r>
                </w:p>
              </w:tc>
              <w:tc>
                <w:tcPr>
                  <w:tcW w:w="1151" w:type="dxa"/>
                  <w:vAlign w:val="center"/>
                </w:tcPr>
                <w:p w14:paraId="5E482F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1170</w:t>
                  </w:r>
                </w:p>
              </w:tc>
            </w:tr>
            <w:tr w14:paraId="2CA7D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389CEF7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Align w:val="center"/>
                </w:tcPr>
                <w:p w14:paraId="5157D1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合计</w:t>
                  </w:r>
                </w:p>
              </w:tc>
              <w:tc>
                <w:tcPr>
                  <w:tcW w:w="1149" w:type="dxa"/>
                  <w:vAlign w:val="center"/>
                </w:tcPr>
                <w:p w14:paraId="2029D6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700</w:t>
                  </w:r>
                </w:p>
              </w:tc>
              <w:tc>
                <w:tcPr>
                  <w:tcW w:w="1149" w:type="dxa"/>
                  <w:vAlign w:val="center"/>
                </w:tcPr>
                <w:p w14:paraId="321182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1157</w:t>
                  </w:r>
                </w:p>
              </w:tc>
              <w:tc>
                <w:tcPr>
                  <w:tcW w:w="1149" w:type="dxa"/>
                  <w:vAlign w:val="center"/>
                </w:tcPr>
                <w:p w14:paraId="12B8EF3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1581</w:t>
                  </w:r>
                </w:p>
              </w:tc>
              <w:tc>
                <w:tcPr>
                  <w:tcW w:w="1149" w:type="dxa"/>
                  <w:vAlign w:val="center"/>
                </w:tcPr>
                <w:p w14:paraId="17265B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2303</w:t>
                  </w:r>
                </w:p>
              </w:tc>
              <w:tc>
                <w:tcPr>
                  <w:tcW w:w="1151" w:type="dxa"/>
                  <w:vAlign w:val="center"/>
                </w:tcPr>
                <w:p w14:paraId="308F99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1767</w:t>
                  </w:r>
                </w:p>
              </w:tc>
            </w:tr>
          </w:tbl>
          <w:p w14:paraId="41459BC1">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1推荐方案各特征年交通量预测结果（单位：pcu/d）</w:t>
            </w:r>
          </w:p>
          <w:tbl>
            <w:tblPr>
              <w:tblStyle w:val="24"/>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149"/>
              <w:gridCol w:w="1149"/>
              <w:gridCol w:w="1149"/>
              <w:gridCol w:w="1149"/>
              <w:gridCol w:w="1149"/>
              <w:gridCol w:w="1151"/>
            </w:tblGrid>
            <w:tr w14:paraId="30213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1149" w:type="dxa"/>
                  <w:vMerge w:val="restart"/>
                  <w:vAlign w:val="center"/>
                </w:tcPr>
                <w:p w14:paraId="466AAE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路段</w:t>
                  </w:r>
                </w:p>
              </w:tc>
              <w:tc>
                <w:tcPr>
                  <w:tcW w:w="1149" w:type="dxa"/>
                  <w:vMerge w:val="restart"/>
                  <w:vAlign w:val="center"/>
                </w:tcPr>
                <w:p w14:paraId="1A3EB7B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类型</w:t>
                  </w:r>
                </w:p>
              </w:tc>
              <w:tc>
                <w:tcPr>
                  <w:tcW w:w="1149" w:type="dxa"/>
                  <w:vMerge w:val="restart"/>
                  <w:vAlign w:val="center"/>
                </w:tcPr>
                <w:p w14:paraId="5AB2B4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2026年</w:t>
                  </w:r>
                </w:p>
              </w:tc>
              <w:tc>
                <w:tcPr>
                  <w:tcW w:w="1149" w:type="dxa"/>
                  <w:vMerge w:val="restart"/>
                  <w:vAlign w:val="center"/>
                </w:tcPr>
                <w:p w14:paraId="3AD850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2031年</w:t>
                  </w:r>
                </w:p>
              </w:tc>
              <w:tc>
                <w:tcPr>
                  <w:tcW w:w="1149" w:type="dxa"/>
                  <w:vMerge w:val="restart"/>
                  <w:vAlign w:val="center"/>
                </w:tcPr>
                <w:p w14:paraId="45DD94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2036年</w:t>
                  </w:r>
                </w:p>
              </w:tc>
              <w:tc>
                <w:tcPr>
                  <w:tcW w:w="1149" w:type="dxa"/>
                  <w:vMerge w:val="restart"/>
                  <w:vAlign w:val="center"/>
                </w:tcPr>
                <w:p w14:paraId="5F0BAA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2041年</w:t>
                  </w:r>
                </w:p>
              </w:tc>
              <w:tc>
                <w:tcPr>
                  <w:tcW w:w="1151" w:type="dxa"/>
                  <w:vMerge w:val="restart"/>
                  <w:vAlign w:val="center"/>
                </w:tcPr>
                <w:p w14:paraId="2A5D70C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4046年</w:t>
                  </w:r>
                </w:p>
              </w:tc>
            </w:tr>
            <w:tr w14:paraId="6D5D9A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1E6783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0DCD0D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442BCB0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775492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263744B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Merge w:val="continue"/>
                  <w:vAlign w:val="center"/>
                </w:tcPr>
                <w:p w14:paraId="5EB1D9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51" w:type="dxa"/>
                  <w:vMerge w:val="continue"/>
                  <w:vAlign w:val="center"/>
                </w:tcPr>
                <w:p w14:paraId="1471D6E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r>
            <w:tr w14:paraId="63626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restart"/>
                  <w:vAlign w:val="center"/>
                </w:tcPr>
                <w:p w14:paraId="5473B8B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普光杏树村农村道路（支线）</w:t>
                  </w:r>
                </w:p>
              </w:tc>
              <w:tc>
                <w:tcPr>
                  <w:tcW w:w="1149" w:type="dxa"/>
                  <w:vAlign w:val="center"/>
                </w:tcPr>
                <w:p w14:paraId="0B83E5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客车</w:t>
                  </w:r>
                </w:p>
              </w:tc>
              <w:tc>
                <w:tcPr>
                  <w:tcW w:w="1149" w:type="dxa"/>
                  <w:vAlign w:val="center"/>
                </w:tcPr>
                <w:p w14:paraId="1484581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224</w:t>
                  </w:r>
                </w:p>
              </w:tc>
              <w:tc>
                <w:tcPr>
                  <w:tcW w:w="1149" w:type="dxa"/>
                  <w:vAlign w:val="center"/>
                </w:tcPr>
                <w:p w14:paraId="44CC808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380</w:t>
                  </w:r>
                </w:p>
              </w:tc>
              <w:tc>
                <w:tcPr>
                  <w:tcW w:w="1149" w:type="dxa"/>
                  <w:vAlign w:val="center"/>
                </w:tcPr>
                <w:p w14:paraId="4E5EF4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620</w:t>
                  </w:r>
                </w:p>
              </w:tc>
              <w:tc>
                <w:tcPr>
                  <w:tcW w:w="1149" w:type="dxa"/>
                  <w:vAlign w:val="center"/>
                </w:tcPr>
                <w:p w14:paraId="3C42CB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845</w:t>
                  </w:r>
                </w:p>
              </w:tc>
              <w:tc>
                <w:tcPr>
                  <w:tcW w:w="1151" w:type="dxa"/>
                  <w:vAlign w:val="center"/>
                </w:tcPr>
                <w:p w14:paraId="0DDBA84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1158</w:t>
                  </w:r>
                </w:p>
              </w:tc>
            </w:tr>
            <w:tr w14:paraId="225B6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55156EF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Align w:val="center"/>
                </w:tcPr>
                <w:p w14:paraId="4EC5C01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货车</w:t>
                  </w:r>
                </w:p>
              </w:tc>
              <w:tc>
                <w:tcPr>
                  <w:tcW w:w="1149" w:type="dxa"/>
                  <w:vAlign w:val="center"/>
                </w:tcPr>
                <w:p w14:paraId="6B1FBB4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169</w:t>
                  </w:r>
                </w:p>
              </w:tc>
              <w:tc>
                <w:tcPr>
                  <w:tcW w:w="1149" w:type="dxa"/>
                  <w:vAlign w:val="center"/>
                </w:tcPr>
                <w:p w14:paraId="7976DA6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277</w:t>
                  </w:r>
                </w:p>
              </w:tc>
              <w:tc>
                <w:tcPr>
                  <w:tcW w:w="1149" w:type="dxa"/>
                  <w:vAlign w:val="center"/>
                </w:tcPr>
                <w:p w14:paraId="0B668D1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437</w:t>
                  </w:r>
                </w:p>
              </w:tc>
              <w:tc>
                <w:tcPr>
                  <w:tcW w:w="1149" w:type="dxa"/>
                  <w:vAlign w:val="center"/>
                </w:tcPr>
                <w:p w14:paraId="6962F9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585</w:t>
                  </w:r>
                </w:p>
              </w:tc>
              <w:tc>
                <w:tcPr>
                  <w:tcW w:w="1151" w:type="dxa"/>
                  <w:vAlign w:val="center"/>
                </w:tcPr>
                <w:p w14:paraId="3E7B93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786</w:t>
                  </w:r>
                </w:p>
              </w:tc>
            </w:tr>
            <w:tr w14:paraId="0F6AC4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49" w:type="dxa"/>
                  <w:vMerge w:val="continue"/>
                  <w:vAlign w:val="center"/>
                </w:tcPr>
                <w:p w14:paraId="028171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p>
              </w:tc>
              <w:tc>
                <w:tcPr>
                  <w:tcW w:w="1149" w:type="dxa"/>
                  <w:vAlign w:val="center"/>
                </w:tcPr>
                <w:p w14:paraId="623FE9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合计</w:t>
                  </w:r>
                </w:p>
              </w:tc>
              <w:tc>
                <w:tcPr>
                  <w:tcW w:w="1149" w:type="dxa"/>
                  <w:vAlign w:val="center"/>
                </w:tcPr>
                <w:p w14:paraId="304064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393</w:t>
                  </w:r>
                </w:p>
              </w:tc>
              <w:tc>
                <w:tcPr>
                  <w:tcW w:w="1149" w:type="dxa"/>
                  <w:vAlign w:val="center"/>
                </w:tcPr>
                <w:p w14:paraId="483E02F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657</w:t>
                  </w:r>
                </w:p>
              </w:tc>
              <w:tc>
                <w:tcPr>
                  <w:tcW w:w="1149" w:type="dxa"/>
                  <w:vAlign w:val="center"/>
                </w:tcPr>
                <w:p w14:paraId="396186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1057</w:t>
                  </w:r>
                </w:p>
              </w:tc>
              <w:tc>
                <w:tcPr>
                  <w:tcW w:w="1149" w:type="dxa"/>
                  <w:vAlign w:val="center"/>
                </w:tcPr>
                <w:p w14:paraId="7444BB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1430</w:t>
                  </w:r>
                </w:p>
              </w:tc>
              <w:tc>
                <w:tcPr>
                  <w:tcW w:w="1151" w:type="dxa"/>
                  <w:vAlign w:val="center"/>
                </w:tcPr>
                <w:p w14:paraId="33D7FD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1944</w:t>
                  </w:r>
                </w:p>
              </w:tc>
            </w:tr>
          </w:tbl>
          <w:p w14:paraId="34B4E6FE">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4 车型比例预测结果表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5"/>
              <w:gridCol w:w="1005"/>
              <w:gridCol w:w="1006"/>
              <w:gridCol w:w="1006"/>
              <w:gridCol w:w="1006"/>
              <w:gridCol w:w="1006"/>
              <w:gridCol w:w="1007"/>
              <w:gridCol w:w="1007"/>
            </w:tblGrid>
            <w:tr w14:paraId="7EF93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888" w:hRule="atLeast"/>
                <w:jc w:val="center"/>
              </w:trPr>
              <w:tc>
                <w:tcPr>
                  <w:tcW w:w="1005" w:type="dxa"/>
                  <w:vAlign w:val="center"/>
                </w:tcPr>
                <w:p w14:paraId="015289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年份</w:t>
                  </w:r>
                </w:p>
              </w:tc>
              <w:tc>
                <w:tcPr>
                  <w:tcW w:w="1005" w:type="dxa"/>
                  <w:vAlign w:val="center"/>
                </w:tcPr>
                <w:p w14:paraId="4020BB7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小货</w:t>
                  </w:r>
                </w:p>
              </w:tc>
              <w:tc>
                <w:tcPr>
                  <w:tcW w:w="1006" w:type="dxa"/>
                  <w:vAlign w:val="center"/>
                </w:tcPr>
                <w:p w14:paraId="41CBD5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中货</w:t>
                  </w:r>
                </w:p>
              </w:tc>
              <w:tc>
                <w:tcPr>
                  <w:tcW w:w="1006" w:type="dxa"/>
                  <w:vAlign w:val="center"/>
                </w:tcPr>
                <w:p w14:paraId="3A346D6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大货</w:t>
                  </w:r>
                </w:p>
              </w:tc>
              <w:tc>
                <w:tcPr>
                  <w:tcW w:w="1006" w:type="dxa"/>
                  <w:vAlign w:val="center"/>
                </w:tcPr>
                <w:p w14:paraId="0CF2FE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小客</w:t>
                  </w:r>
                </w:p>
              </w:tc>
              <w:tc>
                <w:tcPr>
                  <w:tcW w:w="1006" w:type="dxa"/>
                  <w:vAlign w:val="center"/>
                </w:tcPr>
                <w:p w14:paraId="1BF72B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大客</w:t>
                  </w:r>
                </w:p>
              </w:tc>
              <w:tc>
                <w:tcPr>
                  <w:tcW w:w="1007" w:type="dxa"/>
                  <w:vAlign w:val="center"/>
                </w:tcPr>
                <w:p w14:paraId="64F400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摩托车</w:t>
                  </w:r>
                </w:p>
              </w:tc>
              <w:tc>
                <w:tcPr>
                  <w:tcW w:w="1007" w:type="dxa"/>
                  <w:vAlign w:val="center"/>
                </w:tcPr>
                <w:p w14:paraId="673036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拖拉机</w:t>
                  </w:r>
                </w:p>
              </w:tc>
            </w:tr>
            <w:tr w14:paraId="7B7AB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5" w:type="dxa"/>
                  <w:vAlign w:val="center"/>
                </w:tcPr>
                <w:p w14:paraId="0257F00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2026年</w:t>
                  </w:r>
                </w:p>
              </w:tc>
              <w:tc>
                <w:tcPr>
                  <w:tcW w:w="1005" w:type="dxa"/>
                  <w:vAlign w:val="center"/>
                </w:tcPr>
                <w:p w14:paraId="3DB740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24.2%</w:t>
                  </w:r>
                </w:p>
              </w:tc>
              <w:tc>
                <w:tcPr>
                  <w:tcW w:w="1006" w:type="dxa"/>
                  <w:vAlign w:val="center"/>
                </w:tcPr>
                <w:p w14:paraId="25BE95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10.8%</w:t>
                  </w:r>
                </w:p>
              </w:tc>
              <w:tc>
                <w:tcPr>
                  <w:tcW w:w="1006" w:type="dxa"/>
                  <w:vAlign w:val="center"/>
                </w:tcPr>
                <w:p w14:paraId="244C0B1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2.8%</w:t>
                  </w:r>
                </w:p>
              </w:tc>
              <w:tc>
                <w:tcPr>
                  <w:tcW w:w="1006" w:type="dxa"/>
                  <w:vAlign w:val="center"/>
                </w:tcPr>
                <w:p w14:paraId="6BE505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33.6%</w:t>
                  </w:r>
                </w:p>
              </w:tc>
              <w:tc>
                <w:tcPr>
                  <w:tcW w:w="1006" w:type="dxa"/>
                  <w:vAlign w:val="center"/>
                </w:tcPr>
                <w:p w14:paraId="77354C4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4.9%</w:t>
                  </w:r>
                </w:p>
              </w:tc>
              <w:tc>
                <w:tcPr>
                  <w:tcW w:w="1007" w:type="dxa"/>
                  <w:vAlign w:val="center"/>
                </w:tcPr>
                <w:p w14:paraId="48A8B0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23.0%</w:t>
                  </w:r>
                </w:p>
              </w:tc>
              <w:tc>
                <w:tcPr>
                  <w:tcW w:w="1007" w:type="dxa"/>
                  <w:vAlign w:val="center"/>
                </w:tcPr>
                <w:p w14:paraId="55E2106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0.7%</w:t>
                  </w:r>
                </w:p>
              </w:tc>
            </w:tr>
            <w:tr w14:paraId="6DADD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40834E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2031年</w:t>
                  </w:r>
                </w:p>
              </w:tc>
              <w:tc>
                <w:tcPr>
                  <w:tcW w:w="1005" w:type="dxa"/>
                  <w:vAlign w:val="center"/>
                </w:tcPr>
                <w:p w14:paraId="4E71C3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24.0%</w:t>
                  </w:r>
                </w:p>
              </w:tc>
              <w:tc>
                <w:tcPr>
                  <w:tcW w:w="1006" w:type="dxa"/>
                  <w:vAlign w:val="center"/>
                </w:tcPr>
                <w:p w14:paraId="20FF9E6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10.6%</w:t>
                  </w:r>
                </w:p>
              </w:tc>
              <w:tc>
                <w:tcPr>
                  <w:tcW w:w="1006" w:type="dxa"/>
                  <w:vAlign w:val="center"/>
                </w:tcPr>
                <w:p w14:paraId="586FC57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3.3%</w:t>
                  </w:r>
                </w:p>
              </w:tc>
              <w:tc>
                <w:tcPr>
                  <w:tcW w:w="1006" w:type="dxa"/>
                  <w:vAlign w:val="center"/>
                </w:tcPr>
                <w:p w14:paraId="2F0707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35.0%</w:t>
                  </w:r>
                </w:p>
              </w:tc>
              <w:tc>
                <w:tcPr>
                  <w:tcW w:w="1006" w:type="dxa"/>
                  <w:vAlign w:val="center"/>
                </w:tcPr>
                <w:p w14:paraId="6726C6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5.1%</w:t>
                  </w:r>
                </w:p>
              </w:tc>
              <w:tc>
                <w:tcPr>
                  <w:tcW w:w="1007" w:type="dxa"/>
                  <w:vAlign w:val="center"/>
                </w:tcPr>
                <w:p w14:paraId="57AFB3B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21.5%</w:t>
                  </w:r>
                </w:p>
              </w:tc>
              <w:tc>
                <w:tcPr>
                  <w:tcW w:w="1007" w:type="dxa"/>
                  <w:vAlign w:val="center"/>
                </w:tcPr>
                <w:p w14:paraId="123D19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0.5%</w:t>
                  </w:r>
                </w:p>
              </w:tc>
            </w:tr>
            <w:tr w14:paraId="5DA464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36BDA2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2036年</w:t>
                  </w:r>
                </w:p>
              </w:tc>
              <w:tc>
                <w:tcPr>
                  <w:tcW w:w="1005" w:type="dxa"/>
                  <w:vAlign w:val="center"/>
                </w:tcPr>
                <w:p w14:paraId="18EB8B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23.7%</w:t>
                  </w:r>
                </w:p>
              </w:tc>
              <w:tc>
                <w:tcPr>
                  <w:tcW w:w="1006" w:type="dxa"/>
                  <w:vAlign w:val="center"/>
                </w:tcPr>
                <w:p w14:paraId="7E48A59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10.1%</w:t>
                  </w:r>
                </w:p>
              </w:tc>
              <w:tc>
                <w:tcPr>
                  <w:tcW w:w="1006" w:type="dxa"/>
                  <w:vAlign w:val="center"/>
                </w:tcPr>
                <w:p w14:paraId="2EB0EC2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4.2%</w:t>
                  </w:r>
                </w:p>
              </w:tc>
              <w:tc>
                <w:tcPr>
                  <w:tcW w:w="1006" w:type="dxa"/>
                  <w:vAlign w:val="center"/>
                </w:tcPr>
                <w:p w14:paraId="7B9658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39.4%</w:t>
                  </w:r>
                </w:p>
              </w:tc>
              <w:tc>
                <w:tcPr>
                  <w:tcW w:w="1006" w:type="dxa"/>
                  <w:vAlign w:val="center"/>
                </w:tcPr>
                <w:p w14:paraId="4012C8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6.4%</w:t>
                  </w:r>
                </w:p>
              </w:tc>
              <w:tc>
                <w:tcPr>
                  <w:tcW w:w="1007" w:type="dxa"/>
                  <w:vAlign w:val="center"/>
                </w:tcPr>
                <w:p w14:paraId="7DD62C3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15.8%</w:t>
                  </w:r>
                </w:p>
              </w:tc>
              <w:tc>
                <w:tcPr>
                  <w:tcW w:w="1007" w:type="dxa"/>
                  <w:vAlign w:val="center"/>
                </w:tcPr>
                <w:p w14:paraId="79AE6F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0.3%</w:t>
                  </w:r>
                </w:p>
              </w:tc>
            </w:tr>
            <w:tr w14:paraId="421C7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0DD7379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2041年</w:t>
                  </w:r>
                </w:p>
              </w:tc>
              <w:tc>
                <w:tcPr>
                  <w:tcW w:w="1005" w:type="dxa"/>
                  <w:vAlign w:val="center"/>
                </w:tcPr>
                <w:p w14:paraId="56471C9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23.4%</w:t>
                  </w:r>
                </w:p>
              </w:tc>
              <w:tc>
                <w:tcPr>
                  <w:tcW w:w="1006" w:type="dxa"/>
                  <w:vAlign w:val="center"/>
                </w:tcPr>
                <w:p w14:paraId="0A31F61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9.5%</w:t>
                  </w:r>
                </w:p>
              </w:tc>
              <w:tc>
                <w:tcPr>
                  <w:tcW w:w="1006" w:type="dxa"/>
                  <w:vAlign w:val="center"/>
                </w:tcPr>
                <w:p w14:paraId="6BC4D1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4.4%</w:t>
                  </w:r>
                </w:p>
              </w:tc>
              <w:tc>
                <w:tcPr>
                  <w:tcW w:w="1006" w:type="dxa"/>
                  <w:vAlign w:val="center"/>
                </w:tcPr>
                <w:p w14:paraId="2AF78C9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40.8%</w:t>
                  </w:r>
                </w:p>
              </w:tc>
              <w:tc>
                <w:tcPr>
                  <w:tcW w:w="1006" w:type="dxa"/>
                  <w:vAlign w:val="center"/>
                </w:tcPr>
                <w:p w14:paraId="3B72B81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7.0%</w:t>
                  </w:r>
                </w:p>
              </w:tc>
              <w:tc>
                <w:tcPr>
                  <w:tcW w:w="1007" w:type="dxa"/>
                  <w:vAlign w:val="center"/>
                </w:tcPr>
                <w:p w14:paraId="151745E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14.6%</w:t>
                  </w:r>
                </w:p>
              </w:tc>
              <w:tc>
                <w:tcPr>
                  <w:tcW w:w="1007" w:type="dxa"/>
                  <w:vAlign w:val="center"/>
                </w:tcPr>
                <w:p w14:paraId="341BA2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eastAsia="宋体" w:cs="Times New Roman"/>
                      <w:color w:val="auto"/>
                      <w:sz w:val="21"/>
                      <w:szCs w:val="24"/>
                      <w:vertAlign w:val="baseline"/>
                      <w:lang w:val="en-US" w:eastAsia="zh-CN"/>
                    </w:rPr>
                    <w:t>0.2%</w:t>
                  </w:r>
                </w:p>
              </w:tc>
            </w:tr>
          </w:tbl>
          <w:p w14:paraId="1ED8F24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3、项目组成</w:t>
            </w:r>
          </w:p>
          <w:p w14:paraId="3BE0133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本项目组成及主要环境问题见表2-</w:t>
            </w:r>
            <w:r>
              <w:rPr>
                <w:rFonts w:hint="default" w:ascii="Times New Roman" w:hAnsi="Times New Roman" w:cs="Times New Roman"/>
                <w:color w:val="auto"/>
                <w:sz w:val="24"/>
                <w:szCs w:val="32"/>
                <w:lang w:val="en-US" w:eastAsia="zh-CN"/>
              </w:rPr>
              <w:t>5</w:t>
            </w:r>
            <w:r>
              <w:rPr>
                <w:rFonts w:hint="default" w:ascii="Times New Roman" w:hAnsi="Times New Roman" w:cs="Times New Roman"/>
                <w:color w:val="auto"/>
                <w:sz w:val="24"/>
                <w:szCs w:val="32"/>
              </w:rPr>
              <w:t>。</w:t>
            </w:r>
          </w:p>
          <w:p w14:paraId="06DAB050">
            <w:pPr>
              <w:spacing w:line="460" w:lineRule="exact"/>
              <w:jc w:val="center"/>
              <w:rPr>
                <w:rFonts w:hint="default" w:ascii="Times New Roman" w:hAnsi="Times New Roman" w:cs="Times New Roman"/>
                <w:b/>
                <w:bCs/>
                <w:color w:val="auto"/>
              </w:rPr>
            </w:pPr>
            <w:bookmarkStart w:id="9" w:name="_Hlk133412842"/>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 xml:space="preserve">5 </w:t>
            </w:r>
            <w:r>
              <w:rPr>
                <w:rFonts w:hint="default" w:ascii="Times New Roman" w:hAnsi="Times New Roman" w:cs="Times New Roman"/>
                <w:b/>
                <w:bCs/>
                <w:color w:val="auto"/>
              </w:rPr>
              <w:t>项目组成及主要环境问题一览表</w:t>
            </w:r>
          </w:p>
          <w:tbl>
            <w:tblPr>
              <w:tblStyle w:val="23"/>
              <w:tblW w:w="80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1"/>
              <w:gridCol w:w="717"/>
              <w:gridCol w:w="5205"/>
              <w:gridCol w:w="840"/>
              <w:gridCol w:w="756"/>
            </w:tblGrid>
            <w:tr w14:paraId="18D24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75" w:hRule="atLeast"/>
                <w:jc w:val="center"/>
              </w:trPr>
              <w:tc>
                <w:tcPr>
                  <w:tcW w:w="1238" w:type="dxa"/>
                  <w:gridSpan w:val="2"/>
                  <w:vMerge w:val="restart"/>
                  <w:vAlign w:val="center"/>
                </w:tcPr>
                <w:p w14:paraId="13E35695">
                  <w:pPr>
                    <w:pStyle w:val="18"/>
                    <w:keepNext w:val="0"/>
                    <w:keepLines w:val="0"/>
                    <w:pageBreakBefore w:val="0"/>
                    <w:widowControl w:val="0"/>
                    <w:tabs>
                      <w:tab w:val="right" w:leader="dot" w:pos="9231"/>
                    </w:tabs>
                    <w:kinsoku/>
                    <w:wordWrap/>
                    <w:overflowPunct/>
                    <w:topLinePunct w:val="0"/>
                    <w:autoSpaceDE/>
                    <w:autoSpaceDN/>
                    <w:bidi w:val="0"/>
                    <w:adjustRightInd/>
                    <w:snapToGrid/>
                    <w:ind w:left="0" w:firstLine="0" w:firstLineChars="0"/>
                    <w:jc w:val="center"/>
                    <w:textAlignment w:val="auto"/>
                    <w:rPr>
                      <w:rFonts w:hint="default" w:ascii="Times New Roman" w:hAnsi="Times New Roman" w:cs="Times New Roman"/>
                      <w:b/>
                      <w:bCs/>
                      <w:color w:val="auto"/>
                    </w:rPr>
                  </w:pPr>
                  <w:bookmarkStart w:id="10" w:name="_Hlk133412785"/>
                  <w:r>
                    <w:rPr>
                      <w:rFonts w:hint="default" w:ascii="Times New Roman" w:hAnsi="Times New Roman" w:cs="Times New Roman"/>
                      <w:b/>
                      <w:bCs/>
                      <w:color w:val="auto"/>
                    </w:rPr>
                    <w:t>项目组成</w:t>
                  </w:r>
                </w:p>
              </w:tc>
              <w:tc>
                <w:tcPr>
                  <w:tcW w:w="5205" w:type="dxa"/>
                  <w:vMerge w:val="restart"/>
                  <w:vAlign w:val="center"/>
                </w:tcPr>
                <w:p w14:paraId="1B73F1B8">
                  <w:pPr>
                    <w:pStyle w:val="18"/>
                    <w:keepNext w:val="0"/>
                    <w:keepLines w:val="0"/>
                    <w:pageBreakBefore w:val="0"/>
                    <w:widowControl w:val="0"/>
                    <w:tabs>
                      <w:tab w:val="right" w:leader="dot" w:pos="9231"/>
                    </w:tabs>
                    <w:kinsoku/>
                    <w:wordWrap/>
                    <w:overflowPunct/>
                    <w:topLinePunct w:val="0"/>
                    <w:autoSpaceDE/>
                    <w:autoSpaceDN/>
                    <w:bidi w:val="0"/>
                    <w:adjustRightInd/>
                    <w:snapToGrid/>
                    <w:ind w:left="0" w:firstLine="0" w:firstLineChars="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建设内容及规模</w:t>
                  </w:r>
                </w:p>
              </w:tc>
              <w:tc>
                <w:tcPr>
                  <w:tcW w:w="1596" w:type="dxa"/>
                  <w:gridSpan w:val="2"/>
                  <w:vAlign w:val="center"/>
                </w:tcPr>
                <w:p w14:paraId="77C10C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主要环境问题</w:t>
                  </w:r>
                </w:p>
              </w:tc>
            </w:tr>
            <w:tr w14:paraId="00A71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27" w:hRule="atLeast"/>
                <w:jc w:val="center"/>
              </w:trPr>
              <w:tc>
                <w:tcPr>
                  <w:tcW w:w="1238" w:type="dxa"/>
                  <w:gridSpan w:val="2"/>
                  <w:vMerge w:val="continue"/>
                  <w:shd w:val="clear" w:color="auto" w:fill="D7D7D7"/>
                  <w:vAlign w:val="center"/>
                </w:tcPr>
                <w:p w14:paraId="4C5718E1">
                  <w:pPr>
                    <w:pStyle w:val="18"/>
                    <w:keepNext w:val="0"/>
                    <w:keepLines w:val="0"/>
                    <w:pageBreakBefore w:val="0"/>
                    <w:widowControl w:val="0"/>
                    <w:tabs>
                      <w:tab w:val="right" w:leader="dot" w:pos="9231"/>
                    </w:tabs>
                    <w:kinsoku/>
                    <w:wordWrap/>
                    <w:overflowPunct/>
                    <w:topLinePunct w:val="0"/>
                    <w:autoSpaceDE/>
                    <w:autoSpaceDN/>
                    <w:bidi w:val="0"/>
                    <w:adjustRightInd/>
                    <w:snapToGrid/>
                    <w:ind w:left="0" w:firstLine="0" w:firstLineChars="0"/>
                    <w:jc w:val="center"/>
                    <w:textAlignment w:val="auto"/>
                    <w:rPr>
                      <w:rFonts w:hint="default" w:ascii="Times New Roman" w:hAnsi="Times New Roman" w:cs="Times New Roman"/>
                      <w:b/>
                      <w:bCs/>
                      <w:color w:val="auto"/>
                    </w:rPr>
                  </w:pPr>
                </w:p>
              </w:tc>
              <w:tc>
                <w:tcPr>
                  <w:tcW w:w="5205" w:type="dxa"/>
                  <w:vMerge w:val="continue"/>
                  <w:shd w:val="clear" w:color="auto" w:fill="D7D7D7"/>
                  <w:vAlign w:val="center"/>
                </w:tcPr>
                <w:p w14:paraId="464EEB1E">
                  <w:pPr>
                    <w:pStyle w:val="18"/>
                    <w:keepNext w:val="0"/>
                    <w:keepLines w:val="0"/>
                    <w:pageBreakBefore w:val="0"/>
                    <w:widowControl w:val="0"/>
                    <w:tabs>
                      <w:tab w:val="right" w:leader="dot" w:pos="9231"/>
                    </w:tabs>
                    <w:kinsoku/>
                    <w:wordWrap/>
                    <w:overflowPunct/>
                    <w:topLinePunct w:val="0"/>
                    <w:autoSpaceDE/>
                    <w:autoSpaceDN/>
                    <w:bidi w:val="0"/>
                    <w:adjustRightInd/>
                    <w:snapToGrid/>
                    <w:ind w:left="0" w:firstLine="0" w:firstLineChars="0"/>
                    <w:jc w:val="center"/>
                    <w:textAlignment w:val="auto"/>
                    <w:rPr>
                      <w:rFonts w:hint="default" w:ascii="Times New Roman" w:hAnsi="Times New Roman" w:cs="Times New Roman"/>
                      <w:b/>
                      <w:bCs/>
                      <w:color w:val="auto"/>
                    </w:rPr>
                  </w:pPr>
                </w:p>
              </w:tc>
              <w:tc>
                <w:tcPr>
                  <w:tcW w:w="840" w:type="dxa"/>
                  <w:vAlign w:val="center"/>
                </w:tcPr>
                <w:p w14:paraId="5E8D1B0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施工期</w:t>
                  </w:r>
                </w:p>
              </w:tc>
              <w:tc>
                <w:tcPr>
                  <w:tcW w:w="756" w:type="dxa"/>
                  <w:vAlign w:val="center"/>
                </w:tcPr>
                <w:p w14:paraId="38707AB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运营期</w:t>
                  </w:r>
                </w:p>
              </w:tc>
            </w:tr>
            <w:tr w14:paraId="3B688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75F268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主体工程</w:t>
                  </w:r>
                </w:p>
              </w:tc>
              <w:tc>
                <w:tcPr>
                  <w:tcW w:w="717" w:type="dxa"/>
                  <w:vAlign w:val="center"/>
                </w:tcPr>
                <w:p w14:paraId="7EF03C1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道路工程</w:t>
                  </w:r>
                </w:p>
              </w:tc>
              <w:tc>
                <w:tcPr>
                  <w:tcW w:w="5205" w:type="dxa"/>
                  <w:vAlign w:val="center"/>
                </w:tcPr>
                <w:p w14:paraId="374E77E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新建农村道路，按三级公路标准设计。主线长2792.590m，支线长170m，道路全长2962.590m。其中非涉铁段设计范围为：K0+000～K2+300，长2300m。涉铁段设计范围为：主线K2+300～K2+792.590、支线ZK0+000～ZK0+170，合计长662.59m。道路总长2962.59m。</w:t>
                  </w:r>
                </w:p>
                <w:p w14:paraId="41B7FB1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主线道路：</w:t>
                  </w:r>
                  <w:r>
                    <w:rPr>
                      <w:rFonts w:hint="default" w:ascii="Times New Roman" w:hAnsi="Times New Roman" w:cs="Times New Roman"/>
                      <w:color w:val="auto"/>
                      <w:lang w:val="en-US" w:eastAsia="zh-CN"/>
                    </w:rPr>
                    <w:t>道路路面宽度6.5m，路基标准路幅宽度7.5m，设计速度30km/h，双向单车道，车道宽度3.25m，为沥青混凝土路面，道路长度2792m。</w:t>
                  </w:r>
                </w:p>
                <w:p w14:paraId="2A0BBDF4">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支线道路：</w:t>
                  </w:r>
                  <w:r>
                    <w:rPr>
                      <w:rFonts w:hint="default" w:ascii="Times New Roman" w:hAnsi="Times New Roman" w:cs="Times New Roman"/>
                      <w:color w:val="auto"/>
                      <w:lang w:val="en-US" w:eastAsia="zh-CN"/>
                    </w:rPr>
                    <w:t>道路路面宽度6.5m，路基标准路幅宽度7.5m，设计速度20km/h，双向单车道，车道宽度3.25m，为沥青混凝土路面，道路长度170m。</w:t>
                  </w:r>
                </w:p>
                <w:p w14:paraId="4069735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路基构成：</w:t>
                  </w:r>
                  <w:r>
                    <w:rPr>
                      <w:rFonts w:hint="default" w:ascii="Times New Roman" w:hAnsi="Times New Roman" w:cs="Times New Roman"/>
                      <w:color w:val="auto"/>
                      <w:lang w:val="en-US" w:eastAsia="zh-CN"/>
                    </w:rPr>
                    <w:t>0.5m土路肩+3.25m车行道+3.25m车行道+0.5m土路肩。路面横坡2％。路基防护采用挡土墙、填方路堤、挖方路堑、喷播植草、挂铁丝网喷有机基材植草等方式。</w:t>
                  </w:r>
                </w:p>
                <w:p w14:paraId="6DF7C0EC">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排水系统构成：</w:t>
                  </w:r>
                  <w:r>
                    <w:rPr>
                      <w:rFonts w:hint="default" w:ascii="Times New Roman" w:hAnsi="Times New Roman" w:cs="Times New Roman"/>
                      <w:b w:val="0"/>
                      <w:bCs w:val="0"/>
                      <w:color w:val="auto"/>
                      <w:lang w:val="en-US" w:eastAsia="zh-CN"/>
                    </w:rPr>
                    <w:t>路堤侧设置混凝土排水沟，排水沟采用底宽0.4m×沟深0.4m，壁厚为0.2m梯形沟，混凝土浇筑；侧沟采用底宽0.3m×沟深0.6m矩形盖板沟，壁厚为0.2m的钢筋混凝土浇筑。路面采用分散排水。</w:t>
                  </w:r>
                </w:p>
              </w:tc>
              <w:tc>
                <w:tcPr>
                  <w:tcW w:w="840" w:type="dxa"/>
                  <w:vMerge w:val="restart"/>
                  <w:vAlign w:val="center"/>
                </w:tcPr>
                <w:p w14:paraId="6708E42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施工扬尘、施工废水、生活污水、噪声、固废、生活垃圾</w:t>
                  </w:r>
                </w:p>
              </w:tc>
              <w:tc>
                <w:tcPr>
                  <w:tcW w:w="756" w:type="dxa"/>
                  <w:vMerge w:val="restart"/>
                  <w:vAlign w:val="center"/>
                </w:tcPr>
                <w:p w14:paraId="112E131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汽车尾气、道路烟尘、交通噪声、路面径流、路面垃圾</w:t>
                  </w:r>
                </w:p>
              </w:tc>
            </w:tr>
            <w:tr w14:paraId="2AFDCA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10FFC0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5A8B709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桥梁工程</w:t>
                  </w:r>
                </w:p>
              </w:tc>
              <w:tc>
                <w:tcPr>
                  <w:tcW w:w="5205" w:type="dxa"/>
                  <w:vAlign w:val="center"/>
                </w:tcPr>
                <w:p w14:paraId="6E757C77">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全线新建桥梁1座，位于非涉铁段，框架桥1座，位于涉铁段。</w:t>
                  </w:r>
                </w:p>
                <w:p w14:paraId="22B6CDE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eastAsia="zh-CN"/>
                    </w:rPr>
                  </w:pPr>
                  <w:r>
                    <w:rPr>
                      <w:rFonts w:hint="default" w:ascii="Times New Roman" w:hAnsi="Times New Roman" w:cs="Times New Roman"/>
                      <w:b/>
                      <w:bCs/>
                      <w:color w:val="auto"/>
                    </w:rPr>
                    <w:t>文家湾跨燃气管线大桥</w:t>
                  </w:r>
                  <w:r>
                    <w:rPr>
                      <w:rFonts w:hint="default" w:ascii="Times New Roman" w:hAnsi="Times New Roman" w:cs="Times New Roman"/>
                      <w:b/>
                      <w:bCs/>
                      <w:color w:val="auto"/>
                      <w:lang w:eastAsia="zh-CN"/>
                    </w:rPr>
                    <w:t>：</w:t>
                  </w:r>
                  <w:r>
                    <w:rPr>
                      <w:rFonts w:hint="default" w:ascii="Times New Roman" w:hAnsi="Times New Roman" w:cs="Times New Roman"/>
                      <w:color w:val="auto"/>
                      <w:lang w:eastAsia="zh-CN"/>
                    </w:rPr>
                    <w:t>横跨丘间沟槽及地下管线，起止桩号K0+11.07~K0+118.13，桥梁中心里程K0+064.6，桥长107.06m，孔跨结构为20+2×30+20。上部结构采用预应力砼简支小箱梁，梁部现浇施工，桥面连续；下部结构采用双柱</w:t>
                  </w:r>
                  <w:r>
                    <w:rPr>
                      <w:rFonts w:hint="eastAsia" w:cs="Times New Roman"/>
                      <w:color w:val="auto"/>
                      <w:lang w:eastAsia="zh-CN"/>
                    </w:rPr>
                    <w:t>圆形</w:t>
                  </w:r>
                  <w:r>
                    <w:rPr>
                      <w:rFonts w:hint="default" w:ascii="Times New Roman" w:hAnsi="Times New Roman" w:cs="Times New Roman"/>
                      <w:color w:val="auto"/>
                      <w:lang w:eastAsia="zh-CN"/>
                    </w:rPr>
                    <w:t>墩，基础采用钻孔灌注桩。采用端承桩设计。</w:t>
                  </w:r>
                </w:p>
                <w:p w14:paraId="104098AA">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框架桥：</w:t>
                  </w:r>
                  <w:r>
                    <w:rPr>
                      <w:rFonts w:hint="default" w:ascii="Times New Roman" w:hAnsi="Times New Roman" w:cs="Times New Roman"/>
                      <w:color w:val="auto"/>
                      <w:lang w:val="en-US" w:eastAsia="zh-CN"/>
                    </w:rPr>
                    <w:t>本项目下穿普光物流园铁路专用线牵出线及预留线，长度60.17米。公铁交叉里程K2+595.368，公路与铁路交角约58°，按斜交45°斜交斜做设计，以1-10m钢筋混凝土框架结构下穿铁路。框架顶板厚90cm，底板100厚cm，边墙厚90cm。</w:t>
                  </w:r>
                </w:p>
              </w:tc>
              <w:tc>
                <w:tcPr>
                  <w:tcW w:w="840" w:type="dxa"/>
                  <w:vMerge w:val="continue"/>
                  <w:vAlign w:val="center"/>
                </w:tcPr>
                <w:p w14:paraId="6E81ADE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Merge w:val="continue"/>
                  <w:vAlign w:val="center"/>
                </w:tcPr>
                <w:p w14:paraId="3DED65C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r>
            <w:tr w14:paraId="6B98C5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0D958BF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3FCB8B6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涵洞工程</w:t>
                  </w:r>
                </w:p>
              </w:tc>
              <w:tc>
                <w:tcPr>
                  <w:tcW w:w="5205" w:type="dxa"/>
                  <w:vAlign w:val="center"/>
                </w:tcPr>
                <w:p w14:paraId="5F1FBA76">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rPr>
                    <w:t>新建涵洞共8座</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其中非涉铁段涵洞共5座，涉铁段涵洞共3座。</w:t>
                  </w:r>
                </w:p>
                <w:p w14:paraId="1A7C310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非涉铁段：</w:t>
                  </w:r>
                  <w:r>
                    <w:rPr>
                      <w:rFonts w:hint="default" w:ascii="Times New Roman" w:hAnsi="Times New Roman" w:cs="Times New Roman"/>
                      <w:color w:val="auto"/>
                      <w:lang w:val="en-US" w:eastAsia="zh-CN"/>
                    </w:rPr>
                    <w:t>涵洞采用钢筋混凝土框架箱型结构，其中1座为过燃气管线而设，其余均为为排洪而设。</w:t>
                  </w:r>
                </w:p>
                <w:p w14:paraId="3479C112">
                  <w:pPr>
                    <w:keepNext w:val="0"/>
                    <w:keepLines w:val="0"/>
                    <w:pageBreakBefore w:val="0"/>
                    <w:widowControl w:val="0"/>
                    <w:numPr>
                      <w:ilvl w:val="0"/>
                      <w:numId w:val="0"/>
                    </w:numPr>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1"/>
                      <w:szCs w:val="24"/>
                      <w:lang w:val="en-US" w:eastAsia="zh-CN" w:bidi="ar-SA"/>
                    </w:rPr>
                    <w:t>（1）</w:t>
                  </w:r>
                  <w:r>
                    <w:rPr>
                      <w:rFonts w:hint="default" w:ascii="Times New Roman" w:hAnsi="Times New Roman" w:cs="Times New Roman"/>
                      <w:color w:val="auto"/>
                      <w:lang w:val="en-US" w:eastAsia="zh-CN"/>
                    </w:rPr>
                    <w:t>K0+232 1-5.0m钢筋混凝土框架涵，涵长11.84m。涵洞为保护道路下燃气管线而设。</w:t>
                  </w:r>
                  <w:r>
                    <w:rPr>
                      <w:rFonts w:hint="default" w:ascii="Times New Roman" w:hAnsi="Times New Roman" w:eastAsia="宋体" w:cs="Times New Roman"/>
                      <w:color w:val="auto"/>
                      <w:kern w:val="2"/>
                      <w:sz w:val="21"/>
                      <w:szCs w:val="24"/>
                      <w:lang w:val="en-US" w:eastAsia="zh-CN" w:bidi="ar-SA"/>
                    </w:rPr>
                    <w:t>（2）</w:t>
                  </w:r>
                  <w:r>
                    <w:rPr>
                      <w:rFonts w:hint="default" w:ascii="Times New Roman" w:hAnsi="Times New Roman" w:cs="Times New Roman"/>
                      <w:color w:val="auto"/>
                      <w:lang w:val="en-US" w:eastAsia="zh-CN"/>
                    </w:rPr>
                    <w:t>K0+260 1-1.5m钢筋混凝土框架涵，涵长48.46m。</w:t>
                  </w:r>
                  <w:r>
                    <w:rPr>
                      <w:rFonts w:hint="default" w:ascii="Times New Roman" w:hAnsi="Times New Roman" w:eastAsia="宋体" w:cs="Times New Roman"/>
                      <w:color w:val="auto"/>
                      <w:kern w:val="2"/>
                      <w:sz w:val="21"/>
                      <w:szCs w:val="24"/>
                      <w:lang w:val="en-US" w:eastAsia="zh-CN" w:bidi="ar-SA"/>
                    </w:rPr>
                    <w:t>（3）</w:t>
                  </w:r>
                  <w:r>
                    <w:rPr>
                      <w:rFonts w:hint="default" w:ascii="Times New Roman" w:hAnsi="Times New Roman" w:cs="Times New Roman"/>
                      <w:color w:val="auto"/>
                      <w:lang w:val="en-US" w:eastAsia="zh-CN"/>
                    </w:rPr>
                    <w:t>K0+509 1-1.5m钢筋混凝土框架涵，涵长12.33m。（4）K0+767 1-2.5m钢筋混凝土框架涵，涵长16.01m。（5）K1+959.668 1-2.5m钢筋混凝土框架涵，涵长10.06m。</w:t>
                  </w:r>
                </w:p>
                <w:p w14:paraId="7E29BE74">
                  <w:pPr>
                    <w:keepNext w:val="0"/>
                    <w:keepLines w:val="0"/>
                    <w:pageBreakBefore w:val="0"/>
                    <w:widowControl w:val="0"/>
                    <w:numPr>
                      <w:ilvl w:val="0"/>
                      <w:numId w:val="0"/>
                    </w:numPr>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涉铁段：</w:t>
                  </w:r>
                  <w:r>
                    <w:rPr>
                      <w:rFonts w:hint="default" w:ascii="Times New Roman" w:hAnsi="Times New Roman" w:cs="Times New Roman"/>
                      <w:color w:val="auto"/>
                      <w:lang w:val="en-US" w:eastAsia="zh-CN"/>
                    </w:rPr>
                    <w:t>涵洞采用钢筋混凝土框架箱型结构，均为为排洪而设。（1）K2+304.668 1-2.5m钢筋混凝土框架涵，涵长17.58m。（2）K2+522.668 2-3.0m钢筋混凝土框架涵，涵长21.12m。（3）ZK0+020 1-1.5m钢筋混凝土框架涵，涵长10.06m。</w:t>
                  </w:r>
                </w:p>
              </w:tc>
              <w:tc>
                <w:tcPr>
                  <w:tcW w:w="840" w:type="dxa"/>
                  <w:vMerge w:val="continue"/>
                  <w:vAlign w:val="center"/>
                </w:tcPr>
                <w:p w14:paraId="580FD3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Merge w:val="continue"/>
                  <w:vAlign w:val="center"/>
                </w:tcPr>
                <w:p w14:paraId="2C4BA1C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r>
            <w:tr w14:paraId="69B63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761E7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6AA801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隧道工程</w:t>
                  </w:r>
                </w:p>
              </w:tc>
              <w:tc>
                <w:tcPr>
                  <w:tcW w:w="5205" w:type="dxa"/>
                  <w:vAlign w:val="center"/>
                </w:tcPr>
                <w:p w14:paraId="3C700B9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b/>
                      <w:bCs/>
                      <w:color w:val="auto"/>
                      <w:lang w:val="en-US" w:eastAsia="zh-CN"/>
                    </w:rPr>
                    <w:t>韩家岩隧道：</w:t>
                  </w:r>
                  <w:r>
                    <w:rPr>
                      <w:rFonts w:hint="default" w:ascii="Times New Roman" w:hAnsi="Times New Roman" w:cs="Times New Roman"/>
                      <w:color w:val="auto"/>
                      <w:lang w:val="en-US" w:eastAsia="zh-CN"/>
                    </w:rPr>
                    <w:t>新建1座单洞双车道公路隧道，起止里程为</w:t>
                  </w:r>
                </w:p>
                <w:p w14:paraId="6CFF8A7A">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K0+810～K1+793，长983m，最大埋深约172m，位于非涉铁路段。隧道设计速度：30km/h，车道宽度325cm。全隧遵循新奥法原理采用复合式衬砌结构；全隧采用曲墙带仰拱结构；洞口、浅埋段、偏压段及地下水发育地段采用加强复合式衬砌。隧道排水系统分洞内地下水排水系统、洞内清洗排水系统和洞外截排水系统，洞内外各自互相独立，分别排放。</w:t>
                  </w:r>
                </w:p>
              </w:tc>
              <w:tc>
                <w:tcPr>
                  <w:tcW w:w="840" w:type="dxa"/>
                  <w:vMerge w:val="continue"/>
                  <w:vAlign w:val="center"/>
                </w:tcPr>
                <w:p w14:paraId="166D4B2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Align w:val="center"/>
                </w:tcPr>
                <w:p w14:paraId="6BEEB13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4B6AF8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39C6C2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辅助</w:t>
                  </w:r>
                </w:p>
                <w:p w14:paraId="00016D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tc>
              <w:tc>
                <w:tcPr>
                  <w:tcW w:w="717" w:type="dxa"/>
                  <w:vAlign w:val="center"/>
                </w:tcPr>
                <w:p w14:paraId="6AE83D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交叉</w:t>
                  </w:r>
                </w:p>
                <w:p w14:paraId="29F458E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tc>
              <w:tc>
                <w:tcPr>
                  <w:tcW w:w="5205" w:type="dxa"/>
                  <w:vAlign w:val="center"/>
                </w:tcPr>
                <w:p w14:paraId="482EE9A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t>本项目共设平面交叉6处，其中K0+045处道路与本项目立体交叉，下穿本项目文家湾跨燃气管线中桥。K1+845、K1+893、K2+035、K2+350道路合并改移至K1+931处，与本项目成十字型交叉，改移后路面宽4.5m。被交道路按照原有等级采用相应的设计技术标准，平交采用加铺转角的方式进行设计。</w:t>
                  </w:r>
                </w:p>
              </w:tc>
              <w:tc>
                <w:tcPr>
                  <w:tcW w:w="840" w:type="dxa"/>
                  <w:vMerge w:val="continue"/>
                  <w:vAlign w:val="center"/>
                </w:tcPr>
                <w:p w14:paraId="713131E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Align w:val="center"/>
                </w:tcPr>
                <w:p w14:paraId="494E48B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319FAC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A06AD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01B82E6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交通</w:t>
                  </w:r>
                </w:p>
                <w:p w14:paraId="219B1B2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tc>
              <w:tc>
                <w:tcPr>
                  <w:tcW w:w="5205" w:type="dxa"/>
                  <w:vAlign w:val="center"/>
                </w:tcPr>
                <w:p w14:paraId="2288A1F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lang w:val="en-US" w:eastAsia="zh-CN"/>
                    </w:rPr>
                    <w:t>道路交通标志、道路交通标线、路侧护栏、视线诱导设施（轮廓标）、公路界碑，道口标柱，突起路标等。</w:t>
                  </w:r>
                </w:p>
              </w:tc>
              <w:tc>
                <w:tcPr>
                  <w:tcW w:w="840" w:type="dxa"/>
                  <w:vMerge w:val="continue"/>
                  <w:vAlign w:val="center"/>
                </w:tcPr>
                <w:p w14:paraId="7A0C533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Align w:val="center"/>
                </w:tcPr>
                <w:p w14:paraId="59F772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1121F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260BDE0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6C7A7E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电力工程</w:t>
                  </w:r>
                </w:p>
              </w:tc>
              <w:tc>
                <w:tcPr>
                  <w:tcW w:w="5205" w:type="dxa"/>
                  <w:vAlign w:val="center"/>
                </w:tcPr>
                <w:p w14:paraId="6FBC9AF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在公路隧道出口K1+810附近设置10/0.4kV箱式变电站1座（2×400kVA），用于农村道路项目内各种负荷供电，10/0.4kV箱式变电站2路10kV电源自附近地方10kV电源接取。</w:t>
                  </w:r>
                </w:p>
              </w:tc>
              <w:tc>
                <w:tcPr>
                  <w:tcW w:w="840" w:type="dxa"/>
                  <w:vMerge w:val="continue"/>
                  <w:vAlign w:val="center"/>
                </w:tcPr>
                <w:p w14:paraId="690939D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Align w:val="center"/>
                </w:tcPr>
                <w:p w14:paraId="399934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52E8F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5BF1C6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临时工程</w:t>
                  </w:r>
                </w:p>
              </w:tc>
              <w:tc>
                <w:tcPr>
                  <w:tcW w:w="717" w:type="dxa"/>
                  <w:vAlign w:val="center"/>
                </w:tcPr>
                <w:p w14:paraId="013C137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施工场地</w:t>
                  </w:r>
                </w:p>
              </w:tc>
              <w:tc>
                <w:tcPr>
                  <w:tcW w:w="5205" w:type="dxa"/>
                  <w:vAlign w:val="center"/>
                </w:tcPr>
                <w:p w14:paraId="55CEDBE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eastAsia="zh-CN"/>
                    </w:rPr>
                    <w:t>本项目沿线共布置1处施工场地，位于K0+000左侧175m，占地面积3627.1m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lang w:eastAsia="zh-CN"/>
                    </w:rPr>
                    <w:t>，1处材料堆场，紧邻K0+000左侧，</w:t>
                  </w:r>
                  <w:r>
                    <w:rPr>
                      <w:rFonts w:hint="default" w:ascii="Times New Roman" w:hAnsi="Times New Roman" w:cs="Times New Roman"/>
                      <w:color w:val="auto"/>
                      <w:lang w:val="en-US" w:eastAsia="zh-CN"/>
                    </w:rPr>
                    <w:t>已建道路旁，</w:t>
                  </w:r>
                  <w:r>
                    <w:rPr>
                      <w:rFonts w:hint="default" w:ascii="Times New Roman" w:hAnsi="Times New Roman" w:cs="Times New Roman"/>
                      <w:color w:val="auto"/>
                      <w:lang w:eastAsia="zh-CN"/>
                    </w:rPr>
                    <w:t>占地面积1928.2m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lang w:eastAsia="zh-CN"/>
                    </w:rPr>
                    <w:t>。主要用于布置工棚、材料机具房、堆料场、施工机械停放场、预制场、</w:t>
                  </w:r>
                  <w:r>
                    <w:rPr>
                      <w:rFonts w:hint="default" w:ascii="Times New Roman" w:hAnsi="Times New Roman" w:cs="Times New Roman"/>
                      <w:color w:val="auto"/>
                      <w:lang w:val="en-US" w:eastAsia="zh-CN"/>
                    </w:rPr>
                    <w:t>水稳拌合站</w:t>
                  </w:r>
                  <w:r>
                    <w:rPr>
                      <w:rFonts w:hint="default" w:ascii="Times New Roman" w:hAnsi="Times New Roman" w:cs="Times New Roman"/>
                      <w:color w:val="auto"/>
                      <w:lang w:eastAsia="zh-CN"/>
                    </w:rPr>
                    <w:t>等。</w:t>
                  </w:r>
                  <w:r>
                    <w:rPr>
                      <w:rFonts w:hint="default" w:ascii="Times New Roman" w:hAnsi="Times New Roman" w:cs="Times New Roman"/>
                      <w:color w:val="auto"/>
                      <w:lang w:val="en-US" w:eastAsia="zh-CN"/>
                    </w:rPr>
                    <w:t>因施工场地和材料堆场面积过大，找不到合适的地块，故拆分为两个。</w:t>
                  </w:r>
                </w:p>
              </w:tc>
              <w:tc>
                <w:tcPr>
                  <w:tcW w:w="840" w:type="dxa"/>
                  <w:shd w:val="clear" w:color="auto" w:fill="auto"/>
                  <w:vAlign w:val="center"/>
                </w:tcPr>
                <w:p w14:paraId="26C96EA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c>
                <w:tcPr>
                  <w:tcW w:w="756" w:type="dxa"/>
                  <w:shd w:val="clear" w:color="auto" w:fill="auto"/>
                  <w:vAlign w:val="center"/>
                </w:tcPr>
                <w:p w14:paraId="6CE90D7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r>
            <w:tr w14:paraId="39EC0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3A6F1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lang w:val="en-US" w:eastAsia="zh-CN"/>
                    </w:rPr>
                  </w:pPr>
                </w:p>
              </w:tc>
              <w:tc>
                <w:tcPr>
                  <w:tcW w:w="717" w:type="dxa"/>
                  <w:vAlign w:val="center"/>
                </w:tcPr>
                <w:p w14:paraId="7739122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kern w:val="2"/>
                      <w:sz w:val="21"/>
                      <w:szCs w:val="21"/>
                      <w:highlight w:val="none"/>
                    </w:rPr>
                    <w:t>预制场</w:t>
                  </w:r>
                </w:p>
              </w:tc>
              <w:tc>
                <w:tcPr>
                  <w:tcW w:w="5205" w:type="dxa"/>
                  <w:vAlign w:val="center"/>
                </w:tcPr>
                <w:p w14:paraId="7E6BCC8F">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eastAsia="zh-CN"/>
                    </w:rPr>
                  </w:pPr>
                  <w:r>
                    <w:rPr>
                      <w:rFonts w:hint="default" w:ascii="Times New Roman" w:hAnsi="Times New Roman" w:cs="Times New Roman"/>
                      <w:color w:val="auto"/>
                      <w:kern w:val="2"/>
                      <w:sz w:val="21"/>
                      <w:szCs w:val="21"/>
                      <w:highlight w:val="none"/>
                    </w:rPr>
                    <w:t>本项目设置桥梁预制场1处</w:t>
                  </w:r>
                  <w:r>
                    <w:rPr>
                      <w:rFonts w:hint="default" w:ascii="Times New Roman" w:hAnsi="Times New Roman" w:cs="Times New Roman"/>
                      <w:color w:val="auto"/>
                      <w:kern w:val="2"/>
                      <w:sz w:val="21"/>
                      <w:szCs w:val="21"/>
                      <w:highlight w:val="none"/>
                      <w:lang w:eastAsia="zh-CN"/>
                    </w:rPr>
                    <w:t>，位于</w:t>
                  </w:r>
                  <w:r>
                    <w:rPr>
                      <w:rFonts w:hint="default" w:ascii="Times New Roman" w:hAnsi="Times New Roman" w:cs="Times New Roman"/>
                      <w:color w:val="auto"/>
                      <w:kern w:val="2"/>
                      <w:sz w:val="21"/>
                      <w:szCs w:val="21"/>
                      <w:highlight w:val="none"/>
                      <w:lang w:val="en-US" w:eastAsia="zh-CN"/>
                    </w:rPr>
                    <w:t>施工场地内</w:t>
                  </w:r>
                </w:p>
              </w:tc>
              <w:tc>
                <w:tcPr>
                  <w:tcW w:w="840" w:type="dxa"/>
                  <w:shd w:val="clear" w:color="auto" w:fill="auto"/>
                  <w:vAlign w:val="center"/>
                </w:tcPr>
                <w:p w14:paraId="1EFCD77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756" w:type="dxa"/>
                  <w:shd w:val="clear" w:color="auto" w:fill="auto"/>
                  <w:vAlign w:val="center"/>
                </w:tcPr>
                <w:p w14:paraId="04FFAA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775B1C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7BDC47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2936AE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施工营地</w:t>
                  </w:r>
                </w:p>
              </w:tc>
              <w:tc>
                <w:tcPr>
                  <w:tcW w:w="5205" w:type="dxa"/>
                  <w:vAlign w:val="center"/>
                </w:tcPr>
                <w:p w14:paraId="5055940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本项目不设置施工营地，就近租用</w:t>
                  </w:r>
                  <w:r>
                    <w:rPr>
                      <w:rFonts w:hint="default" w:ascii="Times New Roman" w:hAnsi="Times New Roman" w:cs="Times New Roman"/>
                      <w:color w:val="auto"/>
                      <w:lang w:val="en-US" w:eastAsia="zh-CN"/>
                    </w:rPr>
                    <w:t>杏树村</w:t>
                  </w:r>
                  <w:r>
                    <w:rPr>
                      <w:rFonts w:hint="default" w:ascii="Times New Roman" w:hAnsi="Times New Roman" w:cs="Times New Roman"/>
                      <w:color w:val="auto"/>
                    </w:rPr>
                    <w:t>民房</w:t>
                  </w:r>
                  <w:r>
                    <w:rPr>
                      <w:rFonts w:hint="default" w:ascii="Times New Roman" w:hAnsi="Times New Roman" w:cs="Times New Roman"/>
                      <w:color w:val="auto"/>
                      <w:lang w:eastAsia="zh-CN"/>
                    </w:rPr>
                    <w:t>。</w:t>
                  </w:r>
                </w:p>
              </w:tc>
              <w:tc>
                <w:tcPr>
                  <w:tcW w:w="840" w:type="dxa"/>
                  <w:shd w:val="clear" w:color="auto" w:fill="auto"/>
                  <w:vAlign w:val="center"/>
                </w:tcPr>
                <w:p w14:paraId="68E4A25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c>
                <w:tcPr>
                  <w:tcW w:w="756" w:type="dxa"/>
                  <w:shd w:val="clear" w:color="auto" w:fill="auto"/>
                  <w:vAlign w:val="center"/>
                </w:tcPr>
                <w:p w14:paraId="674DCA7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r>
            <w:tr w14:paraId="22586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48BCC7A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058BEEB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施工便道</w:t>
                  </w:r>
                </w:p>
              </w:tc>
              <w:tc>
                <w:tcPr>
                  <w:tcW w:w="5205" w:type="dxa"/>
                  <w:vAlign w:val="center"/>
                </w:tcPr>
                <w:p w14:paraId="0A39EA2C">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本项目运输条件较好，但是由于有规划的弃土场，需修建工程区至弃土场的施工便道，连接K0+258～+300左侧115m弃土场施工便道长度537米，平均宽度7米，临时占地3880.3m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。连接K1+743～+797左侧200m弃土场施工便道445米，平均宽度7米，临时占地6385.6m</w:t>
                  </w:r>
                  <w:r>
                    <w:rPr>
                      <w:rFonts w:hint="default" w:ascii="Times New Roman" w:hAnsi="Times New Roman" w:cs="Times New Roman"/>
                      <w:color w:val="auto"/>
                      <w:vertAlign w:val="superscript"/>
                      <w:lang w:val="en-US" w:eastAsia="zh-CN"/>
                    </w:rPr>
                    <w:t>2</w:t>
                  </w:r>
                  <w:r>
                    <w:rPr>
                      <w:rFonts w:hint="default" w:ascii="Times New Roman" w:hAnsi="Times New Roman" w:cs="Times New Roman"/>
                      <w:color w:val="auto"/>
                      <w:lang w:val="en-US" w:eastAsia="zh-CN"/>
                    </w:rPr>
                    <w:t>。泥结碎石路面，反铲式挖掘机开挖路基，压路机碾压夯实成型。</w:t>
                  </w:r>
                </w:p>
              </w:tc>
              <w:tc>
                <w:tcPr>
                  <w:tcW w:w="840" w:type="dxa"/>
                  <w:shd w:val="clear" w:color="auto" w:fill="auto"/>
                  <w:vAlign w:val="center"/>
                </w:tcPr>
                <w:p w14:paraId="37FD6D0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c>
                <w:tcPr>
                  <w:tcW w:w="756" w:type="dxa"/>
                  <w:shd w:val="clear" w:color="auto" w:fill="auto"/>
                  <w:vAlign w:val="center"/>
                </w:tcPr>
                <w:p w14:paraId="268CAD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r>
            <w:tr w14:paraId="33395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4999733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0BEE85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料场</w:t>
                  </w:r>
                </w:p>
              </w:tc>
              <w:tc>
                <w:tcPr>
                  <w:tcW w:w="5205" w:type="dxa"/>
                  <w:vAlign w:val="center"/>
                </w:tcPr>
                <w:p w14:paraId="23FA4DA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rPr>
                    <w:t>本项目所需水泥</w:t>
                  </w:r>
                  <w:r>
                    <w:rPr>
                      <w:rFonts w:hint="default" w:ascii="Times New Roman" w:hAnsi="Times New Roman" w:cs="Times New Roman"/>
                      <w:color w:val="auto"/>
                      <w:lang w:eastAsia="zh-CN"/>
                    </w:rPr>
                    <w:t>、</w:t>
                  </w:r>
                  <w:r>
                    <w:rPr>
                      <w:rFonts w:hint="default" w:ascii="Times New Roman" w:hAnsi="Times New Roman" w:cs="Times New Roman"/>
                      <w:color w:val="auto"/>
                    </w:rPr>
                    <w:t>砂石料、沥青</w:t>
                  </w:r>
                  <w:r>
                    <w:rPr>
                      <w:rFonts w:hint="default" w:ascii="Times New Roman" w:hAnsi="Times New Roman" w:cs="Times New Roman"/>
                      <w:color w:val="auto"/>
                      <w:lang w:val="en-US" w:eastAsia="zh-CN"/>
                    </w:rPr>
                    <w:t>混凝土</w:t>
                  </w:r>
                  <w:r>
                    <w:rPr>
                      <w:rFonts w:hint="default" w:ascii="Times New Roman" w:hAnsi="Times New Roman" w:cs="Times New Roman"/>
                      <w:color w:val="auto"/>
                    </w:rPr>
                    <w:t>、钢材、商品混凝土等均在</w:t>
                  </w:r>
                  <w:r>
                    <w:rPr>
                      <w:rFonts w:hint="default" w:ascii="Times New Roman" w:hAnsi="Times New Roman" w:cs="Times New Roman"/>
                      <w:color w:val="auto"/>
                      <w:lang w:val="en-US" w:eastAsia="zh-CN"/>
                    </w:rPr>
                    <w:t>达州市</w:t>
                  </w:r>
                  <w:r>
                    <w:rPr>
                      <w:rFonts w:hint="default" w:ascii="Times New Roman" w:hAnsi="Times New Roman" w:cs="Times New Roman"/>
                      <w:color w:val="auto"/>
                    </w:rPr>
                    <w:t>境内购买，不设置料场</w:t>
                  </w:r>
                  <w:r>
                    <w:rPr>
                      <w:rFonts w:hint="default" w:ascii="Times New Roman" w:hAnsi="Times New Roman" w:cs="Times New Roman"/>
                      <w:color w:val="auto"/>
                      <w:lang w:eastAsia="zh-CN"/>
                    </w:rPr>
                    <w:t>。</w:t>
                  </w:r>
                </w:p>
              </w:tc>
              <w:tc>
                <w:tcPr>
                  <w:tcW w:w="840" w:type="dxa"/>
                  <w:shd w:val="clear" w:color="auto" w:fill="auto"/>
                  <w:vAlign w:val="center"/>
                </w:tcPr>
                <w:p w14:paraId="2B2013F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c>
                <w:tcPr>
                  <w:tcW w:w="756" w:type="dxa"/>
                  <w:shd w:val="clear" w:color="auto" w:fill="auto"/>
                  <w:vAlign w:val="center"/>
                </w:tcPr>
                <w:p w14:paraId="01ED676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w:t>
                  </w:r>
                </w:p>
              </w:tc>
            </w:tr>
            <w:tr w14:paraId="74415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1" w:type="dxa"/>
                  <w:vMerge w:val="continue"/>
                  <w:vAlign w:val="center"/>
                </w:tcPr>
                <w:p w14:paraId="7A36D55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2BC135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弃土场</w:t>
                  </w:r>
                </w:p>
              </w:tc>
              <w:tc>
                <w:tcPr>
                  <w:tcW w:w="5205" w:type="dxa"/>
                  <w:vAlign w:val="center"/>
                </w:tcPr>
                <w:p w14:paraId="76175FA4">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t>本项目规划2处弃土场。</w:t>
                  </w:r>
                </w:p>
                <w:p w14:paraId="17F60C3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t>1#弃土场：位于K1+743～+797左侧200m，占地面积8407.09m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vertAlign w:val="baseline"/>
                      <w:lang w:eastAsia="zh-CN"/>
                    </w:rPr>
                    <w:t>。</w:t>
                  </w:r>
                </w:p>
                <w:p w14:paraId="5AF64C4A">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vertAlign w:val="baseline"/>
                      <w:lang w:eastAsia="zh-CN"/>
                    </w:rPr>
                  </w:pPr>
                  <w:r>
                    <w:rPr>
                      <w:rFonts w:hint="default" w:ascii="Times New Roman" w:hAnsi="Times New Roman" w:cs="Times New Roman"/>
                      <w:color w:val="auto"/>
                      <w:vertAlign w:val="baseline"/>
                      <w:lang w:eastAsia="zh-CN"/>
                    </w:rPr>
                    <w:t>2#弃土场：位于K0+258～+300左侧115m，占地面积2586.796m</w:t>
                  </w:r>
                  <w:r>
                    <w:rPr>
                      <w:rFonts w:hint="default" w:ascii="Times New Roman" w:hAnsi="Times New Roman" w:cs="Times New Roman"/>
                      <w:color w:val="auto"/>
                      <w:vertAlign w:val="superscript"/>
                      <w:lang w:eastAsia="zh-CN"/>
                    </w:rPr>
                    <w:t>2</w:t>
                  </w:r>
                  <w:r>
                    <w:rPr>
                      <w:rFonts w:hint="default" w:ascii="Times New Roman" w:hAnsi="Times New Roman" w:cs="Times New Roman"/>
                      <w:color w:val="auto"/>
                      <w:vertAlign w:val="baseline"/>
                      <w:lang w:eastAsia="zh-CN"/>
                    </w:rPr>
                    <w:t>。</w:t>
                  </w:r>
                </w:p>
                <w:p w14:paraId="262AEBB9">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vertAlign w:val="baseline"/>
                      <w:lang w:eastAsia="zh-CN"/>
                    </w:rPr>
                    <w:t>设计总容量</w:t>
                  </w:r>
                  <w:r>
                    <w:rPr>
                      <w:rFonts w:hint="default" w:ascii="Times New Roman" w:hAnsi="Times New Roman" w:cs="Times New Roman"/>
                      <w:color w:val="auto"/>
                      <w:vertAlign w:val="baseline"/>
                      <w:lang w:val="en-US" w:eastAsia="zh-CN"/>
                    </w:rPr>
                    <w:t>16</w:t>
                  </w:r>
                  <w:r>
                    <w:rPr>
                      <w:rFonts w:hint="default" w:ascii="Times New Roman" w:hAnsi="Times New Roman" w:cs="Times New Roman"/>
                      <w:color w:val="auto"/>
                      <w:vertAlign w:val="baseline"/>
                      <w:lang w:eastAsia="zh-CN"/>
                    </w:rPr>
                    <w:t>万m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vertAlign w:val="baseline"/>
                      <w:lang w:eastAsia="zh-CN"/>
                    </w:rPr>
                    <w:t>，实际弃土总量80500m</w:t>
                  </w:r>
                  <w:r>
                    <w:rPr>
                      <w:rFonts w:hint="default" w:ascii="Times New Roman" w:hAnsi="Times New Roman" w:cs="Times New Roman"/>
                      <w:color w:val="auto"/>
                      <w:vertAlign w:val="superscript"/>
                      <w:lang w:eastAsia="zh-CN"/>
                    </w:rPr>
                    <w:t>3</w:t>
                  </w:r>
                  <w:r>
                    <w:rPr>
                      <w:rFonts w:hint="default" w:ascii="Times New Roman" w:hAnsi="Times New Roman" w:cs="Times New Roman"/>
                      <w:color w:val="auto"/>
                      <w:vertAlign w:val="baseline"/>
                      <w:lang w:eastAsia="zh-CN"/>
                    </w:rPr>
                    <w:t>。</w:t>
                  </w:r>
                </w:p>
              </w:tc>
              <w:tc>
                <w:tcPr>
                  <w:tcW w:w="840" w:type="dxa"/>
                  <w:vAlign w:val="center"/>
                </w:tcPr>
                <w:p w14:paraId="44B00EF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2556235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629D2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1" w:type="dxa"/>
                  <w:vMerge w:val="continue"/>
                  <w:vAlign w:val="center"/>
                </w:tcPr>
                <w:p w14:paraId="43658B4E">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shd w:val="clear" w:color="auto" w:fill="auto"/>
                  <w:vAlign w:val="center"/>
                </w:tcPr>
                <w:p w14:paraId="2B9B62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拌合站</w:t>
                  </w:r>
                </w:p>
              </w:tc>
              <w:tc>
                <w:tcPr>
                  <w:tcW w:w="5205" w:type="dxa"/>
                  <w:shd w:val="clear" w:color="auto" w:fill="auto"/>
                  <w:vAlign w:val="center"/>
                </w:tcPr>
                <w:p w14:paraId="55AEEC06">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本项目</w:t>
                  </w:r>
                  <w:r>
                    <w:rPr>
                      <w:rFonts w:hint="default" w:ascii="Times New Roman" w:hAnsi="Times New Roman" w:cs="Times New Roman"/>
                      <w:color w:val="auto"/>
                      <w:lang w:val="en-US" w:eastAsia="zh-CN"/>
                    </w:rPr>
                    <w:t>依托达州普光建设开发有限公司达州普光经开区物流产业园铁路专用线项目</w:t>
                  </w:r>
                  <w:r>
                    <w:rPr>
                      <w:rFonts w:hint="default" w:ascii="Times New Roman" w:hAnsi="Times New Roman" w:cs="Times New Roman"/>
                      <w:color w:val="auto"/>
                      <w:kern w:val="2"/>
                      <w:sz w:val="21"/>
                      <w:szCs w:val="21"/>
                      <w:lang w:val="en-US" w:eastAsia="zh-CN"/>
                    </w:rPr>
                    <w:t>位于项目区东南侧约3066m（四川达州普光经济开发区普光功能区内），占地面积3500m</w:t>
                  </w:r>
                  <w:r>
                    <w:rPr>
                      <w:rFonts w:hint="default" w:ascii="Times New Roman" w:hAnsi="Times New Roman" w:cs="Times New Roman"/>
                      <w:color w:val="auto"/>
                      <w:kern w:val="2"/>
                      <w:sz w:val="21"/>
                      <w:szCs w:val="21"/>
                      <w:vertAlign w:val="superscript"/>
                      <w:lang w:val="en-US" w:eastAsia="zh-CN"/>
                    </w:rPr>
                    <w:t>2</w:t>
                  </w:r>
                  <w:r>
                    <w:rPr>
                      <w:rFonts w:hint="default" w:ascii="Times New Roman" w:hAnsi="Times New Roman" w:cs="Times New Roman"/>
                      <w:color w:val="auto"/>
                      <w:kern w:val="2"/>
                      <w:sz w:val="21"/>
                      <w:szCs w:val="21"/>
                      <w:lang w:val="en-US" w:eastAsia="zh-CN"/>
                    </w:rPr>
                    <w:t>‬，占地类型为工业用地，进行混凝土的拌和，包含搅拌机、筒仓等设备</w:t>
                  </w:r>
                </w:p>
              </w:tc>
              <w:tc>
                <w:tcPr>
                  <w:tcW w:w="840" w:type="dxa"/>
                  <w:vAlign w:val="center"/>
                </w:tcPr>
                <w:p w14:paraId="31C669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2F2C68A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1D35E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21" w:type="dxa"/>
                  <w:vMerge w:val="continue"/>
                  <w:vAlign w:val="center"/>
                </w:tcPr>
                <w:p w14:paraId="555F502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shd w:val="clear" w:color="auto" w:fill="auto"/>
                  <w:vAlign w:val="center"/>
                </w:tcPr>
                <w:p w14:paraId="1380127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沥青拌合站</w:t>
                  </w:r>
                </w:p>
              </w:tc>
              <w:tc>
                <w:tcPr>
                  <w:tcW w:w="5205" w:type="dxa"/>
                  <w:shd w:val="clear" w:color="auto" w:fill="auto"/>
                  <w:vAlign w:val="center"/>
                </w:tcPr>
                <w:p w14:paraId="4CE389DB">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kern w:val="2"/>
                      <w:sz w:val="21"/>
                      <w:szCs w:val="24"/>
                      <w:lang w:val="en-US" w:eastAsia="zh-CN" w:bidi="ar-SA"/>
                    </w:rPr>
                  </w:pPr>
                  <w:r>
                    <w:rPr>
                      <w:rFonts w:hint="eastAsia" w:cs="Times New Roman"/>
                      <w:color w:val="auto"/>
                      <w:lang w:val="en-US" w:eastAsia="zh-CN"/>
                    </w:rPr>
                    <w:t>本项目</w:t>
                  </w:r>
                  <w:r>
                    <w:rPr>
                      <w:rFonts w:hint="default" w:ascii="Times New Roman" w:hAnsi="Times New Roman" w:cs="Times New Roman"/>
                      <w:color w:val="auto"/>
                      <w:lang w:val="en-US" w:eastAsia="zh-CN"/>
                    </w:rPr>
                    <w:t>依托达州市内的沥青拌合站，购买沥青混凝土</w:t>
                  </w:r>
                </w:p>
              </w:tc>
              <w:tc>
                <w:tcPr>
                  <w:tcW w:w="840" w:type="dxa"/>
                  <w:vAlign w:val="center"/>
                </w:tcPr>
                <w:p w14:paraId="2A3BC4D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46FF092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15381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0B2B778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依托</w:t>
                  </w:r>
                </w:p>
                <w:p w14:paraId="54195CE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tc>
              <w:tc>
                <w:tcPr>
                  <w:tcW w:w="717" w:type="dxa"/>
                  <w:vAlign w:val="center"/>
                </w:tcPr>
                <w:p w14:paraId="0F764DF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供电</w:t>
                  </w:r>
                </w:p>
              </w:tc>
              <w:tc>
                <w:tcPr>
                  <w:tcW w:w="5205" w:type="dxa"/>
                  <w:vAlign w:val="center"/>
                </w:tcPr>
                <w:p w14:paraId="56106092">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rPr>
                    <w:t>依托当地城镇电网供电，配备</w:t>
                  </w:r>
                  <w:r>
                    <w:rPr>
                      <w:rFonts w:hint="default" w:ascii="Times New Roman" w:hAnsi="Times New Roman" w:cs="Times New Roman"/>
                      <w:color w:val="auto"/>
                      <w:lang w:val="en-US" w:eastAsia="zh-CN"/>
                    </w:rPr>
                    <w:t>1</w:t>
                  </w:r>
                  <w:r>
                    <w:rPr>
                      <w:rFonts w:hint="default" w:ascii="Times New Roman" w:hAnsi="Times New Roman" w:cs="Times New Roman"/>
                      <w:color w:val="auto"/>
                    </w:rPr>
                    <w:t>台50KW柴油发电机备用</w:t>
                  </w:r>
                  <w:r>
                    <w:rPr>
                      <w:rFonts w:hint="default" w:ascii="Times New Roman" w:hAnsi="Times New Roman" w:cs="Times New Roman"/>
                      <w:color w:val="auto"/>
                      <w:lang w:eastAsia="zh-CN"/>
                    </w:rPr>
                    <w:t>。</w:t>
                  </w:r>
                </w:p>
              </w:tc>
              <w:tc>
                <w:tcPr>
                  <w:tcW w:w="840" w:type="dxa"/>
                  <w:vAlign w:val="center"/>
                </w:tcPr>
                <w:p w14:paraId="7109FF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428B35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7EC6A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732F55A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3E1EB73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供水</w:t>
                  </w:r>
                </w:p>
              </w:tc>
              <w:tc>
                <w:tcPr>
                  <w:tcW w:w="5205" w:type="dxa"/>
                  <w:vAlign w:val="center"/>
                </w:tcPr>
                <w:p w14:paraId="739B8C6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color w:val="auto"/>
                      <w:lang w:eastAsia="zh-CN"/>
                    </w:rPr>
                    <w:t>项目区地表水体众多，有河溪、塘堰等，工程所在地区水系发达，地表水资源丰富，本项目可与当地相关部门协商后依托区域地表水资源、直接引取。</w:t>
                  </w:r>
                  <w:r>
                    <w:rPr>
                      <w:rFonts w:hint="default" w:ascii="Times New Roman" w:hAnsi="Times New Roman" w:cs="Times New Roman"/>
                      <w:color w:val="auto"/>
                    </w:rPr>
                    <w:t>生活用水依托当地居民水井或依托当地自来水接入引用</w:t>
                  </w:r>
                  <w:r>
                    <w:rPr>
                      <w:rFonts w:hint="default" w:ascii="Times New Roman" w:hAnsi="Times New Roman" w:cs="Times New Roman"/>
                      <w:color w:val="auto"/>
                      <w:lang w:eastAsia="zh-CN"/>
                    </w:rPr>
                    <w:t>。</w:t>
                  </w:r>
                </w:p>
              </w:tc>
              <w:tc>
                <w:tcPr>
                  <w:tcW w:w="840" w:type="dxa"/>
                  <w:vAlign w:val="center"/>
                </w:tcPr>
                <w:p w14:paraId="70059F0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0D6AF07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10D61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66691A8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0BAB259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拌合站</w:t>
                  </w:r>
                </w:p>
              </w:tc>
              <w:tc>
                <w:tcPr>
                  <w:tcW w:w="5205" w:type="dxa"/>
                  <w:vAlign w:val="center"/>
                </w:tcPr>
                <w:p w14:paraId="2313A00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依托达州普光建设开发有限公司达州普光经开区物流产业园铁路专用线项目</w:t>
                  </w:r>
                  <w:r>
                    <w:rPr>
                      <w:rFonts w:hint="default" w:ascii="Times New Roman" w:hAnsi="Times New Roman" w:cs="Times New Roman"/>
                      <w:color w:val="auto"/>
                      <w:kern w:val="2"/>
                      <w:sz w:val="21"/>
                      <w:szCs w:val="21"/>
                      <w:lang w:val="en-US" w:eastAsia="zh-CN"/>
                    </w:rPr>
                    <w:t>位于项目区东南侧约3066m（四川达州普光经济开发区普光功能区内），占地面积3500m</w:t>
                  </w:r>
                  <w:r>
                    <w:rPr>
                      <w:rFonts w:hint="default" w:ascii="Times New Roman" w:hAnsi="Times New Roman" w:cs="Times New Roman"/>
                      <w:color w:val="auto"/>
                      <w:kern w:val="2"/>
                      <w:sz w:val="21"/>
                      <w:szCs w:val="21"/>
                      <w:vertAlign w:val="superscript"/>
                      <w:lang w:val="en-US" w:eastAsia="zh-CN"/>
                    </w:rPr>
                    <w:t>2</w:t>
                  </w:r>
                  <w:r>
                    <w:rPr>
                      <w:rFonts w:hint="default" w:ascii="Times New Roman" w:hAnsi="Times New Roman" w:cs="Times New Roman"/>
                      <w:color w:val="auto"/>
                      <w:kern w:val="2"/>
                      <w:sz w:val="21"/>
                      <w:szCs w:val="21"/>
                      <w:lang w:val="en-US" w:eastAsia="zh-CN"/>
                    </w:rPr>
                    <w:t>‬，占地类型为工业用地，进行混凝土的拌和，包含搅拌机、筒仓等设备</w:t>
                  </w:r>
                </w:p>
              </w:tc>
              <w:tc>
                <w:tcPr>
                  <w:tcW w:w="840" w:type="dxa"/>
                  <w:vAlign w:val="center"/>
                </w:tcPr>
                <w:p w14:paraId="59352C6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56" w:type="dxa"/>
                  <w:vAlign w:val="center"/>
                </w:tcPr>
                <w:p w14:paraId="691FDB8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r>
            <w:tr w14:paraId="794682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947C08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479490E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沥青拌合站</w:t>
                  </w:r>
                </w:p>
              </w:tc>
              <w:tc>
                <w:tcPr>
                  <w:tcW w:w="5205" w:type="dxa"/>
                  <w:vAlign w:val="center"/>
                </w:tcPr>
                <w:p w14:paraId="6926644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依托达州市内的沥青拌合站，购买沥青混凝土</w:t>
                  </w:r>
                </w:p>
              </w:tc>
              <w:tc>
                <w:tcPr>
                  <w:tcW w:w="840" w:type="dxa"/>
                  <w:vAlign w:val="center"/>
                </w:tcPr>
                <w:p w14:paraId="7741C1A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c>
                <w:tcPr>
                  <w:tcW w:w="756" w:type="dxa"/>
                  <w:vAlign w:val="center"/>
                </w:tcPr>
                <w:p w14:paraId="3B4EC8D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31C9D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0EE59B4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环保</w:t>
                  </w:r>
                </w:p>
                <w:p w14:paraId="5CBB1F8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tc>
              <w:tc>
                <w:tcPr>
                  <w:tcW w:w="717" w:type="dxa"/>
                  <w:vAlign w:val="center"/>
                </w:tcPr>
                <w:p w14:paraId="2F477E2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废气</w:t>
                  </w:r>
                </w:p>
              </w:tc>
              <w:tc>
                <w:tcPr>
                  <w:tcW w:w="5205" w:type="dxa"/>
                  <w:vAlign w:val="center"/>
                </w:tcPr>
                <w:p w14:paraId="6AC5E40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①</w:t>
                  </w:r>
                  <w:r>
                    <w:rPr>
                      <w:rFonts w:hint="default" w:ascii="Times New Roman" w:hAnsi="Times New Roman" w:cs="Times New Roman"/>
                      <w:color w:val="auto"/>
                      <w:kern w:val="0"/>
                      <w:szCs w:val="21"/>
                      <w:lang w:bidi="ar"/>
                    </w:rPr>
                    <w:t>施工现场经过居民</w:t>
                  </w:r>
                  <w:r>
                    <w:rPr>
                      <w:rFonts w:hint="eastAsia" w:cs="Times New Roman"/>
                      <w:color w:val="auto"/>
                      <w:kern w:val="0"/>
                      <w:szCs w:val="21"/>
                      <w:lang w:eastAsia="zh-CN" w:bidi="ar"/>
                    </w:rPr>
                    <w:t>集聚区</w:t>
                  </w:r>
                  <w:r>
                    <w:rPr>
                      <w:rFonts w:hint="default" w:ascii="Times New Roman" w:hAnsi="Times New Roman" w:cs="Times New Roman"/>
                      <w:color w:val="auto"/>
                      <w:kern w:val="0"/>
                      <w:szCs w:val="21"/>
                      <w:lang w:bidi="ar"/>
                    </w:rPr>
                    <w:t>时采取必要的遮挡、围护等措施</w:t>
                  </w:r>
                  <w:r>
                    <w:rPr>
                      <w:rFonts w:hint="default" w:ascii="Times New Roman" w:hAnsi="Times New Roman" w:cs="Times New Roman"/>
                      <w:color w:val="auto"/>
                    </w:rPr>
                    <w:t>；②施工现场、施工场地每天1~2次洒水降尘；</w:t>
                  </w:r>
                  <w:r>
                    <w:rPr>
                      <w:rFonts w:hint="default" w:ascii="Times New Roman" w:hAnsi="Times New Roman" w:cs="Times New Roman"/>
                      <w:color w:val="auto"/>
                      <w:kern w:val="0"/>
                      <w:szCs w:val="21"/>
                      <w:lang w:bidi="ar"/>
                    </w:rPr>
                    <w:t>施工场地进出口硬化、设置冲洗平台等措施；</w:t>
                  </w:r>
                  <w:r>
                    <w:rPr>
                      <w:rFonts w:hint="default" w:ascii="Times New Roman" w:hAnsi="Times New Roman" w:cs="Times New Roman"/>
                      <w:color w:val="auto"/>
                    </w:rPr>
                    <w:t>建筑垃圾、弃方运输禁止冒顶装载和洒漏；对临时堆场采取防起尘、遮盖措施；③采用商品沥青，密封运输，集中铺设，缩短作业时间，施工人员佩戴劳保防护设施；④钢筋加工棚焊接废气安装移动净化设施</w:t>
                  </w:r>
                  <w:r>
                    <w:rPr>
                      <w:rFonts w:hint="default" w:ascii="Times New Roman" w:hAnsi="Times New Roman" w:cs="Times New Roman"/>
                      <w:color w:val="auto"/>
                      <w:lang w:eastAsia="zh-CN"/>
                    </w:rPr>
                    <w:t>。</w:t>
                  </w:r>
                </w:p>
                <w:p w14:paraId="4E5E9837">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运营期：</w:t>
                  </w:r>
                  <w:r>
                    <w:rPr>
                      <w:rFonts w:hint="default" w:ascii="Times New Roman" w:hAnsi="Times New Roman" w:cs="Times New Roman"/>
                      <w:color w:val="auto"/>
                    </w:rPr>
                    <w:t>加强交通管理，限制汽车尾气超标车辆上路，定期洒水、清扫</w:t>
                  </w:r>
                  <w:r>
                    <w:rPr>
                      <w:rFonts w:hint="default" w:ascii="Times New Roman" w:hAnsi="Times New Roman" w:cs="Times New Roman"/>
                      <w:color w:val="auto"/>
                      <w:lang w:eastAsia="zh-CN"/>
                    </w:rPr>
                    <w:t>。</w:t>
                  </w:r>
                </w:p>
              </w:tc>
              <w:tc>
                <w:tcPr>
                  <w:tcW w:w="840" w:type="dxa"/>
                  <w:vAlign w:val="center"/>
                </w:tcPr>
                <w:p w14:paraId="4A23A75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5DC6875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5A44D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7" w:hRule="atLeast"/>
                <w:jc w:val="center"/>
              </w:trPr>
              <w:tc>
                <w:tcPr>
                  <w:tcW w:w="521" w:type="dxa"/>
                  <w:vMerge w:val="continue"/>
                  <w:vAlign w:val="center"/>
                </w:tcPr>
                <w:p w14:paraId="6B889168">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69AEFBF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废水</w:t>
                  </w:r>
                </w:p>
              </w:tc>
              <w:tc>
                <w:tcPr>
                  <w:tcW w:w="5205" w:type="dxa"/>
                  <w:vAlign w:val="center"/>
                </w:tcPr>
                <w:p w14:paraId="1F5CDFE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①施工废水经隔油、沉淀池预处理后回用；②生活污水</w:t>
                  </w:r>
                  <w:r>
                    <w:rPr>
                      <w:rFonts w:hint="default" w:ascii="Times New Roman" w:hAnsi="Times New Roman" w:cs="Times New Roman"/>
                      <w:color w:val="auto"/>
                      <w:lang w:val="en-US" w:eastAsia="zh-CN"/>
                    </w:rPr>
                    <w:t>由预处理池收集后，定期拉运至周边污水处理厂</w:t>
                  </w:r>
                  <w:r>
                    <w:rPr>
                      <w:rFonts w:hint="default" w:ascii="Times New Roman" w:hAnsi="Times New Roman" w:cs="Times New Roman"/>
                      <w:color w:val="auto"/>
                    </w:rPr>
                    <w:t>，不外排；③初期雨水经沉淀处理后回用于场地洒水</w:t>
                  </w:r>
                  <w:r>
                    <w:rPr>
                      <w:rFonts w:hint="default" w:ascii="Times New Roman" w:hAnsi="Times New Roman" w:cs="Times New Roman"/>
                      <w:color w:val="auto"/>
                      <w:lang w:eastAsia="zh-CN"/>
                    </w:rPr>
                    <w:t>。</w:t>
                  </w:r>
                </w:p>
                <w:p w14:paraId="7FB271F4">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运营期：</w:t>
                  </w:r>
                  <w:r>
                    <w:rPr>
                      <w:rFonts w:hint="default" w:ascii="Times New Roman" w:hAnsi="Times New Roman" w:cs="Times New Roman"/>
                      <w:color w:val="auto"/>
                    </w:rPr>
                    <w:t>①路面雨水通过公路两侧排水沟收集后排放至周边河沟</w:t>
                  </w:r>
                  <w:r>
                    <w:rPr>
                      <w:rFonts w:hint="default" w:ascii="Times New Roman" w:hAnsi="Times New Roman" w:cs="Times New Roman"/>
                      <w:color w:val="auto"/>
                      <w:lang w:eastAsia="zh-CN"/>
                    </w:rPr>
                    <w:t>。</w:t>
                  </w:r>
                </w:p>
              </w:tc>
              <w:tc>
                <w:tcPr>
                  <w:tcW w:w="840" w:type="dxa"/>
                  <w:vAlign w:val="center"/>
                </w:tcPr>
                <w:p w14:paraId="3E4D915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64F0E1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2B5ADB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598BF32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45408DC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固废</w:t>
                  </w:r>
                </w:p>
              </w:tc>
              <w:tc>
                <w:tcPr>
                  <w:tcW w:w="5205" w:type="dxa"/>
                  <w:vAlign w:val="center"/>
                </w:tcPr>
                <w:p w14:paraId="32104D3A">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①建筑垃圾（破损混凝土）运至弃土场集中堆放；②本项目弃方运至规划的弃土场集中堆放；③生活垃圾由环卫部门定期清运；④桥梁基础施工</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隧道基础施工</w:t>
                  </w:r>
                  <w:r>
                    <w:rPr>
                      <w:rFonts w:hint="default" w:ascii="Times New Roman" w:hAnsi="Times New Roman" w:cs="Times New Roman"/>
                      <w:color w:val="auto"/>
                    </w:rPr>
                    <w:t>产生的钻渣和污泥、废水处理产生的污泥晾干后运至弃土场；⑤废机油</w:t>
                  </w:r>
                  <w:r>
                    <w:rPr>
                      <w:rFonts w:hint="default" w:ascii="Times New Roman" w:hAnsi="Times New Roman" w:cs="Times New Roman"/>
                      <w:color w:val="auto"/>
                      <w:szCs w:val="21"/>
                    </w:rPr>
                    <w:t>交由有资质单位妥善处置</w:t>
                  </w:r>
                  <w:r>
                    <w:rPr>
                      <w:rFonts w:hint="default" w:ascii="Times New Roman" w:hAnsi="Times New Roman" w:cs="Times New Roman"/>
                      <w:color w:val="auto"/>
                    </w:rPr>
                    <w:t>；⑥废焊条、焊渣</w:t>
                  </w:r>
                  <w:r>
                    <w:rPr>
                      <w:rFonts w:hint="default" w:ascii="Times New Roman" w:hAnsi="Times New Roman" w:cs="Times New Roman"/>
                      <w:color w:val="auto"/>
                      <w:szCs w:val="21"/>
                    </w:rPr>
                    <w:t>经收集后卖至废品回收站</w:t>
                  </w:r>
                  <w:r>
                    <w:rPr>
                      <w:rFonts w:hint="default" w:ascii="Times New Roman" w:hAnsi="Times New Roman" w:cs="Times New Roman"/>
                      <w:color w:val="auto"/>
                      <w:szCs w:val="21"/>
                      <w:lang w:eastAsia="zh-CN"/>
                    </w:rPr>
                    <w:t>。</w:t>
                  </w:r>
                </w:p>
                <w:p w14:paraId="6D995F10">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运营期：</w:t>
                  </w:r>
                  <w:r>
                    <w:rPr>
                      <w:rFonts w:hint="default" w:ascii="Times New Roman" w:hAnsi="Times New Roman" w:cs="Times New Roman"/>
                      <w:color w:val="auto"/>
                    </w:rPr>
                    <w:t>路面垃圾由公路养护部门定期进行清理</w:t>
                  </w:r>
                  <w:r>
                    <w:rPr>
                      <w:rFonts w:hint="default" w:ascii="Times New Roman" w:hAnsi="Times New Roman" w:cs="Times New Roman"/>
                      <w:color w:val="auto"/>
                      <w:lang w:eastAsia="zh-CN"/>
                    </w:rPr>
                    <w:t>。</w:t>
                  </w:r>
                </w:p>
              </w:tc>
              <w:tc>
                <w:tcPr>
                  <w:tcW w:w="840" w:type="dxa"/>
                  <w:vAlign w:val="center"/>
                </w:tcPr>
                <w:p w14:paraId="21E7150B">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3DF080C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2266A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37B7EF1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4D3694A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噪声</w:t>
                  </w:r>
                </w:p>
              </w:tc>
              <w:tc>
                <w:tcPr>
                  <w:tcW w:w="5205" w:type="dxa"/>
                  <w:vAlign w:val="center"/>
                </w:tcPr>
                <w:p w14:paraId="3EF9B8A7">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采取选用低噪声的施工机械和工艺、合理设计运输路线和运输方案、合理安排施工时间等措施降噪</w:t>
                  </w:r>
                  <w:r>
                    <w:rPr>
                      <w:rFonts w:hint="default" w:ascii="Times New Roman" w:hAnsi="Times New Roman" w:cs="Times New Roman"/>
                      <w:color w:val="auto"/>
                      <w:lang w:eastAsia="zh-CN"/>
                    </w:rPr>
                    <w:t>。</w:t>
                  </w:r>
                </w:p>
                <w:p w14:paraId="4E35569F">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运营期：</w:t>
                  </w:r>
                  <w:r>
                    <w:rPr>
                      <w:rFonts w:hint="default" w:ascii="Times New Roman" w:hAnsi="Times New Roman" w:cs="Times New Roman"/>
                      <w:color w:val="auto"/>
                      <w:szCs w:val="21"/>
                    </w:rPr>
                    <w:t>建议采用降噪沥青材料、</w:t>
                  </w:r>
                  <w:r>
                    <w:rPr>
                      <w:rFonts w:hint="default" w:ascii="Times New Roman" w:hAnsi="Times New Roman" w:cs="Times New Roman"/>
                      <w:color w:val="auto"/>
                    </w:rPr>
                    <w:t>限制车速、设置减速带、警示牌等措施降噪</w:t>
                  </w:r>
                  <w:r>
                    <w:rPr>
                      <w:rFonts w:hint="default" w:ascii="Times New Roman" w:hAnsi="Times New Roman" w:cs="Times New Roman"/>
                      <w:color w:val="auto"/>
                      <w:lang w:eastAsia="zh-CN"/>
                    </w:rPr>
                    <w:t>。</w:t>
                  </w:r>
                </w:p>
              </w:tc>
              <w:tc>
                <w:tcPr>
                  <w:tcW w:w="840" w:type="dxa"/>
                  <w:vAlign w:val="center"/>
                </w:tcPr>
                <w:p w14:paraId="401BECD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12FC0C6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0BFA2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7E9E2A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6DA1759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生态</w:t>
                  </w:r>
                </w:p>
              </w:tc>
              <w:tc>
                <w:tcPr>
                  <w:tcW w:w="5205" w:type="dxa"/>
                  <w:vAlign w:val="center"/>
                </w:tcPr>
                <w:p w14:paraId="1AC45C3C">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尽可能少占用耕地、林地等，临时工程施工结束后及时复垦、植被恢复；加强施工管理，严格空时施工范围，对施工人员进行教育培训；加强弃土场等临时工程水土流失防治等</w:t>
                  </w:r>
                  <w:r>
                    <w:rPr>
                      <w:rFonts w:hint="default" w:ascii="Times New Roman" w:hAnsi="Times New Roman" w:cs="Times New Roman"/>
                      <w:color w:val="auto"/>
                      <w:lang w:eastAsia="zh-CN"/>
                    </w:rPr>
                    <w:t>。</w:t>
                  </w:r>
                </w:p>
                <w:p w14:paraId="0C69FFF5">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b/>
                      <w:bCs/>
                      <w:color w:val="auto"/>
                    </w:rPr>
                    <w:t>运营期：</w:t>
                  </w:r>
                  <w:r>
                    <w:rPr>
                      <w:rFonts w:hint="default" w:ascii="Times New Roman" w:hAnsi="Times New Roman" w:cs="Times New Roman"/>
                      <w:color w:val="auto"/>
                    </w:rPr>
                    <w:t>路堤、路堑设置拱形骨架、挡土墙、护肩、路堑墙、菱形骨架、喷播植草、挂铁丝网喷有机基材植草等边坡防护工程，边坡种植灌木、植草、播撒草籽等绿化</w:t>
                  </w:r>
                </w:p>
              </w:tc>
              <w:tc>
                <w:tcPr>
                  <w:tcW w:w="840" w:type="dxa"/>
                  <w:vAlign w:val="center"/>
                </w:tcPr>
                <w:p w14:paraId="13C3890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178544B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604E2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44B5251A">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2076401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环境</w:t>
                  </w:r>
                </w:p>
                <w:p w14:paraId="69E6742F">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风险</w:t>
                  </w:r>
                </w:p>
              </w:tc>
              <w:tc>
                <w:tcPr>
                  <w:tcW w:w="5205" w:type="dxa"/>
                  <w:vAlign w:val="center"/>
                </w:tcPr>
                <w:p w14:paraId="3CF6AC4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施工期：</w:t>
                  </w:r>
                  <w:r>
                    <w:rPr>
                      <w:rFonts w:hint="default" w:ascii="Times New Roman" w:hAnsi="Times New Roman" w:cs="Times New Roman"/>
                      <w:color w:val="auto"/>
                    </w:rPr>
                    <w:t>油品现用现购；施工机械设备日常管理和保养；施工废水和泥浆处理设施设备日常巡检和保养；弃土场坍塌风险：严格执行“先拦后弃”的原则，弃土堆放前必须在弃土场坡脚修建挡墙，并在弃土场的周边修建截、排水沟，严格控制弃土场的堆土高度和坡面坡率；弃土场迹地恢复：施工结束后，对土体顶面进行土地整治，并对土体坡面和顶部进行复耕；建立环境风险管理制度，</w:t>
                  </w:r>
                  <w:r>
                    <w:rPr>
                      <w:rFonts w:hint="default" w:ascii="Times New Roman" w:hAnsi="Times New Roman" w:cs="Times New Roman"/>
                      <w:color w:val="auto"/>
                      <w:lang w:val="en-US" w:eastAsia="zh-CN"/>
                    </w:rPr>
                    <w:t>施工场地</w:t>
                  </w:r>
                  <w:r>
                    <w:rPr>
                      <w:rFonts w:hint="default" w:ascii="Times New Roman" w:hAnsi="Times New Roman" w:cs="Times New Roman"/>
                      <w:color w:val="auto"/>
                    </w:rPr>
                    <w:t>内预备应急</w:t>
                  </w:r>
                  <w:r>
                    <w:rPr>
                      <w:rFonts w:hint="default" w:ascii="Times New Roman" w:hAnsi="Times New Roman" w:cs="Times New Roman"/>
                      <w:color w:val="auto"/>
                      <w:lang w:val="en-US" w:eastAsia="zh-CN"/>
                    </w:rPr>
                    <w:t>物资</w:t>
                  </w:r>
                  <w:r>
                    <w:rPr>
                      <w:rFonts w:hint="default" w:ascii="Times New Roman" w:hAnsi="Times New Roman" w:cs="Times New Roman"/>
                      <w:color w:val="auto"/>
                      <w:lang w:eastAsia="zh-CN"/>
                    </w:rPr>
                    <w:t>。</w:t>
                  </w:r>
                </w:p>
                <w:p w14:paraId="6E03858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eastAsia="zh-CN"/>
                    </w:rPr>
                  </w:pPr>
                  <w:r>
                    <w:rPr>
                      <w:rFonts w:hint="default" w:ascii="Times New Roman" w:hAnsi="Times New Roman" w:cs="Times New Roman"/>
                      <w:b/>
                      <w:bCs/>
                      <w:color w:val="auto"/>
                    </w:rPr>
                    <w:t>运营期：</w:t>
                  </w:r>
                  <w:r>
                    <w:rPr>
                      <w:rFonts w:hint="default" w:ascii="Times New Roman" w:hAnsi="Times New Roman" w:cs="Times New Roman"/>
                      <w:color w:val="auto"/>
                    </w:rPr>
                    <w:t>严禁超速；桥梁设置防撞墩、桥头设置警示牌；制定</w:t>
                  </w:r>
                  <w:r>
                    <w:rPr>
                      <w:rFonts w:hint="default" w:ascii="Times New Roman" w:hAnsi="Times New Roman" w:cs="Times New Roman"/>
                      <w:color w:val="auto"/>
                      <w:lang w:val="en-US" w:eastAsia="zh-CN"/>
                    </w:rPr>
                    <w:t>突发环境事件</w:t>
                  </w:r>
                  <w:r>
                    <w:rPr>
                      <w:rFonts w:hint="default" w:ascii="Times New Roman" w:hAnsi="Times New Roman" w:cs="Times New Roman"/>
                      <w:color w:val="auto"/>
                    </w:rPr>
                    <w:t>应急预案</w:t>
                  </w:r>
                  <w:r>
                    <w:rPr>
                      <w:rFonts w:hint="default" w:ascii="Times New Roman" w:hAnsi="Times New Roman" w:cs="Times New Roman"/>
                      <w:color w:val="auto"/>
                      <w:lang w:eastAsia="zh-CN"/>
                    </w:rPr>
                    <w:t>。</w:t>
                  </w:r>
                </w:p>
              </w:tc>
              <w:tc>
                <w:tcPr>
                  <w:tcW w:w="840" w:type="dxa"/>
                  <w:vAlign w:val="center"/>
                </w:tcPr>
                <w:p w14:paraId="24B84291">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491B01D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0EB01E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restart"/>
                  <w:vAlign w:val="center"/>
                </w:tcPr>
                <w:p w14:paraId="66AEA770">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其他</w:t>
                  </w:r>
                </w:p>
              </w:tc>
              <w:tc>
                <w:tcPr>
                  <w:tcW w:w="717" w:type="dxa"/>
                  <w:vAlign w:val="center"/>
                </w:tcPr>
                <w:p w14:paraId="4C949C7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工程</w:t>
                  </w:r>
                </w:p>
                <w:p w14:paraId="6005E00D">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占地</w:t>
                  </w:r>
                </w:p>
              </w:tc>
              <w:tc>
                <w:tcPr>
                  <w:tcW w:w="5205" w:type="dxa"/>
                  <w:vAlign w:val="center"/>
                </w:tcPr>
                <w:p w14:paraId="70657C5E">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b/>
                      <w:bCs/>
                      <w:color w:val="auto"/>
                      <w:lang w:val="en-US" w:eastAsia="zh-CN"/>
                    </w:rPr>
                  </w:pPr>
                  <w:r>
                    <w:rPr>
                      <w:rFonts w:hint="default" w:ascii="Times New Roman" w:hAnsi="Times New Roman" w:eastAsia="宋体" w:cs="Times New Roman"/>
                      <w:color w:val="auto"/>
                      <w:szCs w:val="21"/>
                      <w:lang w:val="en-US" w:eastAsia="zh-CN"/>
                    </w:rPr>
                    <w:t>工程总占地8.</w:t>
                  </w:r>
                  <w:r>
                    <w:rPr>
                      <w:rFonts w:hint="default" w:ascii="Times New Roman" w:hAnsi="Times New Roman" w:cs="Times New Roman"/>
                      <w:color w:val="auto"/>
                      <w:szCs w:val="21"/>
                      <w:lang w:val="en-US" w:eastAsia="zh-CN"/>
                    </w:rPr>
                    <w:t>57</w:t>
                  </w:r>
                  <w:r>
                    <w:rPr>
                      <w:rFonts w:hint="default" w:ascii="Times New Roman" w:hAnsi="Times New Roman" w:eastAsia="宋体" w:cs="Times New Roman"/>
                      <w:color w:val="auto"/>
                      <w:szCs w:val="21"/>
                      <w:lang w:val="en-US" w:eastAsia="zh-CN"/>
                    </w:rPr>
                    <w:t>hm</w:t>
                  </w:r>
                  <w:r>
                    <w:rPr>
                      <w:rFonts w:hint="default" w:ascii="Times New Roman" w:hAnsi="Times New Roman" w:cs="Times New Roman"/>
                      <w:color w:val="auto"/>
                      <w:szCs w:val="21"/>
                      <w:vertAlign w:val="superscript"/>
                      <w:lang w:val="en-US" w:eastAsia="zh-CN"/>
                    </w:rPr>
                    <w:t>2</w:t>
                  </w:r>
                  <w:r>
                    <w:rPr>
                      <w:rFonts w:hint="default" w:ascii="Times New Roman" w:hAnsi="Times New Roman" w:eastAsia="宋体" w:cs="Times New Roman"/>
                      <w:color w:val="auto"/>
                      <w:szCs w:val="21"/>
                      <w:lang w:val="en-US" w:eastAsia="zh-CN"/>
                    </w:rPr>
                    <w:t>，其中永久占地4.24hm</w:t>
                  </w:r>
                  <w:r>
                    <w:rPr>
                      <w:rFonts w:hint="default" w:ascii="Times New Roman" w:hAnsi="Times New Roman" w:cs="Times New Roman"/>
                      <w:color w:val="auto"/>
                      <w:szCs w:val="21"/>
                      <w:vertAlign w:val="superscript"/>
                      <w:lang w:val="en-US" w:eastAsia="zh-CN"/>
                    </w:rPr>
                    <w:t>2</w:t>
                  </w:r>
                  <w:r>
                    <w:rPr>
                      <w:rFonts w:hint="default" w:ascii="Times New Roman" w:hAnsi="Times New Roman" w:eastAsia="宋体" w:cs="Times New Roman"/>
                      <w:color w:val="auto"/>
                      <w:szCs w:val="21"/>
                      <w:lang w:val="en-US" w:eastAsia="zh-CN"/>
                    </w:rPr>
                    <w:t>，临时占地</w:t>
                  </w:r>
                  <w:r>
                    <w:rPr>
                      <w:rFonts w:hint="default" w:ascii="Times New Roman" w:hAnsi="Times New Roman" w:cs="Times New Roman"/>
                      <w:color w:val="auto"/>
                      <w:szCs w:val="21"/>
                      <w:lang w:val="en-US" w:eastAsia="zh-CN"/>
                    </w:rPr>
                    <w:t>4.33</w:t>
                  </w:r>
                  <w:r>
                    <w:rPr>
                      <w:rFonts w:hint="default" w:ascii="Times New Roman" w:hAnsi="Times New Roman" w:eastAsia="宋体" w:cs="Times New Roman"/>
                      <w:color w:val="auto"/>
                      <w:szCs w:val="21"/>
                      <w:lang w:val="en-US" w:eastAsia="zh-CN"/>
                    </w:rPr>
                    <w:t>hm</w:t>
                  </w:r>
                  <w:r>
                    <w:rPr>
                      <w:rFonts w:hint="default" w:ascii="Times New Roman" w:hAnsi="Times New Roman" w:cs="Times New Roman"/>
                      <w:color w:val="auto"/>
                      <w:szCs w:val="21"/>
                      <w:vertAlign w:val="superscript"/>
                      <w:lang w:val="en-US" w:eastAsia="zh-CN"/>
                    </w:rPr>
                    <w:t>2</w:t>
                  </w:r>
                  <w:r>
                    <w:rPr>
                      <w:rFonts w:hint="default" w:ascii="Times New Roman" w:hAnsi="Times New Roman" w:cs="Times New Roman"/>
                      <w:color w:val="auto"/>
                      <w:szCs w:val="21"/>
                      <w:lang w:val="en-US" w:eastAsia="zh-CN"/>
                    </w:rPr>
                    <w:t>。</w:t>
                  </w:r>
                </w:p>
              </w:tc>
              <w:tc>
                <w:tcPr>
                  <w:tcW w:w="840" w:type="dxa"/>
                  <w:vAlign w:val="center"/>
                </w:tcPr>
                <w:p w14:paraId="4409488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10C5424C">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52695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57D16EE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75FD5A16">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拆迁</w:t>
                  </w:r>
                </w:p>
                <w:p w14:paraId="073F4DB5">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安置</w:t>
                  </w:r>
                </w:p>
              </w:tc>
              <w:tc>
                <w:tcPr>
                  <w:tcW w:w="5205" w:type="dxa"/>
                  <w:vAlign w:val="center"/>
                </w:tcPr>
                <w:p w14:paraId="7DD0035D">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本项目拆迁安置工作统一由当地人民政府负责实施，由建设方出资实行货币化补偿，拆迁水土流失防治责任均由当地人民政府负责。本工程不涉及专项设施改（迁）建。</w:t>
                  </w:r>
                </w:p>
              </w:tc>
              <w:tc>
                <w:tcPr>
                  <w:tcW w:w="840" w:type="dxa"/>
                  <w:vAlign w:val="center"/>
                </w:tcPr>
                <w:p w14:paraId="41199E6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144BF4F7">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tr w14:paraId="3C582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521" w:type="dxa"/>
                  <w:vMerge w:val="continue"/>
                  <w:vAlign w:val="center"/>
                </w:tcPr>
                <w:p w14:paraId="27BC1214">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p>
              </w:tc>
              <w:tc>
                <w:tcPr>
                  <w:tcW w:w="717" w:type="dxa"/>
                  <w:vAlign w:val="center"/>
                </w:tcPr>
                <w:p w14:paraId="2477E4D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土石方</w:t>
                  </w:r>
                </w:p>
                <w:p w14:paraId="7E6C1AD2">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平衡</w:t>
                  </w:r>
                </w:p>
              </w:tc>
              <w:tc>
                <w:tcPr>
                  <w:tcW w:w="5205" w:type="dxa"/>
                  <w:vAlign w:val="center"/>
                </w:tcPr>
                <w:p w14:paraId="365279E3">
                  <w:pPr>
                    <w:keepNext w:val="0"/>
                    <w:keepLines w:val="0"/>
                    <w:pageBreakBefore w:val="0"/>
                    <w:widowControl w:val="0"/>
                    <w:kinsoku/>
                    <w:wordWrap/>
                    <w:overflowPunct/>
                    <w:topLinePunct w:val="0"/>
                    <w:autoSpaceDE/>
                    <w:autoSpaceDN/>
                    <w:bidi w:val="0"/>
                    <w:adjustRightInd/>
                    <w:snapToGrid/>
                    <w:ind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t>本项目土石方开挖总量为17.08万m</w:t>
                  </w:r>
                  <w:r>
                    <w:rPr>
                      <w:rFonts w:hint="default" w:ascii="Times New Roman" w:hAnsi="Times New Roman" w:cs="Times New Roman"/>
                      <w:color w:val="auto"/>
                      <w:vertAlign w:val="superscript"/>
                    </w:rPr>
                    <w:t>3</w:t>
                  </w:r>
                  <w:r>
                    <w:rPr>
                      <w:rFonts w:hint="default" w:ascii="Times New Roman" w:hAnsi="Times New Roman" w:cs="Times New Roman"/>
                      <w:color w:val="auto"/>
                    </w:rPr>
                    <w:t>，回填/利用土石方总量为9.03万m</w:t>
                  </w:r>
                  <w:r>
                    <w:rPr>
                      <w:rFonts w:hint="default" w:ascii="Times New Roman" w:hAnsi="Times New Roman" w:cs="Times New Roman"/>
                      <w:color w:val="auto"/>
                      <w:vertAlign w:val="superscript"/>
                    </w:rPr>
                    <w:t>3</w:t>
                  </w:r>
                  <w:r>
                    <w:rPr>
                      <w:rFonts w:hint="default" w:ascii="Times New Roman" w:hAnsi="Times New Roman" w:cs="Times New Roman"/>
                      <w:color w:val="auto"/>
                    </w:rPr>
                    <w:t>，产生废弃土石方8.05万m</w:t>
                  </w:r>
                  <w:r>
                    <w:rPr>
                      <w:rFonts w:hint="default" w:ascii="Times New Roman" w:hAnsi="Times New Roman" w:cs="Times New Roman"/>
                      <w:color w:val="auto"/>
                      <w:vertAlign w:val="superscript"/>
                    </w:rPr>
                    <w:t>3</w:t>
                  </w:r>
                  <w:r>
                    <w:rPr>
                      <w:rFonts w:hint="default" w:ascii="Times New Roman" w:hAnsi="Times New Roman" w:cs="Times New Roman"/>
                      <w:color w:val="auto"/>
                    </w:rPr>
                    <w:t>，弃方运至规划的2处弃土场集中堆放。</w:t>
                  </w:r>
                </w:p>
              </w:tc>
              <w:tc>
                <w:tcPr>
                  <w:tcW w:w="840" w:type="dxa"/>
                  <w:vAlign w:val="center"/>
                </w:tcPr>
                <w:p w14:paraId="3E671703">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c>
                <w:tcPr>
                  <w:tcW w:w="756" w:type="dxa"/>
                  <w:vAlign w:val="center"/>
                </w:tcPr>
                <w:p w14:paraId="12816FF9">
                  <w:pPr>
                    <w:keepNext w:val="0"/>
                    <w:keepLines w:val="0"/>
                    <w:pageBreakBefore w:val="0"/>
                    <w:widowControl w:val="0"/>
                    <w:kinsoku/>
                    <w:wordWrap/>
                    <w:overflowPunct/>
                    <w:topLinePunct w:val="0"/>
                    <w:autoSpaceDE/>
                    <w:autoSpaceDN/>
                    <w:bidi w:val="0"/>
                    <w:adjustRightInd/>
                    <w:snapToGrid/>
                    <w:ind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t>/</w:t>
                  </w:r>
                </w:p>
              </w:tc>
            </w:tr>
            <w:bookmarkEnd w:id="9"/>
            <w:bookmarkEnd w:id="10"/>
          </w:tbl>
          <w:p w14:paraId="446BA9CE">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4、工程设计</w:t>
            </w:r>
          </w:p>
          <w:p w14:paraId="6EB52F6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1</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路线简介</w:t>
            </w:r>
          </w:p>
          <w:p w14:paraId="1C2483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本项目为达州市宣汉县普光杏树村5社至6社，主线长2792.590m</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支线长170m，道路全长2962.590m。</w:t>
            </w:r>
            <w:r>
              <w:rPr>
                <w:rFonts w:hint="default" w:ascii="Times New Roman" w:hAnsi="Times New Roman" w:cs="Times New Roman"/>
                <w:color w:val="auto"/>
                <w:sz w:val="24"/>
                <w:szCs w:val="32"/>
              </w:rPr>
              <w:t>其中非涉铁段设计范围为：K0+000～K2+300，长2300m。涉铁段设计范围为：主线K2+300～K2+792.590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长492.59m</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支线ZK0+000～ZK0+170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长170m</w:t>
            </w:r>
            <w:r>
              <w:rPr>
                <w:rFonts w:hint="default" w:ascii="Times New Roman" w:hAnsi="Times New Roman" w:cs="Times New Roman"/>
                <w:color w:val="auto"/>
                <w:sz w:val="24"/>
                <w:szCs w:val="32"/>
              </w:rPr>
              <w:t>，合计长662.59m。</w:t>
            </w:r>
          </w:p>
          <w:p w14:paraId="44EEC80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lang w:eastAsia="zh-CN"/>
              </w:rPr>
              <w:t>）路线平纵面设计</w:t>
            </w:r>
          </w:p>
          <w:p w14:paraId="61524F9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1）路线平面</w:t>
            </w:r>
          </w:p>
          <w:p w14:paraId="2CE5533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主线道路设计范围为K0+000～K2+792.590，路线长2792.590m，圆曲线最小半径为65m，平曲线占线路长度50.20%。</w:t>
            </w:r>
          </w:p>
          <w:p w14:paraId="154B591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2）路线纵断面</w:t>
            </w:r>
          </w:p>
          <w:p w14:paraId="0B3AA53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主路设变坡点10个，最大纵坡为8%</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最小纵坡为0.3%，最小凸形竖曲线半径650m，最小凹形竖曲线半径600m，竖曲线占路线总长25.59%。</w:t>
            </w:r>
          </w:p>
          <w:p w14:paraId="0A0EB9A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3）横断面</w:t>
            </w:r>
          </w:p>
          <w:p w14:paraId="0BE05D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主路按照地方通行需求，路基标准宽度为7.5m，即0.5m土路肩+3.25m车道+3.25m车道+0.5m土路肩。设计标高位于公路设计中线位置。路基段路拱横坡双向2%。</w:t>
            </w:r>
          </w:p>
          <w:p w14:paraId="72072B8C">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5129530" cy="1887220"/>
                  <wp:effectExtent l="0" t="0" r="1270" b="5080"/>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25"/>
                          <a:stretch>
                            <a:fillRect/>
                          </a:stretch>
                        </pic:blipFill>
                        <pic:spPr>
                          <a:xfrm>
                            <a:off x="0" y="0"/>
                            <a:ext cx="5129530" cy="1887220"/>
                          </a:xfrm>
                          <a:prstGeom prst="rect">
                            <a:avLst/>
                          </a:prstGeom>
                          <a:noFill/>
                          <a:ln>
                            <a:noFill/>
                          </a:ln>
                        </pic:spPr>
                      </pic:pic>
                    </a:graphicData>
                  </a:graphic>
                </wp:inline>
              </w:drawing>
            </w:r>
          </w:p>
          <w:p w14:paraId="0EA09D81">
            <w:pPr>
              <w:widowControl/>
              <w:spacing w:line="460" w:lineRule="exact"/>
              <w:jc w:val="center"/>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图2-1 路基段路面结构设计图（一）</w:t>
            </w:r>
          </w:p>
          <w:p w14:paraId="13B3F2B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color w:val="auto"/>
              </w:rPr>
              <w:drawing>
                <wp:inline distT="0" distB="0" distL="114300" distR="114300">
                  <wp:extent cx="5126355" cy="2413000"/>
                  <wp:effectExtent l="0" t="0" r="4445"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6"/>
                          <a:stretch>
                            <a:fillRect/>
                          </a:stretch>
                        </pic:blipFill>
                        <pic:spPr>
                          <a:xfrm>
                            <a:off x="0" y="0"/>
                            <a:ext cx="5126355" cy="2413000"/>
                          </a:xfrm>
                          <a:prstGeom prst="rect">
                            <a:avLst/>
                          </a:prstGeom>
                          <a:noFill/>
                          <a:ln>
                            <a:noFill/>
                          </a:ln>
                        </pic:spPr>
                      </pic:pic>
                    </a:graphicData>
                  </a:graphic>
                </wp:inline>
              </w:drawing>
            </w:r>
          </w:p>
          <w:p w14:paraId="05286BC6">
            <w:pPr>
              <w:widowControl/>
              <w:spacing w:line="460" w:lineRule="exact"/>
              <w:jc w:val="center"/>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图2-2 路基标准横断面设计图（二）</w:t>
            </w:r>
          </w:p>
          <w:p w14:paraId="060F419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3</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路面结构设计</w:t>
            </w:r>
          </w:p>
          <w:p w14:paraId="6098B160">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表2-6 主线路基段车行道路面结构层组成及厚度表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2012"/>
              <w:gridCol w:w="2012"/>
              <w:gridCol w:w="2012"/>
            </w:tblGrid>
            <w:tr w14:paraId="2E454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21DFFB2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层位</w:t>
                  </w:r>
                </w:p>
              </w:tc>
              <w:tc>
                <w:tcPr>
                  <w:tcW w:w="2017" w:type="dxa"/>
                  <w:vAlign w:val="center"/>
                </w:tcPr>
                <w:p w14:paraId="1B7483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结构层材料</w:t>
                  </w:r>
                </w:p>
              </w:tc>
              <w:tc>
                <w:tcPr>
                  <w:tcW w:w="2017" w:type="dxa"/>
                  <w:vAlign w:val="center"/>
                </w:tcPr>
                <w:p w14:paraId="74FDD1D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厚度</w:t>
                  </w:r>
                </w:p>
              </w:tc>
              <w:tc>
                <w:tcPr>
                  <w:tcW w:w="2017" w:type="dxa"/>
                  <w:vAlign w:val="center"/>
                </w:tcPr>
                <w:p w14:paraId="7FB9AF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备注</w:t>
                  </w:r>
                </w:p>
              </w:tc>
            </w:tr>
            <w:tr w14:paraId="5C20F2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132FB1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上面层</w:t>
                  </w:r>
                </w:p>
              </w:tc>
              <w:tc>
                <w:tcPr>
                  <w:tcW w:w="2017" w:type="dxa"/>
                  <w:vAlign w:val="center"/>
                </w:tcPr>
                <w:p w14:paraId="3AEB583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细粒式沥青混凝土</w:t>
                  </w:r>
                  <w:r>
                    <w:rPr>
                      <w:rFonts w:hint="default" w:ascii="Times New Roman" w:hAnsi="Times New Roman" w:eastAsia="Times New Roman" w:cs="Times New Roman"/>
                      <w:color w:val="auto"/>
                      <w:sz w:val="21"/>
                      <w:szCs w:val="24"/>
                    </w:rPr>
                    <w:t>AC-13C</w:t>
                  </w:r>
                </w:p>
              </w:tc>
              <w:tc>
                <w:tcPr>
                  <w:tcW w:w="2017" w:type="dxa"/>
                  <w:vAlign w:val="center"/>
                </w:tcPr>
                <w:p w14:paraId="5094D1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4cm</w:t>
                  </w:r>
                </w:p>
              </w:tc>
              <w:tc>
                <w:tcPr>
                  <w:tcW w:w="2017" w:type="dxa"/>
                  <w:vAlign w:val="center"/>
                </w:tcPr>
                <w:p w14:paraId="509B6AB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采用</w:t>
                  </w:r>
                  <w:r>
                    <w:rPr>
                      <w:rFonts w:hint="default" w:ascii="Times New Roman" w:hAnsi="Times New Roman" w:eastAsia="Times New Roman" w:cs="Times New Roman"/>
                      <w:color w:val="auto"/>
                      <w:sz w:val="21"/>
                      <w:szCs w:val="24"/>
                    </w:rPr>
                    <w:t>SBS</w:t>
                  </w:r>
                  <w:r>
                    <w:rPr>
                      <w:rFonts w:hint="default" w:ascii="Times New Roman" w:hAnsi="Times New Roman" w:cs="Times New Roman"/>
                      <w:color w:val="auto"/>
                      <w:sz w:val="21"/>
                      <w:szCs w:val="24"/>
                    </w:rPr>
                    <w:t>改性沥青</w:t>
                  </w:r>
                </w:p>
              </w:tc>
            </w:tr>
            <w:tr w14:paraId="79D67B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76A530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7598EEF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改性乳化沥青粘层</w:t>
                  </w:r>
                </w:p>
              </w:tc>
              <w:tc>
                <w:tcPr>
                  <w:tcW w:w="2017" w:type="dxa"/>
                  <w:vAlign w:val="center"/>
                </w:tcPr>
                <w:p w14:paraId="17D671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630246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714838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635C27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下面层</w:t>
                  </w:r>
                </w:p>
              </w:tc>
              <w:tc>
                <w:tcPr>
                  <w:tcW w:w="2017" w:type="dxa"/>
                  <w:vAlign w:val="center"/>
                </w:tcPr>
                <w:p w14:paraId="442DC6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中粒式沥青混凝土</w:t>
                  </w:r>
                  <w:r>
                    <w:rPr>
                      <w:rFonts w:hint="default" w:ascii="Times New Roman" w:hAnsi="Times New Roman" w:eastAsia="Times New Roman" w:cs="Times New Roman"/>
                      <w:color w:val="auto"/>
                      <w:sz w:val="21"/>
                      <w:szCs w:val="24"/>
                    </w:rPr>
                    <w:t>AC-20C</w:t>
                  </w:r>
                </w:p>
              </w:tc>
              <w:tc>
                <w:tcPr>
                  <w:tcW w:w="2017" w:type="dxa"/>
                  <w:vAlign w:val="center"/>
                </w:tcPr>
                <w:p w14:paraId="322CA2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5cm</w:t>
                  </w:r>
                </w:p>
              </w:tc>
              <w:tc>
                <w:tcPr>
                  <w:tcW w:w="2017" w:type="dxa"/>
                  <w:vAlign w:val="center"/>
                </w:tcPr>
                <w:p w14:paraId="308F80F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62B40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122187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下封层</w:t>
                  </w:r>
                </w:p>
              </w:tc>
              <w:tc>
                <w:tcPr>
                  <w:tcW w:w="2017" w:type="dxa"/>
                  <w:vAlign w:val="center"/>
                </w:tcPr>
                <w:p w14:paraId="577487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改性沥青碎石封层</w:t>
                  </w:r>
                </w:p>
              </w:tc>
              <w:tc>
                <w:tcPr>
                  <w:tcW w:w="2017" w:type="dxa"/>
                  <w:vAlign w:val="center"/>
                </w:tcPr>
                <w:p w14:paraId="6DA1799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1cm</w:t>
                  </w:r>
                </w:p>
              </w:tc>
              <w:tc>
                <w:tcPr>
                  <w:tcW w:w="2017" w:type="dxa"/>
                  <w:vAlign w:val="center"/>
                </w:tcPr>
                <w:p w14:paraId="766769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50A576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783260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p>
              </w:tc>
              <w:tc>
                <w:tcPr>
                  <w:tcW w:w="2017" w:type="dxa"/>
                  <w:vAlign w:val="center"/>
                </w:tcPr>
                <w:p w14:paraId="52734F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乳化沥青透层</w:t>
                  </w:r>
                </w:p>
              </w:tc>
              <w:tc>
                <w:tcPr>
                  <w:tcW w:w="2017" w:type="dxa"/>
                  <w:vAlign w:val="center"/>
                </w:tcPr>
                <w:p w14:paraId="2CB1B33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08FBA5A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64E437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27C418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上基层</w:t>
                  </w:r>
                </w:p>
              </w:tc>
              <w:tc>
                <w:tcPr>
                  <w:tcW w:w="2017" w:type="dxa"/>
                  <w:vAlign w:val="center"/>
                </w:tcPr>
                <w:p w14:paraId="5DB87AF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4.5%</w:t>
                  </w:r>
                  <w:r>
                    <w:rPr>
                      <w:rFonts w:hint="default" w:ascii="Times New Roman" w:hAnsi="Times New Roman" w:cs="Times New Roman"/>
                      <w:color w:val="auto"/>
                      <w:sz w:val="21"/>
                      <w:szCs w:val="24"/>
                    </w:rPr>
                    <w:t>水泥稳定碎石</w:t>
                  </w:r>
                </w:p>
              </w:tc>
              <w:tc>
                <w:tcPr>
                  <w:tcW w:w="2017" w:type="dxa"/>
                  <w:vAlign w:val="center"/>
                </w:tcPr>
                <w:p w14:paraId="7D9CA3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22cm</w:t>
                  </w:r>
                </w:p>
              </w:tc>
              <w:tc>
                <w:tcPr>
                  <w:tcW w:w="2017" w:type="dxa"/>
                  <w:vAlign w:val="center"/>
                </w:tcPr>
                <w:p w14:paraId="713DA4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水泥掺量仅供参考</w:t>
                  </w:r>
                </w:p>
              </w:tc>
            </w:tr>
            <w:tr w14:paraId="1725D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43B5E4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下基层</w:t>
                  </w:r>
                </w:p>
              </w:tc>
              <w:tc>
                <w:tcPr>
                  <w:tcW w:w="2017" w:type="dxa"/>
                  <w:vAlign w:val="center"/>
                </w:tcPr>
                <w:p w14:paraId="198185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3.5%</w:t>
                  </w:r>
                  <w:r>
                    <w:rPr>
                      <w:rFonts w:hint="default" w:ascii="Times New Roman" w:hAnsi="Times New Roman" w:cs="Times New Roman"/>
                      <w:color w:val="auto"/>
                      <w:sz w:val="21"/>
                      <w:szCs w:val="24"/>
                    </w:rPr>
                    <w:t>水泥稳定碎石</w:t>
                  </w:r>
                </w:p>
              </w:tc>
              <w:tc>
                <w:tcPr>
                  <w:tcW w:w="2017" w:type="dxa"/>
                  <w:vAlign w:val="center"/>
                </w:tcPr>
                <w:p w14:paraId="5BA92D5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22cm</w:t>
                  </w:r>
                </w:p>
              </w:tc>
              <w:tc>
                <w:tcPr>
                  <w:tcW w:w="2017" w:type="dxa"/>
                  <w:vAlign w:val="center"/>
                </w:tcPr>
                <w:p w14:paraId="7C0372D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水泥掺量仅供参考</w:t>
                  </w:r>
                </w:p>
              </w:tc>
            </w:tr>
            <w:tr w14:paraId="56423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403F97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垫层</w:t>
                  </w:r>
                </w:p>
              </w:tc>
              <w:tc>
                <w:tcPr>
                  <w:tcW w:w="2017" w:type="dxa"/>
                  <w:vAlign w:val="center"/>
                </w:tcPr>
                <w:p w14:paraId="422817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级配碎石</w:t>
                  </w:r>
                </w:p>
              </w:tc>
              <w:tc>
                <w:tcPr>
                  <w:tcW w:w="2017" w:type="dxa"/>
                  <w:vAlign w:val="center"/>
                </w:tcPr>
                <w:p w14:paraId="6CF4FA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15cm</w:t>
                  </w:r>
                </w:p>
              </w:tc>
              <w:tc>
                <w:tcPr>
                  <w:tcW w:w="2017" w:type="dxa"/>
                  <w:vAlign w:val="center"/>
                </w:tcPr>
                <w:p w14:paraId="6BC8EE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50A50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21EACE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lang w:val="en-US" w:eastAsia="zh-CN"/>
                    </w:rPr>
                    <w:t>总厚度</w:t>
                  </w:r>
                </w:p>
              </w:tc>
              <w:tc>
                <w:tcPr>
                  <w:tcW w:w="2017" w:type="dxa"/>
                  <w:vAlign w:val="center"/>
                </w:tcPr>
                <w:p w14:paraId="0C36AC3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617DE1E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69cm</w:t>
                  </w:r>
                </w:p>
              </w:tc>
              <w:tc>
                <w:tcPr>
                  <w:tcW w:w="2017" w:type="dxa"/>
                  <w:vAlign w:val="center"/>
                </w:tcPr>
                <w:p w14:paraId="41A223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bl>
          <w:p w14:paraId="77131513">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表2-7 主线隧道段车行道路面结构层组成及厚度表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2012"/>
              <w:gridCol w:w="2012"/>
              <w:gridCol w:w="2012"/>
            </w:tblGrid>
            <w:tr w14:paraId="6F7D8C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017" w:type="dxa"/>
                  <w:vAlign w:val="center"/>
                </w:tcPr>
                <w:p w14:paraId="203D84A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层位</w:t>
                  </w:r>
                </w:p>
              </w:tc>
              <w:tc>
                <w:tcPr>
                  <w:tcW w:w="2017" w:type="dxa"/>
                  <w:vAlign w:val="center"/>
                </w:tcPr>
                <w:p w14:paraId="166DC25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结构层材料</w:t>
                  </w:r>
                </w:p>
              </w:tc>
              <w:tc>
                <w:tcPr>
                  <w:tcW w:w="2017" w:type="dxa"/>
                  <w:vAlign w:val="center"/>
                </w:tcPr>
                <w:p w14:paraId="26C6DFB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厚度</w:t>
                  </w:r>
                </w:p>
              </w:tc>
              <w:tc>
                <w:tcPr>
                  <w:tcW w:w="2017" w:type="dxa"/>
                  <w:vAlign w:val="center"/>
                </w:tcPr>
                <w:p w14:paraId="0A85B9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备注</w:t>
                  </w:r>
                </w:p>
              </w:tc>
            </w:tr>
            <w:tr w14:paraId="32B9BD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3EC8C3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上面层</w:t>
                  </w:r>
                </w:p>
              </w:tc>
              <w:tc>
                <w:tcPr>
                  <w:tcW w:w="2017" w:type="dxa"/>
                  <w:vAlign w:val="center"/>
                </w:tcPr>
                <w:p w14:paraId="7B4174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细粒式沥青混凝土</w:t>
                  </w:r>
                  <w:r>
                    <w:rPr>
                      <w:rFonts w:hint="default" w:ascii="Times New Roman" w:hAnsi="Times New Roman" w:eastAsia="Times New Roman" w:cs="Times New Roman"/>
                      <w:color w:val="auto"/>
                      <w:sz w:val="21"/>
                      <w:szCs w:val="24"/>
                    </w:rPr>
                    <w:t>AC-13C</w:t>
                  </w:r>
                </w:p>
              </w:tc>
              <w:tc>
                <w:tcPr>
                  <w:tcW w:w="2017" w:type="dxa"/>
                  <w:vAlign w:val="center"/>
                </w:tcPr>
                <w:p w14:paraId="1644B90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4cm</w:t>
                  </w:r>
                </w:p>
              </w:tc>
              <w:tc>
                <w:tcPr>
                  <w:tcW w:w="2017" w:type="dxa"/>
                  <w:vAlign w:val="center"/>
                </w:tcPr>
                <w:p w14:paraId="3A76757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采用</w:t>
                  </w:r>
                  <w:r>
                    <w:rPr>
                      <w:rFonts w:hint="default" w:ascii="Times New Roman" w:hAnsi="Times New Roman" w:eastAsia="Times New Roman" w:cs="Times New Roman"/>
                      <w:color w:val="auto"/>
                      <w:sz w:val="21"/>
                      <w:szCs w:val="24"/>
                    </w:rPr>
                    <w:t>SBS</w:t>
                  </w:r>
                  <w:r>
                    <w:rPr>
                      <w:rFonts w:hint="default" w:ascii="Times New Roman" w:hAnsi="Times New Roman" w:cs="Times New Roman"/>
                      <w:color w:val="auto"/>
                      <w:sz w:val="21"/>
                      <w:szCs w:val="24"/>
                    </w:rPr>
                    <w:t>改性沥青</w:t>
                  </w:r>
                </w:p>
              </w:tc>
            </w:tr>
            <w:tr w14:paraId="2DB5C3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4B275B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4C57E8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改性乳化沥青粘层</w:t>
                  </w:r>
                </w:p>
              </w:tc>
              <w:tc>
                <w:tcPr>
                  <w:tcW w:w="2017" w:type="dxa"/>
                  <w:vAlign w:val="center"/>
                </w:tcPr>
                <w:p w14:paraId="52A703E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7F845C3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722A5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65A93E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下面层</w:t>
                  </w:r>
                </w:p>
              </w:tc>
              <w:tc>
                <w:tcPr>
                  <w:tcW w:w="2017" w:type="dxa"/>
                  <w:vAlign w:val="center"/>
                </w:tcPr>
                <w:p w14:paraId="3768F5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中粒式沥青混凝土</w:t>
                  </w:r>
                  <w:r>
                    <w:rPr>
                      <w:rFonts w:hint="default" w:ascii="Times New Roman" w:hAnsi="Times New Roman" w:eastAsia="Times New Roman" w:cs="Times New Roman"/>
                      <w:color w:val="auto"/>
                      <w:sz w:val="21"/>
                      <w:szCs w:val="24"/>
                    </w:rPr>
                    <w:t>AC-20C</w:t>
                  </w:r>
                </w:p>
              </w:tc>
              <w:tc>
                <w:tcPr>
                  <w:tcW w:w="2017" w:type="dxa"/>
                  <w:vAlign w:val="center"/>
                </w:tcPr>
                <w:p w14:paraId="4A5D0A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5cm</w:t>
                  </w:r>
                </w:p>
              </w:tc>
              <w:tc>
                <w:tcPr>
                  <w:tcW w:w="2017" w:type="dxa"/>
                  <w:vAlign w:val="center"/>
                </w:tcPr>
                <w:p w14:paraId="120FB30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1A9D17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7C9BF4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p>
              </w:tc>
              <w:tc>
                <w:tcPr>
                  <w:tcW w:w="2017" w:type="dxa"/>
                  <w:vAlign w:val="center"/>
                </w:tcPr>
                <w:p w14:paraId="0462F5D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预拌沥青碎石黏结层</w:t>
                  </w:r>
                </w:p>
              </w:tc>
              <w:tc>
                <w:tcPr>
                  <w:tcW w:w="2017" w:type="dxa"/>
                  <w:vAlign w:val="center"/>
                </w:tcPr>
                <w:p w14:paraId="120B61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2cm</w:t>
                  </w:r>
                </w:p>
              </w:tc>
              <w:tc>
                <w:tcPr>
                  <w:tcW w:w="2017" w:type="dxa"/>
                  <w:vAlign w:val="center"/>
                </w:tcPr>
                <w:p w14:paraId="5603861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034F59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31A6ED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下封层</w:t>
                  </w:r>
                </w:p>
              </w:tc>
              <w:tc>
                <w:tcPr>
                  <w:tcW w:w="2017" w:type="dxa"/>
                  <w:vAlign w:val="center"/>
                </w:tcPr>
                <w:p w14:paraId="3443632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改性沥青碎石封层</w:t>
                  </w:r>
                </w:p>
              </w:tc>
              <w:tc>
                <w:tcPr>
                  <w:tcW w:w="2017" w:type="dxa"/>
                  <w:vAlign w:val="center"/>
                </w:tcPr>
                <w:p w14:paraId="50A9B20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1cm</w:t>
                  </w:r>
                </w:p>
              </w:tc>
              <w:tc>
                <w:tcPr>
                  <w:tcW w:w="2017" w:type="dxa"/>
                  <w:vAlign w:val="center"/>
                </w:tcPr>
                <w:p w14:paraId="59D23F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62E56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2890C38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p>
              </w:tc>
              <w:tc>
                <w:tcPr>
                  <w:tcW w:w="2017" w:type="dxa"/>
                  <w:vAlign w:val="center"/>
                </w:tcPr>
                <w:p w14:paraId="7B44ED3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水泥混凝土面层</w:t>
                  </w:r>
                </w:p>
              </w:tc>
              <w:tc>
                <w:tcPr>
                  <w:tcW w:w="2017" w:type="dxa"/>
                  <w:vAlign w:val="center"/>
                </w:tcPr>
                <w:p w14:paraId="43F860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20cm</w:t>
                  </w:r>
                </w:p>
              </w:tc>
              <w:tc>
                <w:tcPr>
                  <w:tcW w:w="2017" w:type="dxa"/>
                  <w:vAlign w:val="center"/>
                </w:tcPr>
                <w:p w14:paraId="60F3FCF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1BB8F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3DBC343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p>
              </w:tc>
              <w:tc>
                <w:tcPr>
                  <w:tcW w:w="2017" w:type="dxa"/>
                  <w:vAlign w:val="center"/>
                </w:tcPr>
                <w:p w14:paraId="58ACDC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水泥混凝土基层</w:t>
                  </w:r>
                </w:p>
              </w:tc>
              <w:tc>
                <w:tcPr>
                  <w:tcW w:w="2017" w:type="dxa"/>
                  <w:vAlign w:val="center"/>
                </w:tcPr>
                <w:p w14:paraId="64437B5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20</w:t>
                  </w:r>
                </w:p>
              </w:tc>
              <w:tc>
                <w:tcPr>
                  <w:tcW w:w="2017" w:type="dxa"/>
                  <w:vAlign w:val="center"/>
                </w:tcPr>
                <w:p w14:paraId="23CFC62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6A193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415C0C2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lang w:val="en-US" w:eastAsia="zh-CN"/>
                    </w:rPr>
                    <w:t>总厚度</w:t>
                  </w:r>
                </w:p>
              </w:tc>
              <w:tc>
                <w:tcPr>
                  <w:tcW w:w="2017" w:type="dxa"/>
                  <w:vAlign w:val="center"/>
                </w:tcPr>
                <w:p w14:paraId="3419D6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31CCDC3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52cm</w:t>
                  </w:r>
                </w:p>
              </w:tc>
              <w:tc>
                <w:tcPr>
                  <w:tcW w:w="2017" w:type="dxa"/>
                  <w:vAlign w:val="center"/>
                </w:tcPr>
                <w:p w14:paraId="5BA7B3E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bl>
          <w:p w14:paraId="3291F19B">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表2-8 支线路基段车行道路面结构层组成及厚度表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12"/>
              <w:gridCol w:w="2012"/>
              <w:gridCol w:w="2012"/>
              <w:gridCol w:w="2012"/>
            </w:tblGrid>
            <w:tr w14:paraId="01ECA6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017" w:type="dxa"/>
                  <w:vAlign w:val="center"/>
                </w:tcPr>
                <w:p w14:paraId="6331468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层位</w:t>
                  </w:r>
                </w:p>
              </w:tc>
              <w:tc>
                <w:tcPr>
                  <w:tcW w:w="2017" w:type="dxa"/>
                  <w:vAlign w:val="center"/>
                </w:tcPr>
                <w:p w14:paraId="0DCE064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结构层材料</w:t>
                  </w:r>
                </w:p>
              </w:tc>
              <w:tc>
                <w:tcPr>
                  <w:tcW w:w="2017" w:type="dxa"/>
                  <w:vAlign w:val="center"/>
                </w:tcPr>
                <w:p w14:paraId="4C873A2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厚度</w:t>
                  </w:r>
                </w:p>
              </w:tc>
              <w:tc>
                <w:tcPr>
                  <w:tcW w:w="2017" w:type="dxa"/>
                  <w:vAlign w:val="center"/>
                </w:tcPr>
                <w:p w14:paraId="4CED161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备注</w:t>
                  </w:r>
                </w:p>
              </w:tc>
            </w:tr>
            <w:tr w14:paraId="5D76D0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271993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vertAlign w:val="baseline"/>
                    </w:rPr>
                    <w:t>上面层</w:t>
                  </w:r>
                </w:p>
              </w:tc>
              <w:tc>
                <w:tcPr>
                  <w:tcW w:w="2017" w:type="dxa"/>
                  <w:vAlign w:val="center"/>
                </w:tcPr>
                <w:p w14:paraId="3A51E75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细粒式沥青混凝土</w:t>
                  </w:r>
                  <w:r>
                    <w:rPr>
                      <w:rFonts w:hint="default" w:ascii="Times New Roman" w:hAnsi="Times New Roman" w:eastAsia="Times New Roman" w:cs="Times New Roman"/>
                      <w:color w:val="auto"/>
                      <w:sz w:val="21"/>
                      <w:szCs w:val="24"/>
                    </w:rPr>
                    <w:t>AC-13C</w:t>
                  </w:r>
                </w:p>
              </w:tc>
              <w:tc>
                <w:tcPr>
                  <w:tcW w:w="2017" w:type="dxa"/>
                  <w:vAlign w:val="center"/>
                </w:tcPr>
                <w:p w14:paraId="6F5628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4cm</w:t>
                  </w:r>
                </w:p>
              </w:tc>
              <w:tc>
                <w:tcPr>
                  <w:tcW w:w="2017" w:type="dxa"/>
                  <w:vAlign w:val="center"/>
                </w:tcPr>
                <w:p w14:paraId="17A793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采用</w:t>
                  </w:r>
                  <w:r>
                    <w:rPr>
                      <w:rFonts w:hint="default" w:ascii="Times New Roman" w:hAnsi="Times New Roman" w:eastAsia="Times New Roman" w:cs="Times New Roman"/>
                      <w:color w:val="auto"/>
                      <w:sz w:val="21"/>
                      <w:szCs w:val="24"/>
                    </w:rPr>
                    <w:t>SBS</w:t>
                  </w:r>
                  <w:r>
                    <w:rPr>
                      <w:rFonts w:hint="default" w:ascii="Times New Roman" w:hAnsi="Times New Roman" w:cs="Times New Roman"/>
                      <w:color w:val="auto"/>
                      <w:sz w:val="21"/>
                      <w:szCs w:val="24"/>
                    </w:rPr>
                    <w:t>改性沥青</w:t>
                  </w:r>
                </w:p>
              </w:tc>
            </w:tr>
            <w:tr w14:paraId="7894E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647D61D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5E4BB1C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改性乳化沥青粘层</w:t>
                  </w:r>
                </w:p>
              </w:tc>
              <w:tc>
                <w:tcPr>
                  <w:tcW w:w="2017" w:type="dxa"/>
                  <w:vAlign w:val="center"/>
                </w:tcPr>
                <w:p w14:paraId="77E9BC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5F5B4A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7ECDCF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69F08FA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下面层</w:t>
                  </w:r>
                </w:p>
              </w:tc>
              <w:tc>
                <w:tcPr>
                  <w:tcW w:w="2017" w:type="dxa"/>
                  <w:vAlign w:val="center"/>
                </w:tcPr>
                <w:p w14:paraId="2052DE2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中粒式沥青混凝土</w:t>
                  </w:r>
                  <w:r>
                    <w:rPr>
                      <w:rFonts w:hint="default" w:ascii="Times New Roman" w:hAnsi="Times New Roman" w:eastAsia="Times New Roman" w:cs="Times New Roman"/>
                      <w:color w:val="auto"/>
                      <w:sz w:val="21"/>
                      <w:szCs w:val="24"/>
                    </w:rPr>
                    <w:t>AC-20C</w:t>
                  </w:r>
                </w:p>
              </w:tc>
              <w:tc>
                <w:tcPr>
                  <w:tcW w:w="2017" w:type="dxa"/>
                  <w:vAlign w:val="center"/>
                </w:tcPr>
                <w:p w14:paraId="3B3108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5cm</w:t>
                  </w:r>
                </w:p>
              </w:tc>
              <w:tc>
                <w:tcPr>
                  <w:tcW w:w="2017" w:type="dxa"/>
                  <w:vAlign w:val="center"/>
                </w:tcPr>
                <w:p w14:paraId="7D6E272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5C4589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062D428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下封层</w:t>
                  </w:r>
                </w:p>
              </w:tc>
              <w:tc>
                <w:tcPr>
                  <w:tcW w:w="2017" w:type="dxa"/>
                  <w:vAlign w:val="center"/>
                </w:tcPr>
                <w:p w14:paraId="019FEC6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改性沥青碎石封层</w:t>
                  </w:r>
                </w:p>
              </w:tc>
              <w:tc>
                <w:tcPr>
                  <w:tcW w:w="2017" w:type="dxa"/>
                  <w:vAlign w:val="center"/>
                </w:tcPr>
                <w:p w14:paraId="76AA20B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1cm</w:t>
                  </w:r>
                </w:p>
              </w:tc>
              <w:tc>
                <w:tcPr>
                  <w:tcW w:w="2017" w:type="dxa"/>
                  <w:vAlign w:val="center"/>
                </w:tcPr>
                <w:p w14:paraId="79F5D6A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66B9B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1D9DFC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p>
              </w:tc>
              <w:tc>
                <w:tcPr>
                  <w:tcW w:w="2017" w:type="dxa"/>
                  <w:vAlign w:val="center"/>
                </w:tcPr>
                <w:p w14:paraId="5BB32A7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乳化沥青透层</w:t>
                  </w:r>
                </w:p>
              </w:tc>
              <w:tc>
                <w:tcPr>
                  <w:tcW w:w="2017" w:type="dxa"/>
                  <w:vAlign w:val="center"/>
                </w:tcPr>
                <w:p w14:paraId="00BE965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4B638AC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5024A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1D5653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上基层</w:t>
                  </w:r>
                </w:p>
              </w:tc>
              <w:tc>
                <w:tcPr>
                  <w:tcW w:w="2017" w:type="dxa"/>
                  <w:vAlign w:val="center"/>
                </w:tcPr>
                <w:p w14:paraId="1EF261A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4.5%</w:t>
                  </w:r>
                  <w:r>
                    <w:rPr>
                      <w:rFonts w:hint="default" w:ascii="Times New Roman" w:hAnsi="Times New Roman" w:cs="Times New Roman"/>
                      <w:color w:val="auto"/>
                      <w:sz w:val="21"/>
                      <w:szCs w:val="24"/>
                    </w:rPr>
                    <w:t>水泥稳定碎石</w:t>
                  </w:r>
                </w:p>
              </w:tc>
              <w:tc>
                <w:tcPr>
                  <w:tcW w:w="2017" w:type="dxa"/>
                  <w:vAlign w:val="center"/>
                </w:tcPr>
                <w:p w14:paraId="70FC34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22cm</w:t>
                  </w:r>
                </w:p>
              </w:tc>
              <w:tc>
                <w:tcPr>
                  <w:tcW w:w="2017" w:type="dxa"/>
                  <w:vAlign w:val="center"/>
                </w:tcPr>
                <w:p w14:paraId="7A109A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水泥掺量仅供参考</w:t>
                  </w:r>
                </w:p>
              </w:tc>
            </w:tr>
            <w:tr w14:paraId="5083B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55064D3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下基层</w:t>
                  </w:r>
                </w:p>
              </w:tc>
              <w:tc>
                <w:tcPr>
                  <w:tcW w:w="2017" w:type="dxa"/>
                  <w:vAlign w:val="center"/>
                </w:tcPr>
                <w:p w14:paraId="4B71F6C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3.5%</w:t>
                  </w:r>
                  <w:r>
                    <w:rPr>
                      <w:rFonts w:hint="default" w:ascii="Times New Roman" w:hAnsi="Times New Roman" w:cs="Times New Roman"/>
                      <w:color w:val="auto"/>
                      <w:sz w:val="21"/>
                      <w:szCs w:val="24"/>
                    </w:rPr>
                    <w:t>水泥稳定碎石</w:t>
                  </w:r>
                </w:p>
              </w:tc>
              <w:tc>
                <w:tcPr>
                  <w:tcW w:w="2017" w:type="dxa"/>
                  <w:vAlign w:val="center"/>
                </w:tcPr>
                <w:p w14:paraId="115725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eastAsia="Times New Roman" w:cs="Times New Roman"/>
                      <w:color w:val="auto"/>
                      <w:sz w:val="21"/>
                      <w:szCs w:val="24"/>
                    </w:rPr>
                    <w:t>22cm</w:t>
                  </w:r>
                </w:p>
              </w:tc>
              <w:tc>
                <w:tcPr>
                  <w:tcW w:w="2017" w:type="dxa"/>
                  <w:vAlign w:val="center"/>
                </w:tcPr>
                <w:p w14:paraId="3105448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水泥掺量仅供参考</w:t>
                  </w:r>
                </w:p>
              </w:tc>
            </w:tr>
            <w:tr w14:paraId="2E7A6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3B51526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rPr>
                  </w:pPr>
                  <w:r>
                    <w:rPr>
                      <w:rFonts w:hint="default" w:ascii="Times New Roman" w:hAnsi="Times New Roman" w:cs="Times New Roman"/>
                      <w:color w:val="auto"/>
                      <w:sz w:val="21"/>
                      <w:szCs w:val="24"/>
                    </w:rPr>
                    <w:t>垫层</w:t>
                  </w:r>
                </w:p>
              </w:tc>
              <w:tc>
                <w:tcPr>
                  <w:tcW w:w="2017" w:type="dxa"/>
                  <w:vAlign w:val="center"/>
                </w:tcPr>
                <w:p w14:paraId="11572C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r>
                    <w:rPr>
                      <w:rFonts w:hint="default" w:ascii="Times New Roman" w:hAnsi="Times New Roman" w:cs="Times New Roman"/>
                      <w:color w:val="auto"/>
                      <w:sz w:val="21"/>
                      <w:szCs w:val="24"/>
                    </w:rPr>
                    <w:t>级配碎石</w:t>
                  </w:r>
                </w:p>
              </w:tc>
              <w:tc>
                <w:tcPr>
                  <w:tcW w:w="2017" w:type="dxa"/>
                  <w:vAlign w:val="center"/>
                </w:tcPr>
                <w:p w14:paraId="628F66A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15cm</w:t>
                  </w:r>
                </w:p>
              </w:tc>
              <w:tc>
                <w:tcPr>
                  <w:tcW w:w="2017" w:type="dxa"/>
                  <w:vAlign w:val="center"/>
                </w:tcPr>
                <w:p w14:paraId="59FA3A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r w14:paraId="08300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7" w:type="dxa"/>
                  <w:vAlign w:val="center"/>
                </w:tcPr>
                <w:p w14:paraId="1574110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lang w:val="en-US" w:eastAsia="zh-CN"/>
                    </w:rPr>
                  </w:pPr>
                  <w:r>
                    <w:rPr>
                      <w:rFonts w:hint="default" w:ascii="Times New Roman" w:hAnsi="Times New Roman" w:cs="Times New Roman"/>
                      <w:color w:val="auto"/>
                      <w:sz w:val="21"/>
                      <w:szCs w:val="24"/>
                      <w:lang w:val="en-US" w:eastAsia="zh-CN"/>
                    </w:rPr>
                    <w:t>总厚度</w:t>
                  </w:r>
                </w:p>
              </w:tc>
              <w:tc>
                <w:tcPr>
                  <w:tcW w:w="2017" w:type="dxa"/>
                  <w:vAlign w:val="center"/>
                </w:tcPr>
                <w:p w14:paraId="0835AA8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c>
                <w:tcPr>
                  <w:tcW w:w="2017" w:type="dxa"/>
                  <w:vAlign w:val="center"/>
                </w:tcPr>
                <w:p w14:paraId="12EB7FA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4"/>
                      <w:vertAlign w:val="baseline"/>
                      <w:lang w:val="en-US" w:eastAsia="zh-CN"/>
                    </w:rPr>
                  </w:pPr>
                  <w:r>
                    <w:rPr>
                      <w:rFonts w:hint="default" w:ascii="Times New Roman" w:hAnsi="Times New Roman" w:cs="Times New Roman"/>
                      <w:color w:val="auto"/>
                      <w:sz w:val="21"/>
                      <w:szCs w:val="24"/>
                      <w:vertAlign w:val="baseline"/>
                      <w:lang w:val="en-US" w:eastAsia="zh-CN"/>
                    </w:rPr>
                    <w:t>69cm</w:t>
                  </w:r>
                </w:p>
              </w:tc>
              <w:tc>
                <w:tcPr>
                  <w:tcW w:w="2017" w:type="dxa"/>
                  <w:vAlign w:val="center"/>
                </w:tcPr>
                <w:p w14:paraId="486053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4"/>
                      <w:vertAlign w:val="baseline"/>
                    </w:rPr>
                  </w:pPr>
                </w:p>
              </w:tc>
            </w:tr>
          </w:tbl>
          <w:p w14:paraId="1F9814D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5039995" cy="2913380"/>
                  <wp:effectExtent l="0" t="0" r="1905" b="762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27"/>
                          <a:stretch>
                            <a:fillRect/>
                          </a:stretch>
                        </pic:blipFill>
                        <pic:spPr>
                          <a:xfrm>
                            <a:off x="0" y="0"/>
                            <a:ext cx="5039995" cy="2913380"/>
                          </a:xfrm>
                          <a:prstGeom prst="rect">
                            <a:avLst/>
                          </a:prstGeom>
                          <a:noFill/>
                          <a:ln>
                            <a:noFill/>
                          </a:ln>
                        </pic:spPr>
                      </pic:pic>
                    </a:graphicData>
                  </a:graphic>
                </wp:inline>
              </w:drawing>
            </w:r>
          </w:p>
          <w:p w14:paraId="320DF89F">
            <w:pPr>
              <w:widowControl/>
              <w:spacing w:line="460" w:lineRule="exact"/>
              <w:jc w:val="center"/>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图2-3 路基段路面结构设计图（一）</w:t>
            </w:r>
          </w:p>
          <w:p w14:paraId="46CC85B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路基设计</w:t>
            </w:r>
          </w:p>
          <w:p w14:paraId="610F5D2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1）路基工程简介</w:t>
            </w:r>
          </w:p>
          <w:p w14:paraId="29B59EE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普光镇杏树村农村道路，施工图方案主路长度2.793km、支路长0.17km。其中主路K0+000～K2+300段为非涉铁段，路基长度1.19km，路基占比51.74％。主路K2+300～K2+792.59段、支路ZK0+000～+170段为涉铁段，路基长度0.663km，路基占比100％。</w:t>
            </w:r>
          </w:p>
          <w:p w14:paraId="638BD48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2）路基横断面布置</w:t>
            </w:r>
          </w:p>
          <w:p w14:paraId="50E524B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主路设计时速30km/h，支路设计时速20km/h，路基标准路幅宽度7.5m，其路幅构成为：0.5m土路肩+3.25m车行道+3.25m车行道+0.5m土路肩。</w:t>
            </w:r>
          </w:p>
          <w:p w14:paraId="5A86EDC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3）路拱横坡</w:t>
            </w:r>
          </w:p>
          <w:p w14:paraId="181841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路面横坡2％。</w:t>
            </w:r>
          </w:p>
          <w:p w14:paraId="1283195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eastAsia="zh-CN"/>
              </w:rPr>
            </w:pP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lang w:eastAsia="zh-CN"/>
              </w:rPr>
              <w:t>超高方式</w:t>
            </w:r>
          </w:p>
          <w:p w14:paraId="2813D0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路基超高方式绕中线一起旋转。</w:t>
            </w:r>
          </w:p>
          <w:p w14:paraId="44C1380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5）路基边坡设计</w:t>
            </w:r>
          </w:p>
          <w:p w14:paraId="2E761CC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val="en-US" w:eastAsia="zh-CN"/>
              </w:rPr>
              <w:t>A</w:t>
            </w:r>
            <w:r>
              <w:rPr>
                <w:rFonts w:hint="default" w:ascii="Times New Roman" w:hAnsi="Times New Roman" w:cs="Times New Roman"/>
                <w:b w:val="0"/>
                <w:bCs w:val="0"/>
                <w:color w:val="auto"/>
                <w:sz w:val="24"/>
                <w:szCs w:val="32"/>
                <w:lang w:eastAsia="zh-CN"/>
              </w:rPr>
              <w:t>路堤边坡</w:t>
            </w:r>
          </w:p>
          <w:p w14:paraId="76ED95B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路堤边坡形式和坡率应根据填料的物理力学性质、边坡高度和工程地质条件确定。地基情况良好时一般采用如下形式：路堤边坡高度小于20m时，路肩以下0～8m边坡坡率采用1:1.50，8～20m边坡坡率采用1:1.75，在变坡点设2.0m宽平台。</w:t>
            </w:r>
          </w:p>
          <w:p w14:paraId="6EEF7D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浸水路基填料必须采用渗水性良好的填料（如砂砾石或片碎石）。护坡道宽度采用1.0m。</w:t>
            </w:r>
          </w:p>
          <w:p w14:paraId="563BBE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护坡道设置外倾3%的横坡。</w:t>
            </w:r>
          </w:p>
          <w:p w14:paraId="6796C98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val="en-US" w:eastAsia="zh-CN"/>
              </w:rPr>
              <w:t>B</w:t>
            </w:r>
            <w:r>
              <w:rPr>
                <w:rFonts w:hint="default" w:ascii="Times New Roman" w:hAnsi="Times New Roman" w:cs="Times New Roman"/>
                <w:b w:val="0"/>
                <w:bCs w:val="0"/>
                <w:color w:val="auto"/>
                <w:sz w:val="24"/>
                <w:szCs w:val="32"/>
                <w:lang w:eastAsia="zh-CN"/>
              </w:rPr>
              <w:t>路堑边坡</w:t>
            </w:r>
          </w:p>
          <w:p w14:paraId="6AD0ED5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挖方边坡坡度根据岩性、地质构造、岩石的风化破碎程度、边坡高度、地下水、地面水情况确定边坡坡率，弱风化岩质边坡坡率一般为1:0.75；强风化岩质边坡坡率一般为1:0.75～1:1；土质边坡坡率一般为1:1～1:1.25。边坡10～12m分级，设置2m宽平台。</w:t>
            </w:r>
          </w:p>
          <w:p w14:paraId="1CE75345">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eastAsia="zh-CN"/>
              </w:rPr>
            </w:pPr>
            <w:r>
              <w:rPr>
                <w:rFonts w:hint="default" w:ascii="Times New Roman" w:hAnsi="Times New Roman" w:cs="Times New Roman"/>
                <w:b/>
                <w:bCs/>
                <w:color w:val="auto"/>
                <w:sz w:val="24"/>
                <w:szCs w:val="32"/>
                <w:lang w:val="en-US" w:eastAsia="zh-CN"/>
              </w:rPr>
              <w:t>6）路基边坡支挡、加固及防护工程</w:t>
            </w:r>
          </w:p>
          <w:p w14:paraId="130249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val="en-US" w:eastAsia="zh-CN"/>
              </w:rPr>
              <w:t>A</w:t>
            </w:r>
            <w:r>
              <w:rPr>
                <w:rFonts w:hint="default" w:ascii="Times New Roman" w:hAnsi="Times New Roman" w:cs="Times New Roman"/>
                <w:b w:val="0"/>
                <w:bCs w:val="0"/>
                <w:color w:val="auto"/>
                <w:sz w:val="24"/>
                <w:szCs w:val="32"/>
                <w:lang w:eastAsia="zh-CN"/>
              </w:rPr>
              <w:t>边坡支挡及加固</w:t>
            </w:r>
          </w:p>
          <w:p w14:paraId="501649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挡土墙：在地面横坡较陡放坡困难的路段，设置路肩墙、路堑墙收坡。挡土墙应结合地形、地基承载力等因素选取。</w:t>
            </w:r>
          </w:p>
          <w:p w14:paraId="33C098E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道路主要有桥头及沟槽陡坡路基、用地限制及工程衔接需要地段，设置支挡工程。如：K0+222～K0+240段、K0+333～K0+347段右侧，受基本农田红线用地限制，设置衡重式路肩墙收坡。</w:t>
            </w:r>
          </w:p>
          <w:p w14:paraId="451A95E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锚固桩：在地面横坡较陡放坡困难、既有构筑物及不良地质的路段，设置桩间墙、桩板墙收坡。</w:t>
            </w:r>
          </w:p>
          <w:p w14:paraId="5F7D952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既有铁路专用线K2+838.1～K2+923.6段与支路并行不等高，其间设有较大尺寸排水沟，需对水沟右侧紧邻既有线侧边坡进行开挖，因既有线边坡为顺层，设置桩板墙防护。</w:t>
            </w:r>
          </w:p>
          <w:p w14:paraId="3453CF0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val="en-US" w:eastAsia="zh-CN"/>
              </w:rPr>
              <w:t>B</w:t>
            </w:r>
            <w:r>
              <w:rPr>
                <w:rFonts w:hint="default" w:ascii="Times New Roman" w:hAnsi="Times New Roman" w:cs="Times New Roman"/>
                <w:b w:val="0"/>
                <w:bCs w:val="0"/>
                <w:color w:val="auto"/>
                <w:sz w:val="24"/>
                <w:szCs w:val="32"/>
                <w:lang w:eastAsia="zh-CN"/>
              </w:rPr>
              <w:t>边坡防护</w:t>
            </w:r>
          </w:p>
          <w:p w14:paraId="5531A45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填方路堤：单级填土高度H≤4m，边坡采用撒草籽或液压喷播植草间植灌木防护。单级填土高度H＞4m，采用人字形骨架内撒草籽或液压喷播植草间植灌木防护。填土高度大于8m，采用阶梯型分级放坡，边坡采用人字形骨架内撒草籽或液压喷播植草间植灌木+边坡水平铺设土工格栅防护。</w:t>
            </w:r>
          </w:p>
          <w:p w14:paraId="085DEB7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挖方路堑：土质及岩质全风化边坡，采用液压喷播植草防护。对软质岩弱风化及硬质岩强风化、弱风化边坡，采用挂三维网喷播植草或客土喷播植草护坡防护。易风化以及节理发育、岩体破碎、存在外倾楔形体的路堑边坡，原则采用主动网防护。陡坡路基或高边坡可采用锚杆框架梁内挂网喷播植草防护。</w:t>
            </w:r>
          </w:p>
          <w:p w14:paraId="0710CB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主要支挡工程：</w:t>
            </w:r>
          </w:p>
          <w:p w14:paraId="748EA66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K0+118.13～K0+130.13段左侧、K0+118.13～K0+141.13段右侧，桥头陡坡路基设置衡重式路肩墙收坡；</w:t>
            </w:r>
          </w:p>
          <w:p w14:paraId="67423B7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K0+222～K0+240段、K0+333～K0+347段右侧，基本农田用地限制设置衡重式路肩墙收坡；</w:t>
            </w:r>
          </w:p>
          <w:p w14:paraId="5F4321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K0+404～K0+757段右侧、K0+757～K0+789段左侧，陡坡沟槽路基设置衡重式路肩墙收坡；</w:t>
            </w:r>
          </w:p>
          <w:p w14:paraId="558046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K1+803～K1+808左侧设置路堑墙与隧道工程衔接；</w:t>
            </w:r>
          </w:p>
          <w:p w14:paraId="3343C4B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K1+803～K1+854段右侧设置路堑墙与隧道工程衔接，兼顾改沟需要；</w:t>
            </w:r>
          </w:p>
          <w:p w14:paraId="489F881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K2+010～K2+054段左侧沟槽及改沟设置路堑墙防护；</w:t>
            </w:r>
          </w:p>
          <w:p w14:paraId="52956DC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K2+214～K2+234段右侧高边坡，为降低开挖高度设置路堑墙；</w:t>
            </w:r>
          </w:p>
          <w:p w14:paraId="3FBB4C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eastAsia="zh-CN"/>
              </w:rPr>
            </w:pPr>
            <w:r>
              <w:rPr>
                <w:rFonts w:hint="default" w:ascii="Times New Roman" w:hAnsi="Times New Roman" w:cs="Times New Roman"/>
                <w:b w:val="0"/>
                <w:bCs w:val="0"/>
                <w:color w:val="auto"/>
                <w:sz w:val="24"/>
                <w:szCs w:val="32"/>
                <w:lang w:eastAsia="zh-CN"/>
              </w:rPr>
              <w:t>既有铁路专用线K2+838.1～K2+923.6段与支路并行不等高，其间设有较大尺寸排水沟，需对水沟右侧紧邻既有线侧边坡进行开挖，因既有线边坡为顺层，设置桩板墙防护。</w:t>
            </w:r>
          </w:p>
          <w:p w14:paraId="1E0239D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lang w:eastAsia="zh-CN"/>
              </w:rPr>
              <w:t>）韩家岩隧道设计</w:t>
            </w:r>
          </w:p>
          <w:p w14:paraId="34DA3DC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本工程新建1座单洞双车道公路隧道，韩家岩隧道，起止里程为K0+810～K1+793，长983m，最大埋深约172m。</w:t>
            </w:r>
          </w:p>
          <w:p w14:paraId="1007CB4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center"/>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3556000" cy="4173855"/>
                  <wp:effectExtent l="0" t="0" r="0" b="4445"/>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28"/>
                          <a:stretch>
                            <a:fillRect/>
                          </a:stretch>
                        </pic:blipFill>
                        <pic:spPr>
                          <a:xfrm>
                            <a:off x="0" y="0"/>
                            <a:ext cx="3556000" cy="4173855"/>
                          </a:xfrm>
                          <a:prstGeom prst="rect">
                            <a:avLst/>
                          </a:prstGeom>
                          <a:noFill/>
                          <a:ln>
                            <a:noFill/>
                          </a:ln>
                        </pic:spPr>
                      </pic:pic>
                    </a:graphicData>
                  </a:graphic>
                </wp:inline>
              </w:drawing>
            </w:r>
          </w:p>
          <w:p w14:paraId="75548578">
            <w:pPr>
              <w:widowControl/>
              <w:spacing w:line="460" w:lineRule="exact"/>
              <w:jc w:val="center"/>
              <w:rPr>
                <w:rFonts w:hint="default" w:ascii="Times New Roman" w:hAnsi="Times New Roman" w:cs="Times New Roman"/>
                <w:b/>
                <w:bCs/>
                <w:color w:val="auto"/>
                <w:lang w:val="en-US"/>
              </w:rPr>
            </w:pPr>
            <w:r>
              <w:rPr>
                <w:rFonts w:hint="default" w:ascii="Times New Roman" w:hAnsi="Times New Roman" w:cs="Times New Roman"/>
                <w:b/>
                <w:bCs/>
                <w:color w:val="auto"/>
                <w:lang w:val="en-US" w:eastAsia="zh-CN"/>
              </w:rPr>
              <w:t>图2-4 隧道复合式路面结构图</w:t>
            </w:r>
          </w:p>
          <w:p w14:paraId="2C6F3D5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1）建筑限界及内轮廓</w:t>
            </w:r>
          </w:p>
          <w:p w14:paraId="68D680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隧道建筑限界：</w:t>
            </w:r>
          </w:p>
          <w:p w14:paraId="3FAECD48">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4572000" cy="266573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9"/>
                          <a:stretch>
                            <a:fillRect/>
                          </a:stretch>
                        </pic:blipFill>
                        <pic:spPr>
                          <a:xfrm>
                            <a:off x="0" y="0"/>
                            <a:ext cx="4572000" cy="2665730"/>
                          </a:xfrm>
                          <a:prstGeom prst="rect">
                            <a:avLst/>
                          </a:prstGeom>
                          <a:noFill/>
                          <a:ln>
                            <a:noFill/>
                          </a:ln>
                        </pic:spPr>
                      </pic:pic>
                    </a:graphicData>
                  </a:graphic>
                </wp:inline>
              </w:drawing>
            </w:r>
          </w:p>
          <w:p w14:paraId="45889A03">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图2-5 隧道主洞建筑限界图（cm）</w:t>
            </w:r>
          </w:p>
          <w:p w14:paraId="7888564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2）内轮廓</w:t>
            </w:r>
          </w:p>
          <w:p w14:paraId="641993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根据建筑限界要求，结合电缆沟、排水沟、隧道通风以及机电设施等所需空间尺寸，拟定衬砌内轮廓。隧道洞身段内轮廓拟定为拱高625cm，上半圆半径为R=465cm的三心圆曲边墙结构。</w:t>
            </w:r>
          </w:p>
          <w:p w14:paraId="65304CAD">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3462020" cy="3211195"/>
                  <wp:effectExtent l="0" t="0" r="5080" b="190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0"/>
                          <a:stretch>
                            <a:fillRect/>
                          </a:stretch>
                        </pic:blipFill>
                        <pic:spPr>
                          <a:xfrm>
                            <a:off x="0" y="0"/>
                            <a:ext cx="3462020" cy="3211195"/>
                          </a:xfrm>
                          <a:prstGeom prst="rect">
                            <a:avLst/>
                          </a:prstGeom>
                          <a:noFill/>
                          <a:ln>
                            <a:noFill/>
                          </a:ln>
                        </pic:spPr>
                      </pic:pic>
                    </a:graphicData>
                  </a:graphic>
                </wp:inline>
              </w:drawing>
            </w:r>
          </w:p>
          <w:p w14:paraId="3F804405">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图2-6 隧道衬砌内轮廓</w:t>
            </w:r>
          </w:p>
          <w:p w14:paraId="4695390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3）隧道长度小于1km，不设置应急停车带。</w:t>
            </w:r>
          </w:p>
          <w:p w14:paraId="5B8F40E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隧道洞口设计</w:t>
            </w:r>
          </w:p>
          <w:p w14:paraId="2996D5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lang w:val="en-US" w:eastAsia="zh-CN"/>
              </w:rPr>
              <w:t>起止里程：K0+810~K1+793，隧道长度：983m，进口洞口形式：端墙式，出口洞口形式：端墙式，照明方式：电光照明，通风方式：射流通风。</w:t>
            </w:r>
          </w:p>
          <w:p w14:paraId="75782EE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隧道洞身结构设计</w:t>
            </w:r>
          </w:p>
          <w:p w14:paraId="6C34DAA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A</w:t>
            </w:r>
            <w:r>
              <w:rPr>
                <w:rFonts w:hint="default" w:ascii="Times New Roman" w:hAnsi="Times New Roman" w:cs="Times New Roman"/>
                <w:b/>
                <w:bCs/>
                <w:color w:val="auto"/>
                <w:sz w:val="24"/>
                <w:szCs w:val="32"/>
              </w:rPr>
              <w:t>暗挖隧道</w:t>
            </w:r>
          </w:p>
          <w:p w14:paraId="63D76A1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全隧遵循新奥法原理采用复合式衬砌结构；全隧采用曲墙带仰拱结构；洞口、浅埋段、偏压段及地下水发育地段采用加强复合式衬砌。隧道K1+720～K1+793段右侧顺层偏压，施工中应根据现场实际情况调整系统锚杆，采用不对称布置系统锚杆，右侧锚杆加长，左侧锚杆减短，锚杆总长不变。</w:t>
            </w:r>
          </w:p>
          <w:p w14:paraId="625265F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B</w:t>
            </w:r>
            <w:r>
              <w:rPr>
                <w:rFonts w:hint="default" w:ascii="Times New Roman" w:hAnsi="Times New Roman" w:cs="Times New Roman"/>
                <w:b/>
                <w:bCs/>
                <w:color w:val="auto"/>
                <w:sz w:val="24"/>
                <w:szCs w:val="32"/>
              </w:rPr>
              <w:t>二次衬砌拱顶回填注浆</w:t>
            </w:r>
          </w:p>
          <w:p w14:paraId="1439A0D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二次衬砌台车拱顶外缘纵向设置密贴防水板的Φ30PVC注浆花管及Φ30PVC排气管，当二次衬砌混凝土强度达到100%后，应通过预贴注浆管注浆，确保拱部不存留空隙。回填注浆采用M20微膨胀性水泥砂浆，注浆压力控制在0.2MPa以内。</w:t>
            </w:r>
          </w:p>
          <w:p w14:paraId="30C8A37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C</w:t>
            </w:r>
            <w:r>
              <w:rPr>
                <w:rFonts w:hint="default" w:ascii="Times New Roman" w:hAnsi="Times New Roman" w:cs="Times New Roman"/>
                <w:b/>
                <w:bCs/>
                <w:color w:val="auto"/>
                <w:sz w:val="24"/>
                <w:szCs w:val="32"/>
              </w:rPr>
              <w:t>隧道辅助工程措施</w:t>
            </w:r>
          </w:p>
          <w:p w14:paraId="14CE034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A）</w:t>
            </w:r>
            <w:r>
              <w:rPr>
                <w:rFonts w:hint="default" w:ascii="Times New Roman" w:hAnsi="Times New Roman" w:cs="Times New Roman"/>
                <w:color w:val="auto"/>
                <w:sz w:val="24"/>
                <w:szCs w:val="32"/>
              </w:rPr>
              <w:t>洞口大管棚</w:t>
            </w:r>
          </w:p>
          <w:p w14:paraId="5B79A5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进出口30m范围采用Φ108拱部大管棚超前支护，壁厚10mm，长度35m，共35根，环向间距0.4m，大管棚尾部与洞身小导管按5m搭接。</w:t>
            </w:r>
          </w:p>
          <w:p w14:paraId="478E2B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B）</w:t>
            </w:r>
            <w:r>
              <w:rPr>
                <w:rFonts w:hint="default" w:ascii="Times New Roman" w:hAnsi="Times New Roman" w:cs="Times New Roman"/>
                <w:color w:val="auto"/>
                <w:sz w:val="24"/>
                <w:szCs w:val="32"/>
              </w:rPr>
              <w:t>洞身段超前支护</w:t>
            </w:r>
          </w:p>
          <w:p w14:paraId="08C8910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Ⅳ级围岩地下水弱发育地段采用C25锚杆超前支护，共23根，环向间距0.5m，纵向间距2.4m，单根长3.5m。</w:t>
            </w:r>
          </w:p>
          <w:p w14:paraId="000D3C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Ⅳ级围岩地下水较发育地段Φ42小导管超前支护，共23根，环向间距0.5m，纵向间距2.4m，单根长3.5m</w:t>
            </w:r>
          </w:p>
          <w:p w14:paraId="0039940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Ⅴ级围岩洞身地段采用Φ42小导管超前支护，环向间距0.4m，纵向间距2.4m，Va衬砌段每环29根，单根长3.5m；Vb衬砌段每环29根，单根长4.0m；Vc衬砌段每环35根，单根长4.0m。</w:t>
            </w:r>
          </w:p>
          <w:p w14:paraId="7B5DD8A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D排水设计</w:t>
            </w:r>
          </w:p>
          <w:p w14:paraId="511494C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隧道排水系统分洞内地下水排水系统、洞内清洗排水系统和洞外截排水系统，洞内外各自互相独立，分别排放。</w:t>
            </w:r>
          </w:p>
          <w:p w14:paraId="21E106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地下水排水系统组成包括：</w:t>
            </w:r>
          </w:p>
          <w:p w14:paraId="42F5DCA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墙背设置环向Φ50HDPE双壁打孔波纹管（外裹无纺布），间距10m一道，在地下水丰富地段可适当进行加密。有集中股水流处可单独设置专用导水盲管。</w:t>
            </w:r>
          </w:p>
          <w:p w14:paraId="72F357F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隧道左右边墙背后设置Φ100HDPE双壁打孔波纹管（外裹无纺布）放置于下游距离施工缝1m处，其纵坡与线路纵坡一致。</w:t>
            </w:r>
          </w:p>
          <w:p w14:paraId="0453E3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边墙背后水通过Φ100PVC管横向引至侧沟，排出洞外。</w:t>
            </w:r>
          </w:p>
          <w:p w14:paraId="2D0FB91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洞内清洗水通过路缘沟汇集排出洞外。</w:t>
            </w:r>
          </w:p>
          <w:p w14:paraId="3394228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洞外截排水系统组成包括：</w:t>
            </w:r>
          </w:p>
          <w:p w14:paraId="38FE360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洞顶截水沟：在洞口边坡和土石开挖回填边缘线5～10m外设置截水天沟，并与路基截水沟或自然沟渠顺接。</w:t>
            </w:r>
          </w:p>
          <w:p w14:paraId="3F932EE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6</w:t>
            </w:r>
            <w:r>
              <w:rPr>
                <w:rFonts w:hint="default" w:ascii="Times New Roman" w:hAnsi="Times New Roman" w:cs="Times New Roman"/>
                <w:b/>
                <w:bCs/>
                <w:color w:val="auto"/>
                <w:sz w:val="24"/>
                <w:szCs w:val="32"/>
                <w:lang w:eastAsia="zh-CN"/>
              </w:rPr>
              <w:t>）桥梁、涵洞</w:t>
            </w:r>
            <w:r>
              <w:rPr>
                <w:rFonts w:hint="default" w:ascii="Times New Roman" w:hAnsi="Times New Roman" w:cs="Times New Roman"/>
                <w:b/>
                <w:bCs/>
                <w:color w:val="auto"/>
                <w:sz w:val="24"/>
                <w:szCs w:val="32"/>
                <w:lang w:val="en-US" w:eastAsia="zh-CN"/>
              </w:rPr>
              <w:t>设计</w:t>
            </w:r>
          </w:p>
          <w:p w14:paraId="104AF4A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1）技术标准</w:t>
            </w:r>
          </w:p>
          <w:p w14:paraId="498149B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A</w:t>
            </w:r>
            <w:r>
              <w:rPr>
                <w:rFonts w:hint="default" w:ascii="Times New Roman" w:hAnsi="Times New Roman" w:cs="Times New Roman"/>
                <w:color w:val="auto"/>
                <w:sz w:val="24"/>
                <w:szCs w:val="32"/>
              </w:rPr>
              <w:t>汽车荷载等级与设计行车速度及人群荷载：</w:t>
            </w:r>
          </w:p>
          <w:p w14:paraId="68D75A6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主线：乡村道路</w:t>
            </w:r>
          </w:p>
          <w:p w14:paraId="378DA5F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人群荷载：5kN/m</w:t>
            </w:r>
            <w:r>
              <w:rPr>
                <w:rFonts w:hint="default" w:ascii="Times New Roman" w:hAnsi="Times New Roman" w:cs="Times New Roman"/>
                <w:color w:val="auto"/>
                <w:sz w:val="24"/>
                <w:szCs w:val="32"/>
                <w:vertAlign w:val="superscript"/>
              </w:rPr>
              <w:t>2</w:t>
            </w:r>
          </w:p>
          <w:p w14:paraId="4CD7482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lang w:val="en-US" w:eastAsia="zh-CN"/>
              </w:rPr>
              <w:t>B</w:t>
            </w:r>
            <w:r>
              <w:rPr>
                <w:rFonts w:hint="default" w:ascii="Times New Roman" w:hAnsi="Times New Roman" w:cs="Times New Roman"/>
                <w:color w:val="auto"/>
                <w:sz w:val="24"/>
                <w:szCs w:val="32"/>
              </w:rPr>
              <w:t>设计荷载</w:t>
            </w:r>
            <w:r>
              <w:rPr>
                <w:rFonts w:hint="default" w:ascii="Times New Roman" w:hAnsi="Times New Roman" w:cs="Times New Roman"/>
                <w:color w:val="auto"/>
                <w:sz w:val="24"/>
                <w:szCs w:val="32"/>
                <w:lang w:eastAsia="zh-CN"/>
              </w:rPr>
              <w:t>：</w:t>
            </w:r>
          </w:p>
          <w:p w14:paraId="19E24EE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rPr>
              <w:t>桥梁按公路-Ⅰ级设计，并采用城-A验算；涵洞按公路-Ⅱ级设计</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铁路HZK活载。</w:t>
            </w:r>
          </w:p>
          <w:p w14:paraId="37295F8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C</w:t>
            </w:r>
            <w:r>
              <w:rPr>
                <w:rFonts w:hint="default" w:ascii="Times New Roman" w:hAnsi="Times New Roman" w:cs="Times New Roman"/>
                <w:color w:val="auto"/>
                <w:sz w:val="24"/>
                <w:szCs w:val="32"/>
              </w:rPr>
              <w:t>结构设计基准期：100年。</w:t>
            </w:r>
          </w:p>
          <w:p w14:paraId="0BDA8B0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lang w:val="en-US" w:eastAsia="zh-CN"/>
              </w:rPr>
              <w:t>D</w:t>
            </w:r>
            <w:r>
              <w:rPr>
                <w:rFonts w:hint="default" w:ascii="Times New Roman" w:hAnsi="Times New Roman" w:cs="Times New Roman"/>
                <w:color w:val="auto"/>
                <w:sz w:val="24"/>
                <w:szCs w:val="32"/>
              </w:rPr>
              <w:t>设计洪水频率：大、中桥1/100，涵洞1/50</w:t>
            </w:r>
            <w:r>
              <w:rPr>
                <w:rFonts w:hint="default" w:ascii="Times New Roman" w:hAnsi="Times New Roman" w:cs="Times New Roman"/>
                <w:color w:val="auto"/>
                <w:sz w:val="24"/>
                <w:szCs w:val="32"/>
                <w:lang w:eastAsia="zh-CN"/>
              </w:rPr>
              <w:t>，框架桥涵1/50。</w:t>
            </w:r>
          </w:p>
          <w:p w14:paraId="5D4FCBF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E</w:t>
            </w:r>
            <w:r>
              <w:rPr>
                <w:rFonts w:hint="default" w:ascii="Times New Roman" w:hAnsi="Times New Roman" w:cs="Times New Roman"/>
                <w:color w:val="auto"/>
                <w:sz w:val="24"/>
                <w:szCs w:val="32"/>
              </w:rPr>
              <w:t>抗震设防：设计基本地震动峰值加速度为0.05g，抗震设防烈度为Ⅵ度，</w:t>
            </w:r>
          </w:p>
          <w:p w14:paraId="13B4C6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桥梁抗震设防类别为D类，抗震措施等级为一级。</w:t>
            </w:r>
          </w:p>
          <w:p w14:paraId="7214CA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F</w:t>
            </w:r>
            <w:r>
              <w:rPr>
                <w:rFonts w:hint="default" w:ascii="Times New Roman" w:hAnsi="Times New Roman" w:cs="Times New Roman"/>
                <w:color w:val="auto"/>
                <w:sz w:val="24"/>
                <w:szCs w:val="32"/>
              </w:rPr>
              <w:t>环境类别：环境作用等级根据《公路工程混凝土结构耐久性设计规范》</w:t>
            </w:r>
          </w:p>
          <w:p w14:paraId="44AB5D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（JTG/T3310-2019）判定。</w:t>
            </w:r>
          </w:p>
          <w:p w14:paraId="4243F3D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G</w:t>
            </w:r>
            <w:r>
              <w:rPr>
                <w:rFonts w:hint="default" w:ascii="Times New Roman" w:hAnsi="Times New Roman" w:cs="Times New Roman"/>
                <w:color w:val="auto"/>
                <w:sz w:val="24"/>
                <w:szCs w:val="32"/>
              </w:rPr>
              <w:t>净空标准：跨越既有道路净空≥4.5m。</w:t>
            </w:r>
          </w:p>
          <w:p w14:paraId="02FC178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H</w:t>
            </w:r>
            <w:r>
              <w:rPr>
                <w:rFonts w:hint="default" w:ascii="Times New Roman" w:hAnsi="Times New Roman" w:cs="Times New Roman"/>
                <w:color w:val="auto"/>
                <w:sz w:val="24"/>
                <w:szCs w:val="32"/>
              </w:rPr>
              <w:t>桥梁宽度</w:t>
            </w:r>
          </w:p>
          <w:p w14:paraId="26B5BF2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桥梁标准横断面布置为：0.5m（防撞护栏）+0.25m(路缘带)+2×3.25m（机</w:t>
            </w:r>
          </w:p>
          <w:p w14:paraId="21B3A5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动车道）+0.25m(路缘带)+0.5m（防撞护栏）=8.0m。</w:t>
            </w:r>
          </w:p>
          <w:p w14:paraId="529E9D4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I</w:t>
            </w:r>
            <w:r>
              <w:rPr>
                <w:rFonts w:hint="default" w:ascii="Times New Roman" w:hAnsi="Times New Roman" w:cs="Times New Roman"/>
                <w:color w:val="auto"/>
                <w:sz w:val="24"/>
                <w:szCs w:val="32"/>
              </w:rPr>
              <w:t>防撞护栏等级：桥梁外侧采用SA级护栏。</w:t>
            </w:r>
          </w:p>
          <w:p w14:paraId="4B1DAFE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J</w:t>
            </w:r>
            <w:r>
              <w:rPr>
                <w:rFonts w:hint="default" w:ascii="Times New Roman" w:hAnsi="Times New Roman" w:cs="Times New Roman"/>
                <w:color w:val="auto"/>
                <w:sz w:val="24"/>
                <w:szCs w:val="32"/>
              </w:rPr>
              <w:t>桥面排水：桥梁排水通过桥面纵、横坡度引至泄水孔排放至地面。</w:t>
            </w:r>
          </w:p>
          <w:p w14:paraId="5ABFE03B">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3980815" cy="4899660"/>
                  <wp:effectExtent l="0" t="0" r="6985" b="2540"/>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31"/>
                          <a:stretch>
                            <a:fillRect/>
                          </a:stretch>
                        </pic:blipFill>
                        <pic:spPr>
                          <a:xfrm>
                            <a:off x="0" y="0"/>
                            <a:ext cx="3980815" cy="4899660"/>
                          </a:xfrm>
                          <a:prstGeom prst="rect">
                            <a:avLst/>
                          </a:prstGeom>
                          <a:noFill/>
                          <a:ln>
                            <a:noFill/>
                          </a:ln>
                        </pic:spPr>
                      </pic:pic>
                    </a:graphicData>
                  </a:graphic>
                </wp:inline>
              </w:drawing>
            </w:r>
          </w:p>
          <w:p w14:paraId="1C6A93EE">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lang w:val="en-US" w:eastAsia="zh-CN"/>
              </w:rPr>
              <w:t>图2-7 梁桥标准横断面图（单位：cm）</w:t>
            </w:r>
          </w:p>
          <w:p w14:paraId="4036D02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2）桥梁工程设计</w:t>
            </w:r>
          </w:p>
          <w:p w14:paraId="6E79C30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非涉铁路段：</w:t>
            </w:r>
          </w:p>
          <w:p w14:paraId="517994D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设置一座梁桥，为文家湾跨燃气管线大桥，该桥两条燃气管线及一条乡村道路，桥梁中心桩号为K0+064.6，桥跨方案：20+2×30+20；上部结构采用预应力砼简支小箱梁，梁部现浇施工，桥面连续；下部结构采用双柱</w:t>
            </w:r>
            <w:r>
              <w:rPr>
                <w:rFonts w:hint="eastAsia" w:cs="Times New Roman"/>
                <w:color w:val="auto"/>
                <w:sz w:val="24"/>
                <w:szCs w:val="32"/>
                <w:lang w:eastAsia="zh-CN"/>
              </w:rPr>
              <w:t>圆形</w:t>
            </w:r>
            <w:r>
              <w:rPr>
                <w:rFonts w:hint="default" w:ascii="Times New Roman" w:hAnsi="Times New Roman" w:cs="Times New Roman"/>
                <w:color w:val="auto"/>
                <w:sz w:val="24"/>
                <w:szCs w:val="32"/>
              </w:rPr>
              <w:t>墩，基础采用钻孔灌注桩。采用端承桩设计。</w:t>
            </w:r>
          </w:p>
          <w:p w14:paraId="1E08878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A</w:t>
            </w:r>
            <w:r>
              <w:rPr>
                <w:rFonts w:hint="default" w:ascii="Times New Roman" w:hAnsi="Times New Roman" w:cs="Times New Roman"/>
                <w:color w:val="auto"/>
                <w:sz w:val="24"/>
                <w:szCs w:val="32"/>
              </w:rPr>
              <w:t>上部结构</w:t>
            </w:r>
          </w:p>
          <w:p w14:paraId="44A37A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20米跨小箱梁</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小箱梁梁高1.4m，跨中顶底板厚20cm，腹板厚18cm，端横梁处顶板厚20cm，底板厚27cm，腹板厚27cm，边梁宽度2.45m宽，中梁宽度2.20m。</w:t>
            </w:r>
          </w:p>
          <w:p w14:paraId="54B7919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30米跨小箱梁</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小箱梁梁高1.7m，跨中顶底板厚20cm，腹板厚18cm，端横梁处顶板厚18cm，底板厚27cm，腹板厚27cm，边梁宽度2.45m宽，中梁宽度2.20m。</w:t>
            </w:r>
          </w:p>
          <w:p w14:paraId="112283D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C</w:t>
            </w:r>
            <w:r>
              <w:rPr>
                <w:rFonts w:hint="default" w:ascii="Times New Roman" w:hAnsi="Times New Roman" w:cs="Times New Roman"/>
                <w:color w:val="auto"/>
                <w:sz w:val="24"/>
                <w:szCs w:val="32"/>
              </w:rPr>
              <w:t>下部结构</w:t>
            </w:r>
          </w:p>
          <w:p w14:paraId="247DE6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双柱</w:t>
            </w:r>
            <w:r>
              <w:rPr>
                <w:rFonts w:hint="eastAsia" w:cs="Times New Roman"/>
                <w:color w:val="auto"/>
                <w:sz w:val="24"/>
                <w:szCs w:val="32"/>
                <w:lang w:eastAsia="zh-CN"/>
              </w:rPr>
              <w:t>圆形</w:t>
            </w:r>
            <w:r>
              <w:rPr>
                <w:rFonts w:hint="default" w:ascii="Times New Roman" w:hAnsi="Times New Roman" w:cs="Times New Roman"/>
                <w:color w:val="auto"/>
                <w:sz w:val="24"/>
                <w:szCs w:val="32"/>
              </w:rPr>
              <w:t>墩</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墩身采用d=1.3m圆柱，盖梁采用钢筋混凝土，桩基采用直径1.5m圆桩。</w:t>
            </w:r>
          </w:p>
          <w:p w14:paraId="25A48A3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桥台</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桥台采用梗肋式台。基础为群桩基础，桩径1.2m。</w:t>
            </w:r>
          </w:p>
          <w:p w14:paraId="0F98193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涉铁路段：</w:t>
            </w:r>
          </w:p>
          <w:p w14:paraId="1FFA74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下穿普光物流园铁路专用线牵出线及预留线，公铁交叉里K2+595.368，公路与铁路交角约58°，按斜交45°斜交斜做设计，以1-10m钢筋混凝土框架结构下穿铁路。框架顶板厚90cm，底板100厚cm，边墙厚90cm。</w:t>
            </w:r>
          </w:p>
          <w:p w14:paraId="62C02DE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因该框架桥为下穿铁路，按铁路HZK荷载进行设计。工点位置为物流园场坪填筑区，基底采用级配碎石换填3m厚度以满足承载力要求。</w:t>
            </w:r>
          </w:p>
          <w:p w14:paraId="09750BE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为满足支路视距要求及铁路边坡防护要求，出入口根据条件采用顺公路及顺铁路方向两种护墙形式。</w:t>
            </w:r>
          </w:p>
          <w:p w14:paraId="3D97FDE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3）涵洞设计</w:t>
            </w:r>
          </w:p>
          <w:p w14:paraId="793AA59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非涉铁路段：</w:t>
            </w:r>
          </w:p>
          <w:p w14:paraId="3EC731C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区段共设置5座涵洞，涵洞采用钢筋混凝土框架箱型结构，其中1座为过燃气管线而设，其余均为为排洪而设。</w:t>
            </w:r>
          </w:p>
          <w:p w14:paraId="3A5734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K0+2321-5.0m钢筋混凝土框架涵，涵长11.84m。本框架涵轴线与线路中线法线斜交30°,箱身采用斜交斜做，明挖现浇施工。涵洞为保护道路下燃气管线而设，右侧路基设置挡墙</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本涵不设置出入口。</w:t>
            </w:r>
          </w:p>
          <w:p w14:paraId="5558625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K0+2601-1.5m钢筋混凝土框架涵，涵长48.46m。涵洞与线路正交，明挖现浇施工。本涵为排洪而设，本涵设计基底在路基填筑土上，基底需进行砂加卵石换填。本涵入口采用急流槽，出口在路基铺面设置沟槽。</w:t>
            </w:r>
          </w:p>
          <w:p w14:paraId="6FF614D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K0+5091-1.5m钢筋混凝土框架涵，涵长12.33m。涵洞与线路正交，明挖现浇施工。本涵为排洪而设，左侧入口设置急流槽，右侧路基设置挡墙,出口穿挡。</w:t>
            </w:r>
          </w:p>
          <w:p w14:paraId="4D14F7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K0+7671-2.5m钢筋混凝土框架涵，涵长16.01m。本框架涵轴线与线路中线法线斜交45°,箱身采用斜交斜做，明挖现浇施工。为排洪而设，本涵出入口采用标准高铺砌。出入口均需拉沟与既有沟顺接。</w:t>
            </w:r>
          </w:p>
          <w:p w14:paraId="2F9D79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K1+959.6681-2.5m钢筋混凝土框架涵，涵长10.06m。本框架涵轴线与线路中线法线斜交35°,箱身采用斜交斜做，明挖现浇施工。本涵为排洪而设，本函出入口采用标准高铺砌出入口均需拉沟与既有沟顺接。</w:t>
            </w:r>
          </w:p>
          <w:p w14:paraId="0EB677B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涉铁路段：</w:t>
            </w:r>
          </w:p>
          <w:p w14:paraId="24CD44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共设置3座涵洞，涵洞采用钢筋混凝土框架箱型结构，均为为排洪而设。</w:t>
            </w:r>
          </w:p>
          <w:p w14:paraId="5D8AA27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K2+304.668 1-2.5m钢筋混凝土框架涵，涵长17.58m。涵洞与线路正交，明挖现浇施工。本涵为排洪而设，本函出入口采用标准高铺砌。</w:t>
            </w:r>
          </w:p>
          <w:p w14:paraId="322FB24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K2+522.668 2-3.0m钢筋混凝土框架涵，涵长21.12m。涵洞与线路正交，明挖现浇施工。本涵为排洪而设，出需接入普光物流园改沟工程。</w:t>
            </w:r>
          </w:p>
          <w:p w14:paraId="39DF2ED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ZK0+020 1-1.5m钢筋混凝土框架涵，涵长10.06m。涵洞与线路正交，明挖现浇施工。本涵为排洪而设。</w:t>
            </w:r>
          </w:p>
          <w:p w14:paraId="0936B82E">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7</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交通安全设施设计</w:t>
            </w:r>
          </w:p>
          <w:p w14:paraId="30B801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为不封闭、开放式农村，混合交通的纵向、横向干扰严重，设计针对本项目的特点进行设计，主要针对道路现状做出基本完善的安全设施，设计内容包括：道路交通标志、道路交通标线、路侧护栏、视线诱导设施（轮廓标）、公路界碑，道口标柱，突起路标等。</w:t>
            </w:r>
          </w:p>
          <w:p w14:paraId="689AEED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8</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电力设计</w:t>
            </w:r>
          </w:p>
          <w:p w14:paraId="4462213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非涉铁路段：</w:t>
            </w:r>
          </w:p>
          <w:p w14:paraId="3B20B37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1）隧道照明设计</w:t>
            </w:r>
          </w:p>
          <w:p w14:paraId="3365BB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本项目公路等级为农村公路，隧道设计速度为30km/h，隧道长度983米，根据《公路隧道照明设计细则》（JTG/TD70/2-01-2014）等相关规范要求，本项目隧道设置正常照明，无需设置应急照明。</w:t>
            </w:r>
          </w:p>
          <w:p w14:paraId="17B0622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本项目隧道设置固定照明，固定照明采用隧道专用灯具，控制方式为手动控制，具备时控和光控功能，照明均选用节能型灯具，光源采用LED灯。</w:t>
            </w:r>
          </w:p>
          <w:p w14:paraId="0EA59E2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隧道照明划分为入口段照明、过滤段照明、中间段照明，设置在隧道内的固定照明灯具按不同划分分别设置。</w:t>
            </w:r>
          </w:p>
          <w:p w14:paraId="51610AD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涉铁路段：</w:t>
            </w:r>
          </w:p>
          <w:p w14:paraId="5E2AD90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供电系统：在框架桥出口附件设1台照明配电箱，用于框架桥配电，照明配电箱的380V电源自附近地方低压电源接取。</w:t>
            </w:r>
          </w:p>
          <w:p w14:paraId="460B77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照明设计：框架桥设置固定照明，固定照明采用隧道专用灯具，控制方式为手动控制，具备时控和光控功能，照明均选用节能型灯具，光源采用LED灯。</w:t>
            </w:r>
          </w:p>
          <w:p w14:paraId="4A16E7B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照明设备安装：设置在框架桥内固定灯具安装高度为6m。</w:t>
            </w:r>
          </w:p>
          <w:p w14:paraId="1C09CCA0">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5、跨越正达凯输气管线</w:t>
            </w:r>
          </w:p>
          <w:p w14:paraId="46F9DE8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K0+086处跨越正达凯输气管线，交角约82.5°,采用架设桥梁的方式跨越。该桥位于直线上，行车道宽7.0m，桥两侧设防撞护栏，桥面双向横坡2%，通过调整桥面铺装厚度形成，墩台盖梁平置。</w:t>
            </w:r>
            <w:r>
              <w:rPr>
                <w:rFonts w:hint="default" w:ascii="Times New Roman" w:hAnsi="Times New Roman" w:cs="Times New Roman"/>
                <w:b/>
                <w:bCs/>
                <w:color w:val="auto"/>
                <w:sz w:val="24"/>
                <w:szCs w:val="32"/>
                <w:lang w:val="en-US" w:eastAsia="zh-CN"/>
              </w:rPr>
              <w:t>跨越输气管线段为2号—3#桥墩，管道为埋地敷设。2#桥墩与输气管道净间距5.82m，3#桥墩与输气管道净间距17m。</w:t>
            </w:r>
          </w:p>
          <w:p w14:paraId="79AC2E76">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（1）正达凯输气管线基本情况</w:t>
            </w:r>
          </w:p>
          <w:p w14:paraId="12DE8D6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四川正达凯新材料项目配套输气工程起自位于普光天然气净化厂南的接气点，至位于工业园区的四川正达凯新材料有限公司厂区。该项目输气线路设计压力为8MPa，管道选用螺旋缝埋弧焊钢管（D406.4 L415M），设计输气量20×108Nm³/a。</w:t>
            </w:r>
            <w:r>
              <w:rPr>
                <w:rFonts w:hint="eastAsia" w:cs="Times New Roman"/>
                <w:b w:val="0"/>
                <w:bCs w:val="0"/>
                <w:color w:val="auto"/>
                <w:sz w:val="24"/>
                <w:szCs w:val="32"/>
                <w:lang w:val="en-US" w:eastAsia="zh-CN"/>
              </w:rPr>
              <w:t>输送物质为：天然气，不含硫化氢。</w:t>
            </w:r>
          </w:p>
          <w:p w14:paraId="517B1FF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（2）跨越段基本情况</w:t>
            </w:r>
          </w:p>
          <w:p w14:paraId="79989BF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处道路里程为K0+086，交叉角度为约82.5°,采用桥梁上跨输气管线，跨越输气管线段为2号—3#桥墩，管道为埋地敷设。2#桥墩与输气管道净间距5.82m，3#桥墩与输气管道净间距17m。正达凯输气管线东侧有正达凯输气管道，间距约9m，埋深处于同一水平。正达凯输气管线交叉点位上游距净化厂界区阀约6.27km；下游距正达凯入场计量撬约0.4km。</w:t>
            </w:r>
          </w:p>
          <w:p w14:paraId="2A5B42D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交叉跨越点周边为农田，架空电力线路等，周边无4层级以上民房。根据四川正达凯新材料有限公司提供的相关资料，交叉跨越点所在区段属于Ⅱ级高后果区。</w:t>
            </w:r>
          </w:p>
          <w:p w14:paraId="6C962DE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（3）穿越设计方案</w:t>
            </w:r>
          </w:p>
          <w:p w14:paraId="445BFFC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项目位于达州市宣汉县普光经济开发区，本桥为跨输气管线面设，中心里程K0+064.6m；与正达凯输气管线交叉点里程K0+086，采用20+2×30+20m简支小箱梁桥梁跨越输气管线；桥墩为双柱墩，墩柱为d=1.3m圆柱结构，墩柱接d=1.5m 钻孔桩，墩高13m。梁部均采用C50 混凝土，普通钢筋混凝土墩盖梁采用C40 混凝土，桥墩、基础及桩身采用C35 混凝土。</w:t>
            </w:r>
          </w:p>
          <w:p w14:paraId="06CB6F2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宣汉县普光镇杏树村农村道路工程跨越正达凯输气管线跨越点位及方式、交叉角度、桥墩与管道的间距等满足《中华人民共和国石油天然气管道保护法</w:t>
            </w:r>
            <w:r>
              <w:rPr>
                <w:rFonts w:hint="eastAsia" w:cs="Times New Roman"/>
                <w:b w:val="0"/>
                <w:bCs w:val="0"/>
                <w:color w:val="auto"/>
                <w:sz w:val="24"/>
                <w:szCs w:val="32"/>
                <w:lang w:val="en-US" w:eastAsia="zh-CN"/>
              </w:rPr>
              <w:t>》《</w:t>
            </w:r>
            <w:r>
              <w:rPr>
                <w:rFonts w:hint="default" w:ascii="Times New Roman" w:hAnsi="Times New Roman" w:cs="Times New Roman"/>
                <w:b w:val="0"/>
                <w:bCs w:val="0"/>
                <w:color w:val="auto"/>
                <w:sz w:val="24"/>
                <w:szCs w:val="32"/>
                <w:lang w:val="en-US" w:eastAsia="zh-CN"/>
              </w:rPr>
              <w:t>关于规范公路桥梁与石油天然气管道交叉工程管理的通知》（交公路发〔2015〕36 号）、《输气管道工程设计规范》（GB50251-2014）、《油气输送管道穿越工程设计规范》（GB50423-2013）、《公路路线设计规范》（JTGD20-2017）等相关法律法规标准的要求。安全风险可控。</w:t>
            </w:r>
          </w:p>
          <w:p w14:paraId="40144057">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color w:val="auto"/>
              </w:rPr>
              <w:drawing>
                <wp:inline distT="0" distB="0" distL="114300" distR="114300">
                  <wp:extent cx="5110480" cy="1535430"/>
                  <wp:effectExtent l="0" t="0" r="7620" b="1270"/>
                  <wp:docPr id="2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6"/>
                          <pic:cNvPicPr>
                            <a:picLocks noChangeAspect="1"/>
                          </pic:cNvPicPr>
                        </pic:nvPicPr>
                        <pic:blipFill>
                          <a:blip r:embed="rId32"/>
                          <a:stretch>
                            <a:fillRect/>
                          </a:stretch>
                        </pic:blipFill>
                        <pic:spPr>
                          <a:xfrm>
                            <a:off x="0" y="0"/>
                            <a:ext cx="5110480" cy="1535430"/>
                          </a:xfrm>
                          <a:prstGeom prst="rect">
                            <a:avLst/>
                          </a:prstGeom>
                          <a:noFill/>
                          <a:ln>
                            <a:noFill/>
                          </a:ln>
                        </pic:spPr>
                      </pic:pic>
                    </a:graphicData>
                  </a:graphic>
                </wp:inline>
              </w:drawing>
            </w:r>
          </w:p>
          <w:p w14:paraId="7B30FFE6">
            <w:pPr>
              <w:keepNext w:val="0"/>
              <w:keepLines w:val="0"/>
              <w:pageBreakBefore w:val="0"/>
              <w:widowControl/>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4"/>
                <w:lang w:val="en-US" w:eastAsia="zh-CN"/>
              </w:rPr>
            </w:pPr>
            <w:r>
              <w:rPr>
                <w:rFonts w:hint="default" w:ascii="Times New Roman" w:hAnsi="Times New Roman" w:cs="Times New Roman"/>
                <w:b/>
                <w:bCs/>
                <w:color w:val="auto"/>
                <w:sz w:val="21"/>
                <w:szCs w:val="24"/>
                <w:lang w:val="en-US" w:eastAsia="zh-CN"/>
              </w:rPr>
              <w:t>图2-1 文家湾跨燃气管线大桥桥址平面图</w:t>
            </w:r>
          </w:p>
          <w:p w14:paraId="23B7FF56">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106670" cy="2472690"/>
                  <wp:effectExtent l="0" t="0" r="11430" b="3810"/>
                  <wp:docPr id="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7"/>
                          <pic:cNvPicPr>
                            <a:picLocks noChangeAspect="1"/>
                          </pic:cNvPicPr>
                        </pic:nvPicPr>
                        <pic:blipFill>
                          <a:blip r:embed="rId33"/>
                          <a:stretch>
                            <a:fillRect/>
                          </a:stretch>
                        </pic:blipFill>
                        <pic:spPr>
                          <a:xfrm>
                            <a:off x="0" y="0"/>
                            <a:ext cx="5106670" cy="2472690"/>
                          </a:xfrm>
                          <a:prstGeom prst="rect">
                            <a:avLst/>
                          </a:prstGeom>
                          <a:noFill/>
                          <a:ln>
                            <a:noFill/>
                          </a:ln>
                        </pic:spPr>
                      </pic:pic>
                    </a:graphicData>
                  </a:graphic>
                </wp:inline>
              </w:drawing>
            </w:r>
          </w:p>
          <w:p w14:paraId="1C9EC7C7">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5108575" cy="903605"/>
                  <wp:effectExtent l="0" t="0" r="9525" b="10795"/>
                  <wp:docPr id="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8"/>
                          <pic:cNvPicPr>
                            <a:picLocks noChangeAspect="1"/>
                          </pic:cNvPicPr>
                        </pic:nvPicPr>
                        <pic:blipFill>
                          <a:blip r:embed="rId34"/>
                          <a:stretch>
                            <a:fillRect/>
                          </a:stretch>
                        </pic:blipFill>
                        <pic:spPr>
                          <a:xfrm>
                            <a:off x="0" y="0"/>
                            <a:ext cx="5108575" cy="903605"/>
                          </a:xfrm>
                          <a:prstGeom prst="rect">
                            <a:avLst/>
                          </a:prstGeom>
                          <a:noFill/>
                          <a:ln>
                            <a:noFill/>
                          </a:ln>
                        </pic:spPr>
                      </pic:pic>
                    </a:graphicData>
                  </a:graphic>
                </wp:inline>
              </w:drawing>
            </w:r>
          </w:p>
          <w:p w14:paraId="0F340305">
            <w:pPr>
              <w:keepNext w:val="0"/>
              <w:keepLines w:val="0"/>
              <w:pageBreakBefore w:val="0"/>
              <w:widowControl/>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4"/>
                <w:lang w:val="en-US" w:eastAsia="zh-CN"/>
              </w:rPr>
            </w:pPr>
            <w:r>
              <w:rPr>
                <w:rFonts w:hint="default" w:ascii="Times New Roman" w:hAnsi="Times New Roman" w:cs="Times New Roman"/>
                <w:b/>
                <w:bCs/>
                <w:color w:val="auto"/>
                <w:sz w:val="21"/>
                <w:szCs w:val="24"/>
                <w:lang w:val="en-US" w:eastAsia="zh-CN"/>
              </w:rPr>
              <w:t>图2-1 文家湾跨燃气管线大桥桥址总布置图</w:t>
            </w:r>
          </w:p>
          <w:p w14:paraId="068B86E2">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center"/>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rPr>
              <w:drawing>
                <wp:inline distT="0" distB="0" distL="114300" distR="114300">
                  <wp:extent cx="3136900" cy="5440045"/>
                  <wp:effectExtent l="0" t="0" r="0" b="8255"/>
                  <wp:docPr id="2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
                          <pic:cNvPicPr>
                            <a:picLocks noChangeAspect="1"/>
                          </pic:cNvPicPr>
                        </pic:nvPicPr>
                        <pic:blipFill>
                          <a:blip r:embed="rId35"/>
                          <a:stretch>
                            <a:fillRect/>
                          </a:stretch>
                        </pic:blipFill>
                        <pic:spPr>
                          <a:xfrm>
                            <a:off x="0" y="0"/>
                            <a:ext cx="3136900" cy="5440045"/>
                          </a:xfrm>
                          <a:prstGeom prst="rect">
                            <a:avLst/>
                          </a:prstGeom>
                          <a:noFill/>
                          <a:ln>
                            <a:noFill/>
                          </a:ln>
                        </pic:spPr>
                      </pic:pic>
                    </a:graphicData>
                  </a:graphic>
                </wp:inline>
              </w:drawing>
            </w:r>
          </w:p>
          <w:p w14:paraId="33F127ED">
            <w:pPr>
              <w:keepNext w:val="0"/>
              <w:keepLines w:val="0"/>
              <w:pageBreakBefore w:val="0"/>
              <w:widowControl/>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4"/>
                <w:lang w:val="en-US" w:eastAsia="zh-CN"/>
              </w:rPr>
            </w:pPr>
            <w:r>
              <w:rPr>
                <w:rFonts w:hint="default" w:ascii="Times New Roman" w:hAnsi="Times New Roman" w:cs="Times New Roman"/>
                <w:b/>
                <w:bCs/>
                <w:color w:val="auto"/>
                <w:sz w:val="21"/>
                <w:szCs w:val="24"/>
                <w:lang w:val="en-US" w:eastAsia="zh-CN"/>
              </w:rPr>
              <w:t>图2-1 文家湾跨燃气管线大桥横断面图</w:t>
            </w:r>
          </w:p>
          <w:p w14:paraId="4E6D1FF0">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6、跨越川东北—川西联络线管道</w:t>
            </w:r>
          </w:p>
          <w:p w14:paraId="5C4BDA1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val="0"/>
                <w:bCs w:val="0"/>
                <w:color w:val="auto"/>
                <w:sz w:val="24"/>
                <w:szCs w:val="32"/>
                <w:lang w:val="en-US" w:eastAsia="zh-CN"/>
              </w:rPr>
              <w:t>K0+072 处跨越川东北—川西联络线管道，交角约83°, 采用架设桥梁的方式跨越。该桥位于直线上，行车道宽7.0m，桥两侧设防撞护栏，桥面双向横坡2%，通过调整桥面铺装厚度形成，墩台盖梁平置。</w:t>
            </w:r>
            <w:r>
              <w:rPr>
                <w:rFonts w:hint="default" w:ascii="Times New Roman" w:hAnsi="Times New Roman" w:cs="Times New Roman"/>
                <w:b/>
                <w:bCs/>
                <w:color w:val="auto"/>
                <w:sz w:val="24"/>
                <w:szCs w:val="32"/>
                <w:lang w:val="en-US" w:eastAsia="zh-CN"/>
              </w:rPr>
              <w:t>跨越输气管线段为2号—3#桥墩，管道为埋地敷设。2#桥墩与输气管道净间距19.9m ，3#桥墩与输气管道净间距7.65m</w:t>
            </w:r>
            <w:r>
              <w:rPr>
                <w:rFonts w:hint="eastAsia" w:cs="Times New Roman"/>
                <w:b/>
                <w:bCs/>
                <w:color w:val="auto"/>
                <w:sz w:val="24"/>
                <w:szCs w:val="32"/>
                <w:lang w:val="en-US" w:eastAsia="zh-CN"/>
              </w:rPr>
              <w:t>。</w:t>
            </w:r>
          </w:p>
          <w:p w14:paraId="1D7C558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（1）川东北—川西联络线管道基本情况</w:t>
            </w:r>
          </w:p>
          <w:p w14:paraId="2FC48A8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川东北-川西联络线天然气管道产权单位为国家管网集团西南管道有限责任公司兰成渝输油分公司，于2014年12月投产运营，属于国家输气干线，管道途经达州市宣汉县，巴中市巴州区、恩阳区、平昌县，南充市阆中市，广元市苍溪县等4个市、6个区(县) ，管道总长200.7公里，其中宣汉县境内管道长约37.5公里，管径中1016mm，设计压力10MPa，管道材质L485(X70)，设计年输量110亿立方米。管道运行压力高、输量大，输送的介质具有易燃易爆的特性。</w:t>
            </w:r>
          </w:p>
          <w:p w14:paraId="7368A84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（2）交叉跨越段基本情况</w:t>
            </w:r>
          </w:p>
          <w:p w14:paraId="673CBCB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交叉跨越点处道路里程为K0+072，管道里程K005+228，交叉角度为约83°,采用桥梁上跨输气管线，跨越输气管线段为2号—3#桥墩，管道为埋地敷设。2#桥墩与输气管道净间距19.9m ，3#桥墩与输气管道净间距7.65m 。川东北—川西联络线管道西侧有正达凯输气管道，间距约9m，埋深处于同一水平。</w:t>
            </w:r>
          </w:p>
          <w:p w14:paraId="7946A6C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输气管道上游阀室为川东北川西联络线1#阀室，位于宣汉县胡家镇花池乡文家坪村，距离拟新建农村道路桥梁穿越点，来气方向上游14.25公里（具备截断放空功能），下游阀室为普光首站，位于宣汉县普光镇铜砍社区，距离拟新建农村道路桥梁穿越点，来气方向下游5.25公里（具备截断放空功能）。</w:t>
            </w:r>
          </w:p>
          <w:p w14:paraId="15BCCEB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交叉跨越点周边为农田，架空电力线路等，输气管道中心线318.1m范围内有办公大楼，人数约800人，属Ⅱ类特定场所；管道K005+218m-K006+503m顺气流方向左侧200m范围内存在危化品储罐（乙二醇），属易燃易爆场所。</w:t>
            </w:r>
          </w:p>
          <w:p w14:paraId="4FA08DD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根据《南管道公司重庆输油气管道分公司元坝作业区高后果区识别与评价报告》（2024年），交叉跨越点所在区段属于Ⅱ级高后果区。</w:t>
            </w:r>
          </w:p>
          <w:p w14:paraId="5C5CA7F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（3）穿越设计方案</w:t>
            </w:r>
          </w:p>
          <w:p w14:paraId="5C911FC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项目位于达州市宣汉县普光经济开发区，本桥为跨输气管线面设，中心里程K0+064.6m；与川东北—川西联络线管道交叉点里程K0+072，采用20+2×30+20m 简支小箱梁桥梁跨越输气管线；桥墩为双柱墩，墩柱为d=1.3m圆柱结构，墩柱接d=1.5m钻孔桩，墩高13m。</w:t>
            </w:r>
          </w:p>
          <w:p w14:paraId="24CD7C6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b w:val="0"/>
                <w:bCs w:val="0"/>
                <w:color w:val="auto"/>
                <w:sz w:val="24"/>
                <w:szCs w:val="32"/>
                <w:lang w:val="en-US" w:eastAsia="zh-CN"/>
              </w:rPr>
              <w:t>宣汉县普光镇杏树村农村道路工程跨越川东北—川西联络线管道跨越点位及方式、交叉角度、桥墩与管道的间距等满足《中华人民共和国石油天然气管道保护法</w:t>
            </w:r>
            <w:r>
              <w:rPr>
                <w:rFonts w:hint="eastAsia" w:cs="Times New Roman"/>
                <w:b w:val="0"/>
                <w:bCs w:val="0"/>
                <w:color w:val="auto"/>
                <w:sz w:val="24"/>
                <w:szCs w:val="32"/>
                <w:lang w:val="en-US" w:eastAsia="zh-CN"/>
              </w:rPr>
              <w:t>》《</w:t>
            </w:r>
            <w:r>
              <w:rPr>
                <w:rFonts w:hint="default" w:ascii="Times New Roman" w:hAnsi="Times New Roman" w:cs="Times New Roman"/>
                <w:b w:val="0"/>
                <w:bCs w:val="0"/>
                <w:color w:val="auto"/>
                <w:sz w:val="24"/>
                <w:szCs w:val="32"/>
                <w:lang w:val="en-US" w:eastAsia="zh-CN"/>
              </w:rPr>
              <w:t>关于规范公路桥梁与石油天然气管道交叉工程管理的通知》（交公路发〔2015〕36 号）、《国家管网集团陆上油气管道第三方施工管理技术规范</w:t>
            </w:r>
            <w:r>
              <w:rPr>
                <w:rFonts w:hint="eastAsia" w:cs="Times New Roman"/>
                <w:b w:val="0"/>
                <w:bCs w:val="0"/>
                <w:color w:val="auto"/>
                <w:sz w:val="24"/>
                <w:szCs w:val="32"/>
                <w:lang w:val="en-US" w:eastAsia="zh-CN"/>
              </w:rPr>
              <w:t>》《</w:t>
            </w:r>
            <w:r>
              <w:rPr>
                <w:rFonts w:hint="default" w:ascii="Times New Roman" w:hAnsi="Times New Roman" w:cs="Times New Roman"/>
                <w:b w:val="0"/>
                <w:bCs w:val="0"/>
                <w:color w:val="auto"/>
                <w:sz w:val="24"/>
                <w:szCs w:val="32"/>
                <w:lang w:val="en-US" w:eastAsia="zh-CN"/>
              </w:rPr>
              <w:t>输气管道工程设计规范》（GB50251-2014）、《油气输送管道穿越工程设计规范》（GB50423-2013）、《公路路线设计规范》（JTGD20-2017）等相关法律法规标准的要求。安全风险可控。</w:t>
            </w:r>
          </w:p>
          <w:p w14:paraId="01C81ECA">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7、跨越普胡线输气管道</w:t>
            </w:r>
          </w:p>
          <w:p w14:paraId="57EF0515">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宣汉县普光镇杏树村农村道路工程属于宣汉县中部片区乡村振兴·千万工程示范带建设项目其中的一部分，K0+230处跨越中原油田普光分公司所属长输天然气管线—胡普线，管线为钢质N168mm，交叉角度约65°，采用1-5m涵洞上跨管道。</w:t>
            </w:r>
          </w:p>
          <w:p w14:paraId="47FEE39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（1）普胡线输气管道基本情况</w:t>
            </w:r>
          </w:p>
          <w:p w14:paraId="49D33AC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普胡线输气管道基本情况普胡线输气管道产权单位为中原油田普光分公司，管径N168mm，管道材质为钢质。设计压力8.0MPa。</w:t>
            </w:r>
          </w:p>
          <w:p w14:paraId="14BF485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（2）交叉跨越段基本情况</w:t>
            </w:r>
          </w:p>
          <w:p w14:paraId="56189B2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交叉跨越点处道路里程为K0+232，交叉角度为约65°,采用1-5m涵洞上跨管道。交叉跨越点输气管道交叉点上游是普光配气站，无阀室，配气站距交叉点5.89公里，交叉点下游阀室是新胡家场阀室，距交叉点5.19公里。交叉跨越点周边为农田，架空电力线路等，周边无4层级以上民房。</w:t>
            </w:r>
          </w:p>
          <w:p w14:paraId="1807CDA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根据《输气管道工程设计规范》GB50251-2015，属于一级二类地区，管道两侧200m范围内无《油气输送管道完整性管理规范》GB32167-2015第6.1.3节规定的特定场所，因此评估段不属于高后果区。</w:t>
            </w:r>
          </w:p>
          <w:p w14:paraId="6C3E863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（3）穿越设计方案</w:t>
            </w:r>
          </w:p>
          <w:p w14:paraId="1B194EF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32"/>
                <w:lang w:val="en-US" w:eastAsia="zh-CN"/>
              </w:rPr>
            </w:pPr>
            <w:r>
              <w:rPr>
                <w:rFonts w:hint="default" w:ascii="Times New Roman" w:hAnsi="Times New Roman" w:cs="Times New Roman"/>
                <w:b w:val="0"/>
                <w:bCs w:val="0"/>
                <w:color w:val="auto"/>
                <w:sz w:val="24"/>
                <w:szCs w:val="32"/>
                <w:lang w:val="en-US" w:eastAsia="zh-CN"/>
              </w:rPr>
              <w:t>项目位于达州市宣汉县普光经济开发区，其K0+232 处跨越长输天然气管线—普胡线，交角约65°,采用1-5m涵洞上跨管道。</w:t>
            </w:r>
          </w:p>
          <w:p w14:paraId="6C4E4E3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b w:val="0"/>
                <w:bCs w:val="0"/>
                <w:color w:val="auto"/>
                <w:sz w:val="24"/>
                <w:szCs w:val="32"/>
                <w:lang w:val="en-US" w:eastAsia="zh-CN"/>
              </w:rPr>
              <w:t>宣汉县普光镇杏树村农村道路工程跨越普胡线输气管道跨越点位及方式、交叉角度、桥墩与管道的间距等满足《中华人民共和国石油天然气管道保护法</w:t>
            </w:r>
            <w:r>
              <w:rPr>
                <w:rFonts w:hint="eastAsia" w:cs="Times New Roman"/>
                <w:b w:val="0"/>
                <w:bCs w:val="0"/>
                <w:color w:val="auto"/>
                <w:sz w:val="24"/>
                <w:szCs w:val="32"/>
                <w:lang w:val="en-US" w:eastAsia="zh-CN"/>
              </w:rPr>
              <w:t>》《</w:t>
            </w:r>
            <w:r>
              <w:rPr>
                <w:rFonts w:hint="default" w:ascii="Times New Roman" w:hAnsi="Times New Roman" w:cs="Times New Roman"/>
                <w:b w:val="0"/>
                <w:bCs w:val="0"/>
                <w:color w:val="auto"/>
                <w:sz w:val="24"/>
                <w:szCs w:val="32"/>
                <w:lang w:val="en-US" w:eastAsia="zh-CN"/>
              </w:rPr>
              <w:t>关于规范公路涵洞与石油天然气管道交叉工程管理的通知》（交公路发〔2015〕36 号）、《输气管道工程设计规范》（GB50251-2014）、《油气输送管道穿越工程设计规范》（GB50423-2013）、《公路路线设计规范》（JTGD20-2017）等相关法律法规标准的要求。安全风险可控。</w:t>
            </w:r>
          </w:p>
          <w:p w14:paraId="13CBAF18">
            <w:pPr>
              <w:keepNext w:val="0"/>
              <w:keepLines w:val="0"/>
              <w:pageBreakBefore w:val="0"/>
              <w:widowControl/>
              <w:kinsoku/>
              <w:wordWrap/>
              <w:overflowPunct/>
              <w:topLinePunct w:val="0"/>
              <w:autoSpaceDE/>
              <w:autoSpaceDN/>
              <w:bidi w:val="0"/>
              <w:adjustRightInd/>
              <w:snapToGrid/>
              <w:spacing w:line="360" w:lineRule="auto"/>
              <w:ind w:left="0" w:leftChars="0" w:firstLine="0" w:firstLineChars="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rPr>
              <w:drawing>
                <wp:inline distT="0" distB="0" distL="114300" distR="114300">
                  <wp:extent cx="5111115" cy="2942590"/>
                  <wp:effectExtent l="0" t="0" r="6985" b="381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36"/>
                          <a:stretch>
                            <a:fillRect/>
                          </a:stretch>
                        </pic:blipFill>
                        <pic:spPr>
                          <a:xfrm>
                            <a:off x="0" y="0"/>
                            <a:ext cx="5111115" cy="2942590"/>
                          </a:xfrm>
                          <a:prstGeom prst="rect">
                            <a:avLst/>
                          </a:prstGeom>
                          <a:noFill/>
                          <a:ln>
                            <a:noFill/>
                          </a:ln>
                        </pic:spPr>
                      </pic:pic>
                    </a:graphicData>
                  </a:graphic>
                </wp:inline>
              </w:drawing>
            </w:r>
          </w:p>
          <w:p w14:paraId="42E3FC08">
            <w:pPr>
              <w:widowControl/>
              <w:spacing w:line="240" w:lineRule="auto"/>
              <w:jc w:val="center"/>
              <w:rPr>
                <w:rFonts w:hint="default" w:ascii="Times New Roman" w:hAnsi="Times New Roman" w:eastAsia="宋体" w:cs="Times New Roman"/>
                <w:b/>
                <w:bCs/>
                <w:color w:val="auto"/>
                <w:szCs w:val="21"/>
                <w:lang w:val="en-US" w:eastAsia="zh-CN"/>
              </w:rPr>
            </w:pPr>
            <w:r>
              <w:rPr>
                <w:rFonts w:hint="default" w:ascii="Times New Roman" w:hAnsi="Times New Roman" w:cs="Times New Roman"/>
                <w:b/>
                <w:bCs/>
                <w:color w:val="auto"/>
                <w:szCs w:val="21"/>
                <w:lang w:val="en-US" w:eastAsia="zh-CN"/>
              </w:rPr>
              <w:t>图</w:t>
            </w:r>
            <w:r>
              <w:rPr>
                <w:rFonts w:hint="default" w:ascii="Times New Roman" w:hAnsi="Times New Roman" w:cs="Times New Roman"/>
                <w:b/>
                <w:bCs/>
                <w:color w:val="auto"/>
                <w:szCs w:val="21"/>
              </w:rPr>
              <w:t>2-</w:t>
            </w:r>
            <w:r>
              <w:rPr>
                <w:rFonts w:hint="default" w:ascii="Times New Roman" w:hAnsi="Times New Roman" w:cs="Times New Roman"/>
                <w:b/>
                <w:bCs/>
                <w:color w:val="auto"/>
                <w:szCs w:val="21"/>
                <w:lang w:val="en-US" w:eastAsia="zh-CN"/>
              </w:rPr>
              <w:t>1涵洞轴向断面图</w:t>
            </w:r>
          </w:p>
          <w:p w14:paraId="24F38804">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lang w:val="en-US" w:eastAsia="zh-CN"/>
              </w:rPr>
            </w:pPr>
            <w:r>
              <w:rPr>
                <w:rFonts w:hint="default" w:ascii="Times New Roman" w:hAnsi="Times New Roman" w:cs="Times New Roman"/>
                <w:b/>
                <w:bCs/>
                <w:color w:val="auto"/>
                <w:sz w:val="24"/>
                <w:szCs w:val="32"/>
                <w:lang w:val="en-US" w:eastAsia="zh-CN"/>
              </w:rPr>
              <w:t>8、穿越四川达州普光经济开发区物流园铁路专用线牵出线（路基段）工程</w:t>
            </w:r>
          </w:p>
          <w:p w14:paraId="23D4FD6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主线以1-10m钢筋混凝土框构桥形式从在建四川达州普光经济开发区物流园铁路专用线牵出线（路基段）下方穿越通过，道路与铁路平面交角45°，交叉点铁路里程为Q1K0+284.03。框构桥按斜交斜做设计，结构总宽11.8m，结构总高7.9m，斜长60.17m，</w:t>
            </w:r>
            <w:r>
              <w:rPr>
                <w:rFonts w:hint="default" w:ascii="Times New Roman" w:hAnsi="Times New Roman" w:cs="Times New Roman"/>
                <w:b/>
                <w:bCs/>
                <w:color w:val="auto"/>
                <w:sz w:val="24"/>
                <w:szCs w:val="32"/>
                <w:lang w:val="en-US" w:eastAsia="zh-CN"/>
              </w:rPr>
              <w:t>框构桥顶至铁路轨底垂直净距1.02m，框构桥内道路净空大于4.5m</w:t>
            </w:r>
            <w:r>
              <w:rPr>
                <w:rFonts w:hint="default" w:ascii="Times New Roman" w:hAnsi="Times New Roman" w:cs="Times New Roman"/>
                <w:color w:val="auto"/>
                <w:sz w:val="24"/>
                <w:szCs w:val="32"/>
                <w:lang w:val="en-US" w:eastAsia="zh-CN"/>
              </w:rPr>
              <w:t>。</w:t>
            </w:r>
          </w:p>
          <w:p w14:paraId="19C57475">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9</w:t>
            </w:r>
            <w:r>
              <w:rPr>
                <w:rFonts w:hint="default" w:ascii="Times New Roman" w:hAnsi="Times New Roman" w:cs="Times New Roman"/>
                <w:b/>
                <w:bCs/>
                <w:color w:val="auto"/>
                <w:sz w:val="24"/>
                <w:szCs w:val="32"/>
              </w:rPr>
              <w:t>、工程占地、拆迁安置</w:t>
            </w:r>
          </w:p>
          <w:p w14:paraId="2C21993F">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（1）工程占地</w:t>
            </w:r>
          </w:p>
          <w:p w14:paraId="6142E69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本项目建设范围均在达州市宣汉县境内，工程总占地8.57hm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，其中永久占地4.24hm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，临时占地4.33hm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。永久占地包括路基路面工程占地、桥梁桥面投影占地、桥墩及护坡等占地，新增临时占地包括路基路面工程占地、施工场地、材料堆场、弃渣场占地。占地类型包括耕地、林地、交通运输用地、其他用地。</w:t>
            </w:r>
          </w:p>
          <w:p w14:paraId="0336288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路基路面工程包括路面区域、桥梁、路堑、路堤、边坡等附属设施占地；本项目路基路面工程全线长2.963km，路基宽度8.5m，路基路面工程区占地5.50hm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。施工临时用地包括：施工场地、材料堆场、施工便道、弃渣场占地3.07hm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，均为临时占地。弃渣场区包括2座弃渣场，其中1#弃渣场占地0.26hm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，2#弃渣场占地0.87hm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，施工结束后进行迹地恢复。</w:t>
            </w:r>
          </w:p>
          <w:p w14:paraId="4DB5A2F5">
            <w:pPr>
              <w:widowControl/>
              <w:spacing w:line="240" w:lineRule="auto"/>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表2-</w:t>
            </w:r>
            <w:r>
              <w:rPr>
                <w:rFonts w:hint="default" w:ascii="Times New Roman" w:hAnsi="Times New Roman" w:cs="Times New Roman"/>
                <w:b/>
                <w:bCs/>
                <w:color w:val="auto"/>
                <w:szCs w:val="21"/>
                <w:lang w:val="en-US" w:eastAsia="zh-CN"/>
              </w:rPr>
              <w:t>9</w:t>
            </w:r>
            <w:r>
              <w:rPr>
                <w:rFonts w:hint="default" w:ascii="Times New Roman" w:hAnsi="Times New Roman" w:cs="Times New Roman"/>
                <w:b/>
                <w:bCs/>
                <w:color w:val="auto"/>
                <w:szCs w:val="21"/>
              </w:rPr>
              <w:t>本项目占地类型及数量表</w:t>
            </w:r>
          </w:p>
          <w:p w14:paraId="3CF90068">
            <w:pPr>
              <w:widowControl/>
              <w:spacing w:line="240" w:lineRule="auto"/>
              <w:jc w:val="right"/>
              <w:rPr>
                <w:rFonts w:hint="default" w:ascii="Times New Roman" w:hAnsi="Times New Roman" w:eastAsia="宋体" w:cs="Times New Roman"/>
                <w:b/>
                <w:bCs/>
                <w:color w:val="auto"/>
                <w:szCs w:val="21"/>
                <w:lang w:val="en-US" w:eastAsia="zh-CN"/>
              </w:rPr>
            </w:pP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49"/>
              <w:gridCol w:w="1149"/>
              <w:gridCol w:w="1150"/>
              <w:gridCol w:w="1150"/>
              <w:gridCol w:w="1150"/>
              <w:gridCol w:w="1150"/>
              <w:gridCol w:w="1150"/>
            </w:tblGrid>
            <w:tr w14:paraId="1C10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1005" w:type="dxa"/>
                  <w:vMerge w:val="restart"/>
                  <w:vAlign w:val="center"/>
                </w:tcPr>
                <w:p w14:paraId="5B8AF31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项目组成</w:t>
                  </w:r>
                </w:p>
              </w:tc>
              <w:tc>
                <w:tcPr>
                  <w:tcW w:w="1005" w:type="dxa"/>
                  <w:vMerge w:val="restart"/>
                  <w:vAlign w:val="center"/>
                </w:tcPr>
                <w:p w14:paraId="3A17B7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占地性质</w:t>
                  </w:r>
                </w:p>
              </w:tc>
              <w:tc>
                <w:tcPr>
                  <w:tcW w:w="1006" w:type="dxa"/>
                  <w:vMerge w:val="restart"/>
                  <w:vAlign w:val="center"/>
                </w:tcPr>
                <w:p w14:paraId="2042548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占地面积（hm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p>
              </w:tc>
              <w:tc>
                <w:tcPr>
                  <w:tcW w:w="4024" w:type="dxa"/>
                  <w:gridSpan w:val="4"/>
                  <w:vAlign w:val="center"/>
                </w:tcPr>
                <w:p w14:paraId="1874140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占地类型（hm</w:t>
                  </w:r>
                  <w:r>
                    <w:rPr>
                      <w:rFonts w:hint="default" w:ascii="Times New Roman" w:hAnsi="Times New Roman" w:cs="Times New Roman"/>
                      <w:color w:val="auto"/>
                      <w:sz w:val="21"/>
                      <w:szCs w:val="21"/>
                      <w:vertAlign w:val="superscript"/>
                      <w:lang w:val="en-US" w:eastAsia="zh-CN"/>
                    </w:rPr>
                    <w:t>2</w:t>
                  </w:r>
                  <w:r>
                    <w:rPr>
                      <w:rFonts w:hint="default" w:ascii="Times New Roman" w:hAnsi="Times New Roman" w:cs="Times New Roman"/>
                      <w:color w:val="auto"/>
                      <w:sz w:val="21"/>
                      <w:szCs w:val="21"/>
                      <w:vertAlign w:val="baseline"/>
                      <w:lang w:val="en-US" w:eastAsia="zh-CN"/>
                    </w:rPr>
                    <w:t>）</w:t>
                  </w:r>
                </w:p>
              </w:tc>
            </w:tr>
            <w:tr w14:paraId="2E9EC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Merge w:val="continue"/>
                  <w:vAlign w:val="center"/>
                </w:tcPr>
                <w:p w14:paraId="23AB7DC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005" w:type="dxa"/>
                  <w:vMerge w:val="continue"/>
                  <w:vAlign w:val="center"/>
                </w:tcPr>
                <w:p w14:paraId="01E91D0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006" w:type="dxa"/>
                  <w:vMerge w:val="continue"/>
                  <w:vAlign w:val="center"/>
                </w:tcPr>
                <w:p w14:paraId="42FDA16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p>
              </w:tc>
              <w:tc>
                <w:tcPr>
                  <w:tcW w:w="1006" w:type="dxa"/>
                  <w:vAlign w:val="center"/>
                </w:tcPr>
                <w:p w14:paraId="58A6367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耕地</w:t>
                  </w:r>
                </w:p>
              </w:tc>
              <w:tc>
                <w:tcPr>
                  <w:tcW w:w="1006" w:type="dxa"/>
                  <w:vAlign w:val="center"/>
                </w:tcPr>
                <w:p w14:paraId="22096C6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林地</w:t>
                  </w:r>
                </w:p>
              </w:tc>
              <w:tc>
                <w:tcPr>
                  <w:tcW w:w="1006" w:type="dxa"/>
                  <w:vAlign w:val="center"/>
                </w:tcPr>
                <w:p w14:paraId="5663783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草地</w:t>
                  </w:r>
                </w:p>
              </w:tc>
              <w:tc>
                <w:tcPr>
                  <w:tcW w:w="1006" w:type="dxa"/>
                  <w:vAlign w:val="center"/>
                </w:tcPr>
                <w:p w14:paraId="2EEA77C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其他用地</w:t>
                  </w:r>
                </w:p>
              </w:tc>
            </w:tr>
            <w:tr w14:paraId="7A47B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229D88A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路基工程区</w:t>
                  </w:r>
                </w:p>
              </w:tc>
              <w:tc>
                <w:tcPr>
                  <w:tcW w:w="1005" w:type="dxa"/>
                  <w:vAlign w:val="center"/>
                </w:tcPr>
                <w:p w14:paraId="1644043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永久占地、临时占地</w:t>
                  </w:r>
                </w:p>
              </w:tc>
              <w:tc>
                <w:tcPr>
                  <w:tcW w:w="1006" w:type="dxa"/>
                  <w:vAlign w:val="center"/>
                </w:tcPr>
                <w:p w14:paraId="65F7A3E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5.5</w:t>
                  </w:r>
                </w:p>
              </w:tc>
              <w:tc>
                <w:tcPr>
                  <w:tcW w:w="1006" w:type="dxa"/>
                  <w:vAlign w:val="center"/>
                </w:tcPr>
                <w:p w14:paraId="451C7B4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0.35</w:t>
                  </w:r>
                </w:p>
              </w:tc>
              <w:tc>
                <w:tcPr>
                  <w:tcW w:w="1006" w:type="dxa"/>
                  <w:vAlign w:val="center"/>
                </w:tcPr>
                <w:p w14:paraId="4368AD0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4.32</w:t>
                  </w:r>
                </w:p>
              </w:tc>
              <w:tc>
                <w:tcPr>
                  <w:tcW w:w="1006" w:type="dxa"/>
                  <w:vAlign w:val="center"/>
                </w:tcPr>
                <w:p w14:paraId="77E7FAE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0.83</w:t>
                  </w:r>
                </w:p>
              </w:tc>
              <w:tc>
                <w:tcPr>
                  <w:tcW w:w="1006" w:type="dxa"/>
                  <w:vAlign w:val="center"/>
                </w:tcPr>
                <w:p w14:paraId="20EA71F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27DD6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4BCBCF44">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施工便道</w:t>
                  </w:r>
                </w:p>
              </w:tc>
              <w:tc>
                <w:tcPr>
                  <w:tcW w:w="1005" w:type="dxa"/>
                  <w:vAlign w:val="center"/>
                </w:tcPr>
                <w:p w14:paraId="3B9F853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临时占地</w:t>
                  </w:r>
                </w:p>
              </w:tc>
              <w:tc>
                <w:tcPr>
                  <w:tcW w:w="1006" w:type="dxa"/>
                  <w:vAlign w:val="center"/>
                </w:tcPr>
                <w:p w14:paraId="4494943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1.03</w:t>
                  </w:r>
                </w:p>
              </w:tc>
              <w:tc>
                <w:tcPr>
                  <w:tcW w:w="1006" w:type="dxa"/>
                  <w:vAlign w:val="center"/>
                </w:tcPr>
                <w:p w14:paraId="540F339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6" w:type="dxa"/>
                  <w:vAlign w:val="center"/>
                </w:tcPr>
                <w:p w14:paraId="6B22F97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1.03</w:t>
                  </w:r>
                </w:p>
              </w:tc>
              <w:tc>
                <w:tcPr>
                  <w:tcW w:w="1006" w:type="dxa"/>
                  <w:vAlign w:val="center"/>
                </w:tcPr>
                <w:p w14:paraId="0C9CEA3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6" w:type="dxa"/>
                  <w:vAlign w:val="center"/>
                </w:tcPr>
                <w:p w14:paraId="64D1006F">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343B7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4D350CA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材料堆场、施工场地</w:t>
                  </w:r>
                </w:p>
              </w:tc>
              <w:tc>
                <w:tcPr>
                  <w:tcW w:w="1005" w:type="dxa"/>
                  <w:vAlign w:val="center"/>
                </w:tcPr>
                <w:p w14:paraId="04D897B3">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临时占地</w:t>
                  </w:r>
                </w:p>
              </w:tc>
              <w:tc>
                <w:tcPr>
                  <w:tcW w:w="1006" w:type="dxa"/>
                  <w:vAlign w:val="center"/>
                </w:tcPr>
                <w:p w14:paraId="04F5516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0.91</w:t>
                  </w:r>
                </w:p>
              </w:tc>
              <w:tc>
                <w:tcPr>
                  <w:tcW w:w="1006" w:type="dxa"/>
                  <w:vAlign w:val="center"/>
                </w:tcPr>
                <w:p w14:paraId="1AB713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0.15</w:t>
                  </w:r>
                </w:p>
              </w:tc>
              <w:tc>
                <w:tcPr>
                  <w:tcW w:w="1006" w:type="dxa"/>
                  <w:vAlign w:val="center"/>
                </w:tcPr>
                <w:p w14:paraId="7BF0231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0.11</w:t>
                  </w:r>
                </w:p>
              </w:tc>
              <w:tc>
                <w:tcPr>
                  <w:tcW w:w="1006" w:type="dxa"/>
                  <w:vAlign w:val="center"/>
                </w:tcPr>
                <w:p w14:paraId="6B08C35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6" w:type="dxa"/>
                  <w:vAlign w:val="center"/>
                </w:tcPr>
                <w:p w14:paraId="54AE358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0.65</w:t>
                  </w:r>
                </w:p>
              </w:tc>
            </w:tr>
            <w:tr w14:paraId="294E4B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05" w:type="dxa"/>
                  <w:vAlign w:val="center"/>
                </w:tcPr>
                <w:p w14:paraId="7F29209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弃渣场</w:t>
                  </w:r>
                </w:p>
              </w:tc>
              <w:tc>
                <w:tcPr>
                  <w:tcW w:w="1005" w:type="dxa"/>
                  <w:vAlign w:val="center"/>
                </w:tcPr>
                <w:p w14:paraId="53BD5D8B">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临时占地</w:t>
                  </w:r>
                </w:p>
              </w:tc>
              <w:tc>
                <w:tcPr>
                  <w:tcW w:w="1006" w:type="dxa"/>
                  <w:vAlign w:val="center"/>
                </w:tcPr>
                <w:p w14:paraId="6E87C8E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1.13</w:t>
                  </w:r>
                </w:p>
              </w:tc>
              <w:tc>
                <w:tcPr>
                  <w:tcW w:w="1006" w:type="dxa"/>
                  <w:vAlign w:val="center"/>
                </w:tcPr>
                <w:p w14:paraId="1D51EF78">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6" w:type="dxa"/>
                  <w:vAlign w:val="center"/>
                </w:tcPr>
                <w:p w14:paraId="27B4AC0D">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1.13</w:t>
                  </w:r>
                </w:p>
              </w:tc>
              <w:tc>
                <w:tcPr>
                  <w:tcW w:w="1006" w:type="dxa"/>
                  <w:vAlign w:val="center"/>
                </w:tcPr>
                <w:p w14:paraId="65FFA80C">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c>
                <w:tcPr>
                  <w:tcW w:w="1006" w:type="dxa"/>
                  <w:vAlign w:val="center"/>
                </w:tcPr>
                <w:p w14:paraId="2FCD571E">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w:t>
                  </w:r>
                </w:p>
              </w:tc>
            </w:tr>
            <w:tr w14:paraId="26756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010" w:type="dxa"/>
                  <w:gridSpan w:val="2"/>
                  <w:vAlign w:val="center"/>
                </w:tcPr>
                <w:p w14:paraId="6EA9835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合计</w:t>
                  </w:r>
                </w:p>
              </w:tc>
              <w:tc>
                <w:tcPr>
                  <w:tcW w:w="1006" w:type="dxa"/>
                  <w:vAlign w:val="center"/>
                </w:tcPr>
                <w:p w14:paraId="1FE8AE31">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8.57</w:t>
                  </w:r>
                </w:p>
              </w:tc>
              <w:tc>
                <w:tcPr>
                  <w:tcW w:w="1006" w:type="dxa"/>
                  <w:vAlign w:val="center"/>
                </w:tcPr>
                <w:p w14:paraId="1F7CA976">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0.50</w:t>
                  </w:r>
                </w:p>
              </w:tc>
              <w:tc>
                <w:tcPr>
                  <w:tcW w:w="1006" w:type="dxa"/>
                  <w:vAlign w:val="center"/>
                </w:tcPr>
                <w:p w14:paraId="3EE1CFB5">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6.59</w:t>
                  </w:r>
                </w:p>
              </w:tc>
              <w:tc>
                <w:tcPr>
                  <w:tcW w:w="1006" w:type="dxa"/>
                  <w:vAlign w:val="center"/>
                </w:tcPr>
                <w:p w14:paraId="4E685CA9">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0.83</w:t>
                  </w:r>
                </w:p>
              </w:tc>
              <w:tc>
                <w:tcPr>
                  <w:tcW w:w="1006" w:type="dxa"/>
                  <w:vAlign w:val="center"/>
                </w:tcPr>
                <w:p w14:paraId="053D864A">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0.65</w:t>
                  </w:r>
                </w:p>
              </w:tc>
            </w:tr>
          </w:tbl>
          <w:p w14:paraId="7A877387">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（2）拆迁安置</w:t>
            </w:r>
          </w:p>
          <w:p w14:paraId="1425ACF3">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eastAsia="宋体" w:cs="Times New Roman"/>
                <w:color w:val="auto"/>
                <w:kern w:val="0"/>
                <w:sz w:val="24"/>
                <w:szCs w:val="24"/>
                <w:highlight w:val="none"/>
                <w:lang w:val="en-US" w:eastAsia="zh-CN" w:bidi="ar"/>
              </w:rPr>
              <w:t>本项目拆迁安置工作统一由当地人民政府负责实施，由建设方出资实行货币化补偿，拆迁水土流失防治责任均由当地人民政府负责。本工程不涉及专项设施改（迁）建</w:t>
            </w:r>
            <w:r>
              <w:rPr>
                <w:rFonts w:hint="default" w:ascii="Times New Roman" w:hAnsi="Times New Roman" w:cs="Times New Roman"/>
                <w:color w:val="auto"/>
                <w:sz w:val="24"/>
                <w:szCs w:val="32"/>
              </w:rPr>
              <w:t>。</w:t>
            </w:r>
          </w:p>
          <w:p w14:paraId="6204BCCE">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eastAsia" w:ascii="Times New Roman" w:hAnsi="Times New Roman" w:cs="Times New Roman"/>
                <w:b/>
                <w:bCs/>
                <w:color w:val="auto"/>
                <w:sz w:val="24"/>
                <w:szCs w:val="32"/>
                <w:lang w:val="en-US" w:eastAsia="zh-CN"/>
              </w:rPr>
              <w:t>10</w:t>
            </w:r>
            <w:r>
              <w:rPr>
                <w:rFonts w:hint="default" w:ascii="Times New Roman" w:hAnsi="Times New Roman" w:cs="Times New Roman"/>
                <w:b/>
                <w:bCs/>
                <w:color w:val="auto"/>
                <w:sz w:val="24"/>
                <w:szCs w:val="32"/>
              </w:rPr>
              <w:t>、土石方平衡</w:t>
            </w:r>
          </w:p>
          <w:p w14:paraId="793C1599">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本项目土石方开挖总量为17.08万m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（自然方，下同），回填/利用土石方总量为9.03万m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，产生废弃土石方8.05万m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，全部运至主体工程设置的弃土场。</w:t>
            </w:r>
          </w:p>
          <w:p w14:paraId="26DA25A7">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eastAsia="宋体" w:cs="Times New Roman"/>
                <w:color w:val="auto"/>
                <w:kern w:val="2"/>
                <w:sz w:val="24"/>
                <w:szCs w:val="32"/>
                <w:lang w:val="en-US" w:eastAsia="zh-CN" w:bidi="ar-SA"/>
              </w:rPr>
              <w:t>（1）</w:t>
            </w:r>
            <w:r>
              <w:rPr>
                <w:rFonts w:hint="default" w:ascii="Times New Roman" w:hAnsi="Times New Roman" w:cs="Times New Roman"/>
                <w:color w:val="auto"/>
                <w:sz w:val="24"/>
                <w:szCs w:val="32"/>
              </w:rPr>
              <w:t>路基工程施工总开挖15.83万m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，回填利用7.05万m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，需要将多余的1.05万m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土石方分别运至</w:t>
            </w:r>
            <w:r>
              <w:rPr>
                <w:rFonts w:hint="default" w:ascii="Times New Roman" w:hAnsi="Times New Roman" w:cs="Times New Roman"/>
                <w:color w:val="auto"/>
                <w:sz w:val="24"/>
                <w:szCs w:val="32"/>
                <w:lang w:val="en-US" w:eastAsia="zh-CN"/>
              </w:rPr>
              <w:t>施工场地、材料堆场</w:t>
            </w:r>
            <w:r>
              <w:rPr>
                <w:rFonts w:hint="default" w:ascii="Times New Roman" w:hAnsi="Times New Roman" w:cs="Times New Roman"/>
                <w:color w:val="auto"/>
                <w:sz w:val="24"/>
                <w:szCs w:val="32"/>
              </w:rPr>
              <w:t>和弃渣场区进行绿化表土回覆，产生的7.73万m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土石方运至弃土场堆放。</w:t>
            </w:r>
          </w:p>
          <w:p w14:paraId="64D14D74">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w:t>
            </w:r>
            <w:r>
              <w:rPr>
                <w:rFonts w:hint="default" w:ascii="Times New Roman" w:hAnsi="Times New Roman" w:cs="Times New Roman"/>
                <w:color w:val="auto"/>
                <w:sz w:val="24"/>
                <w:szCs w:val="32"/>
                <w:lang w:val="en-US" w:eastAsia="zh-CN"/>
              </w:rPr>
              <w:t>施工场地、材料堆场</w:t>
            </w:r>
            <w:r>
              <w:rPr>
                <w:rFonts w:hint="default" w:ascii="Times New Roman" w:hAnsi="Times New Roman" w:cs="Times New Roman"/>
                <w:color w:val="auto"/>
                <w:sz w:val="24"/>
                <w:szCs w:val="32"/>
              </w:rPr>
              <w:t>工程开挖0.59万m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，回填利用0.73万m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；主要是表土的剥离和回填利用0.73万m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，需要将多余土石方的开挖0.32万m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运至弃土场堆放。</w:t>
            </w:r>
          </w:p>
          <w:p w14:paraId="1DE22BE6">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（3）弃渣场区工程开挖0.66万m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，回填利用1.25万m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；主要是表土的剥离和回填利用0.93万m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w:t>
            </w:r>
          </w:p>
          <w:p w14:paraId="2D9B8769">
            <w:pPr>
              <w:pStyle w:val="85"/>
              <w:spacing w:line="460" w:lineRule="exact"/>
              <w:ind w:firstLine="422"/>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表2-</w:t>
            </w:r>
            <w:r>
              <w:rPr>
                <w:rFonts w:hint="default" w:ascii="Times New Roman" w:hAnsi="Times New Roman" w:cs="Times New Roman"/>
                <w:b/>
                <w:bCs/>
                <w:color w:val="auto"/>
                <w:sz w:val="21"/>
                <w:szCs w:val="21"/>
                <w:lang w:val="en-US" w:eastAsia="zh-CN"/>
              </w:rPr>
              <w:t xml:space="preserve">10 </w:t>
            </w:r>
            <w:r>
              <w:rPr>
                <w:rFonts w:hint="default" w:ascii="Times New Roman" w:hAnsi="Times New Roman" w:cs="Times New Roman"/>
                <w:b/>
                <w:bCs/>
                <w:color w:val="auto"/>
                <w:sz w:val="21"/>
                <w:szCs w:val="21"/>
              </w:rPr>
              <w:t>本项目土石方平衡表</w:t>
            </w:r>
          </w:p>
          <w:p w14:paraId="101BCA17">
            <w:pPr>
              <w:pStyle w:val="85"/>
              <w:spacing w:line="460" w:lineRule="exact"/>
              <w:ind w:firstLine="422"/>
              <w:jc w:val="right"/>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单位：万m</w:t>
            </w:r>
            <w:r>
              <w:rPr>
                <w:rFonts w:hint="default" w:ascii="Times New Roman" w:hAnsi="Times New Roman" w:cs="Times New Roman"/>
                <w:b/>
                <w:bCs/>
                <w:color w:val="auto"/>
                <w:sz w:val="21"/>
                <w:szCs w:val="21"/>
                <w:vertAlign w:val="superscript"/>
                <w:lang w:val="en-US" w:eastAsia="zh-CN"/>
              </w:rPr>
              <w:t>3</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5"/>
              <w:gridCol w:w="536"/>
              <w:gridCol w:w="741"/>
              <w:gridCol w:w="628"/>
              <w:gridCol w:w="628"/>
              <w:gridCol w:w="628"/>
              <w:gridCol w:w="593"/>
              <w:gridCol w:w="537"/>
              <w:gridCol w:w="537"/>
              <w:gridCol w:w="537"/>
              <w:gridCol w:w="537"/>
              <w:gridCol w:w="537"/>
              <w:gridCol w:w="537"/>
              <w:gridCol w:w="537"/>
            </w:tblGrid>
            <w:tr w14:paraId="5AB39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restart"/>
                  <w:vAlign w:val="center"/>
                </w:tcPr>
                <w:p w14:paraId="292A85B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序号</w:t>
                  </w:r>
                </w:p>
              </w:tc>
              <w:tc>
                <w:tcPr>
                  <w:tcW w:w="536" w:type="dxa"/>
                  <w:vMerge w:val="restart"/>
                  <w:vAlign w:val="center"/>
                </w:tcPr>
                <w:p w14:paraId="3485182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项目组成</w:t>
                  </w:r>
                </w:p>
              </w:tc>
              <w:tc>
                <w:tcPr>
                  <w:tcW w:w="741" w:type="dxa"/>
                  <w:vMerge w:val="restart"/>
                  <w:vAlign w:val="center"/>
                </w:tcPr>
                <w:p w14:paraId="3472B3D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桩号</w:t>
                  </w:r>
                </w:p>
              </w:tc>
              <w:tc>
                <w:tcPr>
                  <w:tcW w:w="1884" w:type="dxa"/>
                  <w:gridSpan w:val="3"/>
                  <w:vAlign w:val="center"/>
                </w:tcPr>
                <w:p w14:paraId="7E70D03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开挖</w:t>
                  </w:r>
                </w:p>
              </w:tc>
              <w:tc>
                <w:tcPr>
                  <w:tcW w:w="593" w:type="dxa"/>
                  <w:vMerge w:val="restart"/>
                  <w:vAlign w:val="center"/>
                </w:tcPr>
                <w:p w14:paraId="1943148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土石方回填</w:t>
                  </w:r>
                </w:p>
              </w:tc>
              <w:tc>
                <w:tcPr>
                  <w:tcW w:w="1074" w:type="dxa"/>
                  <w:gridSpan w:val="2"/>
                  <w:vAlign w:val="center"/>
                </w:tcPr>
                <w:p w14:paraId="1AEDE54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调入</w:t>
                  </w:r>
                </w:p>
              </w:tc>
              <w:tc>
                <w:tcPr>
                  <w:tcW w:w="1074" w:type="dxa"/>
                  <w:gridSpan w:val="2"/>
                  <w:vAlign w:val="center"/>
                </w:tcPr>
                <w:p w14:paraId="535786F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调出</w:t>
                  </w:r>
                </w:p>
              </w:tc>
              <w:tc>
                <w:tcPr>
                  <w:tcW w:w="1611" w:type="dxa"/>
                  <w:gridSpan w:val="3"/>
                  <w:vAlign w:val="center"/>
                </w:tcPr>
                <w:p w14:paraId="75DA6A3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弃方</w:t>
                  </w:r>
                </w:p>
              </w:tc>
            </w:tr>
            <w:tr w14:paraId="19CC27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continue"/>
                  <w:vAlign w:val="center"/>
                </w:tcPr>
                <w:p w14:paraId="5555DFB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6" w:type="dxa"/>
                  <w:vMerge w:val="continue"/>
                  <w:vAlign w:val="center"/>
                </w:tcPr>
                <w:p w14:paraId="6271A5E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741" w:type="dxa"/>
                  <w:vMerge w:val="continue"/>
                  <w:vAlign w:val="center"/>
                </w:tcPr>
                <w:p w14:paraId="10A20548">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628" w:type="dxa"/>
                  <w:vAlign w:val="center"/>
                </w:tcPr>
                <w:p w14:paraId="6641B4C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土石方</w:t>
                  </w:r>
                </w:p>
              </w:tc>
              <w:tc>
                <w:tcPr>
                  <w:tcW w:w="628" w:type="dxa"/>
                  <w:vAlign w:val="center"/>
                </w:tcPr>
                <w:p w14:paraId="4A6AACA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表土</w:t>
                  </w:r>
                </w:p>
              </w:tc>
              <w:tc>
                <w:tcPr>
                  <w:tcW w:w="628" w:type="dxa"/>
                  <w:vAlign w:val="center"/>
                </w:tcPr>
                <w:p w14:paraId="3D5651C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总量</w:t>
                  </w:r>
                </w:p>
              </w:tc>
              <w:tc>
                <w:tcPr>
                  <w:tcW w:w="593" w:type="dxa"/>
                  <w:vMerge w:val="continue"/>
                  <w:vAlign w:val="center"/>
                </w:tcPr>
                <w:p w14:paraId="211F0A6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4F736C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数量</w:t>
                  </w:r>
                </w:p>
              </w:tc>
              <w:tc>
                <w:tcPr>
                  <w:tcW w:w="537" w:type="dxa"/>
                  <w:vAlign w:val="center"/>
                </w:tcPr>
                <w:p w14:paraId="6CE4816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来源</w:t>
                  </w:r>
                </w:p>
              </w:tc>
              <w:tc>
                <w:tcPr>
                  <w:tcW w:w="537" w:type="dxa"/>
                  <w:vAlign w:val="center"/>
                </w:tcPr>
                <w:p w14:paraId="1DC595C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数量</w:t>
                  </w:r>
                </w:p>
              </w:tc>
              <w:tc>
                <w:tcPr>
                  <w:tcW w:w="537" w:type="dxa"/>
                  <w:vAlign w:val="center"/>
                </w:tcPr>
                <w:p w14:paraId="2EFC44F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去向</w:t>
                  </w:r>
                </w:p>
              </w:tc>
              <w:tc>
                <w:tcPr>
                  <w:tcW w:w="537" w:type="dxa"/>
                  <w:vAlign w:val="center"/>
                </w:tcPr>
                <w:p w14:paraId="6C6BB51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自然方</w:t>
                  </w:r>
                </w:p>
              </w:tc>
              <w:tc>
                <w:tcPr>
                  <w:tcW w:w="537" w:type="dxa"/>
                  <w:vAlign w:val="center"/>
                </w:tcPr>
                <w:p w14:paraId="561393A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松方</w:t>
                  </w:r>
                </w:p>
              </w:tc>
              <w:tc>
                <w:tcPr>
                  <w:tcW w:w="537" w:type="dxa"/>
                  <w:vAlign w:val="center"/>
                </w:tcPr>
                <w:p w14:paraId="5A77897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弃方去向</w:t>
                  </w:r>
                </w:p>
              </w:tc>
            </w:tr>
            <w:tr w14:paraId="522967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restart"/>
                  <w:vAlign w:val="center"/>
                </w:tcPr>
                <w:p w14:paraId="68E9690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A</w:t>
                  </w:r>
                </w:p>
              </w:tc>
              <w:tc>
                <w:tcPr>
                  <w:tcW w:w="536" w:type="dxa"/>
                  <w:vMerge w:val="restart"/>
                  <w:vAlign w:val="center"/>
                </w:tcPr>
                <w:p w14:paraId="268B991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路基工程区</w:t>
                  </w:r>
                </w:p>
              </w:tc>
              <w:tc>
                <w:tcPr>
                  <w:tcW w:w="741" w:type="dxa"/>
                  <w:vAlign w:val="center"/>
                </w:tcPr>
                <w:p w14:paraId="08CB940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K0+000~K2+300</w:t>
                  </w:r>
                </w:p>
              </w:tc>
              <w:tc>
                <w:tcPr>
                  <w:tcW w:w="628" w:type="dxa"/>
                  <w:vAlign w:val="center"/>
                </w:tcPr>
                <w:p w14:paraId="2EE1E15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12.09</w:t>
                  </w:r>
                </w:p>
              </w:tc>
              <w:tc>
                <w:tcPr>
                  <w:tcW w:w="628" w:type="dxa"/>
                  <w:vAlign w:val="center"/>
                </w:tcPr>
                <w:p w14:paraId="505BD23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1.05</w:t>
                  </w:r>
                </w:p>
              </w:tc>
              <w:tc>
                <w:tcPr>
                  <w:tcW w:w="628" w:type="dxa"/>
                  <w:vAlign w:val="center"/>
                </w:tcPr>
                <w:p w14:paraId="773BDAF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13.14</w:t>
                  </w:r>
                </w:p>
              </w:tc>
              <w:tc>
                <w:tcPr>
                  <w:tcW w:w="593" w:type="dxa"/>
                  <w:vAlign w:val="center"/>
                </w:tcPr>
                <w:p w14:paraId="2E54B2D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5.43</w:t>
                  </w:r>
                </w:p>
              </w:tc>
              <w:tc>
                <w:tcPr>
                  <w:tcW w:w="537" w:type="dxa"/>
                  <w:vAlign w:val="center"/>
                </w:tcPr>
                <w:p w14:paraId="56F437C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E8F9D9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22C6C29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1.05</w:t>
                  </w:r>
                </w:p>
              </w:tc>
              <w:tc>
                <w:tcPr>
                  <w:tcW w:w="537" w:type="dxa"/>
                  <w:vAlign w:val="center"/>
                </w:tcPr>
                <w:p w14:paraId="1908572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BC</w:t>
                  </w:r>
                </w:p>
              </w:tc>
              <w:tc>
                <w:tcPr>
                  <w:tcW w:w="537" w:type="dxa"/>
                  <w:vAlign w:val="center"/>
                </w:tcPr>
                <w:p w14:paraId="32A5E55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824426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6.66</w:t>
                  </w:r>
                </w:p>
              </w:tc>
              <w:tc>
                <w:tcPr>
                  <w:tcW w:w="537" w:type="dxa"/>
                  <w:vMerge w:val="restart"/>
                  <w:vAlign w:val="center"/>
                </w:tcPr>
                <w:p w14:paraId="61E24EF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全部运至弃渣场</w:t>
                  </w:r>
                </w:p>
              </w:tc>
            </w:tr>
            <w:tr w14:paraId="1778B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continue"/>
                  <w:vAlign w:val="center"/>
                </w:tcPr>
                <w:p w14:paraId="21D2BA3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6" w:type="dxa"/>
                  <w:vMerge w:val="continue"/>
                  <w:vAlign w:val="center"/>
                </w:tcPr>
                <w:p w14:paraId="24EAE79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741" w:type="dxa"/>
                  <w:vAlign w:val="center"/>
                </w:tcPr>
                <w:p w14:paraId="13B1316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K2+300~K2+729</w:t>
                  </w:r>
                </w:p>
              </w:tc>
              <w:tc>
                <w:tcPr>
                  <w:tcW w:w="628" w:type="dxa"/>
                  <w:vAlign w:val="center"/>
                </w:tcPr>
                <w:p w14:paraId="339ECA6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1.32</w:t>
                  </w:r>
                </w:p>
              </w:tc>
              <w:tc>
                <w:tcPr>
                  <w:tcW w:w="628" w:type="dxa"/>
                  <w:vAlign w:val="center"/>
                </w:tcPr>
                <w:p w14:paraId="6013821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w:t>
                  </w:r>
                </w:p>
              </w:tc>
              <w:tc>
                <w:tcPr>
                  <w:tcW w:w="628" w:type="dxa"/>
                  <w:vAlign w:val="center"/>
                </w:tcPr>
                <w:p w14:paraId="064CEE9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1.32</w:t>
                  </w:r>
                </w:p>
              </w:tc>
              <w:tc>
                <w:tcPr>
                  <w:tcW w:w="593" w:type="dxa"/>
                  <w:vAlign w:val="center"/>
                </w:tcPr>
                <w:p w14:paraId="068ABA8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0.86</w:t>
                  </w:r>
                </w:p>
              </w:tc>
              <w:tc>
                <w:tcPr>
                  <w:tcW w:w="537" w:type="dxa"/>
                  <w:vAlign w:val="center"/>
                </w:tcPr>
                <w:p w14:paraId="6FB672F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ED8931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4CB4AB9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0AD4BEE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4A40E39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4DF1A8D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0.46</w:t>
                  </w:r>
                </w:p>
              </w:tc>
              <w:tc>
                <w:tcPr>
                  <w:tcW w:w="537" w:type="dxa"/>
                  <w:vMerge w:val="continue"/>
                  <w:vAlign w:val="center"/>
                </w:tcPr>
                <w:p w14:paraId="26F488C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r w14:paraId="630B4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continue"/>
                  <w:vAlign w:val="center"/>
                </w:tcPr>
                <w:p w14:paraId="1028B94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6" w:type="dxa"/>
                  <w:vMerge w:val="continue"/>
                  <w:vAlign w:val="center"/>
                </w:tcPr>
                <w:p w14:paraId="7C4D967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741" w:type="dxa"/>
                  <w:vAlign w:val="center"/>
                </w:tcPr>
                <w:p w14:paraId="549DC7F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ZK0+000~170</w:t>
                  </w:r>
                </w:p>
              </w:tc>
              <w:tc>
                <w:tcPr>
                  <w:tcW w:w="628" w:type="dxa"/>
                  <w:vAlign w:val="center"/>
                </w:tcPr>
                <w:p w14:paraId="339D318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1.37</w:t>
                  </w:r>
                </w:p>
              </w:tc>
              <w:tc>
                <w:tcPr>
                  <w:tcW w:w="628" w:type="dxa"/>
                  <w:vAlign w:val="center"/>
                </w:tcPr>
                <w:p w14:paraId="69708D0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w:t>
                  </w:r>
                </w:p>
              </w:tc>
              <w:tc>
                <w:tcPr>
                  <w:tcW w:w="628" w:type="dxa"/>
                  <w:vAlign w:val="center"/>
                </w:tcPr>
                <w:p w14:paraId="5C507D0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1.37</w:t>
                  </w:r>
                </w:p>
              </w:tc>
              <w:tc>
                <w:tcPr>
                  <w:tcW w:w="593" w:type="dxa"/>
                  <w:vAlign w:val="center"/>
                </w:tcPr>
                <w:p w14:paraId="25554CA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0.76</w:t>
                  </w:r>
                </w:p>
              </w:tc>
              <w:tc>
                <w:tcPr>
                  <w:tcW w:w="537" w:type="dxa"/>
                  <w:vAlign w:val="center"/>
                </w:tcPr>
                <w:p w14:paraId="545EDA1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8E0459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962F53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133658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1054B3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3AEA9D0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0.61</w:t>
                  </w:r>
                </w:p>
              </w:tc>
              <w:tc>
                <w:tcPr>
                  <w:tcW w:w="537" w:type="dxa"/>
                  <w:vMerge w:val="continue"/>
                  <w:vAlign w:val="center"/>
                </w:tcPr>
                <w:p w14:paraId="6F90B76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r w14:paraId="06129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Merge w:val="continue"/>
                  <w:vAlign w:val="center"/>
                </w:tcPr>
                <w:p w14:paraId="7FC8A16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6" w:type="dxa"/>
                  <w:vMerge w:val="continue"/>
                  <w:vAlign w:val="center"/>
                </w:tcPr>
                <w:p w14:paraId="10609AA6">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741" w:type="dxa"/>
                  <w:vAlign w:val="center"/>
                </w:tcPr>
                <w:p w14:paraId="672DE72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合计</w:t>
                  </w:r>
                </w:p>
              </w:tc>
              <w:tc>
                <w:tcPr>
                  <w:tcW w:w="628" w:type="dxa"/>
                  <w:vAlign w:val="center"/>
                </w:tcPr>
                <w:p w14:paraId="7685991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14.78</w:t>
                  </w:r>
                </w:p>
              </w:tc>
              <w:tc>
                <w:tcPr>
                  <w:tcW w:w="628" w:type="dxa"/>
                  <w:vAlign w:val="center"/>
                </w:tcPr>
                <w:p w14:paraId="63D75FF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1.05</w:t>
                  </w:r>
                </w:p>
              </w:tc>
              <w:tc>
                <w:tcPr>
                  <w:tcW w:w="628" w:type="dxa"/>
                  <w:vAlign w:val="center"/>
                </w:tcPr>
                <w:p w14:paraId="47BA494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1.37</w:t>
                  </w:r>
                </w:p>
              </w:tc>
              <w:tc>
                <w:tcPr>
                  <w:tcW w:w="593" w:type="dxa"/>
                  <w:vAlign w:val="center"/>
                </w:tcPr>
                <w:p w14:paraId="44E91B6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7.05</w:t>
                  </w:r>
                </w:p>
              </w:tc>
              <w:tc>
                <w:tcPr>
                  <w:tcW w:w="537" w:type="dxa"/>
                  <w:vAlign w:val="center"/>
                </w:tcPr>
                <w:p w14:paraId="73BC439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6B88AA5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474304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3CB1A47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D04F54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383ABFF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7.73</w:t>
                  </w:r>
                </w:p>
              </w:tc>
              <w:tc>
                <w:tcPr>
                  <w:tcW w:w="537" w:type="dxa"/>
                  <w:vMerge w:val="continue"/>
                  <w:vAlign w:val="center"/>
                </w:tcPr>
                <w:p w14:paraId="7A5D7CE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r w14:paraId="69BCB9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Align w:val="center"/>
                </w:tcPr>
                <w:p w14:paraId="0B1E3F1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B</w:t>
                  </w:r>
                </w:p>
              </w:tc>
              <w:tc>
                <w:tcPr>
                  <w:tcW w:w="1277" w:type="dxa"/>
                  <w:gridSpan w:val="2"/>
                  <w:vAlign w:val="center"/>
                </w:tcPr>
                <w:p w14:paraId="73F3C5B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rPr>
                    <w:t>施工场地、材料堆场</w:t>
                  </w:r>
                </w:p>
              </w:tc>
              <w:tc>
                <w:tcPr>
                  <w:tcW w:w="628" w:type="dxa"/>
                  <w:vAlign w:val="center"/>
                </w:tcPr>
                <w:p w14:paraId="6265382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0.32</w:t>
                  </w:r>
                </w:p>
              </w:tc>
              <w:tc>
                <w:tcPr>
                  <w:tcW w:w="628" w:type="dxa"/>
                  <w:vAlign w:val="center"/>
                </w:tcPr>
                <w:p w14:paraId="18190B2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0.27</w:t>
                  </w:r>
                </w:p>
              </w:tc>
              <w:tc>
                <w:tcPr>
                  <w:tcW w:w="628" w:type="dxa"/>
                  <w:vAlign w:val="center"/>
                </w:tcPr>
                <w:p w14:paraId="6860DE4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0.59</w:t>
                  </w:r>
                </w:p>
              </w:tc>
              <w:tc>
                <w:tcPr>
                  <w:tcW w:w="593" w:type="dxa"/>
                  <w:vAlign w:val="center"/>
                </w:tcPr>
                <w:p w14:paraId="010CB27E">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r>
                    <w:rPr>
                      <w:rFonts w:hint="default" w:ascii="Times New Roman" w:hAnsi="Times New Roman" w:cs="Times New Roman"/>
                      <w:b w:val="0"/>
                      <w:bCs w:val="0"/>
                      <w:color w:val="auto"/>
                      <w:sz w:val="18"/>
                      <w:szCs w:val="18"/>
                      <w:vertAlign w:val="baseline"/>
                      <w:lang w:val="en-US" w:eastAsia="zh-CN"/>
                    </w:rPr>
                    <w:t>0.73</w:t>
                  </w:r>
                </w:p>
              </w:tc>
              <w:tc>
                <w:tcPr>
                  <w:tcW w:w="537" w:type="dxa"/>
                  <w:vAlign w:val="center"/>
                </w:tcPr>
                <w:p w14:paraId="0526802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0.46</w:t>
                  </w:r>
                </w:p>
              </w:tc>
              <w:tc>
                <w:tcPr>
                  <w:tcW w:w="537" w:type="dxa"/>
                  <w:vAlign w:val="center"/>
                </w:tcPr>
                <w:p w14:paraId="6C6DFE6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A</w:t>
                  </w:r>
                </w:p>
              </w:tc>
              <w:tc>
                <w:tcPr>
                  <w:tcW w:w="537" w:type="dxa"/>
                  <w:vAlign w:val="center"/>
                </w:tcPr>
                <w:p w14:paraId="6C8CE8D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E23DD08">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4A30EFF2">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16D6AC2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0.32</w:t>
                  </w:r>
                </w:p>
              </w:tc>
              <w:tc>
                <w:tcPr>
                  <w:tcW w:w="537" w:type="dxa"/>
                  <w:vMerge w:val="continue"/>
                  <w:vAlign w:val="center"/>
                </w:tcPr>
                <w:p w14:paraId="1937F6F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r w14:paraId="2700A0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35" w:type="dxa"/>
                  <w:vAlign w:val="center"/>
                </w:tcPr>
                <w:p w14:paraId="2FE4EA0F">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C</w:t>
                  </w:r>
                </w:p>
              </w:tc>
              <w:tc>
                <w:tcPr>
                  <w:tcW w:w="1277" w:type="dxa"/>
                  <w:gridSpan w:val="2"/>
                  <w:vAlign w:val="center"/>
                </w:tcPr>
                <w:p w14:paraId="4F2670FA">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弃渣场区</w:t>
                  </w:r>
                </w:p>
              </w:tc>
              <w:tc>
                <w:tcPr>
                  <w:tcW w:w="628" w:type="dxa"/>
                  <w:vAlign w:val="center"/>
                </w:tcPr>
                <w:p w14:paraId="7D5BDE6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0.32</w:t>
                  </w:r>
                </w:p>
              </w:tc>
              <w:tc>
                <w:tcPr>
                  <w:tcW w:w="628" w:type="dxa"/>
                  <w:vAlign w:val="center"/>
                </w:tcPr>
                <w:p w14:paraId="7DC5AF38">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0.34</w:t>
                  </w:r>
                </w:p>
              </w:tc>
              <w:tc>
                <w:tcPr>
                  <w:tcW w:w="628" w:type="dxa"/>
                  <w:vAlign w:val="center"/>
                </w:tcPr>
                <w:p w14:paraId="49BB25E8">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0.66</w:t>
                  </w:r>
                </w:p>
              </w:tc>
              <w:tc>
                <w:tcPr>
                  <w:tcW w:w="593" w:type="dxa"/>
                  <w:vAlign w:val="center"/>
                </w:tcPr>
                <w:p w14:paraId="65EF3CC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1.25</w:t>
                  </w:r>
                </w:p>
              </w:tc>
              <w:tc>
                <w:tcPr>
                  <w:tcW w:w="537" w:type="dxa"/>
                  <w:vAlign w:val="center"/>
                </w:tcPr>
                <w:p w14:paraId="78F9462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0.59</w:t>
                  </w:r>
                </w:p>
              </w:tc>
              <w:tc>
                <w:tcPr>
                  <w:tcW w:w="537" w:type="dxa"/>
                  <w:vAlign w:val="center"/>
                </w:tcPr>
                <w:p w14:paraId="7F116DE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A</w:t>
                  </w:r>
                </w:p>
              </w:tc>
              <w:tc>
                <w:tcPr>
                  <w:tcW w:w="537" w:type="dxa"/>
                  <w:vAlign w:val="center"/>
                </w:tcPr>
                <w:p w14:paraId="22D44F4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4E5E854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58937DB5">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065391D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Merge w:val="continue"/>
                  <w:vAlign w:val="center"/>
                </w:tcPr>
                <w:p w14:paraId="3045247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r w14:paraId="0DE6D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812" w:type="dxa"/>
                  <w:gridSpan w:val="3"/>
                  <w:vAlign w:val="center"/>
                </w:tcPr>
                <w:p w14:paraId="780A914C">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合计</w:t>
                  </w:r>
                </w:p>
              </w:tc>
              <w:tc>
                <w:tcPr>
                  <w:tcW w:w="628" w:type="dxa"/>
                  <w:vAlign w:val="center"/>
                </w:tcPr>
                <w:p w14:paraId="13AAFC39">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15.42</w:t>
                  </w:r>
                </w:p>
              </w:tc>
              <w:tc>
                <w:tcPr>
                  <w:tcW w:w="628" w:type="dxa"/>
                  <w:vAlign w:val="center"/>
                </w:tcPr>
                <w:p w14:paraId="4B7226DB">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1.66</w:t>
                  </w:r>
                </w:p>
              </w:tc>
              <w:tc>
                <w:tcPr>
                  <w:tcW w:w="628" w:type="dxa"/>
                  <w:vAlign w:val="center"/>
                </w:tcPr>
                <w:p w14:paraId="5B2E6BB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17.08</w:t>
                  </w:r>
                </w:p>
              </w:tc>
              <w:tc>
                <w:tcPr>
                  <w:tcW w:w="593" w:type="dxa"/>
                  <w:vAlign w:val="center"/>
                </w:tcPr>
                <w:p w14:paraId="19805A04">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9.03</w:t>
                  </w:r>
                </w:p>
              </w:tc>
              <w:tc>
                <w:tcPr>
                  <w:tcW w:w="537" w:type="dxa"/>
                  <w:vAlign w:val="center"/>
                </w:tcPr>
                <w:p w14:paraId="2BCD54BD">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1.05</w:t>
                  </w:r>
                </w:p>
              </w:tc>
              <w:tc>
                <w:tcPr>
                  <w:tcW w:w="537" w:type="dxa"/>
                  <w:vAlign w:val="center"/>
                </w:tcPr>
                <w:p w14:paraId="7F438C1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lang w:val="en-US" w:eastAsia="zh-CN"/>
                    </w:rPr>
                  </w:pPr>
                </w:p>
              </w:tc>
              <w:tc>
                <w:tcPr>
                  <w:tcW w:w="537" w:type="dxa"/>
                  <w:vAlign w:val="center"/>
                </w:tcPr>
                <w:p w14:paraId="551770B8">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1.05</w:t>
                  </w:r>
                </w:p>
              </w:tc>
              <w:tc>
                <w:tcPr>
                  <w:tcW w:w="537" w:type="dxa"/>
                  <w:vAlign w:val="center"/>
                </w:tcPr>
                <w:p w14:paraId="317DC563">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73300287">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c>
                <w:tcPr>
                  <w:tcW w:w="537" w:type="dxa"/>
                  <w:vAlign w:val="center"/>
                </w:tcPr>
                <w:p w14:paraId="126DBB11">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b w:val="0"/>
                      <w:bCs w:val="0"/>
                      <w:color w:val="auto"/>
                      <w:sz w:val="18"/>
                      <w:szCs w:val="18"/>
                      <w:vertAlign w:val="baseline"/>
                      <w:lang w:val="en-US" w:eastAsia="zh-CN"/>
                    </w:rPr>
                  </w:pPr>
                  <w:r>
                    <w:rPr>
                      <w:rFonts w:hint="default" w:ascii="Times New Roman" w:hAnsi="Times New Roman" w:cs="Times New Roman"/>
                      <w:b w:val="0"/>
                      <w:bCs w:val="0"/>
                      <w:color w:val="auto"/>
                      <w:sz w:val="18"/>
                      <w:szCs w:val="18"/>
                      <w:vertAlign w:val="baseline"/>
                      <w:lang w:val="en-US" w:eastAsia="zh-CN"/>
                    </w:rPr>
                    <w:t>8.05</w:t>
                  </w:r>
                </w:p>
              </w:tc>
              <w:tc>
                <w:tcPr>
                  <w:tcW w:w="537" w:type="dxa"/>
                  <w:vMerge w:val="continue"/>
                  <w:vAlign w:val="center"/>
                </w:tcPr>
                <w:p w14:paraId="7BDCAB30">
                  <w:pPr>
                    <w:pStyle w:val="85"/>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cs="Times New Roman"/>
                      <w:b w:val="0"/>
                      <w:bCs w:val="0"/>
                      <w:color w:val="auto"/>
                      <w:sz w:val="18"/>
                      <w:szCs w:val="18"/>
                      <w:vertAlign w:val="baseline"/>
                    </w:rPr>
                  </w:pPr>
                </w:p>
              </w:tc>
            </w:tr>
          </w:tbl>
          <w:p w14:paraId="70096A77">
            <w:pPr>
              <w:keepNext w:val="0"/>
              <w:keepLines w:val="0"/>
              <w:pageBreakBefore w:val="0"/>
              <w:widowControl/>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eastAsia" w:ascii="Times New Roman" w:hAnsi="Times New Roman" w:cs="Times New Roman"/>
                <w:b/>
                <w:bCs/>
                <w:color w:val="auto"/>
                <w:sz w:val="24"/>
                <w:szCs w:val="32"/>
                <w:lang w:val="en-US" w:eastAsia="zh-CN"/>
              </w:rPr>
              <w:t>11</w:t>
            </w:r>
            <w:r>
              <w:rPr>
                <w:rFonts w:hint="default" w:ascii="Times New Roman" w:hAnsi="Times New Roman" w:cs="Times New Roman"/>
                <w:b/>
                <w:bCs/>
                <w:color w:val="auto"/>
                <w:sz w:val="24"/>
                <w:szCs w:val="32"/>
              </w:rPr>
              <w:t>、主要工程量</w:t>
            </w:r>
          </w:p>
          <w:p w14:paraId="0F0040EA">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本项目主要工程量见表2-</w:t>
            </w:r>
            <w:r>
              <w:rPr>
                <w:rFonts w:hint="default" w:ascii="Times New Roman" w:hAnsi="Times New Roman" w:cs="Times New Roman"/>
                <w:color w:val="auto"/>
                <w:sz w:val="24"/>
                <w:szCs w:val="32"/>
                <w:lang w:val="en-US" w:eastAsia="zh-CN"/>
              </w:rPr>
              <w:t>11</w:t>
            </w:r>
            <w:r>
              <w:rPr>
                <w:rFonts w:hint="default" w:ascii="Times New Roman" w:hAnsi="Times New Roman" w:cs="Times New Roman"/>
                <w:color w:val="auto"/>
                <w:sz w:val="24"/>
                <w:szCs w:val="32"/>
              </w:rPr>
              <w:t>。</w:t>
            </w:r>
          </w:p>
          <w:p w14:paraId="17427501">
            <w:pPr>
              <w:widowControl/>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 xml:space="preserve">11 </w:t>
            </w:r>
            <w:r>
              <w:rPr>
                <w:rFonts w:hint="default" w:ascii="Times New Roman" w:hAnsi="Times New Roman" w:cs="Times New Roman"/>
                <w:b/>
                <w:bCs/>
                <w:color w:val="auto"/>
              </w:rPr>
              <w:t>主要工程量表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72"/>
              <w:gridCol w:w="1809"/>
              <w:gridCol w:w="1022"/>
              <w:gridCol w:w="3614"/>
              <w:gridCol w:w="1031"/>
            </w:tblGrid>
            <w:tr w14:paraId="2C81A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vAlign w:val="center"/>
                </w:tcPr>
                <w:p w14:paraId="65E0AC03">
                  <w:pPr>
                    <w:widowControl/>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1809" w:type="dxa"/>
                  <w:vAlign w:val="center"/>
                </w:tcPr>
                <w:p w14:paraId="6F3ABC24">
                  <w:pPr>
                    <w:widowControl/>
                    <w:jc w:val="center"/>
                    <w:rPr>
                      <w:rFonts w:hint="default" w:ascii="Times New Roman" w:hAnsi="Times New Roman" w:cs="Times New Roman"/>
                      <w:b/>
                      <w:bCs/>
                      <w:color w:val="auto"/>
                    </w:rPr>
                  </w:pPr>
                  <w:r>
                    <w:rPr>
                      <w:rFonts w:hint="default" w:ascii="Times New Roman" w:hAnsi="Times New Roman" w:cs="Times New Roman"/>
                      <w:b/>
                      <w:bCs/>
                      <w:color w:val="auto"/>
                    </w:rPr>
                    <w:t>项目</w:t>
                  </w:r>
                </w:p>
              </w:tc>
              <w:tc>
                <w:tcPr>
                  <w:tcW w:w="1022" w:type="dxa"/>
                  <w:vAlign w:val="center"/>
                </w:tcPr>
                <w:p w14:paraId="269350AD">
                  <w:pPr>
                    <w:widowControl/>
                    <w:jc w:val="center"/>
                    <w:rPr>
                      <w:rFonts w:hint="default" w:ascii="Times New Roman" w:hAnsi="Times New Roman" w:cs="Times New Roman"/>
                      <w:b/>
                      <w:bCs/>
                      <w:color w:val="auto"/>
                    </w:rPr>
                  </w:pPr>
                  <w:r>
                    <w:rPr>
                      <w:rFonts w:hint="default" w:ascii="Times New Roman" w:hAnsi="Times New Roman" w:cs="Times New Roman"/>
                      <w:b/>
                      <w:bCs/>
                      <w:color w:val="auto"/>
                    </w:rPr>
                    <w:t>单位</w:t>
                  </w:r>
                </w:p>
              </w:tc>
              <w:tc>
                <w:tcPr>
                  <w:tcW w:w="3614" w:type="dxa"/>
                  <w:vAlign w:val="center"/>
                </w:tcPr>
                <w:p w14:paraId="7A4F0AD9">
                  <w:pPr>
                    <w:widowControl/>
                    <w:jc w:val="center"/>
                    <w:rPr>
                      <w:rFonts w:hint="default" w:ascii="Times New Roman" w:hAnsi="Times New Roman" w:cs="Times New Roman"/>
                      <w:b/>
                      <w:bCs/>
                      <w:color w:val="auto"/>
                    </w:rPr>
                  </w:pPr>
                  <w:r>
                    <w:rPr>
                      <w:rFonts w:hint="default" w:ascii="Times New Roman" w:hAnsi="Times New Roman" w:cs="Times New Roman"/>
                      <w:b/>
                      <w:bCs/>
                      <w:color w:val="auto"/>
                    </w:rPr>
                    <w:t>数量</w:t>
                  </w:r>
                </w:p>
              </w:tc>
              <w:tc>
                <w:tcPr>
                  <w:tcW w:w="1031" w:type="dxa"/>
                  <w:vAlign w:val="center"/>
                </w:tcPr>
                <w:p w14:paraId="66792587">
                  <w:pPr>
                    <w:widowControl/>
                    <w:jc w:val="center"/>
                    <w:rPr>
                      <w:rFonts w:hint="default" w:ascii="Times New Roman" w:hAnsi="Times New Roman" w:cs="Times New Roman"/>
                      <w:b/>
                      <w:bCs/>
                      <w:color w:val="auto"/>
                    </w:rPr>
                  </w:pPr>
                  <w:r>
                    <w:rPr>
                      <w:rFonts w:hint="default" w:ascii="Times New Roman" w:hAnsi="Times New Roman" w:cs="Times New Roman"/>
                      <w:b/>
                      <w:bCs/>
                      <w:color w:val="auto"/>
                    </w:rPr>
                    <w:t>备注</w:t>
                  </w:r>
                </w:p>
              </w:tc>
            </w:tr>
            <w:tr w14:paraId="31FC7D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vAlign w:val="center"/>
                </w:tcPr>
                <w:p w14:paraId="3D4A6BD1">
                  <w:pPr>
                    <w:widowControl/>
                    <w:jc w:val="center"/>
                    <w:rPr>
                      <w:rFonts w:hint="default" w:ascii="Times New Roman" w:hAnsi="Times New Roman" w:cs="Times New Roman"/>
                      <w:color w:val="auto"/>
                    </w:rPr>
                  </w:pPr>
                  <w:r>
                    <w:rPr>
                      <w:rFonts w:hint="default" w:ascii="Times New Roman" w:hAnsi="Times New Roman" w:cs="Times New Roman"/>
                      <w:color w:val="auto"/>
                    </w:rPr>
                    <w:t>1</w:t>
                  </w:r>
                </w:p>
              </w:tc>
              <w:tc>
                <w:tcPr>
                  <w:tcW w:w="1809" w:type="dxa"/>
                  <w:vAlign w:val="center"/>
                </w:tcPr>
                <w:p w14:paraId="0C08A3F7">
                  <w:pPr>
                    <w:widowControl/>
                    <w:jc w:val="center"/>
                    <w:rPr>
                      <w:rFonts w:hint="default" w:ascii="Times New Roman" w:hAnsi="Times New Roman" w:cs="Times New Roman"/>
                      <w:color w:val="auto"/>
                    </w:rPr>
                  </w:pPr>
                  <w:r>
                    <w:rPr>
                      <w:rFonts w:hint="default" w:ascii="Times New Roman" w:hAnsi="Times New Roman" w:cs="Times New Roman"/>
                      <w:color w:val="auto"/>
                    </w:rPr>
                    <w:t>起讫桩号</w:t>
                  </w:r>
                </w:p>
              </w:tc>
              <w:tc>
                <w:tcPr>
                  <w:tcW w:w="1022" w:type="dxa"/>
                  <w:vAlign w:val="center"/>
                </w:tcPr>
                <w:p w14:paraId="17928FF3">
                  <w:pPr>
                    <w:widowControl/>
                    <w:jc w:val="center"/>
                    <w:rPr>
                      <w:rFonts w:hint="default" w:ascii="Times New Roman" w:hAnsi="Times New Roman" w:cs="Times New Roman"/>
                      <w:color w:val="auto"/>
                    </w:rPr>
                  </w:pPr>
                  <w:r>
                    <w:rPr>
                      <w:rFonts w:hint="default" w:ascii="Times New Roman" w:hAnsi="Times New Roman" w:cs="Times New Roman"/>
                      <w:color w:val="auto"/>
                    </w:rPr>
                    <w:t>/</w:t>
                  </w:r>
                </w:p>
              </w:tc>
              <w:tc>
                <w:tcPr>
                  <w:tcW w:w="3614" w:type="dxa"/>
                  <w:vAlign w:val="center"/>
                </w:tcPr>
                <w:p w14:paraId="5B7426EA">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非涉铁范围：</w:t>
                  </w:r>
                  <w:r>
                    <w:rPr>
                      <w:rFonts w:hint="default" w:ascii="Times New Roman" w:hAnsi="Times New Roman" w:cs="Times New Roman"/>
                      <w:color w:val="auto"/>
                    </w:rPr>
                    <w:t>主线K0+000~K2+300；涉铁范围：主线K2+300~终点K2+792.59，支线ZK0+000~ZK0+170。</w:t>
                  </w:r>
                </w:p>
              </w:tc>
              <w:tc>
                <w:tcPr>
                  <w:tcW w:w="1031" w:type="dxa"/>
                  <w:vAlign w:val="center"/>
                </w:tcPr>
                <w:p w14:paraId="3A0A49EF">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w:t>
                  </w:r>
                </w:p>
              </w:tc>
            </w:tr>
            <w:tr w14:paraId="3B4FCD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vAlign w:val="center"/>
                </w:tcPr>
                <w:p w14:paraId="0AFFA674">
                  <w:pPr>
                    <w:widowControl/>
                    <w:jc w:val="center"/>
                    <w:rPr>
                      <w:rFonts w:hint="default" w:ascii="Times New Roman" w:hAnsi="Times New Roman" w:cs="Times New Roman"/>
                      <w:color w:val="auto"/>
                    </w:rPr>
                  </w:pPr>
                  <w:r>
                    <w:rPr>
                      <w:rFonts w:hint="default" w:ascii="Times New Roman" w:hAnsi="Times New Roman" w:cs="Times New Roman"/>
                      <w:color w:val="auto"/>
                    </w:rPr>
                    <w:t>2</w:t>
                  </w:r>
                </w:p>
              </w:tc>
              <w:tc>
                <w:tcPr>
                  <w:tcW w:w="1809" w:type="dxa"/>
                  <w:vAlign w:val="center"/>
                </w:tcPr>
                <w:p w14:paraId="5AB044FA">
                  <w:pPr>
                    <w:widowControl/>
                    <w:jc w:val="center"/>
                    <w:rPr>
                      <w:rFonts w:hint="default" w:ascii="Times New Roman" w:hAnsi="Times New Roman" w:cs="Times New Roman"/>
                      <w:color w:val="auto"/>
                    </w:rPr>
                  </w:pPr>
                  <w:r>
                    <w:rPr>
                      <w:rFonts w:hint="default" w:ascii="Times New Roman" w:hAnsi="Times New Roman" w:cs="Times New Roman"/>
                      <w:color w:val="auto"/>
                    </w:rPr>
                    <w:t>路线长度</w:t>
                  </w:r>
                </w:p>
              </w:tc>
              <w:tc>
                <w:tcPr>
                  <w:tcW w:w="1022" w:type="dxa"/>
                  <w:vAlign w:val="center"/>
                </w:tcPr>
                <w:p w14:paraId="22F9B781">
                  <w:pPr>
                    <w:widowControl/>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m</w:t>
                  </w:r>
                </w:p>
              </w:tc>
              <w:tc>
                <w:tcPr>
                  <w:tcW w:w="3614" w:type="dxa"/>
                  <w:vAlign w:val="center"/>
                </w:tcPr>
                <w:p w14:paraId="0EE5C556">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主线长2792.590m</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支线长662.59m，道路总长2962.59m。</w:t>
                  </w:r>
                </w:p>
              </w:tc>
              <w:tc>
                <w:tcPr>
                  <w:tcW w:w="1031" w:type="dxa"/>
                  <w:vAlign w:val="center"/>
                </w:tcPr>
                <w:p w14:paraId="47EDACB1">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6E099A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vAlign w:val="center"/>
                </w:tcPr>
                <w:p w14:paraId="5E43AE39">
                  <w:pPr>
                    <w:widowControl/>
                    <w:jc w:val="center"/>
                    <w:rPr>
                      <w:rFonts w:hint="default" w:ascii="Times New Roman" w:hAnsi="Times New Roman" w:cs="Times New Roman"/>
                      <w:color w:val="auto"/>
                    </w:rPr>
                  </w:pPr>
                  <w:r>
                    <w:rPr>
                      <w:rFonts w:hint="default" w:ascii="Times New Roman" w:hAnsi="Times New Roman" w:cs="Times New Roman"/>
                      <w:color w:val="auto"/>
                    </w:rPr>
                    <w:t>3</w:t>
                  </w:r>
                </w:p>
              </w:tc>
              <w:tc>
                <w:tcPr>
                  <w:tcW w:w="1809" w:type="dxa"/>
                  <w:vAlign w:val="center"/>
                </w:tcPr>
                <w:p w14:paraId="3D5C4724">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路基长度</w:t>
                  </w:r>
                </w:p>
              </w:tc>
              <w:tc>
                <w:tcPr>
                  <w:tcW w:w="1022" w:type="dxa"/>
                  <w:vAlign w:val="center"/>
                </w:tcPr>
                <w:p w14:paraId="62E77FB7">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km</w:t>
                  </w:r>
                </w:p>
              </w:tc>
              <w:tc>
                <w:tcPr>
                  <w:tcW w:w="3614" w:type="dxa"/>
                  <w:vAlign w:val="center"/>
                </w:tcPr>
                <w:p w14:paraId="446C6EFD">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非涉铁段：1.19km，涉铁段：0.663km，合计1.853km。</w:t>
                  </w:r>
                </w:p>
              </w:tc>
              <w:tc>
                <w:tcPr>
                  <w:tcW w:w="1031" w:type="dxa"/>
                  <w:vAlign w:val="center"/>
                </w:tcPr>
                <w:p w14:paraId="1132B96E">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24BABB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2CD6BE57">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4</w:t>
                  </w:r>
                </w:p>
              </w:tc>
              <w:tc>
                <w:tcPr>
                  <w:tcW w:w="1809" w:type="dxa"/>
                  <w:vAlign w:val="center"/>
                </w:tcPr>
                <w:p w14:paraId="5DEFFBB6">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支挡工程</w:t>
                  </w:r>
                </w:p>
              </w:tc>
              <w:tc>
                <w:tcPr>
                  <w:tcW w:w="1022" w:type="dxa"/>
                  <w:vAlign w:val="center"/>
                </w:tcPr>
                <w:p w14:paraId="601B7FA3">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3614" w:type="dxa"/>
                  <w:vAlign w:val="center"/>
                </w:tcPr>
                <w:p w14:paraId="3B00BCC8">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非涉铁段：0.84×10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，涉铁段：0.15×10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。合计：0.99×10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tc>
              <w:tc>
                <w:tcPr>
                  <w:tcW w:w="1031" w:type="dxa"/>
                  <w:vAlign w:val="center"/>
                </w:tcPr>
                <w:p w14:paraId="7C314480">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09613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161541D0">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5</w:t>
                  </w:r>
                </w:p>
              </w:tc>
              <w:tc>
                <w:tcPr>
                  <w:tcW w:w="1809" w:type="dxa"/>
                  <w:vAlign w:val="center"/>
                </w:tcPr>
                <w:p w14:paraId="05BEFC2A">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附属</w:t>
                  </w:r>
                  <w:r>
                    <w:rPr>
                      <w:rFonts w:hint="default" w:ascii="Times New Roman" w:hAnsi="Times New Roman" w:cs="Times New Roman"/>
                      <w:color w:val="auto"/>
                    </w:rPr>
                    <w:t>工程</w:t>
                  </w:r>
                </w:p>
              </w:tc>
              <w:tc>
                <w:tcPr>
                  <w:tcW w:w="1022" w:type="dxa"/>
                  <w:vAlign w:val="center"/>
                </w:tcPr>
                <w:p w14:paraId="364FF3C4">
                  <w:pPr>
                    <w:widowControl/>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3614" w:type="dxa"/>
                  <w:vAlign w:val="center"/>
                </w:tcPr>
                <w:p w14:paraId="2F7562E1">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非涉铁段：0.24×10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，涉铁段：0.04×10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。合计：0.28×10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tc>
              <w:tc>
                <w:tcPr>
                  <w:tcW w:w="1031" w:type="dxa"/>
                  <w:vAlign w:val="center"/>
                </w:tcPr>
                <w:p w14:paraId="09FFC306">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77A14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387FEDCF">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6</w:t>
                  </w:r>
                </w:p>
              </w:tc>
              <w:tc>
                <w:tcPr>
                  <w:tcW w:w="1809" w:type="dxa"/>
                  <w:vAlign w:val="center"/>
                </w:tcPr>
                <w:p w14:paraId="08C4E034">
                  <w:pPr>
                    <w:widowControl/>
                    <w:jc w:val="center"/>
                    <w:rPr>
                      <w:rFonts w:hint="default" w:ascii="Times New Roman" w:hAnsi="Times New Roman" w:cs="Times New Roman"/>
                      <w:color w:val="auto"/>
                    </w:rPr>
                  </w:pPr>
                  <w:r>
                    <w:rPr>
                      <w:rFonts w:hint="default" w:ascii="Times New Roman" w:hAnsi="Times New Roman" w:cs="Times New Roman"/>
                      <w:color w:val="auto"/>
                    </w:rPr>
                    <w:t>排水工程</w:t>
                  </w:r>
                </w:p>
              </w:tc>
              <w:tc>
                <w:tcPr>
                  <w:tcW w:w="1022" w:type="dxa"/>
                  <w:vAlign w:val="center"/>
                </w:tcPr>
                <w:p w14:paraId="312C18AE">
                  <w:pPr>
                    <w:widowControl/>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3</w:t>
                  </w:r>
                </w:p>
              </w:tc>
              <w:tc>
                <w:tcPr>
                  <w:tcW w:w="3614" w:type="dxa"/>
                  <w:vAlign w:val="center"/>
                </w:tcPr>
                <w:p w14:paraId="7AD7DF7D">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非涉铁段：0.22×10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，涉铁段：0.20×10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。合计：0.42×10</w:t>
                  </w:r>
                  <w:r>
                    <w:rPr>
                      <w:rFonts w:hint="default" w:ascii="Times New Roman" w:hAnsi="Times New Roman" w:cs="Times New Roman"/>
                      <w:color w:val="auto"/>
                      <w:vertAlign w:val="superscript"/>
                      <w:lang w:val="en-US" w:eastAsia="zh-CN"/>
                    </w:rPr>
                    <w:t>4</w:t>
                  </w:r>
                  <w:r>
                    <w:rPr>
                      <w:rFonts w:hint="default" w:ascii="Times New Roman" w:hAnsi="Times New Roman" w:cs="Times New Roman"/>
                      <w:color w:val="auto"/>
                      <w:lang w:val="en-US" w:eastAsia="zh-CN"/>
                    </w:rPr>
                    <w:t>m</w:t>
                  </w:r>
                  <w:r>
                    <w:rPr>
                      <w:rFonts w:hint="default" w:ascii="Times New Roman" w:hAnsi="Times New Roman" w:cs="Times New Roman"/>
                      <w:color w:val="auto"/>
                      <w:vertAlign w:val="superscript"/>
                      <w:lang w:val="en-US" w:eastAsia="zh-CN"/>
                    </w:rPr>
                    <w:t>3</w:t>
                  </w:r>
                  <w:r>
                    <w:rPr>
                      <w:rFonts w:hint="default" w:ascii="Times New Roman" w:hAnsi="Times New Roman" w:cs="Times New Roman"/>
                      <w:color w:val="auto"/>
                      <w:lang w:val="en-US" w:eastAsia="zh-CN"/>
                    </w:rPr>
                    <w:t>。</w:t>
                  </w:r>
                </w:p>
              </w:tc>
              <w:tc>
                <w:tcPr>
                  <w:tcW w:w="1031" w:type="dxa"/>
                  <w:vAlign w:val="center"/>
                </w:tcPr>
                <w:p w14:paraId="5A3E1056">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70605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17002F6C">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7</w:t>
                  </w:r>
                </w:p>
              </w:tc>
              <w:tc>
                <w:tcPr>
                  <w:tcW w:w="1809" w:type="dxa"/>
                  <w:vAlign w:val="center"/>
                </w:tcPr>
                <w:p w14:paraId="29AAF0BC">
                  <w:pPr>
                    <w:widowControl/>
                    <w:jc w:val="center"/>
                    <w:rPr>
                      <w:rFonts w:hint="default" w:ascii="Times New Roman" w:hAnsi="Times New Roman" w:cs="Times New Roman"/>
                      <w:color w:val="auto"/>
                    </w:rPr>
                  </w:pPr>
                  <w:r>
                    <w:rPr>
                      <w:rFonts w:hint="default" w:ascii="Times New Roman" w:hAnsi="Times New Roman" w:cs="Times New Roman"/>
                      <w:color w:val="auto"/>
                    </w:rPr>
                    <w:t>沥青路面</w:t>
                  </w:r>
                </w:p>
              </w:tc>
              <w:tc>
                <w:tcPr>
                  <w:tcW w:w="1022" w:type="dxa"/>
                  <w:vAlign w:val="center"/>
                </w:tcPr>
                <w:p w14:paraId="67AF797C">
                  <w:pPr>
                    <w:widowControl/>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m</w:t>
                  </w:r>
                </w:p>
              </w:tc>
              <w:tc>
                <w:tcPr>
                  <w:tcW w:w="3614" w:type="dxa"/>
                  <w:vAlign w:val="center"/>
                </w:tcPr>
                <w:p w14:paraId="68916A7B">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2962.59m</w:t>
                  </w:r>
                </w:p>
              </w:tc>
              <w:tc>
                <w:tcPr>
                  <w:tcW w:w="1031" w:type="dxa"/>
                  <w:vAlign w:val="center"/>
                </w:tcPr>
                <w:p w14:paraId="61B24BE2">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79AB0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781862F7">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rPr>
                    <w:t>8</w:t>
                  </w:r>
                </w:p>
              </w:tc>
              <w:tc>
                <w:tcPr>
                  <w:tcW w:w="1809" w:type="dxa"/>
                  <w:vAlign w:val="center"/>
                </w:tcPr>
                <w:p w14:paraId="5ACF025C">
                  <w:pPr>
                    <w:widowControl/>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桥梁</w:t>
                  </w:r>
                </w:p>
              </w:tc>
              <w:tc>
                <w:tcPr>
                  <w:tcW w:w="1022" w:type="dxa"/>
                  <w:vAlign w:val="center"/>
                </w:tcPr>
                <w:p w14:paraId="73322574">
                  <w:pPr>
                    <w:widowControl/>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座</w:t>
                  </w:r>
                </w:p>
              </w:tc>
              <w:tc>
                <w:tcPr>
                  <w:tcW w:w="3614" w:type="dxa"/>
                  <w:vAlign w:val="center"/>
                </w:tcPr>
                <w:p w14:paraId="1B2E3028">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文家湾跨燃气管线大桥1座，框架桥1座。</w:t>
                  </w:r>
                </w:p>
              </w:tc>
              <w:tc>
                <w:tcPr>
                  <w:tcW w:w="1031" w:type="dxa"/>
                  <w:vAlign w:val="center"/>
                </w:tcPr>
                <w:p w14:paraId="1EC7F3B7">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74627F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096CC078">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9</w:t>
                  </w:r>
                </w:p>
              </w:tc>
              <w:tc>
                <w:tcPr>
                  <w:tcW w:w="1809" w:type="dxa"/>
                  <w:vAlign w:val="center"/>
                </w:tcPr>
                <w:p w14:paraId="67DFDDEB">
                  <w:pPr>
                    <w:widowControl/>
                    <w:jc w:val="center"/>
                    <w:rPr>
                      <w:rFonts w:hint="default" w:ascii="Times New Roman" w:hAnsi="Times New Roman" w:cs="Times New Roman"/>
                      <w:color w:val="auto"/>
                    </w:rPr>
                  </w:pPr>
                  <w:r>
                    <w:rPr>
                      <w:rFonts w:hint="default" w:ascii="Times New Roman" w:hAnsi="Times New Roman" w:cs="Times New Roman"/>
                      <w:color w:val="auto"/>
                    </w:rPr>
                    <w:t>涵洞</w:t>
                  </w:r>
                </w:p>
              </w:tc>
              <w:tc>
                <w:tcPr>
                  <w:tcW w:w="1022" w:type="dxa"/>
                  <w:vAlign w:val="center"/>
                </w:tcPr>
                <w:p w14:paraId="531112AB">
                  <w:pPr>
                    <w:widowControl/>
                    <w:jc w:val="center"/>
                    <w:rPr>
                      <w:rFonts w:hint="default" w:ascii="Times New Roman" w:hAnsi="Times New Roman" w:eastAsia="宋体" w:cs="Times New Roman"/>
                      <w:color w:val="auto"/>
                      <w:lang w:eastAsia="zh-CN"/>
                    </w:rPr>
                  </w:pPr>
                  <w:r>
                    <w:rPr>
                      <w:rFonts w:hint="default" w:ascii="Times New Roman" w:hAnsi="Times New Roman" w:cs="Times New Roman"/>
                      <w:color w:val="auto"/>
                      <w:lang w:val="en-US" w:eastAsia="zh-CN"/>
                    </w:rPr>
                    <w:t>座</w:t>
                  </w:r>
                </w:p>
              </w:tc>
              <w:tc>
                <w:tcPr>
                  <w:tcW w:w="3614" w:type="dxa"/>
                  <w:vAlign w:val="center"/>
                </w:tcPr>
                <w:p w14:paraId="630182B0">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非涉铁段5座，涉铁段3座。</w:t>
                  </w:r>
                </w:p>
              </w:tc>
              <w:tc>
                <w:tcPr>
                  <w:tcW w:w="1031" w:type="dxa"/>
                  <w:vAlign w:val="center"/>
                </w:tcPr>
                <w:p w14:paraId="4458E00E">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19A02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56C1410D">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10</w:t>
                  </w:r>
                </w:p>
              </w:tc>
              <w:tc>
                <w:tcPr>
                  <w:tcW w:w="1809" w:type="dxa"/>
                  <w:vAlign w:val="center"/>
                </w:tcPr>
                <w:p w14:paraId="1562AF82">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隧道</w:t>
                  </w:r>
                </w:p>
              </w:tc>
              <w:tc>
                <w:tcPr>
                  <w:tcW w:w="1022" w:type="dxa"/>
                  <w:vAlign w:val="center"/>
                </w:tcPr>
                <w:p w14:paraId="6D7DEB61">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座</w:t>
                  </w:r>
                </w:p>
              </w:tc>
              <w:tc>
                <w:tcPr>
                  <w:tcW w:w="3614" w:type="dxa"/>
                  <w:vAlign w:val="center"/>
                </w:tcPr>
                <w:p w14:paraId="0F336BE2">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韩家岩隧道1座。</w:t>
                  </w:r>
                </w:p>
              </w:tc>
              <w:tc>
                <w:tcPr>
                  <w:tcW w:w="1031" w:type="dxa"/>
                  <w:vAlign w:val="center"/>
                </w:tcPr>
                <w:p w14:paraId="326FC371">
                  <w:pPr>
                    <w:widowControl/>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r>
            <w:tr w14:paraId="0342DA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463EC9B3">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11</w:t>
                  </w:r>
                </w:p>
              </w:tc>
              <w:tc>
                <w:tcPr>
                  <w:tcW w:w="1809" w:type="dxa"/>
                  <w:vAlign w:val="center"/>
                </w:tcPr>
                <w:p w14:paraId="6FF9539D">
                  <w:pPr>
                    <w:widowControl/>
                    <w:jc w:val="center"/>
                    <w:rPr>
                      <w:rFonts w:hint="default" w:ascii="Times New Roman" w:hAnsi="Times New Roman" w:cs="Times New Roman"/>
                      <w:color w:val="auto"/>
                    </w:rPr>
                  </w:pPr>
                  <w:r>
                    <w:rPr>
                      <w:rFonts w:hint="default" w:ascii="Times New Roman" w:hAnsi="Times New Roman" w:cs="Times New Roman"/>
                      <w:color w:val="auto"/>
                    </w:rPr>
                    <w:t>永久占地</w:t>
                  </w:r>
                </w:p>
              </w:tc>
              <w:tc>
                <w:tcPr>
                  <w:tcW w:w="1022" w:type="dxa"/>
                  <w:vAlign w:val="center"/>
                </w:tcPr>
                <w:p w14:paraId="401BCEBC">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hm</w:t>
                  </w:r>
                  <w:r>
                    <w:rPr>
                      <w:rFonts w:hint="default" w:ascii="Times New Roman" w:hAnsi="Times New Roman" w:cs="Times New Roman"/>
                      <w:color w:val="auto"/>
                      <w:vertAlign w:val="superscript"/>
                      <w:lang w:val="en-US" w:eastAsia="zh-CN"/>
                    </w:rPr>
                    <w:t>2</w:t>
                  </w:r>
                </w:p>
              </w:tc>
              <w:tc>
                <w:tcPr>
                  <w:tcW w:w="3614" w:type="dxa"/>
                  <w:vAlign w:val="center"/>
                </w:tcPr>
                <w:p w14:paraId="74300008">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4.24</w:t>
                  </w:r>
                </w:p>
              </w:tc>
              <w:tc>
                <w:tcPr>
                  <w:tcW w:w="1031" w:type="dxa"/>
                  <w:vAlign w:val="center"/>
                </w:tcPr>
                <w:p w14:paraId="1EB44A79">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29C6A4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20C7362D">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12</w:t>
                  </w:r>
                </w:p>
              </w:tc>
              <w:tc>
                <w:tcPr>
                  <w:tcW w:w="1809" w:type="dxa"/>
                  <w:vAlign w:val="center"/>
                </w:tcPr>
                <w:p w14:paraId="111AF1A2">
                  <w:pPr>
                    <w:widowControl/>
                    <w:jc w:val="center"/>
                    <w:rPr>
                      <w:rFonts w:hint="default" w:ascii="Times New Roman" w:hAnsi="Times New Roman" w:cs="Times New Roman"/>
                      <w:color w:val="auto"/>
                    </w:rPr>
                  </w:pPr>
                  <w:r>
                    <w:rPr>
                      <w:rFonts w:hint="default" w:ascii="Times New Roman" w:hAnsi="Times New Roman" w:cs="Times New Roman"/>
                      <w:color w:val="auto"/>
                    </w:rPr>
                    <w:t>临时占地</w:t>
                  </w:r>
                </w:p>
              </w:tc>
              <w:tc>
                <w:tcPr>
                  <w:tcW w:w="1022" w:type="dxa"/>
                  <w:vAlign w:val="center"/>
                </w:tcPr>
                <w:p w14:paraId="76F36A51">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hm</w:t>
                  </w:r>
                  <w:r>
                    <w:rPr>
                      <w:rFonts w:hint="default" w:ascii="Times New Roman" w:hAnsi="Times New Roman" w:cs="Times New Roman"/>
                      <w:color w:val="auto"/>
                      <w:vertAlign w:val="superscript"/>
                      <w:lang w:val="en-US" w:eastAsia="zh-CN"/>
                    </w:rPr>
                    <w:t>2</w:t>
                  </w:r>
                </w:p>
              </w:tc>
              <w:tc>
                <w:tcPr>
                  <w:tcW w:w="3614" w:type="dxa"/>
                  <w:vAlign w:val="center"/>
                </w:tcPr>
                <w:p w14:paraId="700D4D97">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4.33</w:t>
                  </w:r>
                </w:p>
              </w:tc>
              <w:tc>
                <w:tcPr>
                  <w:tcW w:w="1031" w:type="dxa"/>
                  <w:vAlign w:val="center"/>
                </w:tcPr>
                <w:p w14:paraId="2EA5C573">
                  <w:pPr>
                    <w:widowControl/>
                    <w:jc w:val="center"/>
                    <w:rPr>
                      <w:rFonts w:hint="default" w:ascii="Times New Roman" w:hAnsi="Times New Roman" w:cs="Times New Roman"/>
                      <w:color w:val="auto"/>
                    </w:rPr>
                  </w:pPr>
                  <w:r>
                    <w:rPr>
                      <w:rFonts w:hint="default" w:ascii="Times New Roman" w:hAnsi="Times New Roman" w:cs="Times New Roman"/>
                      <w:color w:val="auto"/>
                    </w:rPr>
                    <w:t>施工场地、</w:t>
                  </w:r>
                  <w:r>
                    <w:rPr>
                      <w:rFonts w:hint="default" w:ascii="Times New Roman" w:hAnsi="Times New Roman" w:cs="Times New Roman"/>
                      <w:color w:val="auto"/>
                      <w:lang w:val="en-US" w:eastAsia="zh-CN"/>
                    </w:rPr>
                    <w:t>材料堆场、施工便道、</w:t>
                  </w:r>
                  <w:r>
                    <w:rPr>
                      <w:rFonts w:hint="default" w:ascii="Times New Roman" w:hAnsi="Times New Roman" w:cs="Times New Roman"/>
                      <w:color w:val="auto"/>
                    </w:rPr>
                    <w:t>弃土场</w:t>
                  </w:r>
                </w:p>
              </w:tc>
            </w:tr>
            <w:tr w14:paraId="3241E0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shd w:val="clear" w:color="auto" w:fill="auto"/>
                  <w:vAlign w:val="center"/>
                </w:tcPr>
                <w:p w14:paraId="3E7AA303">
                  <w:pPr>
                    <w:widowControl/>
                    <w:jc w:val="center"/>
                    <w:rPr>
                      <w:rFonts w:hint="default" w:ascii="Times New Roman" w:hAnsi="Times New Roman" w:eastAsia="宋体" w:cs="Times New Roman"/>
                      <w:color w:val="auto"/>
                      <w:kern w:val="2"/>
                      <w:sz w:val="21"/>
                      <w:szCs w:val="24"/>
                      <w:lang w:val="en-US" w:eastAsia="zh-CN" w:bidi="ar-SA"/>
                    </w:rPr>
                  </w:pPr>
                  <w:r>
                    <w:rPr>
                      <w:rFonts w:hint="default" w:ascii="Times New Roman" w:hAnsi="Times New Roman" w:cs="Times New Roman"/>
                      <w:color w:val="auto"/>
                      <w:lang w:val="en-US" w:eastAsia="zh-CN"/>
                    </w:rPr>
                    <w:t>13</w:t>
                  </w:r>
                </w:p>
              </w:tc>
              <w:tc>
                <w:tcPr>
                  <w:tcW w:w="1809" w:type="dxa"/>
                  <w:vAlign w:val="center"/>
                </w:tcPr>
                <w:p w14:paraId="09589147">
                  <w:pPr>
                    <w:widowControl/>
                    <w:jc w:val="center"/>
                    <w:rPr>
                      <w:rFonts w:hint="default" w:ascii="Times New Roman" w:hAnsi="Times New Roman" w:cs="Times New Roman"/>
                      <w:color w:val="auto"/>
                    </w:rPr>
                  </w:pPr>
                  <w:r>
                    <w:rPr>
                      <w:rFonts w:hint="default" w:ascii="Times New Roman" w:hAnsi="Times New Roman" w:cs="Times New Roman"/>
                      <w:color w:val="auto"/>
                    </w:rPr>
                    <w:t>拆迁建筑物</w:t>
                  </w:r>
                </w:p>
              </w:tc>
              <w:tc>
                <w:tcPr>
                  <w:tcW w:w="1022" w:type="dxa"/>
                  <w:vAlign w:val="center"/>
                </w:tcPr>
                <w:p w14:paraId="36CBF513">
                  <w:pPr>
                    <w:widowControl/>
                    <w:jc w:val="center"/>
                    <w:rPr>
                      <w:rFonts w:hint="default" w:ascii="Times New Roman" w:hAnsi="Times New Roman" w:cs="Times New Roman"/>
                      <w:color w:val="auto"/>
                    </w:rPr>
                  </w:pPr>
                  <w:r>
                    <w:rPr>
                      <w:rFonts w:hint="default" w:ascii="Times New Roman" w:hAnsi="Times New Roman" w:cs="Times New Roman"/>
                      <w:color w:val="auto"/>
                    </w:rPr>
                    <w:t>m</w:t>
                  </w:r>
                  <w:r>
                    <w:rPr>
                      <w:rFonts w:hint="default" w:ascii="Times New Roman" w:hAnsi="Times New Roman" w:cs="Times New Roman"/>
                      <w:color w:val="auto"/>
                      <w:vertAlign w:val="superscript"/>
                    </w:rPr>
                    <w:t>2</w:t>
                  </w:r>
                </w:p>
              </w:tc>
              <w:tc>
                <w:tcPr>
                  <w:tcW w:w="3614" w:type="dxa"/>
                  <w:vAlign w:val="center"/>
                </w:tcPr>
                <w:p w14:paraId="0297686D">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0</w:t>
                  </w:r>
                </w:p>
              </w:tc>
              <w:tc>
                <w:tcPr>
                  <w:tcW w:w="1031" w:type="dxa"/>
                  <w:vAlign w:val="center"/>
                </w:tcPr>
                <w:p w14:paraId="76957805">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r w14:paraId="43EA4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72" w:type="dxa"/>
                  <w:vAlign w:val="center"/>
                </w:tcPr>
                <w:p w14:paraId="73AEA126">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14</w:t>
                  </w:r>
                </w:p>
              </w:tc>
              <w:tc>
                <w:tcPr>
                  <w:tcW w:w="1809" w:type="dxa"/>
                  <w:vAlign w:val="center"/>
                </w:tcPr>
                <w:p w14:paraId="03B56543">
                  <w:pPr>
                    <w:widowControl/>
                    <w:jc w:val="center"/>
                    <w:rPr>
                      <w:rFonts w:hint="default" w:ascii="Times New Roman" w:hAnsi="Times New Roman" w:cs="Times New Roman"/>
                      <w:color w:val="auto"/>
                    </w:rPr>
                  </w:pPr>
                  <w:r>
                    <w:rPr>
                      <w:rFonts w:hint="default" w:ascii="Times New Roman" w:hAnsi="Times New Roman" w:cs="Times New Roman"/>
                      <w:color w:val="auto"/>
                    </w:rPr>
                    <w:t>平面交叉</w:t>
                  </w:r>
                </w:p>
              </w:tc>
              <w:tc>
                <w:tcPr>
                  <w:tcW w:w="1022" w:type="dxa"/>
                  <w:vAlign w:val="center"/>
                </w:tcPr>
                <w:p w14:paraId="1199F1FF">
                  <w:pPr>
                    <w:widowControl/>
                    <w:jc w:val="center"/>
                    <w:rPr>
                      <w:rFonts w:hint="default" w:ascii="Times New Roman" w:hAnsi="Times New Roman" w:cs="Times New Roman"/>
                      <w:color w:val="auto"/>
                    </w:rPr>
                  </w:pPr>
                  <w:r>
                    <w:rPr>
                      <w:rFonts w:hint="default" w:ascii="Times New Roman" w:hAnsi="Times New Roman" w:cs="Times New Roman"/>
                      <w:color w:val="auto"/>
                    </w:rPr>
                    <w:t>处</w:t>
                  </w:r>
                </w:p>
              </w:tc>
              <w:tc>
                <w:tcPr>
                  <w:tcW w:w="3614" w:type="dxa"/>
                  <w:vAlign w:val="center"/>
                </w:tcPr>
                <w:p w14:paraId="57749916">
                  <w:pPr>
                    <w:widowControl/>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6</w:t>
                  </w:r>
                </w:p>
              </w:tc>
              <w:tc>
                <w:tcPr>
                  <w:tcW w:w="1031" w:type="dxa"/>
                  <w:vAlign w:val="center"/>
                </w:tcPr>
                <w:p w14:paraId="0D9FC5A5">
                  <w:pPr>
                    <w:widowControl/>
                    <w:jc w:val="center"/>
                    <w:rPr>
                      <w:rFonts w:hint="default" w:ascii="Times New Roman" w:hAnsi="Times New Roman" w:cs="Times New Roman"/>
                      <w:color w:val="auto"/>
                    </w:rPr>
                  </w:pPr>
                  <w:r>
                    <w:rPr>
                      <w:rFonts w:hint="default" w:ascii="Times New Roman" w:hAnsi="Times New Roman" w:cs="Times New Roman"/>
                      <w:color w:val="auto"/>
                      <w:lang w:val="en-US" w:eastAsia="zh-CN"/>
                    </w:rPr>
                    <w:t>/</w:t>
                  </w:r>
                </w:p>
              </w:tc>
            </w:tr>
          </w:tbl>
          <w:p w14:paraId="521AABE8">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eastAsia" w:ascii="Times New Roman" w:hAnsi="Times New Roman" w:cs="Times New Roman"/>
                <w:b/>
                <w:bCs/>
                <w:color w:val="auto"/>
                <w:sz w:val="24"/>
                <w:szCs w:val="32"/>
                <w:lang w:val="en-US" w:eastAsia="zh-CN"/>
              </w:rPr>
              <w:t>12</w:t>
            </w:r>
            <w:r>
              <w:rPr>
                <w:rFonts w:hint="default" w:ascii="Times New Roman" w:hAnsi="Times New Roman" w:cs="Times New Roman"/>
                <w:b/>
                <w:bCs/>
                <w:color w:val="auto"/>
                <w:sz w:val="24"/>
                <w:szCs w:val="32"/>
              </w:rPr>
              <w:t>、施工组织</w:t>
            </w:r>
          </w:p>
          <w:p w14:paraId="46068F10">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（1）筑路材料</w:t>
            </w:r>
          </w:p>
          <w:p w14:paraId="03BF4579">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项目区及其附近地方筑路材料比较丰富，质量和数量均可满足设计要求，本项目不单独设置取料场。</w:t>
            </w:r>
          </w:p>
          <w:p w14:paraId="2907635F">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b/>
                <w:bCs/>
                <w:color w:val="auto"/>
                <w:sz w:val="24"/>
                <w:szCs w:val="32"/>
              </w:rPr>
              <w:t>灰岩片石、碎石、砂砾石、卵石、中粗砂：</w:t>
            </w:r>
            <w:r>
              <w:rPr>
                <w:rFonts w:hint="default" w:ascii="Times New Roman" w:hAnsi="Times New Roman" w:cs="Times New Roman"/>
                <w:color w:val="auto"/>
                <w:sz w:val="24"/>
                <w:szCs w:val="32"/>
              </w:rPr>
              <w:t>可在</w:t>
            </w:r>
            <w:r>
              <w:rPr>
                <w:rFonts w:hint="default" w:ascii="Times New Roman" w:hAnsi="Times New Roman" w:cs="Times New Roman"/>
                <w:color w:val="auto"/>
                <w:sz w:val="24"/>
                <w:szCs w:val="32"/>
                <w:lang w:val="en-US" w:eastAsia="zh-CN"/>
              </w:rPr>
              <w:t>达州市</w:t>
            </w:r>
            <w:r>
              <w:rPr>
                <w:rFonts w:hint="default" w:ascii="Times New Roman" w:hAnsi="Times New Roman" w:cs="Times New Roman"/>
                <w:color w:val="auto"/>
                <w:sz w:val="24"/>
                <w:szCs w:val="32"/>
              </w:rPr>
              <w:t>境内购买。</w:t>
            </w:r>
          </w:p>
          <w:p w14:paraId="688C1B72">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商品混凝土、沥青</w:t>
            </w:r>
            <w:r>
              <w:rPr>
                <w:rFonts w:hint="default" w:ascii="Times New Roman" w:hAnsi="Times New Roman" w:cs="Times New Roman"/>
                <w:b/>
                <w:bCs/>
                <w:color w:val="auto"/>
                <w:sz w:val="24"/>
                <w:szCs w:val="32"/>
                <w:lang w:val="en-US" w:eastAsia="zh-CN"/>
              </w:rPr>
              <w:t>混凝土</w:t>
            </w:r>
            <w:r>
              <w:rPr>
                <w:rFonts w:hint="default" w:ascii="Times New Roman" w:hAnsi="Times New Roman" w:cs="Times New Roman"/>
                <w:b/>
                <w:bCs/>
                <w:color w:val="auto"/>
                <w:sz w:val="24"/>
                <w:szCs w:val="32"/>
              </w:rPr>
              <w:t>、钢材、木材</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水泥</w:t>
            </w:r>
            <w:r>
              <w:rPr>
                <w:rFonts w:hint="default" w:ascii="Times New Roman" w:hAnsi="Times New Roman" w:cs="Times New Roman"/>
                <w:b/>
                <w:bCs/>
                <w:color w:val="auto"/>
                <w:sz w:val="24"/>
                <w:szCs w:val="32"/>
              </w:rPr>
              <w:t>：</w:t>
            </w:r>
            <w:r>
              <w:rPr>
                <w:rFonts w:hint="default" w:ascii="Times New Roman" w:hAnsi="Times New Roman" w:cs="Times New Roman"/>
                <w:color w:val="auto"/>
                <w:sz w:val="24"/>
                <w:szCs w:val="32"/>
              </w:rPr>
              <w:t>可在</w:t>
            </w:r>
            <w:r>
              <w:rPr>
                <w:rFonts w:hint="default" w:ascii="Times New Roman" w:hAnsi="Times New Roman" w:cs="Times New Roman"/>
                <w:color w:val="auto"/>
                <w:sz w:val="24"/>
                <w:szCs w:val="32"/>
                <w:lang w:val="en-US" w:eastAsia="zh-CN"/>
              </w:rPr>
              <w:t>达州市</w:t>
            </w:r>
            <w:r>
              <w:rPr>
                <w:rFonts w:hint="default" w:ascii="Times New Roman" w:hAnsi="Times New Roman" w:cs="Times New Roman"/>
                <w:color w:val="auto"/>
                <w:sz w:val="24"/>
                <w:szCs w:val="32"/>
              </w:rPr>
              <w:t>境内购买。</w:t>
            </w:r>
          </w:p>
          <w:p w14:paraId="0027B2A1">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（2）施工条件</w:t>
            </w:r>
          </w:p>
          <w:p w14:paraId="7F968E8A">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b/>
                <w:bCs/>
                <w:color w:val="auto"/>
                <w:sz w:val="24"/>
                <w:szCs w:val="32"/>
              </w:rPr>
              <w:t>施工用电、通讯：</w:t>
            </w:r>
            <w:r>
              <w:rPr>
                <w:rFonts w:hint="default" w:ascii="Times New Roman" w:hAnsi="Times New Roman" w:cs="Times New Roman"/>
                <w:color w:val="auto"/>
                <w:sz w:val="24"/>
                <w:szCs w:val="32"/>
              </w:rPr>
              <w:t>本项目沿线均有输电高压线，项目实施时可与当地电力部门联系，依托沿线电网，就近接线供电，保证工程项目施工。项目区有联通、移动等通讯线，能实现与外界的联系。</w:t>
            </w:r>
          </w:p>
          <w:p w14:paraId="7761670E">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b/>
                <w:bCs/>
                <w:color w:val="auto"/>
                <w:sz w:val="24"/>
                <w:szCs w:val="32"/>
              </w:rPr>
              <w:t>施工用水：</w:t>
            </w:r>
            <w:r>
              <w:rPr>
                <w:rFonts w:hint="default" w:ascii="Times New Roman" w:hAnsi="Times New Roman" w:cs="Times New Roman"/>
                <w:color w:val="auto"/>
                <w:sz w:val="24"/>
                <w:szCs w:val="32"/>
              </w:rPr>
              <w:t>项目区地表水体众多，有河溪、塘堰等，工程所在地区水系发达，地表水资源丰富，本项目可与当地相关部门协商后依托区域地表水资源、直接引取。生活用水可依托当地居民水井或依托当地自来水接入引用。</w:t>
            </w:r>
          </w:p>
          <w:p w14:paraId="34C0BD28">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（3）施工机械</w:t>
            </w:r>
          </w:p>
          <w:p w14:paraId="6CC6F94E">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本项目主要施工设备及型号见下表。</w:t>
            </w:r>
          </w:p>
          <w:p w14:paraId="1E484C58">
            <w:pPr>
              <w:widowControl/>
              <w:spacing w:line="460" w:lineRule="exact"/>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w:t>
            </w:r>
            <w:r>
              <w:rPr>
                <w:rFonts w:hint="default" w:ascii="Times New Roman" w:hAnsi="Times New Roman" w:cs="Times New Roman"/>
                <w:b/>
                <w:bCs/>
                <w:color w:val="auto"/>
                <w:lang w:val="en-US" w:eastAsia="zh-CN"/>
              </w:rPr>
              <w:t xml:space="preserve">12 </w:t>
            </w:r>
            <w:r>
              <w:rPr>
                <w:rFonts w:hint="default" w:ascii="Times New Roman" w:hAnsi="Times New Roman" w:eastAsia="宋体" w:cs="Times New Roman"/>
                <w:b/>
                <w:bCs/>
                <w:color w:val="auto"/>
              </w:rPr>
              <w:t>主要施工机械设备一览表</w:t>
            </w:r>
          </w:p>
          <w:tbl>
            <w:tblPr>
              <w:tblStyle w:val="23"/>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850"/>
              <w:gridCol w:w="3141"/>
              <w:gridCol w:w="1546"/>
              <w:gridCol w:w="812"/>
              <w:gridCol w:w="1699"/>
            </w:tblGrid>
            <w:tr w14:paraId="5C836E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528" w:type="pct"/>
                  <w:vAlign w:val="center"/>
                </w:tcPr>
                <w:p w14:paraId="4D54D6D4">
                  <w:pPr>
                    <w:pStyle w:val="83"/>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1950" w:type="pct"/>
                  <w:vAlign w:val="center"/>
                </w:tcPr>
                <w:p w14:paraId="23D5D60A">
                  <w:pPr>
                    <w:pStyle w:val="83"/>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名称</w:t>
                  </w:r>
                </w:p>
              </w:tc>
              <w:tc>
                <w:tcPr>
                  <w:tcW w:w="960" w:type="pct"/>
                  <w:vAlign w:val="center"/>
                </w:tcPr>
                <w:p w14:paraId="56082F79">
                  <w:pPr>
                    <w:pStyle w:val="83"/>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规格</w:t>
                  </w:r>
                </w:p>
              </w:tc>
              <w:tc>
                <w:tcPr>
                  <w:tcW w:w="504" w:type="pct"/>
                  <w:vAlign w:val="center"/>
                </w:tcPr>
                <w:p w14:paraId="07F2EE56">
                  <w:pPr>
                    <w:pStyle w:val="83"/>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单位</w:t>
                  </w:r>
                </w:p>
              </w:tc>
              <w:tc>
                <w:tcPr>
                  <w:tcW w:w="1055" w:type="pct"/>
                  <w:vAlign w:val="center"/>
                </w:tcPr>
                <w:p w14:paraId="3640ACFC">
                  <w:pPr>
                    <w:pStyle w:val="83"/>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数量</w:t>
                  </w:r>
                </w:p>
              </w:tc>
            </w:tr>
            <w:tr w14:paraId="587B6B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0BEA3B9B">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c>
                <w:tcPr>
                  <w:tcW w:w="1950" w:type="pct"/>
                  <w:vAlign w:val="center"/>
                </w:tcPr>
                <w:p w14:paraId="3876E96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轮式装载机</w:t>
                  </w:r>
                </w:p>
              </w:tc>
              <w:tc>
                <w:tcPr>
                  <w:tcW w:w="960" w:type="pct"/>
                  <w:vAlign w:val="center"/>
                </w:tcPr>
                <w:p w14:paraId="7C4383FD">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ZL40型</w:t>
                  </w:r>
                </w:p>
              </w:tc>
              <w:tc>
                <w:tcPr>
                  <w:tcW w:w="504" w:type="pct"/>
                  <w:vAlign w:val="center"/>
                </w:tcPr>
                <w:p w14:paraId="025639B8">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15C71656">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5828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719CB519">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c>
                <w:tcPr>
                  <w:tcW w:w="1950" w:type="pct"/>
                  <w:vAlign w:val="center"/>
                </w:tcPr>
                <w:p w14:paraId="4E401C51">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轮式装载机</w:t>
                  </w:r>
                </w:p>
              </w:tc>
              <w:tc>
                <w:tcPr>
                  <w:tcW w:w="960" w:type="pct"/>
                  <w:vAlign w:val="center"/>
                </w:tcPr>
                <w:p w14:paraId="513C7FF4">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ZL50型</w:t>
                  </w:r>
                </w:p>
              </w:tc>
              <w:tc>
                <w:tcPr>
                  <w:tcW w:w="504" w:type="pct"/>
                  <w:vAlign w:val="center"/>
                </w:tcPr>
                <w:p w14:paraId="05C50384">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3D5D9E72">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040B3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115ABC8F">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3</w:t>
                  </w:r>
                </w:p>
              </w:tc>
              <w:tc>
                <w:tcPr>
                  <w:tcW w:w="1950" w:type="pct"/>
                  <w:vAlign w:val="center"/>
                </w:tcPr>
                <w:p w14:paraId="5D5B7623">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平地机</w:t>
                  </w:r>
                </w:p>
              </w:tc>
              <w:tc>
                <w:tcPr>
                  <w:tcW w:w="960" w:type="pct"/>
                  <w:vAlign w:val="center"/>
                </w:tcPr>
                <w:p w14:paraId="48D824F8">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PY16A型</w:t>
                  </w:r>
                </w:p>
              </w:tc>
              <w:tc>
                <w:tcPr>
                  <w:tcW w:w="504" w:type="pct"/>
                  <w:vAlign w:val="center"/>
                </w:tcPr>
                <w:p w14:paraId="5EC221DA">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6017A9AC">
                  <w:pPr>
                    <w:pStyle w:val="83"/>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r>
            <w:tr w14:paraId="2BA469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5336AD34">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4</w:t>
                  </w:r>
                </w:p>
              </w:tc>
              <w:tc>
                <w:tcPr>
                  <w:tcW w:w="1950" w:type="pct"/>
                  <w:vAlign w:val="center"/>
                </w:tcPr>
                <w:p w14:paraId="6DD726C4">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振动式压路机</w:t>
                  </w:r>
                </w:p>
              </w:tc>
              <w:tc>
                <w:tcPr>
                  <w:tcW w:w="960" w:type="pct"/>
                  <w:vAlign w:val="center"/>
                </w:tcPr>
                <w:p w14:paraId="1ACC79D8">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YZJ10B型</w:t>
                  </w:r>
                </w:p>
              </w:tc>
              <w:tc>
                <w:tcPr>
                  <w:tcW w:w="504" w:type="pct"/>
                  <w:vAlign w:val="center"/>
                </w:tcPr>
                <w:p w14:paraId="4E8BBDB8">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09D19FE1">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6A3F6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1F816C76">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5</w:t>
                  </w:r>
                </w:p>
              </w:tc>
              <w:tc>
                <w:tcPr>
                  <w:tcW w:w="1950" w:type="pct"/>
                  <w:vAlign w:val="center"/>
                </w:tcPr>
                <w:p w14:paraId="0C2AB7CC">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双轮双振压路机</w:t>
                  </w:r>
                </w:p>
              </w:tc>
              <w:tc>
                <w:tcPr>
                  <w:tcW w:w="960" w:type="pct"/>
                  <w:vAlign w:val="center"/>
                </w:tcPr>
                <w:p w14:paraId="403E6766">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CC21型</w:t>
                  </w:r>
                </w:p>
              </w:tc>
              <w:tc>
                <w:tcPr>
                  <w:tcW w:w="504" w:type="pct"/>
                  <w:vAlign w:val="center"/>
                </w:tcPr>
                <w:p w14:paraId="6E15ED83">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22031ECB">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538F2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3225BAA3">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6</w:t>
                  </w:r>
                </w:p>
              </w:tc>
              <w:tc>
                <w:tcPr>
                  <w:tcW w:w="1950" w:type="pct"/>
                  <w:vAlign w:val="center"/>
                </w:tcPr>
                <w:p w14:paraId="77ABF5D4">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三轮压路机</w:t>
                  </w:r>
                </w:p>
              </w:tc>
              <w:tc>
                <w:tcPr>
                  <w:tcW w:w="960" w:type="pct"/>
                  <w:vAlign w:val="center"/>
                </w:tcPr>
                <w:p w14:paraId="5019A311">
                  <w:pPr>
                    <w:pStyle w:val="83"/>
                    <w:rPr>
                      <w:rFonts w:hint="default" w:ascii="Times New Roman" w:hAnsi="Times New Roman" w:cs="Times New Roman"/>
                      <w:color w:val="auto"/>
                      <w:sz w:val="21"/>
                      <w:szCs w:val="21"/>
                    </w:rPr>
                  </w:pPr>
                </w:p>
              </w:tc>
              <w:tc>
                <w:tcPr>
                  <w:tcW w:w="504" w:type="pct"/>
                  <w:vAlign w:val="center"/>
                </w:tcPr>
                <w:p w14:paraId="1667A8FC">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606E544F">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2A5C7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3001A54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7</w:t>
                  </w:r>
                </w:p>
              </w:tc>
              <w:tc>
                <w:tcPr>
                  <w:tcW w:w="1950" w:type="pct"/>
                  <w:vAlign w:val="center"/>
                </w:tcPr>
                <w:p w14:paraId="5F329251">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轮胎压路机</w:t>
                  </w:r>
                </w:p>
              </w:tc>
              <w:tc>
                <w:tcPr>
                  <w:tcW w:w="960" w:type="pct"/>
                  <w:vAlign w:val="center"/>
                </w:tcPr>
                <w:p w14:paraId="73EDFD5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ZL16型</w:t>
                  </w:r>
                </w:p>
              </w:tc>
              <w:tc>
                <w:tcPr>
                  <w:tcW w:w="504" w:type="pct"/>
                  <w:vAlign w:val="center"/>
                </w:tcPr>
                <w:p w14:paraId="72804100">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50D67D65">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49D26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1668B5B9">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8</w:t>
                  </w:r>
                </w:p>
              </w:tc>
              <w:tc>
                <w:tcPr>
                  <w:tcW w:w="1950" w:type="pct"/>
                  <w:vAlign w:val="center"/>
                </w:tcPr>
                <w:p w14:paraId="08E3738B">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推土机</w:t>
                  </w:r>
                </w:p>
              </w:tc>
              <w:tc>
                <w:tcPr>
                  <w:tcW w:w="960" w:type="pct"/>
                  <w:vAlign w:val="center"/>
                </w:tcPr>
                <w:p w14:paraId="3CA1A016">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T140型</w:t>
                  </w:r>
                </w:p>
              </w:tc>
              <w:tc>
                <w:tcPr>
                  <w:tcW w:w="504" w:type="pct"/>
                  <w:vAlign w:val="center"/>
                </w:tcPr>
                <w:p w14:paraId="6BB54AA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1D5B212A">
                  <w:pPr>
                    <w:pStyle w:val="83"/>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r>
            <w:tr w14:paraId="06210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235A718A">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9</w:t>
                  </w:r>
                </w:p>
              </w:tc>
              <w:tc>
                <w:tcPr>
                  <w:tcW w:w="1950" w:type="pct"/>
                  <w:vAlign w:val="center"/>
                </w:tcPr>
                <w:p w14:paraId="65DB949F">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轮胎式液压挖掘机</w:t>
                  </w:r>
                </w:p>
              </w:tc>
              <w:tc>
                <w:tcPr>
                  <w:tcW w:w="960" w:type="pct"/>
                  <w:vAlign w:val="center"/>
                </w:tcPr>
                <w:p w14:paraId="7BF07FE3">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W4-60C型</w:t>
                  </w:r>
                </w:p>
              </w:tc>
              <w:tc>
                <w:tcPr>
                  <w:tcW w:w="504" w:type="pct"/>
                  <w:vAlign w:val="center"/>
                </w:tcPr>
                <w:p w14:paraId="5E7A1F7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35E286B9">
                  <w:pPr>
                    <w:pStyle w:val="83"/>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r>
            <w:tr w14:paraId="03E7F7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54AC183D">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10</w:t>
                  </w:r>
                </w:p>
              </w:tc>
              <w:tc>
                <w:tcPr>
                  <w:tcW w:w="1950" w:type="pct"/>
                  <w:vAlign w:val="center"/>
                </w:tcPr>
                <w:p w14:paraId="7B1053B5">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冲击式钻井机</w:t>
                  </w:r>
                </w:p>
              </w:tc>
              <w:tc>
                <w:tcPr>
                  <w:tcW w:w="960" w:type="pct"/>
                  <w:vAlign w:val="center"/>
                </w:tcPr>
                <w:p w14:paraId="160DCE45">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FKV-75</w:t>
                  </w:r>
                </w:p>
              </w:tc>
              <w:tc>
                <w:tcPr>
                  <w:tcW w:w="504" w:type="pct"/>
                  <w:vAlign w:val="center"/>
                </w:tcPr>
                <w:p w14:paraId="37B5862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670C6E67">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053B88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14EC84E8">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11</w:t>
                  </w:r>
                </w:p>
              </w:tc>
              <w:tc>
                <w:tcPr>
                  <w:tcW w:w="1950" w:type="pct"/>
                  <w:vAlign w:val="center"/>
                </w:tcPr>
                <w:p w14:paraId="60FC575C">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锥形反转出料混凝土搅拌机</w:t>
                  </w:r>
                </w:p>
              </w:tc>
              <w:tc>
                <w:tcPr>
                  <w:tcW w:w="960" w:type="pct"/>
                  <w:vAlign w:val="center"/>
                </w:tcPr>
                <w:p w14:paraId="0E651DCD">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22型</w:t>
                  </w:r>
                </w:p>
              </w:tc>
              <w:tc>
                <w:tcPr>
                  <w:tcW w:w="504" w:type="pct"/>
                  <w:vAlign w:val="center"/>
                </w:tcPr>
                <w:p w14:paraId="1586647C">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44AE7A75">
                  <w:pPr>
                    <w:pStyle w:val="83"/>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r>
            <w:tr w14:paraId="7352B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7239DCF1">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12</w:t>
                  </w:r>
                </w:p>
              </w:tc>
              <w:tc>
                <w:tcPr>
                  <w:tcW w:w="1950" w:type="pct"/>
                  <w:vAlign w:val="center"/>
                </w:tcPr>
                <w:p w14:paraId="31D7F645">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重型运输车</w:t>
                  </w:r>
                </w:p>
              </w:tc>
              <w:tc>
                <w:tcPr>
                  <w:tcW w:w="960" w:type="pct"/>
                  <w:vAlign w:val="center"/>
                </w:tcPr>
                <w:p w14:paraId="7967BF97">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JZC350型</w:t>
                  </w:r>
                </w:p>
              </w:tc>
              <w:tc>
                <w:tcPr>
                  <w:tcW w:w="504" w:type="pct"/>
                  <w:vAlign w:val="center"/>
                </w:tcPr>
                <w:p w14:paraId="1B455596">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397F5207">
                  <w:pPr>
                    <w:pStyle w:val="83"/>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val="en-US" w:eastAsia="zh-CN"/>
                    </w:rPr>
                    <w:t>1</w:t>
                  </w:r>
                </w:p>
              </w:tc>
            </w:tr>
            <w:tr w14:paraId="7F2A8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2709BE62">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13</w:t>
                  </w:r>
                </w:p>
              </w:tc>
              <w:tc>
                <w:tcPr>
                  <w:tcW w:w="1950" w:type="pct"/>
                  <w:vAlign w:val="center"/>
                </w:tcPr>
                <w:p w14:paraId="682C4002">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静力打桩机</w:t>
                  </w:r>
                </w:p>
              </w:tc>
              <w:tc>
                <w:tcPr>
                  <w:tcW w:w="960" w:type="pct"/>
                  <w:vAlign w:val="center"/>
                </w:tcPr>
                <w:p w14:paraId="7A33524C">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04" w:type="pct"/>
                  <w:vAlign w:val="center"/>
                </w:tcPr>
                <w:p w14:paraId="5D034FDA">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5A174911">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w:t>
                  </w:r>
                </w:p>
              </w:tc>
            </w:tr>
            <w:tr w14:paraId="3153B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528" w:type="pct"/>
                  <w:vAlign w:val="center"/>
                </w:tcPr>
                <w:p w14:paraId="17933A77">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14</w:t>
                  </w:r>
                </w:p>
              </w:tc>
              <w:tc>
                <w:tcPr>
                  <w:tcW w:w="1950" w:type="pct"/>
                  <w:vAlign w:val="center"/>
                </w:tcPr>
                <w:p w14:paraId="61F9F4D0">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空压机</w:t>
                  </w:r>
                </w:p>
              </w:tc>
              <w:tc>
                <w:tcPr>
                  <w:tcW w:w="960" w:type="pct"/>
                  <w:vAlign w:val="center"/>
                </w:tcPr>
                <w:p w14:paraId="53AD3A3B">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w:t>
                  </w:r>
                </w:p>
              </w:tc>
              <w:tc>
                <w:tcPr>
                  <w:tcW w:w="504" w:type="pct"/>
                  <w:vAlign w:val="center"/>
                </w:tcPr>
                <w:p w14:paraId="7A803BA0">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台</w:t>
                  </w:r>
                </w:p>
              </w:tc>
              <w:tc>
                <w:tcPr>
                  <w:tcW w:w="1055" w:type="pct"/>
                  <w:vAlign w:val="center"/>
                </w:tcPr>
                <w:p w14:paraId="7B3B761E">
                  <w:pPr>
                    <w:pStyle w:val="83"/>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w:t>
                  </w:r>
                </w:p>
              </w:tc>
            </w:tr>
          </w:tbl>
          <w:p w14:paraId="6783D3BA">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（4）施工原辅材料</w:t>
            </w:r>
          </w:p>
          <w:p w14:paraId="5B8470D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本项目主要施工原辅材料消耗情况见下表。</w:t>
            </w:r>
          </w:p>
          <w:p w14:paraId="40D6185F">
            <w:pPr>
              <w:widowControl/>
              <w:spacing w:line="460" w:lineRule="exact"/>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表2-</w:t>
            </w:r>
            <w:r>
              <w:rPr>
                <w:rFonts w:hint="default" w:ascii="Times New Roman" w:hAnsi="Times New Roman" w:cs="Times New Roman"/>
                <w:b/>
                <w:bCs/>
                <w:color w:val="auto"/>
                <w:lang w:val="en-US" w:eastAsia="zh-CN"/>
              </w:rPr>
              <w:t xml:space="preserve">13 </w:t>
            </w:r>
            <w:r>
              <w:rPr>
                <w:rFonts w:hint="default" w:ascii="Times New Roman" w:hAnsi="Times New Roman" w:eastAsia="宋体" w:cs="Times New Roman"/>
                <w:b/>
                <w:bCs/>
                <w:color w:val="auto"/>
              </w:rPr>
              <w:t>本项目施工材料消耗情况</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84"/>
              <w:gridCol w:w="2136"/>
              <w:gridCol w:w="1723"/>
              <w:gridCol w:w="1247"/>
              <w:gridCol w:w="2057"/>
            </w:tblGrid>
            <w:tr w14:paraId="14A27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40DED926">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序号</w:t>
                  </w:r>
                </w:p>
              </w:tc>
              <w:tc>
                <w:tcPr>
                  <w:tcW w:w="2120" w:type="dxa"/>
                  <w:shd w:val="clear" w:color="auto" w:fill="auto"/>
                  <w:vAlign w:val="center"/>
                </w:tcPr>
                <w:p w14:paraId="010BBF39">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名称</w:t>
                  </w:r>
                </w:p>
              </w:tc>
              <w:tc>
                <w:tcPr>
                  <w:tcW w:w="1710" w:type="dxa"/>
                  <w:shd w:val="clear" w:color="auto" w:fill="auto"/>
                  <w:vAlign w:val="center"/>
                </w:tcPr>
                <w:p w14:paraId="3906F68D">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单位</w:t>
                  </w:r>
                </w:p>
              </w:tc>
              <w:tc>
                <w:tcPr>
                  <w:tcW w:w="1237" w:type="dxa"/>
                  <w:shd w:val="clear" w:color="auto" w:fill="auto"/>
                  <w:vAlign w:val="center"/>
                </w:tcPr>
                <w:p w14:paraId="3474CA3A">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使用量</w:t>
                  </w:r>
                </w:p>
              </w:tc>
              <w:tc>
                <w:tcPr>
                  <w:tcW w:w="2041" w:type="dxa"/>
                  <w:shd w:val="clear" w:color="auto" w:fill="auto"/>
                  <w:vAlign w:val="center"/>
                </w:tcPr>
                <w:p w14:paraId="302EECA5">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来源</w:t>
                  </w:r>
                </w:p>
              </w:tc>
            </w:tr>
            <w:tr w14:paraId="509F0C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6EC297EA">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w:t>
                  </w:r>
                </w:p>
              </w:tc>
              <w:tc>
                <w:tcPr>
                  <w:tcW w:w="2120" w:type="dxa"/>
                  <w:shd w:val="clear" w:color="auto" w:fill="auto"/>
                  <w:vAlign w:val="center"/>
                </w:tcPr>
                <w:p w14:paraId="07F0B45B">
                  <w:pPr>
                    <w:autoSpaceDE w:val="0"/>
                    <w:autoSpaceDN w:val="0"/>
                    <w:jc w:val="center"/>
                    <w:rPr>
                      <w:rFonts w:hint="default" w:ascii="Times New Roman" w:hAnsi="Times New Roman" w:cs="Times New Roman"/>
                      <w:color w:val="auto"/>
                    </w:rPr>
                  </w:pPr>
                  <w:r>
                    <w:rPr>
                      <w:rFonts w:hint="default" w:ascii="Times New Roman" w:hAnsi="Times New Roman" w:cs="Times New Roman"/>
                      <w:color w:val="auto"/>
                    </w:rPr>
                    <w:t>灰岩片石</w:t>
                  </w:r>
                </w:p>
              </w:tc>
              <w:tc>
                <w:tcPr>
                  <w:tcW w:w="1710" w:type="dxa"/>
                  <w:shd w:val="clear" w:color="auto" w:fill="auto"/>
                  <w:vAlign w:val="center"/>
                </w:tcPr>
                <w:p w14:paraId="0458179E">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t</w:t>
                  </w:r>
                </w:p>
              </w:tc>
              <w:tc>
                <w:tcPr>
                  <w:tcW w:w="1237" w:type="dxa"/>
                  <w:shd w:val="clear" w:color="auto" w:fill="auto"/>
                  <w:vAlign w:val="center"/>
                </w:tcPr>
                <w:p w14:paraId="723CF52C">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645</w:t>
                  </w:r>
                </w:p>
              </w:tc>
              <w:tc>
                <w:tcPr>
                  <w:tcW w:w="2041" w:type="dxa"/>
                  <w:shd w:val="clear" w:color="auto" w:fill="auto"/>
                  <w:vAlign w:val="center"/>
                </w:tcPr>
                <w:p w14:paraId="1775412C">
                  <w:pPr>
                    <w:autoSpaceDE w:val="0"/>
                    <w:autoSpaceDN w:val="0"/>
                    <w:jc w:val="center"/>
                    <w:rPr>
                      <w:rFonts w:hint="default" w:ascii="Times New Roman" w:hAnsi="Times New Roman" w:eastAsia="宋体" w:cs="Times New Roman"/>
                      <w:b/>
                      <w:bCs/>
                      <w:color w:val="auto"/>
                      <w:kern w:val="0"/>
                      <w:szCs w:val="21"/>
                      <w:lang w:eastAsia="zh-CN"/>
                    </w:rPr>
                  </w:pPr>
                  <w:r>
                    <w:rPr>
                      <w:rFonts w:hint="default" w:ascii="Times New Roman" w:hAnsi="Times New Roman" w:cs="Times New Roman"/>
                      <w:color w:val="auto"/>
                      <w:lang w:val="en-US" w:eastAsia="zh-CN"/>
                    </w:rPr>
                    <w:t>达州市</w:t>
                  </w:r>
                </w:p>
              </w:tc>
            </w:tr>
            <w:tr w14:paraId="6F3EF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6E98F867">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2</w:t>
                  </w:r>
                </w:p>
              </w:tc>
              <w:tc>
                <w:tcPr>
                  <w:tcW w:w="2120" w:type="dxa"/>
                  <w:shd w:val="clear" w:color="auto" w:fill="auto"/>
                  <w:vAlign w:val="center"/>
                </w:tcPr>
                <w:p w14:paraId="7CB82AA2">
                  <w:pPr>
                    <w:autoSpaceDE w:val="0"/>
                    <w:autoSpaceDN w:val="0"/>
                    <w:jc w:val="center"/>
                    <w:rPr>
                      <w:rFonts w:hint="default" w:ascii="Times New Roman" w:hAnsi="Times New Roman" w:cs="Times New Roman"/>
                      <w:color w:val="auto"/>
                    </w:rPr>
                  </w:pPr>
                  <w:r>
                    <w:rPr>
                      <w:rFonts w:hint="default" w:ascii="Times New Roman" w:hAnsi="Times New Roman" w:cs="Times New Roman"/>
                      <w:color w:val="auto"/>
                    </w:rPr>
                    <w:t>碎石</w:t>
                  </w:r>
                </w:p>
              </w:tc>
              <w:tc>
                <w:tcPr>
                  <w:tcW w:w="1710" w:type="dxa"/>
                  <w:shd w:val="clear" w:color="auto" w:fill="auto"/>
                  <w:vAlign w:val="center"/>
                </w:tcPr>
                <w:p w14:paraId="1B7CC6C8">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53035D60">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11010</w:t>
                  </w:r>
                </w:p>
              </w:tc>
              <w:tc>
                <w:tcPr>
                  <w:tcW w:w="2041" w:type="dxa"/>
                  <w:shd w:val="clear" w:color="auto" w:fill="auto"/>
                  <w:vAlign w:val="center"/>
                </w:tcPr>
                <w:p w14:paraId="7972DE9F">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4F23D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19A84563">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3</w:t>
                  </w:r>
                </w:p>
              </w:tc>
              <w:tc>
                <w:tcPr>
                  <w:tcW w:w="2120" w:type="dxa"/>
                  <w:shd w:val="clear" w:color="auto" w:fill="auto"/>
                  <w:vAlign w:val="center"/>
                </w:tcPr>
                <w:p w14:paraId="2C04392C">
                  <w:pPr>
                    <w:autoSpaceDE w:val="0"/>
                    <w:autoSpaceDN w:val="0"/>
                    <w:jc w:val="center"/>
                    <w:rPr>
                      <w:rFonts w:hint="default" w:ascii="Times New Roman" w:hAnsi="Times New Roman" w:cs="Times New Roman"/>
                      <w:color w:val="auto"/>
                    </w:rPr>
                  </w:pPr>
                  <w:r>
                    <w:rPr>
                      <w:rFonts w:hint="default" w:ascii="Times New Roman" w:hAnsi="Times New Roman" w:cs="Times New Roman"/>
                      <w:color w:val="auto"/>
                    </w:rPr>
                    <w:t>砂砾石</w:t>
                  </w:r>
                </w:p>
              </w:tc>
              <w:tc>
                <w:tcPr>
                  <w:tcW w:w="1710" w:type="dxa"/>
                  <w:shd w:val="clear" w:color="auto" w:fill="auto"/>
                  <w:vAlign w:val="center"/>
                </w:tcPr>
                <w:p w14:paraId="43C2EBBF">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0BFF1859">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15123</w:t>
                  </w:r>
                </w:p>
              </w:tc>
              <w:tc>
                <w:tcPr>
                  <w:tcW w:w="2041" w:type="dxa"/>
                  <w:shd w:val="clear" w:color="auto" w:fill="auto"/>
                  <w:vAlign w:val="center"/>
                </w:tcPr>
                <w:p w14:paraId="03EEE855">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346A4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2C08BF37">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4</w:t>
                  </w:r>
                </w:p>
              </w:tc>
              <w:tc>
                <w:tcPr>
                  <w:tcW w:w="2120" w:type="dxa"/>
                  <w:shd w:val="clear" w:color="auto" w:fill="auto"/>
                  <w:vAlign w:val="center"/>
                </w:tcPr>
                <w:p w14:paraId="7DAE2D87">
                  <w:pPr>
                    <w:autoSpaceDE w:val="0"/>
                    <w:autoSpaceDN w:val="0"/>
                    <w:jc w:val="center"/>
                    <w:rPr>
                      <w:rFonts w:hint="default" w:ascii="Times New Roman" w:hAnsi="Times New Roman" w:cs="Times New Roman"/>
                      <w:color w:val="auto"/>
                    </w:rPr>
                  </w:pPr>
                  <w:r>
                    <w:rPr>
                      <w:rFonts w:hint="default" w:ascii="Times New Roman" w:hAnsi="Times New Roman" w:cs="Times New Roman"/>
                      <w:color w:val="auto"/>
                    </w:rPr>
                    <w:t>卵石</w:t>
                  </w:r>
                </w:p>
              </w:tc>
              <w:tc>
                <w:tcPr>
                  <w:tcW w:w="1710" w:type="dxa"/>
                  <w:shd w:val="clear" w:color="auto" w:fill="auto"/>
                  <w:vAlign w:val="center"/>
                </w:tcPr>
                <w:p w14:paraId="155A0D09">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41DB24D5">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9615</w:t>
                  </w:r>
                </w:p>
              </w:tc>
              <w:tc>
                <w:tcPr>
                  <w:tcW w:w="2041" w:type="dxa"/>
                  <w:shd w:val="clear" w:color="auto" w:fill="auto"/>
                  <w:vAlign w:val="center"/>
                </w:tcPr>
                <w:p w14:paraId="45F453AB">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722C8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21F18532">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5</w:t>
                  </w:r>
                </w:p>
              </w:tc>
              <w:tc>
                <w:tcPr>
                  <w:tcW w:w="2120" w:type="dxa"/>
                  <w:shd w:val="clear" w:color="auto" w:fill="auto"/>
                  <w:vAlign w:val="center"/>
                </w:tcPr>
                <w:p w14:paraId="79FBE62D">
                  <w:pPr>
                    <w:autoSpaceDE w:val="0"/>
                    <w:autoSpaceDN w:val="0"/>
                    <w:jc w:val="center"/>
                    <w:rPr>
                      <w:rFonts w:hint="default" w:ascii="Times New Roman" w:hAnsi="Times New Roman" w:cs="Times New Roman"/>
                      <w:color w:val="auto"/>
                    </w:rPr>
                  </w:pPr>
                  <w:r>
                    <w:rPr>
                      <w:rFonts w:hint="default" w:ascii="Times New Roman" w:hAnsi="Times New Roman" w:cs="Times New Roman"/>
                      <w:color w:val="auto"/>
                    </w:rPr>
                    <w:t>中粗砂</w:t>
                  </w:r>
                </w:p>
              </w:tc>
              <w:tc>
                <w:tcPr>
                  <w:tcW w:w="1710" w:type="dxa"/>
                  <w:shd w:val="clear" w:color="auto" w:fill="auto"/>
                  <w:vAlign w:val="center"/>
                </w:tcPr>
                <w:p w14:paraId="6EDC445D">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43234E74">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11739</w:t>
                  </w:r>
                </w:p>
              </w:tc>
              <w:tc>
                <w:tcPr>
                  <w:tcW w:w="2041" w:type="dxa"/>
                  <w:shd w:val="clear" w:color="auto" w:fill="auto"/>
                  <w:vAlign w:val="center"/>
                </w:tcPr>
                <w:p w14:paraId="550ACBDC">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09C23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0418A5AB">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6</w:t>
                  </w:r>
                </w:p>
              </w:tc>
              <w:tc>
                <w:tcPr>
                  <w:tcW w:w="2120" w:type="dxa"/>
                  <w:shd w:val="clear" w:color="auto" w:fill="auto"/>
                  <w:vAlign w:val="center"/>
                </w:tcPr>
                <w:p w14:paraId="0730BB29">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商品混凝土</w:t>
                  </w:r>
                </w:p>
              </w:tc>
              <w:tc>
                <w:tcPr>
                  <w:tcW w:w="1710" w:type="dxa"/>
                  <w:shd w:val="clear" w:color="auto" w:fill="auto"/>
                  <w:vAlign w:val="center"/>
                </w:tcPr>
                <w:p w14:paraId="32EB3145">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3640BE2A">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8230</w:t>
                  </w:r>
                </w:p>
              </w:tc>
              <w:tc>
                <w:tcPr>
                  <w:tcW w:w="2041" w:type="dxa"/>
                  <w:shd w:val="clear" w:color="auto" w:fill="auto"/>
                  <w:vAlign w:val="center"/>
                </w:tcPr>
                <w:p w14:paraId="657F70E0">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5A256D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50770CEA">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7</w:t>
                  </w:r>
                </w:p>
              </w:tc>
              <w:tc>
                <w:tcPr>
                  <w:tcW w:w="2120" w:type="dxa"/>
                  <w:shd w:val="clear" w:color="auto" w:fill="auto"/>
                  <w:vAlign w:val="center"/>
                </w:tcPr>
                <w:p w14:paraId="338105E3">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水泥</w:t>
                  </w:r>
                </w:p>
              </w:tc>
              <w:tc>
                <w:tcPr>
                  <w:tcW w:w="1710" w:type="dxa"/>
                  <w:shd w:val="clear" w:color="auto" w:fill="auto"/>
                  <w:vAlign w:val="center"/>
                </w:tcPr>
                <w:p w14:paraId="052DFE6A">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t</w:t>
                  </w:r>
                </w:p>
              </w:tc>
              <w:tc>
                <w:tcPr>
                  <w:tcW w:w="1237" w:type="dxa"/>
                  <w:shd w:val="clear" w:color="auto" w:fill="auto"/>
                  <w:vAlign w:val="center"/>
                </w:tcPr>
                <w:p w14:paraId="630A8EA3">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7647</w:t>
                  </w:r>
                </w:p>
              </w:tc>
              <w:tc>
                <w:tcPr>
                  <w:tcW w:w="2041" w:type="dxa"/>
                  <w:shd w:val="clear" w:color="auto" w:fill="auto"/>
                  <w:vAlign w:val="center"/>
                </w:tcPr>
                <w:p w14:paraId="7FC9C210">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lang w:val="en-US" w:eastAsia="zh-CN"/>
                    </w:rPr>
                    <w:t>达州市</w:t>
                  </w:r>
                </w:p>
              </w:tc>
            </w:tr>
            <w:tr w14:paraId="55A1C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4594562A">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8</w:t>
                  </w:r>
                </w:p>
              </w:tc>
              <w:tc>
                <w:tcPr>
                  <w:tcW w:w="2120" w:type="dxa"/>
                  <w:shd w:val="clear" w:color="auto" w:fill="auto"/>
                  <w:vAlign w:val="center"/>
                </w:tcPr>
                <w:p w14:paraId="7B165E92">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rPr>
                    <w:t>沥青</w:t>
                  </w:r>
                  <w:r>
                    <w:rPr>
                      <w:rFonts w:hint="default" w:ascii="Times New Roman" w:hAnsi="Times New Roman" w:cs="Times New Roman"/>
                      <w:color w:val="auto"/>
                      <w:kern w:val="0"/>
                      <w:szCs w:val="21"/>
                      <w:lang w:val="en-US" w:eastAsia="zh-CN"/>
                    </w:rPr>
                    <w:t>混凝土</w:t>
                  </w:r>
                </w:p>
              </w:tc>
              <w:tc>
                <w:tcPr>
                  <w:tcW w:w="1710" w:type="dxa"/>
                  <w:shd w:val="clear" w:color="auto" w:fill="auto"/>
                  <w:vAlign w:val="center"/>
                </w:tcPr>
                <w:p w14:paraId="16CA9190">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2D96232D">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60</w:t>
                  </w:r>
                </w:p>
              </w:tc>
              <w:tc>
                <w:tcPr>
                  <w:tcW w:w="2041" w:type="dxa"/>
                  <w:shd w:val="clear" w:color="auto" w:fill="auto"/>
                  <w:vAlign w:val="center"/>
                </w:tcPr>
                <w:p w14:paraId="62E5E97C">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22CEB2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35943E37">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9</w:t>
                  </w:r>
                </w:p>
              </w:tc>
              <w:tc>
                <w:tcPr>
                  <w:tcW w:w="2120" w:type="dxa"/>
                  <w:shd w:val="clear" w:color="auto" w:fill="auto"/>
                  <w:vAlign w:val="center"/>
                </w:tcPr>
                <w:p w14:paraId="59F92DFE">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钢材</w:t>
                  </w:r>
                </w:p>
              </w:tc>
              <w:tc>
                <w:tcPr>
                  <w:tcW w:w="1710" w:type="dxa"/>
                  <w:shd w:val="clear" w:color="auto" w:fill="auto"/>
                  <w:vAlign w:val="center"/>
                </w:tcPr>
                <w:p w14:paraId="320454B9">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t</w:t>
                  </w:r>
                </w:p>
              </w:tc>
              <w:tc>
                <w:tcPr>
                  <w:tcW w:w="1237" w:type="dxa"/>
                  <w:shd w:val="clear" w:color="auto" w:fill="auto"/>
                  <w:vAlign w:val="center"/>
                </w:tcPr>
                <w:p w14:paraId="3ADE69F7">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319</w:t>
                  </w:r>
                </w:p>
              </w:tc>
              <w:tc>
                <w:tcPr>
                  <w:tcW w:w="2041" w:type="dxa"/>
                  <w:shd w:val="clear" w:color="auto" w:fill="auto"/>
                  <w:vAlign w:val="center"/>
                </w:tcPr>
                <w:p w14:paraId="56118ED0">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0600F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5646D0C0">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10</w:t>
                  </w:r>
                </w:p>
              </w:tc>
              <w:tc>
                <w:tcPr>
                  <w:tcW w:w="2120" w:type="dxa"/>
                  <w:shd w:val="clear" w:color="auto" w:fill="auto"/>
                  <w:vAlign w:val="center"/>
                </w:tcPr>
                <w:p w14:paraId="6FF05775">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木材</w:t>
                  </w:r>
                </w:p>
              </w:tc>
              <w:tc>
                <w:tcPr>
                  <w:tcW w:w="1710" w:type="dxa"/>
                  <w:shd w:val="clear" w:color="auto" w:fill="auto"/>
                  <w:vAlign w:val="center"/>
                </w:tcPr>
                <w:p w14:paraId="492636C6">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5BE5BCD8">
                  <w:pPr>
                    <w:autoSpaceDE w:val="0"/>
                    <w:autoSpaceDN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155</w:t>
                  </w:r>
                </w:p>
              </w:tc>
              <w:tc>
                <w:tcPr>
                  <w:tcW w:w="2041" w:type="dxa"/>
                  <w:shd w:val="clear" w:color="auto" w:fill="auto"/>
                  <w:vAlign w:val="center"/>
                </w:tcPr>
                <w:p w14:paraId="40C8C886">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5DDFFB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508ED4E8">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11</w:t>
                  </w:r>
                </w:p>
              </w:tc>
              <w:tc>
                <w:tcPr>
                  <w:tcW w:w="2120" w:type="dxa"/>
                  <w:shd w:val="clear" w:color="auto" w:fill="auto"/>
                  <w:vAlign w:val="center"/>
                </w:tcPr>
                <w:p w14:paraId="0888D6F4">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汽油</w:t>
                  </w:r>
                </w:p>
              </w:tc>
              <w:tc>
                <w:tcPr>
                  <w:tcW w:w="1710" w:type="dxa"/>
                  <w:shd w:val="clear" w:color="auto" w:fill="auto"/>
                  <w:vAlign w:val="center"/>
                </w:tcPr>
                <w:p w14:paraId="12381FA7">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m</w:t>
                  </w:r>
                  <w:r>
                    <w:rPr>
                      <w:rFonts w:hint="default" w:ascii="Times New Roman" w:hAnsi="Times New Roman" w:cs="Times New Roman"/>
                      <w:color w:val="auto"/>
                      <w:kern w:val="0"/>
                      <w:szCs w:val="21"/>
                      <w:vertAlign w:val="superscript"/>
                    </w:rPr>
                    <w:t>3</w:t>
                  </w:r>
                </w:p>
              </w:tc>
              <w:tc>
                <w:tcPr>
                  <w:tcW w:w="1237" w:type="dxa"/>
                  <w:shd w:val="clear" w:color="auto" w:fill="auto"/>
                  <w:vAlign w:val="center"/>
                </w:tcPr>
                <w:p w14:paraId="24853E79">
                  <w:pPr>
                    <w:autoSpaceDE w:val="0"/>
                    <w:autoSpaceDN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w:t>
                  </w:r>
                </w:p>
              </w:tc>
              <w:tc>
                <w:tcPr>
                  <w:tcW w:w="2041" w:type="dxa"/>
                  <w:shd w:val="clear" w:color="auto" w:fill="auto"/>
                  <w:vAlign w:val="center"/>
                </w:tcPr>
                <w:p w14:paraId="372C377D">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00165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407B0071">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12</w:t>
                  </w:r>
                </w:p>
              </w:tc>
              <w:tc>
                <w:tcPr>
                  <w:tcW w:w="2120" w:type="dxa"/>
                  <w:shd w:val="clear" w:color="auto" w:fill="auto"/>
                  <w:vAlign w:val="center"/>
                </w:tcPr>
                <w:p w14:paraId="4ED72BD1">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柴油</w:t>
                  </w:r>
                </w:p>
              </w:tc>
              <w:tc>
                <w:tcPr>
                  <w:tcW w:w="1710" w:type="dxa"/>
                  <w:shd w:val="clear" w:color="auto" w:fill="auto"/>
                  <w:vAlign w:val="center"/>
                </w:tcPr>
                <w:p w14:paraId="2D993257">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t</w:t>
                  </w:r>
                </w:p>
              </w:tc>
              <w:tc>
                <w:tcPr>
                  <w:tcW w:w="1237" w:type="dxa"/>
                  <w:shd w:val="clear" w:color="auto" w:fill="auto"/>
                  <w:vAlign w:val="center"/>
                </w:tcPr>
                <w:p w14:paraId="4A572309">
                  <w:pPr>
                    <w:autoSpaceDE w:val="0"/>
                    <w:autoSpaceDN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3</w:t>
                  </w:r>
                </w:p>
              </w:tc>
              <w:tc>
                <w:tcPr>
                  <w:tcW w:w="2041" w:type="dxa"/>
                  <w:shd w:val="clear" w:color="auto" w:fill="auto"/>
                  <w:vAlign w:val="center"/>
                </w:tcPr>
                <w:p w14:paraId="2CC8B5BD">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r w14:paraId="66FB4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78" w:type="dxa"/>
                  <w:shd w:val="clear" w:color="auto" w:fill="auto"/>
                  <w:vAlign w:val="center"/>
                </w:tcPr>
                <w:p w14:paraId="081E57EF">
                  <w:pPr>
                    <w:autoSpaceDE w:val="0"/>
                    <w:autoSpaceDN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13</w:t>
                  </w:r>
                </w:p>
              </w:tc>
              <w:tc>
                <w:tcPr>
                  <w:tcW w:w="2120" w:type="dxa"/>
                  <w:shd w:val="clear" w:color="auto" w:fill="auto"/>
                  <w:vAlign w:val="center"/>
                </w:tcPr>
                <w:p w14:paraId="7E36D4D1">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润滑油</w:t>
                  </w:r>
                </w:p>
              </w:tc>
              <w:tc>
                <w:tcPr>
                  <w:tcW w:w="1710" w:type="dxa"/>
                  <w:shd w:val="clear" w:color="auto" w:fill="auto"/>
                  <w:vAlign w:val="center"/>
                </w:tcPr>
                <w:p w14:paraId="2B94446A">
                  <w:pPr>
                    <w:autoSpaceDE w:val="0"/>
                    <w:autoSpaceDN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t</w:t>
                  </w:r>
                </w:p>
              </w:tc>
              <w:tc>
                <w:tcPr>
                  <w:tcW w:w="1237" w:type="dxa"/>
                  <w:shd w:val="clear" w:color="auto" w:fill="auto"/>
                  <w:vAlign w:val="center"/>
                </w:tcPr>
                <w:p w14:paraId="0CF3DEC4">
                  <w:pPr>
                    <w:autoSpaceDE w:val="0"/>
                    <w:autoSpaceDN w:val="0"/>
                    <w:jc w:val="center"/>
                    <w:rPr>
                      <w:rFonts w:hint="default" w:ascii="Times New Roman" w:hAnsi="Times New Roman" w:eastAsia="宋体" w:cs="Times New Roman"/>
                      <w:color w:val="auto"/>
                      <w:kern w:val="0"/>
                      <w:sz w:val="18"/>
                      <w:szCs w:val="18"/>
                      <w:lang w:val="en-US" w:eastAsia="zh-CN"/>
                    </w:rPr>
                  </w:pPr>
                  <w:r>
                    <w:rPr>
                      <w:rFonts w:hint="default" w:ascii="Times New Roman" w:hAnsi="Times New Roman" w:cs="Times New Roman"/>
                      <w:color w:val="auto"/>
                      <w:kern w:val="0"/>
                      <w:sz w:val="18"/>
                      <w:szCs w:val="18"/>
                      <w:lang w:val="en-US" w:eastAsia="zh-CN"/>
                    </w:rPr>
                    <w:t>1.5</w:t>
                  </w:r>
                </w:p>
              </w:tc>
              <w:tc>
                <w:tcPr>
                  <w:tcW w:w="2041" w:type="dxa"/>
                  <w:shd w:val="clear" w:color="auto" w:fill="auto"/>
                  <w:vAlign w:val="center"/>
                </w:tcPr>
                <w:p w14:paraId="254BF0A4">
                  <w:pPr>
                    <w:autoSpaceDE w:val="0"/>
                    <w:autoSpaceDN w:val="0"/>
                    <w:jc w:val="center"/>
                    <w:rPr>
                      <w:rFonts w:hint="default" w:ascii="Times New Roman" w:hAnsi="Times New Roman" w:cs="Times New Roman"/>
                      <w:b/>
                      <w:bCs/>
                      <w:color w:val="auto"/>
                      <w:kern w:val="0"/>
                      <w:szCs w:val="21"/>
                    </w:rPr>
                  </w:pPr>
                  <w:r>
                    <w:rPr>
                      <w:rFonts w:hint="default" w:ascii="Times New Roman" w:hAnsi="Times New Roman" w:cs="Times New Roman"/>
                      <w:color w:val="auto"/>
                      <w:lang w:val="en-US" w:eastAsia="zh-CN"/>
                    </w:rPr>
                    <w:t>达州市</w:t>
                  </w:r>
                </w:p>
              </w:tc>
            </w:tr>
          </w:tbl>
          <w:p w14:paraId="5B87FE87">
            <w:pPr>
              <w:spacing w:line="460" w:lineRule="exact"/>
              <w:ind w:firstLine="420" w:firstLineChars="200"/>
              <w:jc w:val="left"/>
              <w:rPr>
                <w:rFonts w:hint="default" w:ascii="Times New Roman" w:hAnsi="Times New Roman" w:cs="Times New Roman"/>
                <w:color w:val="auto"/>
              </w:rPr>
            </w:pPr>
          </w:p>
        </w:tc>
      </w:tr>
      <w:tr w14:paraId="51D804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6" w:hRule="atLeast"/>
          <w:jc w:val="center"/>
        </w:trPr>
        <w:tc>
          <w:tcPr>
            <w:tcW w:w="710" w:type="dxa"/>
            <w:vAlign w:val="center"/>
          </w:tcPr>
          <w:p w14:paraId="31082EE3">
            <w:pPr>
              <w:pStyle w:val="20"/>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eastAsia="宋体" w:cs="Times New Roman"/>
                <w:color w:val="auto"/>
                <w:kern w:val="2"/>
                <w:sz w:val="24"/>
                <w:szCs w:val="32"/>
                <w:lang w:val="en-US" w:eastAsia="zh-CN" w:bidi="ar-SA"/>
              </w:rPr>
              <w:t>总平面及现场布置</w:t>
            </w:r>
          </w:p>
        </w:tc>
        <w:tc>
          <w:tcPr>
            <w:tcW w:w="8274" w:type="dxa"/>
          </w:tcPr>
          <w:p w14:paraId="52120C5C">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eastAsia="宋体" w:cs="Times New Roman"/>
                <w:b/>
                <w:bCs/>
                <w:color w:val="auto"/>
                <w:sz w:val="24"/>
                <w:szCs w:val="32"/>
              </w:rPr>
            </w:pPr>
            <w:r>
              <w:rPr>
                <w:rFonts w:hint="default" w:ascii="Times New Roman" w:hAnsi="Times New Roman" w:eastAsia="宋体" w:cs="Times New Roman"/>
                <w:b/>
                <w:bCs/>
                <w:color w:val="auto"/>
                <w:sz w:val="24"/>
                <w:szCs w:val="32"/>
              </w:rPr>
              <w:t>1、主体工程总平面布置</w:t>
            </w:r>
          </w:p>
          <w:p w14:paraId="64BA902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eastAsia="宋体" w:cs="Times New Roman"/>
                <w:color w:val="auto"/>
                <w:sz w:val="24"/>
                <w:szCs w:val="32"/>
              </w:rPr>
              <w:t>本项目道路起点为普光镇杏树村5社，与横一路和纵一路平交相接，路线途径基本农田、油气管线、韩家岩隧道及普光铁路专用线。基本农田主要采用绕避方案，油气管线采用</w:t>
            </w:r>
            <w:r>
              <w:rPr>
                <w:rFonts w:hint="default" w:ascii="Times New Roman" w:hAnsi="Times New Roman" w:cs="Times New Roman"/>
                <w:color w:val="auto"/>
                <w:sz w:val="24"/>
                <w:szCs w:val="32"/>
                <w:lang w:val="en-US" w:eastAsia="zh-CN"/>
              </w:rPr>
              <w:t>文家湾大桥</w:t>
            </w:r>
            <w:r>
              <w:rPr>
                <w:rFonts w:hint="default" w:ascii="Times New Roman" w:hAnsi="Times New Roman" w:eastAsia="宋体" w:cs="Times New Roman"/>
                <w:color w:val="auto"/>
                <w:sz w:val="24"/>
                <w:szCs w:val="32"/>
              </w:rPr>
              <w:t>上跨方案，普光铁路专用线采用下穿铁路方案，韩家岩隧道进行适当的展线、尽量缩短隧道长度。终点附近下穿既有普光铁路专用线后接入拟建的铁路运转站场坪道路。设计范围内无客运铁路，有一条既有的铁路专用线和拟建的铁路专用线。</w:t>
            </w:r>
            <w:r>
              <w:rPr>
                <w:rFonts w:hint="default" w:ascii="Times New Roman" w:hAnsi="Times New Roman" w:cs="Times New Roman"/>
                <w:color w:val="auto"/>
                <w:sz w:val="24"/>
                <w:szCs w:val="32"/>
              </w:rPr>
              <w:t>主线长2792.590m</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支线长170m，道路全长2962.590m。</w:t>
            </w:r>
            <w:r>
              <w:rPr>
                <w:rFonts w:hint="default" w:ascii="Times New Roman" w:hAnsi="Times New Roman" w:cs="Times New Roman"/>
                <w:color w:val="auto"/>
                <w:sz w:val="24"/>
                <w:szCs w:val="32"/>
              </w:rPr>
              <w:t>其中非涉铁段设计范围为：K0+000～K2+300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长2300m。涉铁段设计范围为：主线K2+300～K2+792.590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长492.59m</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rPr>
              <w:t>支线ZK0+000～ZK0+170</w:t>
            </w:r>
            <w:r>
              <w:rPr>
                <w:rFonts w:hint="default" w:ascii="Times New Roman" w:hAnsi="Times New Roman" w:cs="Times New Roman"/>
                <w:color w:val="auto"/>
                <w:sz w:val="24"/>
                <w:szCs w:val="32"/>
                <w:lang w:eastAsia="zh-CN"/>
              </w:rPr>
              <w:t>、</w:t>
            </w:r>
            <w:r>
              <w:rPr>
                <w:rFonts w:hint="default" w:ascii="Times New Roman" w:hAnsi="Times New Roman" w:cs="Times New Roman"/>
                <w:color w:val="auto"/>
                <w:sz w:val="24"/>
                <w:szCs w:val="32"/>
                <w:lang w:val="en-US" w:eastAsia="zh-CN"/>
              </w:rPr>
              <w:t>长170m</w:t>
            </w:r>
            <w:r>
              <w:rPr>
                <w:rFonts w:hint="default" w:ascii="Times New Roman" w:hAnsi="Times New Roman" w:cs="Times New Roman"/>
                <w:color w:val="auto"/>
                <w:sz w:val="24"/>
                <w:szCs w:val="32"/>
              </w:rPr>
              <w:t>，合计长662.59m。</w:t>
            </w:r>
          </w:p>
          <w:p w14:paraId="0E359D2B">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object>
                <v:shape id="_x0000_i1025" o:spt="75" type="#_x0000_t75" style="height:390.2pt;width:402.1pt;" o:ole="t" filled="f" o:preferrelative="t" stroked="f" coordsize="21600,21600">
                  <v:path/>
                  <v:fill on="f" focussize="0,0"/>
                  <v:stroke on="f"/>
                  <v:imagedata r:id="rId38" o:title=""/>
                  <o:lock v:ext="edit" aspectratio="f"/>
                  <w10:wrap type="none"/>
                  <w10:anchorlock/>
                </v:shape>
                <o:OLEObject Type="Embed" ProgID="Visio.Drawing.15" ShapeID="_x0000_i1025" DrawAspect="Content" ObjectID="_1468075725" r:id="rId37">
                  <o:LockedField>false</o:LockedField>
                </o:OLEObject>
              </w:object>
            </w:r>
          </w:p>
          <w:p w14:paraId="5EF2AA11">
            <w:pPr>
              <w:pStyle w:val="94"/>
              <w:spacing w:line="240" w:lineRule="auto"/>
              <w:ind w:firstLine="0" w:firstLineChars="0"/>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图2-</w:t>
            </w:r>
            <w:r>
              <w:rPr>
                <w:rFonts w:hint="default" w:ascii="Times New Roman" w:hAnsi="Times New Roman" w:cs="Times New Roman"/>
                <w:b/>
                <w:bCs/>
                <w:color w:val="auto"/>
                <w:kern w:val="0"/>
                <w:sz w:val="21"/>
                <w:szCs w:val="21"/>
                <w:lang w:val="en-US" w:eastAsia="zh-CN"/>
              </w:rPr>
              <w:t xml:space="preserve">10 </w:t>
            </w:r>
            <w:r>
              <w:rPr>
                <w:rFonts w:hint="default" w:ascii="Times New Roman" w:hAnsi="Times New Roman" w:cs="Times New Roman"/>
                <w:b/>
                <w:bCs/>
                <w:color w:val="auto"/>
                <w:kern w:val="0"/>
                <w:sz w:val="21"/>
                <w:szCs w:val="21"/>
              </w:rPr>
              <w:t>本项目工程总体布置图</w:t>
            </w:r>
          </w:p>
          <w:p w14:paraId="6CE76A18">
            <w:pPr>
              <w:pStyle w:val="94"/>
              <w:spacing w:line="240" w:lineRule="auto"/>
              <w:ind w:firstLine="0" w:firstLineChars="0"/>
              <w:jc w:val="center"/>
              <w:rPr>
                <w:rFonts w:hint="default" w:ascii="Times New Roman" w:hAnsi="Times New Roman" w:cs="Times New Roman"/>
                <w:b/>
                <w:bCs/>
                <w:color w:val="auto"/>
                <w:kern w:val="0"/>
                <w:sz w:val="21"/>
                <w:szCs w:val="21"/>
              </w:rPr>
            </w:pPr>
          </w:p>
          <w:p w14:paraId="3F73239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2、临时工程布置</w:t>
            </w:r>
          </w:p>
          <w:p w14:paraId="6F7C6DCA">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（1）施工场地</w:t>
            </w:r>
          </w:p>
          <w:p w14:paraId="5517C82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24"/>
              </w:rPr>
              <w:t>根据施工需要，本项目沿线共布置</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处施工场地，位于K0+000</w:t>
            </w:r>
            <w:r>
              <w:rPr>
                <w:rFonts w:hint="default" w:ascii="Times New Roman" w:hAnsi="Times New Roman" w:cs="Times New Roman"/>
                <w:color w:val="auto"/>
                <w:sz w:val="24"/>
                <w:szCs w:val="24"/>
                <w:lang w:val="en-US" w:eastAsia="zh-CN"/>
              </w:rPr>
              <w:t>左侧175</w:t>
            </w:r>
            <w:r>
              <w:rPr>
                <w:rFonts w:hint="default" w:ascii="Times New Roman" w:hAnsi="Times New Roman" w:cs="Times New Roman"/>
                <w:color w:val="auto"/>
                <w:sz w:val="24"/>
                <w:szCs w:val="24"/>
              </w:rPr>
              <w:t>m，占地面积</w:t>
            </w:r>
            <w:r>
              <w:rPr>
                <w:rFonts w:hint="default" w:ascii="Times New Roman" w:hAnsi="Times New Roman" w:cs="Times New Roman"/>
                <w:color w:val="auto"/>
                <w:sz w:val="24"/>
                <w:szCs w:val="24"/>
                <w:lang w:val="en-US" w:eastAsia="zh-CN"/>
              </w:rPr>
              <w:t>3627.1</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1处材料堆场，紧邻</w:t>
            </w:r>
            <w:r>
              <w:rPr>
                <w:rFonts w:hint="default" w:ascii="Times New Roman" w:hAnsi="Times New Roman" w:cs="Times New Roman"/>
                <w:color w:val="auto"/>
                <w:sz w:val="24"/>
                <w:szCs w:val="24"/>
              </w:rPr>
              <w:t>K0+000</w:t>
            </w:r>
            <w:r>
              <w:rPr>
                <w:rFonts w:hint="default" w:ascii="Times New Roman" w:hAnsi="Times New Roman" w:cs="Times New Roman"/>
                <w:color w:val="auto"/>
                <w:sz w:val="24"/>
                <w:szCs w:val="24"/>
                <w:lang w:val="en-US" w:eastAsia="zh-CN"/>
              </w:rPr>
              <w:t>左侧，占地面积1928.2m</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主要用于布置工棚、材料机具房、堆料场、施工机械停放场、预制场</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水稳拌合站</w:t>
            </w:r>
            <w:r>
              <w:rPr>
                <w:rFonts w:hint="default" w:ascii="Times New Roman" w:hAnsi="Times New Roman" w:cs="Times New Roman"/>
                <w:color w:val="auto"/>
                <w:sz w:val="24"/>
                <w:szCs w:val="24"/>
              </w:rPr>
              <w:t>等</w:t>
            </w:r>
            <w:r>
              <w:rPr>
                <w:rFonts w:hint="default" w:ascii="Times New Roman" w:hAnsi="Times New Roman" w:cs="Times New Roman"/>
                <w:color w:val="auto"/>
                <w:sz w:val="24"/>
                <w:szCs w:val="32"/>
              </w:rPr>
              <w:t>。</w:t>
            </w:r>
          </w:p>
          <w:p w14:paraId="5BDDAABB">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经调查，施工场地占用耕地不涉及基本农田，建设单位须按照国家和地方相关政策要求，在施工前办理耕地征用和补偿手续。</w:t>
            </w:r>
          </w:p>
          <w:p w14:paraId="358BD358">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施工场地的具体布置情况见下表。</w:t>
            </w:r>
          </w:p>
          <w:p w14:paraId="2ACF01BB">
            <w:pPr>
              <w:pStyle w:val="94"/>
              <w:spacing w:line="460" w:lineRule="exact"/>
              <w:ind w:firstLine="0" w:firstLineChars="0"/>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表2-</w:t>
            </w:r>
            <w:r>
              <w:rPr>
                <w:rFonts w:hint="default" w:ascii="Times New Roman" w:hAnsi="Times New Roman" w:cs="Times New Roman"/>
                <w:b/>
                <w:bCs/>
                <w:color w:val="auto"/>
                <w:kern w:val="0"/>
                <w:sz w:val="21"/>
                <w:szCs w:val="21"/>
                <w:lang w:val="en-US" w:eastAsia="zh-CN"/>
              </w:rPr>
              <w:t xml:space="preserve">14 </w:t>
            </w:r>
            <w:r>
              <w:rPr>
                <w:rFonts w:hint="default" w:ascii="Times New Roman" w:hAnsi="Times New Roman" w:cs="Times New Roman"/>
                <w:b/>
                <w:bCs/>
                <w:color w:val="auto"/>
                <w:kern w:val="0"/>
                <w:sz w:val="21"/>
                <w:szCs w:val="21"/>
              </w:rPr>
              <w:t>本项目施工场地布置情况一览表</w:t>
            </w:r>
          </w:p>
          <w:tbl>
            <w:tblPr>
              <w:tblStyle w:val="24"/>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41"/>
              <w:gridCol w:w="989"/>
              <w:gridCol w:w="2122"/>
              <w:gridCol w:w="1012"/>
              <w:gridCol w:w="560"/>
              <w:gridCol w:w="2123"/>
            </w:tblGrid>
            <w:tr w14:paraId="3CA8D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41" w:type="dxa"/>
                  <w:vAlign w:val="center"/>
                </w:tcPr>
                <w:p w14:paraId="20FB19AD">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序号</w:t>
                  </w:r>
                </w:p>
              </w:tc>
              <w:tc>
                <w:tcPr>
                  <w:tcW w:w="989" w:type="dxa"/>
                  <w:vAlign w:val="center"/>
                </w:tcPr>
                <w:p w14:paraId="5A52796E">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位置</w:t>
                  </w:r>
                </w:p>
              </w:tc>
              <w:tc>
                <w:tcPr>
                  <w:tcW w:w="2122" w:type="dxa"/>
                  <w:vAlign w:val="center"/>
                </w:tcPr>
                <w:p w14:paraId="5C995F09">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临时工程</w:t>
                  </w:r>
                </w:p>
              </w:tc>
              <w:tc>
                <w:tcPr>
                  <w:tcW w:w="1012" w:type="dxa"/>
                  <w:vAlign w:val="center"/>
                </w:tcPr>
                <w:p w14:paraId="3187F01F">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占地面积（m</w:t>
                  </w:r>
                  <w:r>
                    <w:rPr>
                      <w:rFonts w:hint="default" w:ascii="Times New Roman" w:hAnsi="Times New Roman" w:cs="Times New Roman"/>
                      <w:b/>
                      <w:bCs/>
                      <w:color w:val="auto"/>
                      <w:vertAlign w:val="superscript"/>
                    </w:rPr>
                    <w:t>2</w:t>
                  </w:r>
                  <w:r>
                    <w:rPr>
                      <w:rFonts w:hint="default" w:ascii="Times New Roman" w:hAnsi="Times New Roman" w:cs="Times New Roman"/>
                      <w:b/>
                      <w:bCs/>
                      <w:color w:val="auto"/>
                    </w:rPr>
                    <w:t>）</w:t>
                  </w:r>
                </w:p>
              </w:tc>
              <w:tc>
                <w:tcPr>
                  <w:tcW w:w="560" w:type="dxa"/>
                  <w:vAlign w:val="center"/>
                </w:tcPr>
                <w:p w14:paraId="365DBA83">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占地类型</w:t>
                  </w:r>
                </w:p>
              </w:tc>
              <w:tc>
                <w:tcPr>
                  <w:tcW w:w="2123" w:type="dxa"/>
                  <w:vAlign w:val="center"/>
                </w:tcPr>
                <w:p w14:paraId="0AA0B91F">
                  <w:pPr>
                    <w:adjustRightInd w:val="0"/>
                    <w:snapToGrid w:val="0"/>
                    <w:jc w:val="center"/>
                    <w:rPr>
                      <w:rFonts w:hint="default" w:ascii="Times New Roman" w:hAnsi="Times New Roman" w:cs="Times New Roman"/>
                      <w:b/>
                      <w:bCs/>
                      <w:color w:val="auto"/>
                    </w:rPr>
                  </w:pPr>
                  <w:r>
                    <w:rPr>
                      <w:rFonts w:hint="default" w:ascii="Times New Roman" w:hAnsi="Times New Roman" w:cs="Times New Roman"/>
                      <w:b/>
                      <w:bCs/>
                      <w:color w:val="auto"/>
                    </w:rPr>
                    <w:t>环境现状</w:t>
                  </w:r>
                </w:p>
              </w:tc>
            </w:tr>
            <w:tr w14:paraId="19A4E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41" w:type="dxa"/>
                  <w:vAlign w:val="center"/>
                </w:tcPr>
                <w:p w14:paraId="19AE69EE">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施工场地</w:t>
                  </w:r>
                </w:p>
              </w:tc>
              <w:tc>
                <w:tcPr>
                  <w:tcW w:w="989" w:type="dxa"/>
                  <w:vAlign w:val="center"/>
                </w:tcPr>
                <w:p w14:paraId="70389FBC">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K0+000</w:t>
                  </w:r>
                  <w:r>
                    <w:rPr>
                      <w:rFonts w:hint="default" w:ascii="Times New Roman" w:hAnsi="Times New Roman" w:cs="Times New Roman"/>
                      <w:color w:val="auto"/>
                      <w:lang w:val="en-US" w:eastAsia="zh-CN"/>
                    </w:rPr>
                    <w:t>左侧175m</w:t>
                  </w:r>
                </w:p>
              </w:tc>
              <w:tc>
                <w:tcPr>
                  <w:tcW w:w="2122" w:type="dxa"/>
                  <w:vMerge w:val="restart"/>
                  <w:vAlign w:val="center"/>
                </w:tcPr>
                <w:p w14:paraId="69FF93A0">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rPr>
                    <w:t>布置工棚、材料机具房、堆料场、施工机械停放场、预制场</w:t>
                  </w:r>
                  <w:r>
                    <w:rPr>
                      <w:rFonts w:hint="default" w:ascii="Times New Roman" w:hAnsi="Times New Roman" w:cs="Times New Roman"/>
                      <w:color w:val="auto"/>
                      <w:lang w:eastAsia="zh-CN"/>
                    </w:rPr>
                    <w:t>、</w:t>
                  </w:r>
                  <w:r>
                    <w:rPr>
                      <w:rFonts w:hint="default" w:ascii="Times New Roman" w:hAnsi="Times New Roman" w:cs="Times New Roman"/>
                      <w:color w:val="auto"/>
                      <w:lang w:val="en-US" w:eastAsia="zh-CN"/>
                    </w:rPr>
                    <w:t>水稳拌合站</w:t>
                  </w:r>
                </w:p>
              </w:tc>
              <w:tc>
                <w:tcPr>
                  <w:tcW w:w="1012" w:type="dxa"/>
                  <w:vAlign w:val="center"/>
                </w:tcPr>
                <w:p w14:paraId="4164C958">
                  <w:pPr>
                    <w:adjustRightInd w:val="0"/>
                    <w:snapToGrid w:val="0"/>
                    <w:jc w:val="center"/>
                    <w:rPr>
                      <w:rFonts w:hint="default" w:ascii="Times New Roman" w:hAnsi="Times New Roman" w:eastAsia="宋体" w:cs="Times New Roman"/>
                      <w:color w:val="auto"/>
                      <w:lang w:val="en-US" w:eastAsia="zh-CN"/>
                    </w:rPr>
                  </w:pPr>
                  <w:r>
                    <w:rPr>
                      <w:rFonts w:hint="default" w:ascii="Times New Roman" w:hAnsi="Times New Roman" w:cs="Times New Roman"/>
                      <w:color w:val="auto"/>
                      <w:lang w:val="en-US" w:eastAsia="zh-CN"/>
                    </w:rPr>
                    <w:t>3527.1</w:t>
                  </w:r>
                </w:p>
              </w:tc>
              <w:tc>
                <w:tcPr>
                  <w:tcW w:w="560" w:type="dxa"/>
                  <w:vAlign w:val="center"/>
                </w:tcPr>
                <w:p w14:paraId="7532809F">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耕地</w:t>
                  </w:r>
                </w:p>
              </w:tc>
              <w:tc>
                <w:tcPr>
                  <w:tcW w:w="2123" w:type="dxa"/>
                  <w:vMerge w:val="restart"/>
                  <w:vAlign w:val="center"/>
                </w:tcPr>
                <w:p w14:paraId="52296B63">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周边500m范围内有散居农户共</w:t>
                  </w:r>
                  <w:r>
                    <w:rPr>
                      <w:rFonts w:hint="default" w:ascii="Times New Roman" w:hAnsi="Times New Roman" w:cs="Times New Roman"/>
                      <w:color w:val="auto"/>
                      <w:lang w:val="en-US" w:eastAsia="zh-CN"/>
                    </w:rPr>
                    <w:t>30</w:t>
                  </w:r>
                  <w:r>
                    <w:rPr>
                      <w:rFonts w:hint="default" w:ascii="Times New Roman" w:hAnsi="Times New Roman" w:cs="Times New Roman"/>
                      <w:color w:val="auto"/>
                    </w:rPr>
                    <w:t>户</w:t>
                  </w:r>
                </w:p>
              </w:tc>
            </w:tr>
            <w:tr w14:paraId="4318FA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1241" w:type="dxa"/>
                  <w:vAlign w:val="center"/>
                </w:tcPr>
                <w:p w14:paraId="27C280C2">
                  <w:pPr>
                    <w:adjustRightInd w:val="0"/>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材料堆场</w:t>
                  </w:r>
                </w:p>
              </w:tc>
              <w:tc>
                <w:tcPr>
                  <w:tcW w:w="989" w:type="dxa"/>
                  <w:vAlign w:val="center"/>
                </w:tcPr>
                <w:p w14:paraId="2BFAA5E6">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lang w:val="en-US" w:eastAsia="zh-CN"/>
                    </w:rPr>
                    <w:t>紧邻</w:t>
                  </w:r>
                  <w:r>
                    <w:rPr>
                      <w:rFonts w:hint="default" w:ascii="Times New Roman" w:hAnsi="Times New Roman" w:cs="Times New Roman"/>
                      <w:color w:val="auto"/>
                    </w:rPr>
                    <w:t>K0+000</w:t>
                  </w:r>
                  <w:r>
                    <w:rPr>
                      <w:rFonts w:hint="default" w:ascii="Times New Roman" w:hAnsi="Times New Roman" w:cs="Times New Roman"/>
                      <w:color w:val="auto"/>
                      <w:lang w:val="en-US" w:eastAsia="zh-CN"/>
                    </w:rPr>
                    <w:t>左侧</w:t>
                  </w:r>
                </w:p>
              </w:tc>
              <w:tc>
                <w:tcPr>
                  <w:tcW w:w="2122" w:type="dxa"/>
                  <w:vMerge w:val="continue"/>
                  <w:vAlign w:val="center"/>
                </w:tcPr>
                <w:p w14:paraId="5578BAF2">
                  <w:pPr>
                    <w:adjustRightInd w:val="0"/>
                    <w:snapToGrid w:val="0"/>
                    <w:jc w:val="center"/>
                    <w:rPr>
                      <w:rFonts w:hint="default" w:ascii="Times New Roman" w:hAnsi="Times New Roman" w:cs="Times New Roman"/>
                      <w:color w:val="auto"/>
                    </w:rPr>
                  </w:pPr>
                </w:p>
              </w:tc>
              <w:tc>
                <w:tcPr>
                  <w:tcW w:w="1012" w:type="dxa"/>
                  <w:vAlign w:val="center"/>
                </w:tcPr>
                <w:p w14:paraId="534BED64">
                  <w:pPr>
                    <w:adjustRightInd w:val="0"/>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1928.2</w:t>
                  </w:r>
                </w:p>
              </w:tc>
              <w:tc>
                <w:tcPr>
                  <w:tcW w:w="560" w:type="dxa"/>
                  <w:vAlign w:val="center"/>
                </w:tcPr>
                <w:p w14:paraId="3BD37957">
                  <w:pPr>
                    <w:adjustRightInd w:val="0"/>
                    <w:snapToGrid w:val="0"/>
                    <w:jc w:val="center"/>
                    <w:rPr>
                      <w:rFonts w:hint="default" w:ascii="Times New Roman" w:hAnsi="Times New Roman" w:cs="Times New Roman"/>
                      <w:color w:val="auto"/>
                    </w:rPr>
                  </w:pPr>
                  <w:r>
                    <w:rPr>
                      <w:rFonts w:hint="default" w:ascii="Times New Roman" w:hAnsi="Times New Roman" w:cs="Times New Roman"/>
                      <w:color w:val="auto"/>
                    </w:rPr>
                    <w:t>耕地</w:t>
                  </w:r>
                </w:p>
              </w:tc>
              <w:tc>
                <w:tcPr>
                  <w:tcW w:w="2123" w:type="dxa"/>
                  <w:vMerge w:val="continue"/>
                  <w:vAlign w:val="center"/>
                </w:tcPr>
                <w:p w14:paraId="2C0B7ECD">
                  <w:pPr>
                    <w:adjustRightInd w:val="0"/>
                    <w:snapToGrid w:val="0"/>
                    <w:jc w:val="center"/>
                    <w:rPr>
                      <w:rFonts w:hint="default" w:ascii="Times New Roman" w:hAnsi="Times New Roman" w:cs="Times New Roman"/>
                      <w:color w:val="auto"/>
                    </w:rPr>
                  </w:pPr>
                </w:p>
              </w:tc>
            </w:tr>
          </w:tbl>
          <w:p w14:paraId="34AF63E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本项目临时施工场地选址合理性分析：</w:t>
            </w:r>
          </w:p>
          <w:p w14:paraId="6FBD05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本项目施工场地选址周边500m范围内无医院、学校等环境保护目标，选址尽量远离居民</w:t>
            </w:r>
            <w:r>
              <w:rPr>
                <w:rFonts w:hint="eastAsia" w:cs="Times New Roman"/>
                <w:color w:val="auto"/>
                <w:sz w:val="24"/>
                <w:szCs w:val="32"/>
                <w:lang w:eastAsia="zh-CN"/>
              </w:rPr>
              <w:t>集聚区</w:t>
            </w:r>
            <w:r>
              <w:rPr>
                <w:rFonts w:hint="default" w:ascii="Times New Roman" w:hAnsi="Times New Roman" w:cs="Times New Roman"/>
                <w:color w:val="auto"/>
                <w:sz w:val="24"/>
                <w:szCs w:val="32"/>
              </w:rPr>
              <w:t>，但选址周边分布有散居农户，建设单位在施工期应加强环保意识，合理安排施工时间，不在居民休息时间开展高噪声作业，可将施工期噪声影响降到最低，施工结束后尽快将临时设施拆除，进行迹地恢复，随着施工期的结束，对周边住户的影响也会随之消除。</w:t>
            </w:r>
          </w:p>
          <w:p w14:paraId="7C37B2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本项目施工场地的污染防控措施如下：</w:t>
            </w:r>
          </w:p>
          <w:p w14:paraId="0BFA938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①拌合站冲洗废水经沉淀处理后用于洒水降尘，不外排。</w:t>
            </w:r>
          </w:p>
          <w:p w14:paraId="47B4E3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②施工场地周围要求设置围挡，围挡高度一般为2.5~3m，并且施工场地在非雨天时应适当洒水降尘。</w:t>
            </w:r>
          </w:p>
          <w:p w14:paraId="69C77A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③施工场地材料的堆放，应做好防雨、防渗措施，避免因雨水的冲刷和渗透污染区域水体。</w:t>
            </w:r>
          </w:p>
          <w:p w14:paraId="4AE3AEA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④施工场地废料应由专人管理，统一收集、分类回收或外运垃圾填埋场处理，禁止随意丢弃于周边环境。</w:t>
            </w:r>
          </w:p>
          <w:p w14:paraId="39C6D3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⑤施工结束后，尽快拆除临时构筑物并做好迹地恢复措施。</w:t>
            </w:r>
          </w:p>
          <w:p w14:paraId="4F130C6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综上，根据本项目沿线特点及施工便利的要求，本项目施工场地布置较合理。</w:t>
            </w:r>
          </w:p>
          <w:p w14:paraId="35FE903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（2）施工便道</w:t>
            </w:r>
          </w:p>
          <w:p w14:paraId="10127D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24"/>
                <w:lang w:val="en-US" w:eastAsia="zh-CN"/>
              </w:rPr>
              <w:t>本项目运输条件较好，但是由于有规划的弃土场，需修建工程区至弃土场的施工便道，连接</w:t>
            </w:r>
            <w:r>
              <w:rPr>
                <w:rFonts w:hint="default" w:ascii="Times New Roman" w:hAnsi="Times New Roman" w:cs="Times New Roman"/>
                <w:color w:val="auto"/>
                <w:sz w:val="24"/>
                <w:szCs w:val="32"/>
              </w:rPr>
              <w:t>K0+258～+300左侧115m</w:t>
            </w:r>
            <w:r>
              <w:rPr>
                <w:rFonts w:hint="default" w:ascii="Times New Roman" w:hAnsi="Times New Roman" w:cs="Times New Roman"/>
                <w:color w:val="auto"/>
                <w:sz w:val="24"/>
                <w:szCs w:val="32"/>
                <w:lang w:val="en-US" w:eastAsia="zh-CN"/>
              </w:rPr>
              <w:t>弃土场施工便道长度537米，平均宽度7米，临时占地3880.3m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。连接</w:t>
            </w:r>
            <w:r>
              <w:rPr>
                <w:rFonts w:hint="default" w:ascii="Times New Roman" w:hAnsi="Times New Roman" w:cs="Times New Roman"/>
                <w:color w:val="auto"/>
                <w:sz w:val="24"/>
                <w:szCs w:val="32"/>
              </w:rPr>
              <w:t>K1+743～+797左侧200m</w:t>
            </w:r>
            <w:r>
              <w:rPr>
                <w:rFonts w:hint="default" w:ascii="Times New Roman" w:hAnsi="Times New Roman" w:cs="Times New Roman"/>
                <w:color w:val="auto"/>
                <w:sz w:val="24"/>
                <w:szCs w:val="32"/>
                <w:lang w:val="en-US" w:eastAsia="zh-CN"/>
              </w:rPr>
              <w:t>弃土场施工便道445米，平均宽度7米，临时占地6385.6m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w:t>
            </w:r>
            <w:r>
              <w:rPr>
                <w:rFonts w:hint="default" w:ascii="Times New Roman" w:hAnsi="Times New Roman" w:cs="Times New Roman"/>
                <w:color w:val="auto"/>
                <w:sz w:val="24"/>
                <w:szCs w:val="24"/>
                <w:lang w:val="en-US" w:eastAsia="zh-CN"/>
              </w:rPr>
              <w:t>泥结碎石路面，反铲式挖掘机开挖路基，压路机碾压夯实成型。</w:t>
            </w:r>
          </w:p>
          <w:p w14:paraId="76EA227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（3）弃土场</w:t>
            </w:r>
          </w:p>
          <w:p w14:paraId="5AC29AB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32"/>
                <w:lang w:val="en-US" w:eastAsia="zh-CN"/>
              </w:rPr>
            </w:pPr>
            <w:r>
              <w:rPr>
                <w:rFonts w:hint="default" w:ascii="Times New Roman" w:hAnsi="Times New Roman" w:cs="Times New Roman"/>
                <w:color w:val="auto"/>
                <w:sz w:val="24"/>
                <w:szCs w:val="32"/>
              </w:rPr>
              <w:t>本项目规划2处弃土场。</w:t>
            </w:r>
            <w:r>
              <w:rPr>
                <w:rFonts w:hint="eastAsia" w:ascii="Times New Roman" w:hAnsi="Times New Roman" w:cs="Times New Roman"/>
                <w:color w:val="auto"/>
                <w:sz w:val="24"/>
                <w:szCs w:val="32"/>
                <w:lang w:val="en-US" w:eastAsia="zh-CN"/>
              </w:rPr>
              <w:t>分别位于韩家岩隧道的两侧，方便转运弃土。</w:t>
            </w:r>
          </w:p>
          <w:p w14:paraId="15E6344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1#弃土场：位于K1+743～+797左侧200m，占地面积8407.09m</w:t>
            </w:r>
            <w:r>
              <w:rPr>
                <w:rFonts w:hint="default" w:ascii="Times New Roman" w:hAnsi="Times New Roman" w:cs="Times New Roman"/>
                <w:color w:val="auto"/>
                <w:sz w:val="24"/>
                <w:szCs w:val="32"/>
                <w:vertAlign w:val="superscript"/>
              </w:rPr>
              <w:t>2</w:t>
            </w:r>
            <w:r>
              <w:rPr>
                <w:rFonts w:hint="default" w:ascii="Times New Roman" w:hAnsi="Times New Roman" w:cs="Times New Roman"/>
                <w:color w:val="auto"/>
                <w:sz w:val="24"/>
                <w:szCs w:val="32"/>
              </w:rPr>
              <w:t>。弃土场位于山坳（沟槽或冲沟尽头坡地）。坡地形渣场，平均堆高8m，1#渣场原地表为林地，渣场基本沿山谷地形堆放，渣场上游为本项目道路和自然山体，渣场下游为林地，下游200m范围以内无居民、道路、企业等敏感区域。根据主体设计，1#弃渣场设置M10浆砌片石垛123m，M10浆砌石排水沟13（0.8m×0.4m），片石盲沟120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。护脚上宽0.5m，两侧坡比1：0.5，高2m，埋深1m。</w:t>
            </w:r>
          </w:p>
          <w:p w14:paraId="3C39356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174490" cy="1617980"/>
                  <wp:effectExtent l="0" t="0" r="3810" b="7620"/>
                  <wp:docPr id="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
                          <pic:cNvPicPr>
                            <a:picLocks noChangeAspect="1"/>
                          </pic:cNvPicPr>
                        </pic:nvPicPr>
                        <pic:blipFill>
                          <a:blip r:embed="rId39"/>
                          <a:stretch>
                            <a:fillRect/>
                          </a:stretch>
                        </pic:blipFill>
                        <pic:spPr>
                          <a:xfrm>
                            <a:off x="0" y="0"/>
                            <a:ext cx="4174490" cy="1617980"/>
                          </a:xfrm>
                          <a:prstGeom prst="rect">
                            <a:avLst/>
                          </a:prstGeom>
                          <a:noFill/>
                          <a:ln>
                            <a:noFill/>
                          </a:ln>
                        </pic:spPr>
                      </pic:pic>
                    </a:graphicData>
                  </a:graphic>
                </wp:inline>
              </w:drawing>
            </w:r>
          </w:p>
          <w:p w14:paraId="7F8EF08F">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jc w:val="center"/>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072255" cy="2003425"/>
                  <wp:effectExtent l="0" t="0" r="4445" b="3175"/>
                  <wp:docPr id="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
                          <pic:cNvPicPr>
                            <a:picLocks noChangeAspect="1"/>
                          </pic:cNvPicPr>
                        </pic:nvPicPr>
                        <pic:blipFill>
                          <a:blip r:embed="rId40"/>
                          <a:stretch>
                            <a:fillRect/>
                          </a:stretch>
                        </pic:blipFill>
                        <pic:spPr>
                          <a:xfrm>
                            <a:off x="0" y="0"/>
                            <a:ext cx="4072255" cy="2003425"/>
                          </a:xfrm>
                          <a:prstGeom prst="rect">
                            <a:avLst/>
                          </a:prstGeom>
                          <a:noFill/>
                          <a:ln>
                            <a:noFill/>
                          </a:ln>
                        </pic:spPr>
                      </pic:pic>
                    </a:graphicData>
                  </a:graphic>
                </wp:inline>
              </w:drawing>
            </w:r>
          </w:p>
          <w:p w14:paraId="5822AA29">
            <w:pPr>
              <w:spacing w:line="460" w:lineRule="exact"/>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11 1#弃土场设计图</w:t>
            </w:r>
          </w:p>
          <w:p w14:paraId="2EADB7D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2#弃土场：位于K0+258～+300左侧115m，占地面积2586.796m</w:t>
            </w:r>
            <w:r>
              <w:rPr>
                <w:rFonts w:hint="default" w:ascii="Times New Roman" w:hAnsi="Times New Roman" w:cs="Times New Roman"/>
                <w:color w:val="auto"/>
                <w:sz w:val="24"/>
                <w:szCs w:val="32"/>
                <w:vertAlign w:val="superscript"/>
              </w:rPr>
              <w:t>2</w:t>
            </w:r>
            <w:r>
              <w:rPr>
                <w:rFonts w:hint="default" w:ascii="Times New Roman" w:hAnsi="Times New Roman" w:cs="Times New Roman"/>
                <w:color w:val="auto"/>
                <w:sz w:val="24"/>
                <w:szCs w:val="32"/>
              </w:rPr>
              <w:t>。弃土场位于山坳（沟槽或冲沟尽头坡地）。坡地形渣场，平均堆高8m。2#渣场原地表为林地，渣场基本沿山谷地形堆放，渣场上游为本项目道路和自然山体，渣场下游为林地，下游200m范围以内无居民、道路、企业等敏感区域。根据主体设计，2#弃渣场设置M10浆砌片石垛92m，M10浆砌石排水沟282m（0.8m×0.4m），片石盲沟140 m3。护脚上宽0.5m，两侧坡比1：0.5，高2m，埋深1m。</w:t>
            </w:r>
          </w:p>
          <w:p w14:paraId="57ED9FA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291330" cy="2289175"/>
                  <wp:effectExtent l="0" t="0" r="1270" b="9525"/>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41"/>
                          <a:stretch>
                            <a:fillRect/>
                          </a:stretch>
                        </pic:blipFill>
                        <pic:spPr>
                          <a:xfrm>
                            <a:off x="0" y="0"/>
                            <a:ext cx="4291330" cy="2289175"/>
                          </a:xfrm>
                          <a:prstGeom prst="rect">
                            <a:avLst/>
                          </a:prstGeom>
                          <a:noFill/>
                          <a:ln>
                            <a:noFill/>
                          </a:ln>
                        </pic:spPr>
                      </pic:pic>
                    </a:graphicData>
                  </a:graphic>
                </wp:inline>
              </w:drawing>
            </w:r>
          </w:p>
          <w:p w14:paraId="1B827E12">
            <w:pPr>
              <w:spacing w:line="460" w:lineRule="exact"/>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11 2#弃土场设计图</w:t>
            </w:r>
          </w:p>
          <w:p w14:paraId="1F1CB7C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设计总容量</w:t>
            </w:r>
            <w:r>
              <w:rPr>
                <w:rFonts w:hint="default" w:ascii="Times New Roman" w:hAnsi="Times New Roman" w:cs="Times New Roman"/>
                <w:color w:val="auto"/>
                <w:sz w:val="24"/>
                <w:szCs w:val="32"/>
                <w:lang w:val="en-US" w:eastAsia="zh-CN"/>
              </w:rPr>
              <w:t>16</w:t>
            </w:r>
            <w:r>
              <w:rPr>
                <w:rFonts w:hint="default" w:ascii="Times New Roman" w:hAnsi="Times New Roman" w:cs="Times New Roman"/>
                <w:color w:val="auto"/>
                <w:sz w:val="24"/>
                <w:szCs w:val="32"/>
              </w:rPr>
              <w:t>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，实际弃土总量</w:t>
            </w:r>
            <w:r>
              <w:rPr>
                <w:rFonts w:hint="default" w:ascii="Times New Roman" w:hAnsi="Times New Roman" w:cs="Times New Roman"/>
                <w:color w:val="auto"/>
                <w:sz w:val="24"/>
                <w:szCs w:val="32"/>
                <w:lang w:val="en-US" w:eastAsia="zh-CN"/>
              </w:rPr>
              <w:t>80500</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w:t>
            </w:r>
          </w:p>
          <w:p w14:paraId="1E9419A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本项目弃土场卫星地图及特性如下。</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4"/>
              <w:gridCol w:w="4024"/>
            </w:tblGrid>
            <w:tr w14:paraId="4FF283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4" w:type="dxa"/>
                  <w:vAlign w:val="center"/>
                </w:tcPr>
                <w:p w14:paraId="486C90CB">
                  <w:pPr>
                    <w:pStyle w:val="7"/>
                    <w:spacing w:before="0" w:after="0" w:line="240" w:lineRule="auto"/>
                    <w:ind w:right="0"/>
                    <w:jc w:val="center"/>
                    <w:rPr>
                      <w:rFonts w:hint="default" w:ascii="Times New Roman" w:hAnsi="Times New Roman" w:cs="Times New Roman"/>
                      <w:color w:val="auto"/>
                      <w:sz w:val="21"/>
                      <w:szCs w:val="21"/>
                    </w:rPr>
                  </w:pPr>
                  <w:r>
                    <w:rPr>
                      <w:rFonts w:hint="default" w:ascii="Times New Roman" w:hAnsi="Times New Roman" w:cs="Times New Roman"/>
                      <w:color w:val="auto"/>
                    </w:rPr>
                    <w:drawing>
                      <wp:inline distT="0" distB="0" distL="114300" distR="114300">
                        <wp:extent cx="2421255" cy="1398905"/>
                        <wp:effectExtent l="0" t="0" r="4445" b="1079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42"/>
                                <a:stretch>
                                  <a:fillRect/>
                                </a:stretch>
                              </pic:blipFill>
                              <pic:spPr>
                                <a:xfrm>
                                  <a:off x="0" y="0"/>
                                  <a:ext cx="2421255" cy="1398905"/>
                                </a:xfrm>
                                <a:prstGeom prst="rect">
                                  <a:avLst/>
                                </a:prstGeom>
                                <a:noFill/>
                                <a:ln>
                                  <a:noFill/>
                                </a:ln>
                              </pic:spPr>
                            </pic:pic>
                          </a:graphicData>
                        </a:graphic>
                      </wp:inline>
                    </w:drawing>
                  </w:r>
                </w:p>
              </w:tc>
              <w:tc>
                <w:tcPr>
                  <w:tcW w:w="4024" w:type="dxa"/>
                  <w:vAlign w:val="center"/>
                </w:tcPr>
                <w:p w14:paraId="31E6EAD6">
                  <w:pPr>
                    <w:pStyle w:val="7"/>
                    <w:spacing w:before="0" w:after="0" w:line="240" w:lineRule="auto"/>
                    <w:ind w:right="0"/>
                    <w:jc w:val="center"/>
                    <w:rPr>
                      <w:rFonts w:hint="default" w:ascii="Times New Roman" w:hAnsi="Times New Roman" w:cs="Times New Roman"/>
                      <w:color w:val="auto"/>
                      <w:sz w:val="21"/>
                      <w:szCs w:val="21"/>
                    </w:rPr>
                  </w:pPr>
                  <w:r>
                    <w:rPr>
                      <w:rFonts w:hint="default" w:ascii="Times New Roman" w:hAnsi="Times New Roman" w:cs="Times New Roman"/>
                      <w:color w:val="auto"/>
                    </w:rPr>
                    <w:drawing>
                      <wp:inline distT="0" distB="0" distL="114300" distR="114300">
                        <wp:extent cx="2566670" cy="2167890"/>
                        <wp:effectExtent l="0" t="0" r="11430" b="381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43"/>
                                <a:stretch>
                                  <a:fillRect/>
                                </a:stretch>
                              </pic:blipFill>
                              <pic:spPr>
                                <a:xfrm>
                                  <a:off x="0" y="0"/>
                                  <a:ext cx="2566670" cy="2167890"/>
                                </a:xfrm>
                                <a:prstGeom prst="rect">
                                  <a:avLst/>
                                </a:prstGeom>
                                <a:noFill/>
                                <a:ln>
                                  <a:noFill/>
                                </a:ln>
                              </pic:spPr>
                            </pic:pic>
                          </a:graphicData>
                        </a:graphic>
                      </wp:inline>
                    </w:drawing>
                  </w:r>
                </w:p>
              </w:tc>
            </w:tr>
            <w:tr w14:paraId="4A87F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24" w:type="dxa"/>
                  <w:vAlign w:val="center"/>
                </w:tcPr>
                <w:p w14:paraId="444A030B">
                  <w:pPr>
                    <w:pStyle w:val="7"/>
                    <w:spacing w:before="0" w:after="0" w:line="240" w:lineRule="auto"/>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1#弃土场</w:t>
                  </w:r>
                </w:p>
              </w:tc>
              <w:tc>
                <w:tcPr>
                  <w:tcW w:w="4024" w:type="dxa"/>
                  <w:vAlign w:val="center"/>
                </w:tcPr>
                <w:p w14:paraId="7C64F5F2">
                  <w:pPr>
                    <w:pStyle w:val="7"/>
                    <w:spacing w:before="0" w:after="0" w:line="240" w:lineRule="auto"/>
                    <w:ind w:right="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2#弃土场</w:t>
                  </w:r>
                </w:p>
              </w:tc>
            </w:tr>
          </w:tbl>
          <w:p w14:paraId="36BA596A">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 xml:space="preserve">11 </w:t>
            </w:r>
            <w:r>
              <w:rPr>
                <w:rFonts w:hint="default" w:ascii="Times New Roman" w:hAnsi="Times New Roman" w:cs="Times New Roman"/>
                <w:b/>
                <w:bCs/>
                <w:color w:val="auto"/>
              </w:rPr>
              <w:t>本项目弃土场卫星图</w:t>
            </w:r>
          </w:p>
          <w:p w14:paraId="7FAAC233">
            <w:pPr>
              <w:jc w:val="center"/>
              <w:rPr>
                <w:rFonts w:hint="default" w:ascii="Times New Roman" w:hAnsi="Times New Roman" w:cs="Times New Roman"/>
                <w:b/>
                <w:bCs/>
                <w:color w:val="auto"/>
              </w:rPr>
            </w:pPr>
          </w:p>
          <w:p w14:paraId="0506C9C5">
            <w:pPr>
              <w:jc w:val="center"/>
              <w:rPr>
                <w:rFonts w:hint="default" w:ascii="Times New Roman" w:hAnsi="Times New Roman" w:cs="Times New Roman"/>
                <w:b/>
                <w:bCs/>
                <w:color w:val="auto"/>
              </w:rPr>
            </w:pPr>
            <w:r>
              <w:rPr>
                <w:rFonts w:hint="default" w:ascii="Times New Roman" w:hAnsi="Times New Roman" w:cs="Times New Roman"/>
                <w:b/>
                <w:bCs/>
                <w:color w:val="auto"/>
              </w:rPr>
              <w:t>表2-</w:t>
            </w:r>
            <w:r>
              <w:rPr>
                <w:rFonts w:hint="default" w:ascii="Times New Roman" w:hAnsi="Times New Roman" w:cs="Times New Roman"/>
                <w:b/>
                <w:bCs/>
                <w:color w:val="auto"/>
                <w:lang w:val="en-US" w:eastAsia="zh-CN"/>
              </w:rPr>
              <w:t xml:space="preserve">15 </w:t>
            </w:r>
            <w:r>
              <w:rPr>
                <w:rFonts w:hint="default" w:ascii="Times New Roman" w:hAnsi="Times New Roman" w:cs="Times New Roman"/>
                <w:b/>
                <w:bCs/>
                <w:color w:val="auto"/>
              </w:rPr>
              <w:t>本项目弃土场特性表</w:t>
            </w:r>
          </w:p>
          <w:tbl>
            <w:tblPr>
              <w:tblStyle w:val="24"/>
              <w:tblW w:w="81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46"/>
              <w:gridCol w:w="946"/>
              <w:gridCol w:w="946"/>
              <w:gridCol w:w="1028"/>
              <w:gridCol w:w="866"/>
              <w:gridCol w:w="946"/>
              <w:gridCol w:w="951"/>
              <w:gridCol w:w="1521"/>
            </w:tblGrid>
            <w:tr w14:paraId="7F9607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46" w:type="dxa"/>
                  <w:vAlign w:val="center"/>
                </w:tcPr>
                <w:p w14:paraId="0AF9FC86">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序号</w:t>
                  </w:r>
                </w:p>
              </w:tc>
              <w:tc>
                <w:tcPr>
                  <w:tcW w:w="946" w:type="dxa"/>
                  <w:vAlign w:val="center"/>
                </w:tcPr>
                <w:p w14:paraId="12CD92E5">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位置</w:t>
                  </w:r>
                </w:p>
              </w:tc>
              <w:tc>
                <w:tcPr>
                  <w:tcW w:w="946" w:type="dxa"/>
                  <w:vAlign w:val="center"/>
                </w:tcPr>
                <w:p w14:paraId="17B15F37">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占地面积</w:t>
                  </w:r>
                </w:p>
                <w:p w14:paraId="6B45B040">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（m</w:t>
                  </w:r>
                  <w:r>
                    <w:rPr>
                      <w:rFonts w:hint="default" w:ascii="Times New Roman" w:hAnsi="Times New Roman" w:cs="Times New Roman"/>
                      <w:b/>
                      <w:bCs/>
                      <w:color w:val="auto"/>
                      <w:sz w:val="21"/>
                      <w:szCs w:val="21"/>
                      <w:vertAlign w:val="superscript"/>
                    </w:rPr>
                    <w:t>2</w:t>
                  </w:r>
                  <w:r>
                    <w:rPr>
                      <w:rFonts w:hint="default" w:ascii="Times New Roman" w:hAnsi="Times New Roman" w:cs="Times New Roman"/>
                      <w:b/>
                      <w:bCs/>
                      <w:color w:val="auto"/>
                      <w:sz w:val="21"/>
                      <w:szCs w:val="21"/>
                    </w:rPr>
                    <w:t>）</w:t>
                  </w:r>
                </w:p>
              </w:tc>
              <w:tc>
                <w:tcPr>
                  <w:tcW w:w="1028" w:type="dxa"/>
                  <w:vAlign w:val="center"/>
                </w:tcPr>
                <w:p w14:paraId="225ACE09">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占地</w:t>
                  </w:r>
                </w:p>
                <w:p w14:paraId="65ED88BD">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类型</w:t>
                  </w:r>
                </w:p>
              </w:tc>
              <w:tc>
                <w:tcPr>
                  <w:tcW w:w="866" w:type="dxa"/>
                  <w:vAlign w:val="center"/>
                </w:tcPr>
                <w:p w14:paraId="22CBC2B0">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设计容量</w:t>
                  </w:r>
                </w:p>
                <w:p w14:paraId="7F217D36">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（万m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946" w:type="dxa"/>
                  <w:vAlign w:val="center"/>
                </w:tcPr>
                <w:p w14:paraId="6A0B9FEE">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弃土量</w:t>
                  </w:r>
                </w:p>
                <w:p w14:paraId="76250B6B">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（万m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951" w:type="dxa"/>
                  <w:vAlign w:val="center"/>
                </w:tcPr>
                <w:p w14:paraId="15EB27BB">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平均运距</w:t>
                  </w:r>
                </w:p>
                <w:p w14:paraId="49CBD7D6">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（km）</w:t>
                  </w:r>
                </w:p>
              </w:tc>
              <w:tc>
                <w:tcPr>
                  <w:tcW w:w="1521" w:type="dxa"/>
                  <w:vAlign w:val="center"/>
                </w:tcPr>
                <w:p w14:paraId="0292CDE8">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地理坐标</w:t>
                  </w:r>
                </w:p>
              </w:tc>
            </w:tr>
            <w:tr w14:paraId="224B63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46" w:type="dxa"/>
                  <w:vAlign w:val="center"/>
                </w:tcPr>
                <w:p w14:paraId="5684FB34">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1#弃土场</w:t>
                  </w:r>
                </w:p>
              </w:tc>
              <w:tc>
                <w:tcPr>
                  <w:tcW w:w="946" w:type="dxa"/>
                  <w:vAlign w:val="center"/>
                </w:tcPr>
                <w:p w14:paraId="3B3A2F4B">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kern w:val="0"/>
                      <w:sz w:val="21"/>
                      <w:szCs w:val="21"/>
                    </w:rPr>
                    <w:t>K1+743～+797左侧200m</w:t>
                  </w:r>
                </w:p>
              </w:tc>
              <w:tc>
                <w:tcPr>
                  <w:tcW w:w="946" w:type="dxa"/>
                  <w:vAlign w:val="center"/>
                </w:tcPr>
                <w:p w14:paraId="3D62397C">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8407.09</w:t>
                  </w:r>
                </w:p>
              </w:tc>
              <w:tc>
                <w:tcPr>
                  <w:tcW w:w="1028" w:type="dxa"/>
                  <w:vAlign w:val="center"/>
                </w:tcPr>
                <w:p w14:paraId="3098F125">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林地</w:t>
                  </w:r>
                </w:p>
              </w:tc>
              <w:tc>
                <w:tcPr>
                  <w:tcW w:w="866" w:type="dxa"/>
                  <w:vAlign w:val="center"/>
                </w:tcPr>
                <w:p w14:paraId="7CE9074D">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14</w:t>
                  </w:r>
                </w:p>
              </w:tc>
              <w:tc>
                <w:tcPr>
                  <w:tcW w:w="946" w:type="dxa"/>
                  <w:vAlign w:val="center"/>
                </w:tcPr>
                <w:p w14:paraId="6BDE8F6C">
                  <w:pPr>
                    <w:widowControl/>
                    <w:jc w:val="center"/>
                    <w:rPr>
                      <w:rFonts w:hint="default" w:ascii="Times New Roman" w:hAnsi="Times New Roman" w:eastAsia="宋体" w:cs="Times New Roman"/>
                      <w:color w:val="auto"/>
                      <w:kern w:val="0"/>
                      <w:sz w:val="21"/>
                      <w:szCs w:val="21"/>
                      <w:lang w:val="en-US" w:eastAsia="zh-CN"/>
                    </w:rPr>
                  </w:pPr>
                  <w:r>
                    <w:rPr>
                      <w:rFonts w:hint="default" w:ascii="Times New Roman" w:hAnsi="Times New Roman" w:cs="Times New Roman"/>
                      <w:color w:val="auto"/>
                      <w:kern w:val="0"/>
                      <w:sz w:val="21"/>
                      <w:szCs w:val="21"/>
                      <w:lang w:val="en-US" w:eastAsia="zh-CN"/>
                    </w:rPr>
                    <w:t>12.2479</w:t>
                  </w:r>
                </w:p>
              </w:tc>
              <w:tc>
                <w:tcPr>
                  <w:tcW w:w="951" w:type="dxa"/>
                  <w:vAlign w:val="center"/>
                </w:tcPr>
                <w:p w14:paraId="68D07690">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4.5</w:t>
                  </w:r>
                </w:p>
              </w:tc>
              <w:tc>
                <w:tcPr>
                  <w:tcW w:w="1521" w:type="dxa"/>
                  <w:vAlign w:val="center"/>
                </w:tcPr>
                <w:p w14:paraId="490B016C">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经度：107.68866956</w:t>
                  </w:r>
                </w:p>
                <w:p w14:paraId="4F3EBFC8">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纬度：31.53849757</w:t>
                  </w:r>
                </w:p>
              </w:tc>
            </w:tr>
            <w:tr w14:paraId="6C1A1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46" w:type="dxa"/>
                  <w:vAlign w:val="center"/>
                </w:tcPr>
                <w:p w14:paraId="6294B54B">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2#弃土场</w:t>
                  </w:r>
                </w:p>
              </w:tc>
              <w:tc>
                <w:tcPr>
                  <w:tcW w:w="946" w:type="dxa"/>
                  <w:vAlign w:val="center"/>
                </w:tcPr>
                <w:p w14:paraId="1516D7C6">
                  <w:pPr>
                    <w:widowControl/>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K0+258～+300左侧115m</w:t>
                  </w:r>
                </w:p>
              </w:tc>
              <w:tc>
                <w:tcPr>
                  <w:tcW w:w="946" w:type="dxa"/>
                  <w:vAlign w:val="center"/>
                </w:tcPr>
                <w:p w14:paraId="7DFAACF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2586.796</w:t>
                  </w:r>
                </w:p>
              </w:tc>
              <w:tc>
                <w:tcPr>
                  <w:tcW w:w="1028" w:type="dxa"/>
                  <w:vAlign w:val="center"/>
                </w:tcPr>
                <w:p w14:paraId="39E12F6D">
                  <w:pPr>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林地1380.07m</w:t>
                  </w:r>
                  <w:r>
                    <w:rPr>
                      <w:rFonts w:hint="default" w:ascii="Times New Roman" w:hAnsi="Times New Roman" w:cs="Times New Roman"/>
                      <w:color w:val="auto"/>
                      <w:sz w:val="21"/>
                      <w:szCs w:val="21"/>
                      <w:vertAlign w:val="superscript"/>
                      <w:lang w:val="en-US" w:eastAsia="zh-CN"/>
                    </w:rPr>
                    <w:t>2</w:t>
                  </w:r>
                </w:p>
                <w:p w14:paraId="2A90A5AE">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耕地1206.726m</w:t>
                  </w:r>
                  <w:r>
                    <w:rPr>
                      <w:rFonts w:hint="default" w:ascii="Times New Roman" w:hAnsi="Times New Roman" w:cs="Times New Roman"/>
                      <w:color w:val="auto"/>
                      <w:sz w:val="21"/>
                      <w:szCs w:val="21"/>
                      <w:vertAlign w:val="superscript"/>
                      <w:lang w:val="en-US" w:eastAsia="zh-CN"/>
                    </w:rPr>
                    <w:t>2</w:t>
                  </w:r>
                </w:p>
              </w:tc>
              <w:tc>
                <w:tcPr>
                  <w:tcW w:w="866" w:type="dxa"/>
                  <w:vAlign w:val="center"/>
                </w:tcPr>
                <w:p w14:paraId="6A03D051">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w:t>
                  </w:r>
                </w:p>
              </w:tc>
              <w:tc>
                <w:tcPr>
                  <w:tcW w:w="946" w:type="dxa"/>
                  <w:vAlign w:val="center"/>
                </w:tcPr>
                <w:p w14:paraId="5C8735CF">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1.7498</w:t>
                  </w:r>
                </w:p>
              </w:tc>
              <w:tc>
                <w:tcPr>
                  <w:tcW w:w="951" w:type="dxa"/>
                  <w:vAlign w:val="center"/>
                </w:tcPr>
                <w:p w14:paraId="0E4C6604">
                  <w:pPr>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2.5</w:t>
                  </w:r>
                </w:p>
              </w:tc>
              <w:tc>
                <w:tcPr>
                  <w:tcW w:w="1521" w:type="dxa"/>
                  <w:vAlign w:val="center"/>
                </w:tcPr>
                <w:p w14:paraId="342B044A">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经度：107.68754438</w:t>
                  </w:r>
                </w:p>
                <w:p w14:paraId="737D7472">
                  <w:pPr>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纬度：31.52441693</w:t>
                  </w:r>
                </w:p>
              </w:tc>
            </w:tr>
            <w:tr w14:paraId="378F9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46" w:type="dxa"/>
                  <w:vAlign w:val="center"/>
                </w:tcPr>
                <w:p w14:paraId="72F19B29">
                  <w:pPr>
                    <w:widowControl/>
                    <w:jc w:val="center"/>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合计</w:t>
                  </w:r>
                </w:p>
              </w:tc>
              <w:tc>
                <w:tcPr>
                  <w:tcW w:w="1892" w:type="dxa"/>
                  <w:gridSpan w:val="2"/>
                  <w:vAlign w:val="center"/>
                </w:tcPr>
                <w:p w14:paraId="37D98314">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10993.886</w:t>
                  </w:r>
                </w:p>
              </w:tc>
              <w:tc>
                <w:tcPr>
                  <w:tcW w:w="1028" w:type="dxa"/>
                  <w:vAlign w:val="center"/>
                </w:tcPr>
                <w:p w14:paraId="3619E0D3">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w:t>
                  </w:r>
                </w:p>
              </w:tc>
              <w:tc>
                <w:tcPr>
                  <w:tcW w:w="866" w:type="dxa"/>
                  <w:vAlign w:val="center"/>
                </w:tcPr>
                <w:p w14:paraId="1B43CAFD">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16</w:t>
                  </w:r>
                </w:p>
              </w:tc>
              <w:tc>
                <w:tcPr>
                  <w:tcW w:w="946" w:type="dxa"/>
                  <w:vAlign w:val="center"/>
                </w:tcPr>
                <w:p w14:paraId="783B78C1">
                  <w:pPr>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val="en-US" w:eastAsia="zh-CN"/>
                    </w:rPr>
                    <w:t>13.9977</w:t>
                  </w:r>
                </w:p>
              </w:tc>
              <w:tc>
                <w:tcPr>
                  <w:tcW w:w="2472" w:type="dxa"/>
                  <w:gridSpan w:val="2"/>
                  <w:vAlign w:val="center"/>
                </w:tcPr>
                <w:p w14:paraId="4724DA8C">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w:t>
                  </w:r>
                </w:p>
              </w:tc>
            </w:tr>
          </w:tbl>
          <w:p w14:paraId="1454CBA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本项目弃土场选址合理性分析：</w:t>
            </w:r>
          </w:p>
          <w:p w14:paraId="4A18580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1#弃土场占地类型为</w:t>
            </w:r>
            <w:r>
              <w:rPr>
                <w:rFonts w:hint="default" w:ascii="Times New Roman" w:hAnsi="Times New Roman" w:cs="Times New Roman"/>
                <w:color w:val="auto"/>
                <w:sz w:val="24"/>
                <w:szCs w:val="32"/>
                <w:lang w:val="en-US" w:eastAsia="zh-CN"/>
              </w:rPr>
              <w:t>林地</w:t>
            </w:r>
            <w:r>
              <w:rPr>
                <w:rFonts w:hint="default" w:ascii="Times New Roman" w:hAnsi="Times New Roman" w:cs="Times New Roman"/>
                <w:color w:val="auto"/>
                <w:sz w:val="24"/>
                <w:szCs w:val="32"/>
              </w:rPr>
              <w:t>，位于山坳（沟槽或冲沟尽头坡地），容量基本满足项目弃土需要；弃土场设计环形截水沟和坡脚处挡碴墙，坡面采用撒草籽绿化，符合水保要求，周边200m范围以内无学校、医院等，200m范围内有</w:t>
            </w:r>
            <w:r>
              <w:rPr>
                <w:rFonts w:hint="default" w:ascii="Times New Roman" w:hAnsi="Times New Roman" w:cs="Times New Roman"/>
                <w:color w:val="auto"/>
                <w:sz w:val="24"/>
                <w:szCs w:val="32"/>
                <w:lang w:val="en-US" w:eastAsia="zh-CN"/>
              </w:rPr>
              <w:t>无</w:t>
            </w:r>
            <w:r>
              <w:rPr>
                <w:rFonts w:hint="default" w:ascii="Times New Roman" w:hAnsi="Times New Roman" w:cs="Times New Roman"/>
                <w:color w:val="auto"/>
                <w:sz w:val="24"/>
                <w:szCs w:val="32"/>
              </w:rPr>
              <w:t>散居农户。</w:t>
            </w:r>
          </w:p>
          <w:p w14:paraId="0D4E80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2</w:t>
            </w:r>
            <w:r>
              <w:rPr>
                <w:rFonts w:hint="default" w:ascii="Times New Roman" w:hAnsi="Times New Roman" w:cs="Times New Roman"/>
                <w:color w:val="auto"/>
                <w:sz w:val="24"/>
                <w:szCs w:val="32"/>
              </w:rPr>
              <w:t>#弃土场占地类型为</w:t>
            </w:r>
            <w:r>
              <w:rPr>
                <w:rFonts w:hint="default" w:ascii="Times New Roman" w:hAnsi="Times New Roman" w:cs="Times New Roman"/>
                <w:color w:val="auto"/>
                <w:sz w:val="24"/>
                <w:szCs w:val="32"/>
                <w:lang w:val="en-US" w:eastAsia="zh-CN"/>
              </w:rPr>
              <w:t>林地+耕地</w:t>
            </w:r>
            <w:r>
              <w:rPr>
                <w:rFonts w:hint="default" w:ascii="Times New Roman" w:hAnsi="Times New Roman" w:cs="Times New Roman"/>
                <w:color w:val="auto"/>
                <w:sz w:val="24"/>
                <w:szCs w:val="32"/>
              </w:rPr>
              <w:t>，位于山坳（沟槽或冲沟尽头坡地），容量基本满足项目弃土需要；弃土场设计环形截水沟和坡脚处挡碴墙，坡面采用撒草籽绿化，符合水保要求，周边200m范围以内无学校、医院等，200m范围内有</w:t>
            </w:r>
            <w:r>
              <w:rPr>
                <w:rFonts w:hint="default" w:ascii="Times New Roman" w:hAnsi="Times New Roman" w:cs="Times New Roman"/>
                <w:color w:val="auto"/>
                <w:sz w:val="24"/>
                <w:szCs w:val="32"/>
                <w:lang w:val="en-US" w:eastAsia="zh-CN"/>
              </w:rPr>
              <w:t>6</w:t>
            </w:r>
            <w:r>
              <w:rPr>
                <w:rFonts w:hint="default" w:ascii="Times New Roman" w:hAnsi="Times New Roman" w:cs="Times New Roman"/>
                <w:color w:val="auto"/>
                <w:sz w:val="24"/>
                <w:szCs w:val="32"/>
              </w:rPr>
              <w:t>户散居农户。</w:t>
            </w:r>
          </w:p>
          <w:p w14:paraId="793D26F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lang w:eastAsia="zh-CN"/>
              </w:rPr>
            </w:pPr>
            <w:r>
              <w:rPr>
                <w:rFonts w:hint="default" w:ascii="Times New Roman" w:hAnsi="Times New Roman" w:cs="Times New Roman"/>
                <w:color w:val="auto"/>
                <w:sz w:val="24"/>
                <w:szCs w:val="32"/>
              </w:rPr>
              <w:t>经项目周边调查无商弃倒土场，弃土场选址决定不可避免需征用林地，按就近原则，两处弃土场（K0+258～+300左侧115m弃土场、K1+743～+797左侧200m弃土场）作为本项目弃土场；依据对环境影响较小、容量较为匹配、运距较为适中等条件</w:t>
            </w:r>
            <w:r>
              <w:rPr>
                <w:rFonts w:hint="default" w:ascii="Times New Roman" w:hAnsi="Times New Roman" w:cs="Times New Roman"/>
                <w:color w:val="auto"/>
                <w:sz w:val="24"/>
                <w:szCs w:val="32"/>
                <w:lang w:eastAsia="zh-CN"/>
              </w:rPr>
              <w:t>。</w:t>
            </w:r>
          </w:p>
          <w:p w14:paraId="4DFA13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rPr>
            </w:pPr>
            <w:r>
              <w:rPr>
                <w:rFonts w:hint="default" w:ascii="Times New Roman" w:hAnsi="Times New Roman" w:cs="Times New Roman"/>
                <w:color w:val="auto"/>
                <w:sz w:val="24"/>
                <w:szCs w:val="32"/>
                <w:lang w:val="en-US" w:eastAsia="zh-CN"/>
              </w:rPr>
              <w:t>综上所述，</w:t>
            </w:r>
            <w:r>
              <w:rPr>
                <w:rFonts w:hint="default" w:ascii="Times New Roman" w:hAnsi="Times New Roman" w:cs="Times New Roman"/>
                <w:color w:val="auto"/>
                <w:sz w:val="24"/>
                <w:szCs w:val="32"/>
                <w:lang w:eastAsia="zh-CN"/>
              </w:rPr>
              <w:t>项目综合考虑沿线自然环境条件和土地利用情况选择了凹地、冲沟等设置弃土场，在施工期做好排水沟、挡土墙、护脚等相关防护措施，后期做好弃土场复垦工作的基础上，总体而言，本项目弃土场选址合理</w:t>
            </w:r>
            <w:r>
              <w:rPr>
                <w:rFonts w:hint="default" w:ascii="Times New Roman" w:hAnsi="Times New Roman" w:cs="Times New Roman"/>
                <w:color w:val="auto"/>
                <w:sz w:val="24"/>
                <w:szCs w:val="32"/>
              </w:rPr>
              <w:t>。</w:t>
            </w:r>
          </w:p>
        </w:tc>
      </w:tr>
      <w:tr w14:paraId="59D265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62" w:hRule="atLeast"/>
          <w:jc w:val="center"/>
        </w:trPr>
        <w:tc>
          <w:tcPr>
            <w:tcW w:w="710" w:type="dxa"/>
            <w:vAlign w:val="center"/>
          </w:tcPr>
          <w:p w14:paraId="5B56A588">
            <w:pPr>
              <w:pStyle w:val="20"/>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bCs/>
                <w:color w:val="auto"/>
                <w:kern w:val="2"/>
                <w:sz w:val="21"/>
                <w:szCs w:val="21"/>
              </w:rPr>
              <w:t>施工方案</w:t>
            </w:r>
          </w:p>
        </w:tc>
        <w:tc>
          <w:tcPr>
            <w:tcW w:w="8274" w:type="dxa"/>
          </w:tcPr>
          <w:p w14:paraId="7D8BBBF2">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1、施工工艺流程</w:t>
            </w:r>
          </w:p>
          <w:p w14:paraId="5ABF63BC">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本项目采用分段分幅的施工方式，尽量采用小机械施工，并全天候配备专职的交通管制人员，做好醒目的警示警告标志及防护设施等安保工程，确保车辆通行安全。</w:t>
            </w:r>
          </w:p>
          <w:p w14:paraId="684A7EC9">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1</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路基</w:t>
            </w:r>
          </w:p>
          <w:p w14:paraId="7D8A0657">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路基施工采用多种防护措施确保路基、路堑稳定。对高填土路段的路基先进行施工，根据计算结果进行超载预压，减少路基不均匀沉降。深挖路堑由于容易引起滑坡，应根据不同地质情况采取相应防护措施，对半填半挖特别是顺路向的零填挖路段，应注重土质台阶的设置或采用适宜的土工材料，加强路基的防滑移处理。</w:t>
            </w:r>
          </w:p>
          <w:p w14:paraId="41936E55">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5114925" cy="2230755"/>
                  <wp:effectExtent l="0" t="0" r="3175" b="4445"/>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44"/>
                          <a:stretch>
                            <a:fillRect/>
                          </a:stretch>
                        </pic:blipFill>
                        <pic:spPr>
                          <a:xfrm>
                            <a:off x="0" y="0"/>
                            <a:ext cx="5114925" cy="2230755"/>
                          </a:xfrm>
                          <a:prstGeom prst="rect">
                            <a:avLst/>
                          </a:prstGeom>
                          <a:noFill/>
                          <a:ln>
                            <a:noFill/>
                          </a:ln>
                        </pic:spPr>
                      </pic:pic>
                    </a:graphicData>
                  </a:graphic>
                </wp:inline>
              </w:drawing>
            </w:r>
          </w:p>
          <w:p w14:paraId="0D516CBD">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 xml:space="preserve">12 </w:t>
            </w:r>
            <w:r>
              <w:rPr>
                <w:rFonts w:hint="default" w:ascii="Times New Roman" w:hAnsi="Times New Roman" w:cs="Times New Roman"/>
                <w:b/>
                <w:bCs/>
                <w:color w:val="auto"/>
              </w:rPr>
              <w:t>路基施工工艺及环节产污情况图</w:t>
            </w:r>
          </w:p>
          <w:p w14:paraId="580E167D">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路面</w:t>
            </w:r>
          </w:p>
          <w:p w14:paraId="002E8774">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为确保路面工程的平整度和质量，路面各结构层全部由专业队伍承担，底基层、基层均采用机械拌合，摊铺机分层摊铺，压路机压实；各面层采用洒布机喷洒透层油，摊铺机配以自卸车连续摊铺沥青拌和料，压路机碾压密实成型；各种拌和材料由所设置的集中拌和站以机械拌和提供</w:t>
            </w:r>
            <w:r>
              <w:rPr>
                <w:rFonts w:hint="default" w:ascii="Times New Roman" w:hAnsi="Times New Roman" w:cs="Times New Roman"/>
                <w:color w:val="auto"/>
                <w:sz w:val="24"/>
                <w:szCs w:val="32"/>
                <w:lang w:eastAsia="zh-CN"/>
              </w:rPr>
              <w:t>。</w:t>
            </w:r>
          </w:p>
          <w:p w14:paraId="687E6BD7">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5107940" cy="368935"/>
                  <wp:effectExtent l="0" t="0" r="10160" b="1206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45"/>
                          <a:stretch>
                            <a:fillRect/>
                          </a:stretch>
                        </pic:blipFill>
                        <pic:spPr>
                          <a:xfrm>
                            <a:off x="0" y="0"/>
                            <a:ext cx="5107940" cy="368935"/>
                          </a:xfrm>
                          <a:prstGeom prst="rect">
                            <a:avLst/>
                          </a:prstGeom>
                          <a:noFill/>
                          <a:ln>
                            <a:noFill/>
                          </a:ln>
                        </pic:spPr>
                      </pic:pic>
                    </a:graphicData>
                  </a:graphic>
                </wp:inline>
              </w:drawing>
            </w:r>
          </w:p>
          <w:p w14:paraId="146BAB5D">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13 路面</w:t>
            </w:r>
            <w:r>
              <w:rPr>
                <w:rFonts w:hint="default" w:ascii="Times New Roman" w:hAnsi="Times New Roman" w:cs="Times New Roman"/>
                <w:b/>
                <w:bCs/>
                <w:color w:val="auto"/>
              </w:rPr>
              <w:t>施工工艺及环节产污情况图</w:t>
            </w:r>
          </w:p>
          <w:p w14:paraId="792E2FAF">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eastAsia="宋体" w:cs="Times New Roman"/>
                <w:b/>
                <w:bCs/>
                <w:color w:val="auto"/>
                <w:sz w:val="24"/>
                <w:szCs w:val="32"/>
                <w:lang w:eastAsia="zh-CN"/>
              </w:rPr>
              <w:t>（</w:t>
            </w:r>
            <w:r>
              <w:rPr>
                <w:rFonts w:hint="default" w:ascii="Times New Roman" w:hAnsi="Times New Roman" w:eastAsia="宋体" w:cs="Times New Roman"/>
                <w:b/>
                <w:bCs/>
                <w:color w:val="auto"/>
                <w:sz w:val="24"/>
                <w:szCs w:val="32"/>
                <w:lang w:val="en-US" w:eastAsia="zh-CN"/>
              </w:rPr>
              <w:t>3</w:t>
            </w:r>
            <w:r>
              <w:rPr>
                <w:rFonts w:hint="default" w:ascii="Times New Roman" w:hAnsi="Times New Roman" w:eastAsia="宋体" w:cs="Times New Roman"/>
                <w:b/>
                <w:bCs/>
                <w:color w:val="auto"/>
                <w:sz w:val="24"/>
                <w:szCs w:val="32"/>
                <w:lang w:eastAsia="zh-CN"/>
              </w:rPr>
              <w:t>）</w:t>
            </w:r>
            <w:r>
              <w:rPr>
                <w:rFonts w:hint="default" w:ascii="Times New Roman" w:hAnsi="Times New Roman" w:eastAsia="宋体" w:cs="Times New Roman"/>
                <w:b/>
                <w:bCs/>
                <w:color w:val="auto"/>
                <w:sz w:val="24"/>
                <w:szCs w:val="32"/>
                <w:lang w:val="en-US" w:eastAsia="zh-CN"/>
              </w:rPr>
              <w:t>桥梁</w:t>
            </w:r>
          </w:p>
          <w:p w14:paraId="46908968">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本项目共涉及</w:t>
            </w:r>
            <w:r>
              <w:rPr>
                <w:rFonts w:hint="default" w:ascii="Times New Roman" w:hAnsi="Times New Roman" w:cs="Times New Roman"/>
                <w:color w:val="auto"/>
                <w:sz w:val="24"/>
                <w:szCs w:val="32"/>
                <w:lang w:val="en-US" w:eastAsia="zh-CN"/>
              </w:rPr>
              <w:t>1</w:t>
            </w:r>
            <w:r>
              <w:rPr>
                <w:rFonts w:hint="default" w:ascii="Times New Roman" w:hAnsi="Times New Roman" w:cs="Times New Roman"/>
                <w:color w:val="auto"/>
                <w:sz w:val="24"/>
                <w:szCs w:val="32"/>
              </w:rPr>
              <w:t>座桥梁，</w:t>
            </w:r>
            <w:r>
              <w:rPr>
                <w:rFonts w:hint="default" w:ascii="Times New Roman" w:hAnsi="Times New Roman" w:cs="Times New Roman"/>
                <w:color w:val="auto"/>
                <w:sz w:val="24"/>
                <w:szCs w:val="32"/>
                <w:lang w:val="en-US" w:eastAsia="zh-CN"/>
              </w:rPr>
              <w:t>1座框架桥</w:t>
            </w:r>
            <w:r>
              <w:rPr>
                <w:rFonts w:hint="default" w:ascii="Times New Roman" w:hAnsi="Times New Roman" w:cs="Times New Roman"/>
                <w:color w:val="auto"/>
                <w:sz w:val="24"/>
                <w:szCs w:val="32"/>
              </w:rPr>
              <w:t>，施工流程及产污环节图如下。</w:t>
            </w:r>
          </w:p>
          <w:p w14:paraId="25C80E03">
            <w:pPr>
              <w:jc w:val="center"/>
              <w:rPr>
                <w:rFonts w:hint="default" w:ascii="Times New Roman" w:hAnsi="Times New Roman" w:cs="Times New Roman"/>
                <w:color w:val="auto"/>
              </w:rPr>
            </w:pPr>
            <w:r>
              <w:rPr>
                <w:rFonts w:hint="default" w:ascii="Times New Roman" w:hAnsi="Times New Roman" w:cs="Times New Roman"/>
                <w:color w:val="auto"/>
              </w:rPr>
              <mc:AlternateContent>
                <mc:Choice Requires="wpg">
                  <w:drawing>
                    <wp:inline distT="0" distB="0" distL="114300" distR="114300">
                      <wp:extent cx="4942205" cy="2120900"/>
                      <wp:effectExtent l="0" t="0" r="0" b="0"/>
                      <wp:docPr id="76" name="组合 76"/>
                      <wp:cNvGraphicFramePr/>
                      <a:graphic xmlns:a="http://schemas.openxmlformats.org/drawingml/2006/main">
                        <a:graphicData uri="http://schemas.microsoft.com/office/word/2010/wordprocessingGroup">
                          <wpg:wgp>
                            <wpg:cNvGrpSpPr>
                              <a:grpSpLocks noRot="1"/>
                            </wpg:cNvGrpSpPr>
                            <wpg:grpSpPr>
                              <a:xfrm>
                                <a:off x="0" y="0"/>
                                <a:ext cx="4942562" cy="2121145"/>
                                <a:chOff x="0" y="-3"/>
                                <a:chExt cx="8009" cy="3967"/>
                              </a:xfrm>
                            </wpg:grpSpPr>
                            <wps:wsp>
                              <wps:cNvPr id="9" name="流程图: 过程 15"/>
                              <wps:cNvSpPr/>
                              <wps:spPr>
                                <a:xfrm>
                                  <a:off x="0" y="3156"/>
                                  <a:ext cx="1620" cy="808"/>
                                </a:xfrm>
                                <a:prstGeom prst="flowChartProcess">
                                  <a:avLst/>
                                </a:prstGeom>
                                <a:solidFill>
                                  <a:srgbClr val="FFFFFF"/>
                                </a:solidFill>
                                <a:ln w="9525" cap="flat" cmpd="sng">
                                  <a:solidFill>
                                    <a:srgbClr val="000000"/>
                                  </a:solidFill>
                                  <a:prstDash val="dash"/>
                                  <a:miter/>
                                  <a:headEnd type="none" w="med" len="med"/>
                                  <a:tailEnd type="none" w="med" len="med"/>
                                </a:ln>
                              </wps:spPr>
                              <wps:txbx>
                                <w:txbxContent>
                                  <w:p w14:paraId="6D9D8E3B">
                                    <w:pPr>
                                      <w:snapToGrid w:val="0"/>
                                      <w:spacing w:line="276" w:lineRule="auto"/>
                                      <w:jc w:val="center"/>
                                      <w:rPr>
                                        <w:sz w:val="18"/>
                                      </w:rPr>
                                    </w:pPr>
                                    <w:r>
                                      <w:rPr>
                                        <w:rFonts w:hint="eastAsia"/>
                                        <w:sz w:val="18"/>
                                      </w:rPr>
                                      <w:t>设备冲洗产生废水；噪声</w:t>
                                    </w:r>
                                  </w:p>
                                </w:txbxContent>
                              </wps:txbx>
                              <wps:bodyPr upright="1"/>
                            </wps:wsp>
                            <wpg:grpSp>
                              <wpg:cNvPr id="77" name="组合 49"/>
                              <wpg:cNvGrpSpPr/>
                              <wpg:grpSpPr>
                                <a:xfrm>
                                  <a:off x="0" y="-3"/>
                                  <a:ext cx="8009" cy="3159"/>
                                  <a:chOff x="0" y="-3"/>
                                  <a:chExt cx="8009" cy="3159"/>
                                </a:xfrm>
                              </wpg:grpSpPr>
                              <wps:wsp>
                                <wps:cNvPr id="57" name="流程图: 过程 22"/>
                                <wps:cNvSpPr/>
                                <wps:spPr>
                                  <a:xfrm>
                                    <a:off x="4654" y="-3"/>
                                    <a:ext cx="1088"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7AB1CD01">
                                      <w:pPr>
                                        <w:snapToGrid w:val="0"/>
                                        <w:jc w:val="center"/>
                                        <w:rPr>
                                          <w:b/>
                                          <w:sz w:val="18"/>
                                        </w:rPr>
                                      </w:pPr>
                                      <w:r>
                                        <w:rPr>
                                          <w:rFonts w:hint="eastAsia"/>
                                          <w:b/>
                                          <w:sz w:val="18"/>
                                        </w:rPr>
                                        <w:t>基础施工</w:t>
                                      </w:r>
                                    </w:p>
                                  </w:txbxContent>
                                </wps:txbx>
                                <wps:bodyPr upright="1"/>
                              </wps:wsp>
                              <wps:wsp>
                                <wps:cNvPr id="58" name="直接连接符 23"/>
                                <wps:cNvCnPr>
                                  <a:stCxn id="22" idx="3"/>
                                  <a:endCxn id="24" idx="1"/>
                                </wps:cNvCnPr>
                                <wps:spPr>
                                  <a:xfrm>
                                    <a:off x="5742" y="231"/>
                                    <a:ext cx="524" cy="3"/>
                                  </a:xfrm>
                                  <a:prstGeom prst="line">
                                    <a:avLst/>
                                  </a:prstGeom>
                                  <a:ln w="12700" cap="flat" cmpd="sng">
                                    <a:solidFill>
                                      <a:srgbClr val="000000"/>
                                    </a:solidFill>
                                    <a:prstDash val="solid"/>
                                    <a:headEnd type="none" w="med" len="med"/>
                                    <a:tailEnd type="stealth" w="sm" len="lg"/>
                                  </a:ln>
                                </wps:spPr>
                                <wps:bodyPr/>
                              </wps:wsp>
                              <wps:wsp>
                                <wps:cNvPr id="60" name="流程图: 过程 24"/>
                                <wps:cNvSpPr/>
                                <wps:spPr>
                                  <a:xfrm>
                                    <a:off x="6266" y="0"/>
                                    <a:ext cx="1113"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035883E7">
                                      <w:pPr>
                                        <w:snapToGrid w:val="0"/>
                                        <w:jc w:val="center"/>
                                        <w:rPr>
                                          <w:b/>
                                          <w:sz w:val="18"/>
                                        </w:rPr>
                                      </w:pPr>
                                      <w:r>
                                        <w:rPr>
                                          <w:rFonts w:hint="eastAsia"/>
                                          <w:b/>
                                          <w:sz w:val="18"/>
                                        </w:rPr>
                                        <w:t>桥墩施工</w:t>
                                      </w:r>
                                    </w:p>
                                  </w:txbxContent>
                                </wps:txbx>
                                <wps:bodyPr upright="1"/>
                              </wps:wsp>
                              <wps:wsp>
                                <wps:cNvPr id="65" name="流程图: 过程 29"/>
                                <wps:cNvSpPr/>
                                <wps:spPr>
                                  <a:xfrm>
                                    <a:off x="4352" y="816"/>
                                    <a:ext cx="1705" cy="553"/>
                                  </a:xfrm>
                                  <a:prstGeom prst="flowChartProcess">
                                    <a:avLst/>
                                  </a:prstGeom>
                                  <a:solidFill>
                                    <a:srgbClr val="FFFFFF"/>
                                  </a:solidFill>
                                  <a:ln w="9525" cap="flat" cmpd="sng">
                                    <a:solidFill>
                                      <a:srgbClr val="000000"/>
                                    </a:solidFill>
                                    <a:prstDash val="dash"/>
                                    <a:miter/>
                                    <a:headEnd type="none" w="med" len="med"/>
                                    <a:tailEnd type="none" w="med" len="med"/>
                                  </a:ln>
                                </wps:spPr>
                                <wps:txbx>
                                  <w:txbxContent>
                                    <w:p w14:paraId="4669CAEB">
                                      <w:pPr>
                                        <w:snapToGrid w:val="0"/>
                                        <w:spacing w:line="276" w:lineRule="auto"/>
                                        <w:jc w:val="center"/>
                                        <w:rPr>
                                          <w:sz w:val="18"/>
                                        </w:rPr>
                                      </w:pPr>
                                      <w:r>
                                        <w:rPr>
                                          <w:rFonts w:hint="eastAsia"/>
                                          <w:sz w:val="18"/>
                                        </w:rPr>
                                        <w:t>噪声、钻渣、污泥</w:t>
                                      </w:r>
                                    </w:p>
                                  </w:txbxContent>
                                </wps:txbx>
                                <wps:bodyPr upright="1"/>
                              </wps:wsp>
                              <wps:wsp>
                                <wps:cNvPr id="66" name="直接连接符 30"/>
                                <wps:cNvCnPr>
                                  <a:stCxn id="22" idx="2"/>
                                  <a:endCxn id="29" idx="0"/>
                                </wps:cNvCnPr>
                                <wps:spPr>
                                  <a:xfrm>
                                    <a:off x="5198" y="465"/>
                                    <a:ext cx="6" cy="351"/>
                                  </a:xfrm>
                                  <a:prstGeom prst="line">
                                    <a:avLst/>
                                  </a:prstGeom>
                                  <a:ln w="9525" cap="flat" cmpd="sng">
                                    <a:solidFill>
                                      <a:srgbClr val="000000"/>
                                    </a:solidFill>
                                    <a:prstDash val="dash"/>
                                    <a:headEnd type="none" w="med" len="med"/>
                                    <a:tailEnd type="stealth" w="sm" len="lg"/>
                                  </a:ln>
                                </wps:spPr>
                                <wps:bodyPr/>
                              </wps:wsp>
                              <wps:wsp>
                                <wps:cNvPr id="67" name="直接连接符 33"/>
                                <wps:cNvCnPr>
                                  <a:stCxn id="24" idx="3"/>
                                </wps:cNvCnPr>
                                <wps:spPr>
                                  <a:xfrm>
                                    <a:off x="7379" y="234"/>
                                    <a:ext cx="630" cy="0"/>
                                  </a:xfrm>
                                  <a:prstGeom prst="line">
                                    <a:avLst/>
                                  </a:prstGeom>
                                  <a:ln w="12700" cap="flat" cmpd="sng">
                                    <a:solidFill>
                                      <a:srgbClr val="000000"/>
                                    </a:solidFill>
                                    <a:prstDash val="solid"/>
                                    <a:headEnd type="none" w="med" len="med"/>
                                    <a:tailEnd type="stealth" w="sm" len="lg"/>
                                  </a:ln>
                                </wps:spPr>
                                <wps:bodyPr/>
                              </wps:wsp>
                              <wps:wsp>
                                <wps:cNvPr id="68" name="流程图: 过程 34"/>
                                <wps:cNvSpPr/>
                                <wps:spPr>
                                  <a:xfrm>
                                    <a:off x="0" y="2064"/>
                                    <a:ext cx="1513"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201134BE">
                                      <w:pPr>
                                        <w:snapToGrid w:val="0"/>
                                        <w:jc w:val="center"/>
                                        <w:rPr>
                                          <w:b/>
                                          <w:sz w:val="18"/>
                                        </w:rPr>
                                      </w:pPr>
                                      <w:r>
                                        <w:rPr>
                                          <w:rFonts w:hint="eastAsia"/>
                                          <w:b/>
                                          <w:sz w:val="18"/>
                                        </w:rPr>
                                        <w:t>上部结构施工</w:t>
                                      </w:r>
                                    </w:p>
                                  </w:txbxContent>
                                </wps:txbx>
                                <wps:bodyPr upright="1"/>
                              </wps:wsp>
                              <wps:wsp>
                                <wps:cNvPr id="69" name="直接连接符 35"/>
                                <wps:cNvCnPr>
                                  <a:stCxn id="34" idx="3"/>
                                  <a:endCxn id="36" idx="1"/>
                                </wps:cNvCnPr>
                                <wps:spPr>
                                  <a:xfrm>
                                    <a:off x="1513" y="2298"/>
                                    <a:ext cx="827" cy="0"/>
                                  </a:xfrm>
                                  <a:prstGeom prst="line">
                                    <a:avLst/>
                                  </a:prstGeom>
                                  <a:ln w="12700" cap="flat" cmpd="sng">
                                    <a:solidFill>
                                      <a:srgbClr val="000000"/>
                                    </a:solidFill>
                                    <a:prstDash val="solid"/>
                                    <a:headEnd type="none" w="med" len="med"/>
                                    <a:tailEnd type="stealth" w="sm" len="lg"/>
                                  </a:ln>
                                </wps:spPr>
                                <wps:bodyPr/>
                              </wps:wsp>
                              <wps:wsp>
                                <wps:cNvPr id="70" name="流程图: 过程 36"/>
                                <wps:cNvSpPr/>
                                <wps:spPr>
                                  <a:xfrm>
                                    <a:off x="2340" y="2064"/>
                                    <a:ext cx="720"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5CE2B431">
                                      <w:pPr>
                                        <w:snapToGrid w:val="0"/>
                                        <w:jc w:val="center"/>
                                        <w:rPr>
                                          <w:b/>
                                          <w:sz w:val="18"/>
                                        </w:rPr>
                                      </w:pPr>
                                      <w:r>
                                        <w:rPr>
                                          <w:rFonts w:hint="eastAsia"/>
                                          <w:b/>
                                          <w:sz w:val="18"/>
                                        </w:rPr>
                                        <w:t>架梁</w:t>
                                      </w:r>
                                    </w:p>
                                  </w:txbxContent>
                                </wps:txbx>
                                <wps:bodyPr upright="1"/>
                              </wps:wsp>
                              <wps:wsp>
                                <wps:cNvPr id="71" name="直接连接符 37"/>
                                <wps:cNvCnPr>
                                  <a:stCxn id="36" idx="3"/>
                                  <a:endCxn id="38" idx="1"/>
                                </wps:cNvCnPr>
                                <wps:spPr>
                                  <a:xfrm>
                                    <a:off x="3060" y="2298"/>
                                    <a:ext cx="1080" cy="0"/>
                                  </a:xfrm>
                                  <a:prstGeom prst="line">
                                    <a:avLst/>
                                  </a:prstGeom>
                                  <a:ln w="12700" cap="flat" cmpd="sng">
                                    <a:solidFill>
                                      <a:srgbClr val="000000"/>
                                    </a:solidFill>
                                    <a:prstDash val="solid"/>
                                    <a:headEnd type="none" w="med" len="med"/>
                                    <a:tailEnd type="stealth" w="sm" len="lg"/>
                                  </a:ln>
                                </wps:spPr>
                                <wps:bodyPr/>
                              </wps:wsp>
                              <wps:wsp>
                                <wps:cNvPr id="72" name="流程图: 过程 38"/>
                                <wps:cNvSpPr/>
                                <wps:spPr>
                                  <a:xfrm>
                                    <a:off x="4140" y="2064"/>
                                    <a:ext cx="720"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06CCC27">
                                      <w:pPr>
                                        <w:snapToGrid w:val="0"/>
                                        <w:jc w:val="center"/>
                                        <w:rPr>
                                          <w:b/>
                                          <w:sz w:val="18"/>
                                        </w:rPr>
                                      </w:pPr>
                                      <w:r>
                                        <w:rPr>
                                          <w:rFonts w:hint="eastAsia"/>
                                          <w:b/>
                                          <w:sz w:val="18"/>
                                        </w:rPr>
                                        <w:t>桥面</w:t>
                                      </w:r>
                                    </w:p>
                                  </w:txbxContent>
                                </wps:txbx>
                                <wps:bodyPr upright="1"/>
                              </wps:wsp>
                              <wps:wsp>
                                <wps:cNvPr id="73" name="直接连接符 39"/>
                                <wps:cNvCnPr>
                                  <a:stCxn id="38" idx="3"/>
                                  <a:endCxn id="40" idx="1"/>
                                </wps:cNvCnPr>
                                <wps:spPr>
                                  <a:xfrm>
                                    <a:off x="4860" y="2298"/>
                                    <a:ext cx="1080" cy="0"/>
                                  </a:xfrm>
                                  <a:prstGeom prst="line">
                                    <a:avLst/>
                                  </a:prstGeom>
                                  <a:ln w="12700" cap="flat" cmpd="sng">
                                    <a:solidFill>
                                      <a:srgbClr val="000000"/>
                                    </a:solidFill>
                                    <a:prstDash val="solid"/>
                                    <a:headEnd type="none" w="med" len="med"/>
                                    <a:tailEnd type="stealth" w="sm" len="lg"/>
                                  </a:ln>
                                </wps:spPr>
                                <wps:bodyPr/>
                              </wps:wsp>
                              <wps:wsp>
                                <wps:cNvPr id="74" name="流程图: 过程 40"/>
                                <wps:cNvSpPr/>
                                <wps:spPr>
                                  <a:xfrm>
                                    <a:off x="5940" y="2064"/>
                                    <a:ext cx="1268" cy="468"/>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05DD3BC">
                                      <w:pPr>
                                        <w:snapToGrid w:val="0"/>
                                        <w:jc w:val="center"/>
                                        <w:rPr>
                                          <w:b/>
                                          <w:sz w:val="18"/>
                                        </w:rPr>
                                      </w:pPr>
                                      <w:r>
                                        <w:rPr>
                                          <w:rFonts w:hint="eastAsia"/>
                                          <w:b/>
                                          <w:sz w:val="18"/>
                                        </w:rPr>
                                        <w:t>附属工程</w:t>
                                      </w:r>
                                    </w:p>
                                  </w:txbxContent>
                                </wps:txbx>
                                <wps:bodyPr upright="1"/>
                              </wps:wsp>
                              <wps:wsp>
                                <wps:cNvPr id="75" name="直接连接符 41"/>
                                <wps:cNvCnPr/>
                                <wps:spPr>
                                  <a:xfrm>
                                    <a:off x="617" y="2532"/>
                                    <a:ext cx="0" cy="624"/>
                                  </a:xfrm>
                                  <a:prstGeom prst="line">
                                    <a:avLst/>
                                  </a:prstGeom>
                                  <a:ln w="9525" cap="flat" cmpd="sng">
                                    <a:solidFill>
                                      <a:srgbClr val="000000"/>
                                    </a:solidFill>
                                    <a:prstDash val="dash"/>
                                    <a:headEnd type="none" w="med" len="med"/>
                                    <a:tailEnd type="stealth" w="sm" len="lg"/>
                                  </a:ln>
                                </wps:spPr>
                                <wps:bodyPr/>
                              </wps:wsp>
                            </wpg:grpSp>
                          </wpg:wgp>
                        </a:graphicData>
                      </a:graphic>
                    </wp:inline>
                  </w:drawing>
                </mc:Choice>
                <mc:Fallback>
                  <w:pict>
                    <v:group id="_x0000_s1026" o:spid="_x0000_s1026" o:spt="203" style="height:167pt;width:389.15pt;" coordorigin="0,-3" coordsize="8009,3967" o:gfxdata="UEsDBAoAAAAAAIdO4kAAAAAAAAAAAAAAAAAEAAAAZHJzL1BLAwQUAAAACACHTuJAevSOX9cAAAAF&#10;AQAADwAAAGRycy9kb3ducmV2LnhtbE2PQUvDQBCF70L/wzJCb3Y3Rm2J2ZRSrKci2AribZqdJqHZ&#10;2ZDdJu2/d/Wil4HHe7z3Tb682FYM1PvGsYZkpkAQl840XGn42G/uFiB8QDbYOiYNV/KwLCY3OWbG&#10;jfxOwy5UIpawz1BDHUKXSenLmiz6meuIo3d0vcUQZV9J0+MYy20r75V6khYbjgs1drSuqTztzlbD&#10;64jjKk1ehu3puL5+7R/fPrcJaT29TdQziECX8BeGH/yIDkVkOrgzGy9aDfGR8HujN58vUhAHDWn6&#10;oEAWufxPX3wDUEsDBBQAAAAIAIdO4kCojcqnjAUAANwmAAAOAAAAZHJzL2Uyb0RvYy54bWztWstu&#10;4zYU3RfoPwjaT6y3bCHOLJJJNoM26LQfwEjUA9ULpBI7ywIFWqBA0f0A3bXoost2VaDzNTOZz+jl&#10;pV6W7YntIGmCOAuHkiiKvPfccw+vdPhynqXKFWU8KfKpqh9oqkJzvwiSPJqq33x9+mKsKrwieUDS&#10;IqdT9Zpy9eXR558dzkqPGkVcpAFlCgySc29WTtW4qkpvNOJ+TDPCD4qS5nAxLFhGKjhk0ShgZAaj&#10;Z+nI0DRnNCtYULLCp5zD2RN5Ua1HZJsMWIRh4tOTwr/MaF7JURlNSQVL4nFScvUIZxuG1K++DENO&#10;KyWdqrDSCn/hIdC+EL+jo0PiRYyUceLXUyCbTGGwpowkOTy0HeqEVES5ZMnSUFnis4IXYXXgF9lI&#10;LgQtAqvQtYFtzlhxWeJaIm8Wla3RwVEDq+88rP/F1TlTkmCquo6q5CQDj9/88/37X35U4ARYZ1ZG&#10;HnQ6Y+Wb8pzJJULzdeF/y5W8+KoAk+qi42jYUxxH3W3zkGXidlizMkcHXLcOoPNK8eGkNbEM2zFU&#10;xYdrhm7oumVLF/kx+LG774XZnH5V3zrWtIm8z5w4Lk6IePKZOLN2JrMScMs7Y/K7GfNNTEqKPuLC&#10;TrUxYSrSlh/+/u7mj5/ev/3XUz6++wGaio4rErOA7sKmaGTu8dq8K+1k6jZ6g3iNqXTHAAwLO421&#10;8cJyiVcyXp3RIlNEY6qGaTE7jgmrzmXUIVDJ1WteCbd13YV3eJEmwWmSpnjAoovjlClXBKLnFP/q&#10;Jy10S3NlNlUntmHDhAhQQgihCM2sBFjxPMLnLdzB+wNr+LdqYDH9E8JjOYEAWqIX8bKkogxbMSXB&#10;qzxQqusSgJsDYaliLhkNVCWlwG+ihT0rkqSb9AR7pDmiuXGJcFU1v5jDMKJ5UQTX4OXLkiVR3AM/&#10;okrGC2LtnqPVbRBWR6s1EetcjMH6RAv9JiAGQdgEUwOtXijpNg5LvG3ir74JLPm/xZ/dmmc5AA1D&#10;WmrDALQc21IViLOhmXRtDKlSRKDlPI8IxBiW4fS4Q/ABGN4G39fp8u1fH37+7eO7X+H35s/fFQNz&#10;U03wx7lMmrw6nueYZwF+8B+SXZ3CaB60lwBoeKlJqAhROYQYb02KsF0LxhQZ08QbuyRhGzCiQCg+&#10;qw3IjvLrDJEmQJyCWddkBcnwuuFqIufcH8X3ALYrs/OKkrSKMQ3wrM4CaSRQu5raJZ+Ly8LEoAwk&#10;zd+7RHDAlOs0ArgNuXtDinIMB8QbuLnWsw2R67pu7hnK2xVK6+XEaiRtIxIegKEckGNrAVarhQ0B&#10;Zpm2ZJixPpShriZUH2DPtm8hmb0MBYJ9OBn6EAjrtoyDHGgiE92eA1GKQb7q5UDYOmEOxBGQk2Gf&#10;dHsO1CeQkAGGINekQmlIEOaIGdCWSbURpTvmwAfc5exKW08nA7Yi/WYIn1skVKOTJOMswOwTOsk1&#10;XQAXYMQwMb92OskBvCJKJOjuiJG9TmqrgVvVpVaXUmBvtTaNST/W/t+0lmJozsD9ur3XSZCbdiWc&#10;p66T2mLdEg31S3XLOzlA37qdnAlZZ4ednASiYCgD0hlsATqKGhvAliKR7Snq0W3l3E9s5QAJ22zl&#10;IDXBYAIBSyzlNgXffbnpkVV8H0Bqu3qTBZdICl92LGggKOO35aaWiVArLUhtEzLrDiRlaqJ0sZKk&#10;oCS6F1LitcNjLDi5sIVfVw8AKGzDUpa+Z6nmtVSvZvnsi+IulBtXF8XNfsFphZRqqGiZpQTSdmAp&#10;a7xnqd4LzydTFHBBVK9jKYDCNixlT9aylG6IbaWQ03sx9QzFVFsZH4opC4uEPTFV423NmzdHh02Z&#10;UEK22VQy689RahnkyDc5d33z9kyqjt2HOvg2Dj96wtd29Qda4quq/jH26j5KO/o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AcAAFtDb250ZW50&#10;X1R5cGVzXS54bWxQSwECFAAKAAAAAACHTuJAAAAAAAAAAAAAAAAABgAAAAAAAAAAABAAAADeBgAA&#10;X3JlbHMvUEsBAhQAFAAAAAgAh07iQIoUZjzRAAAAlAEAAAsAAAAAAAAAAQAgAAAAAgcAAF9yZWxz&#10;Ly5yZWxzUEsBAhQACgAAAAAAh07iQAAAAAAAAAAAAAAAAAQAAAAAAAAAAAAQAAAAAAAAAGRycy9Q&#10;SwECFAAUAAAACACHTuJAevSOX9cAAAAFAQAADwAAAAAAAAABACAAAAAiAAAAZHJzL2Rvd25yZXYu&#10;eG1sUEsBAhQAFAAAAAgAh07iQKiNyqeMBQAA3CYAAA4AAAAAAAAAAQAgAAAAJgEAAGRycy9lMm9E&#10;b2MueG1sUEsFBgAAAAAGAAYAWQEAACQJAAAAAA==&#10;">
                      <o:lock v:ext="edit" rotation="t" aspectratio="f"/>
                      <v:shape id="流程图: 过程 15" o:spid="_x0000_s1026" o:spt="109" type="#_x0000_t109" style="position:absolute;left:0;top:3156;height:808;width:1620;" fillcolor="#FFFFFF" filled="t" stroked="t" coordsize="21600,21600" o:gfxdata="UEsDBAoAAAAAAIdO4kAAAAAAAAAAAAAAAAAEAAAAZHJzL1BLAwQUAAAACACHTuJAT0sdcr0AAADa&#10;AAAADwAAAGRycy9kb3ducmV2LnhtbEWPQWvCQBSE70L/w/IK3nQ3HkpMsxEMlIZiqdpCr4/sMwlm&#10;34bsauy/7xYKHoeZ+YbJNzfbiyuNvnOsIVkqEMS1Mx03Gr4+XxYpCB+QDfaOScMPedgUD7McM+Mm&#10;PtD1GBoRIewz1NCGMGRS+roli37pBuLondxoMUQ5NtKMOEW47eVKqSdpseO40OJAZUv1+XixGqb0&#10;tVT7Tr7vq29XpR9vu+0Wvdbzx0Q9gwh0C/fwf7syGtbwdyXeAFn8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PSx1yvQAA&#10;ANoAAAAPAAAAAAAAAAEAIAAAACIAAABkcnMvZG93bnJldi54bWxQSwECFAAUAAAACACHTuJAMy8F&#10;njsAAAA5AAAAEAAAAAAAAAABACAAAAAMAQAAZHJzL3NoYXBleG1sLnhtbFBLBQYAAAAABgAGAFsB&#10;AAC2AwAAAAA=&#10;">
                        <v:fill on="t" focussize="0,0"/>
                        <v:stroke color="#000000" joinstyle="miter" dashstyle="dash"/>
                        <v:imagedata o:title=""/>
                        <o:lock v:ext="edit" aspectratio="f"/>
                        <v:textbox>
                          <w:txbxContent>
                            <w:p w14:paraId="6D9D8E3B">
                              <w:pPr>
                                <w:snapToGrid w:val="0"/>
                                <w:spacing w:line="276" w:lineRule="auto"/>
                                <w:jc w:val="center"/>
                                <w:rPr>
                                  <w:sz w:val="18"/>
                                </w:rPr>
                              </w:pPr>
                              <w:r>
                                <w:rPr>
                                  <w:rFonts w:hint="eastAsia"/>
                                  <w:sz w:val="18"/>
                                </w:rPr>
                                <w:t>设备冲洗产生废水；噪声</w:t>
                              </w:r>
                            </w:p>
                          </w:txbxContent>
                        </v:textbox>
                      </v:shape>
                      <v:group id="组合 49" o:spid="_x0000_s1026" o:spt="203" style="position:absolute;left:0;top:-3;height:3159;width:8009;" coordorigin="0,-3" coordsize="8009,3159"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shape id="流程图: 过程 22" o:spid="_x0000_s1026" o:spt="109" type="#_x0000_t109" style="position:absolute;left:4654;top:-3;height:468;width:1088;" fillcolor="#FFFFFF" filled="t" stroked="t" coordsize="21600,21600" o:gfxdata="UEsDBAoAAAAAAIdO4kAAAAAAAAAAAAAAAAAEAAAAZHJzL1BLAwQUAAAACACHTuJA5mNQgL0AAADb&#10;AAAADwAAAGRycy9kb3ducmV2LnhtbEWPT4vCMBTE78J+h/AWvIim9T9dowehogcPdvfi7dk827LN&#10;S2li1W+/WRA8DjPzG2a1eZhadNS6yrKCeBSBIM6trrhQ8POdDpcgnEfWWFsmBU9ysFl/9FaYaHvn&#10;E3WZL0SAsEtQQel9k0jp8pIMupFtiIN3ta1BH2RbSN3iPcBNLcdRNJcGKw4LJTa0LSn/zW5GwXg5&#10;yHZ8TPfTy0GnOIvP3WByUKr/GUdfIDw9/Dv8au+1gtkC/r+EHy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mY1CA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7AB1CD01">
                                <w:pPr>
                                  <w:snapToGrid w:val="0"/>
                                  <w:jc w:val="center"/>
                                  <w:rPr>
                                    <w:b/>
                                    <w:sz w:val="18"/>
                                  </w:rPr>
                                </w:pPr>
                                <w:r>
                                  <w:rPr>
                                    <w:rFonts w:hint="eastAsia"/>
                                    <w:b/>
                                    <w:sz w:val="18"/>
                                  </w:rPr>
                                  <w:t>基础施工</w:t>
                                </w:r>
                              </w:p>
                            </w:txbxContent>
                          </v:textbox>
                        </v:shape>
                        <v:line id="直接连接符 23" o:spid="_x0000_s1026" o:spt="20" style="position:absolute;left:5742;top:231;height:3;width:524;" filled="f" stroked="t" coordsize="21600,21600" o:gfxdata="UEsDBAoAAAAAAIdO4kAAAAAAAAAAAAAAAAAEAAAAZHJzL1BLAwQUAAAACACHTuJAtyGlhLoAAADb&#10;AAAADwAAAGRycy9kb3ducmV2LnhtbEVPW2vCMBR+H/gfwhn4NpMOHFKNhQ1k3Zt1iq9nzbEpbU66&#10;Jt7+vXkY7PHju6+Km+vFhcbQetaQzRQI4tqblhsN++/NywJEiMgGe8+k4U4BivXkaYW58Veu6LKL&#10;jUghHHLUYGMccilDbclhmPmBOHEnPzqMCY6NNCNeU7jr5atSb9Jhy6nB4kAflupud3YaTsNClcft&#10;8fP8Vf9u8aerDpV913r6nKkliEi3+C/+c5dGwzyNTV/SD5Dr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3IaWEugAAANsA&#10;AAAPAAAAAAAAAAEAIAAAACIAAABkcnMvZG93bnJldi54bWxQSwECFAAUAAAACACHTuJAMy8FnjsA&#10;AAA5AAAAEAAAAAAAAAABACAAAAAJAQAAZHJzL3NoYXBleG1sLnhtbFBLBQYAAAAABgAGAFsBAACz&#10;AwAAAAA=&#10;">
                          <v:fill on="f" focussize="0,0"/>
                          <v:stroke weight="1pt" color="#000000" joinstyle="round" endarrow="classic" endarrowwidth="narrow" endarrowlength="long"/>
                          <v:imagedata o:title=""/>
                          <o:lock v:ext="edit" aspectratio="f"/>
                        </v:line>
                        <v:shape id="流程图: 过程 24" o:spid="_x0000_s1026" o:spt="109" type="#_x0000_t109" style="position:absolute;left:6266;top:0;height:468;width:1113;" fillcolor="#FFFFFF" filled="t" stroked="t" coordsize="21600,21600" o:gfxdata="UEsDBAoAAAAAAIdO4kAAAAAAAAAAAAAAAAAEAAAAZHJzL1BLAwQUAAAACACHTuJAp+YCSbsAAADb&#10;AAAADwAAAGRycy9kb3ducmV2LnhtbEVPPW/CMBDdK/EfrENiQeAECkIpTgakIBg6ELp0O+JrEhGf&#10;o9gE+Pd4qMT49L632cO0YqDeNZYVxPMIBHFpdcOVgp9zPtuAcB5ZY2uZFDzJQZaOPraYaHvnEw2F&#10;r0QIYZeggtr7LpHSlTUZdHPbEQfuz/YGfYB9JXWP9xBuWrmIorU02HBoqLGjXU3ltbgZBYvNtNjz&#10;d374vBx1jqv4d5guj0pNxnH0BcLTw7/F/+6DVrAO68OX8ANk+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YCSb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035883E7">
                                <w:pPr>
                                  <w:snapToGrid w:val="0"/>
                                  <w:jc w:val="center"/>
                                  <w:rPr>
                                    <w:b/>
                                    <w:sz w:val="18"/>
                                  </w:rPr>
                                </w:pPr>
                                <w:r>
                                  <w:rPr>
                                    <w:rFonts w:hint="eastAsia"/>
                                    <w:b/>
                                    <w:sz w:val="18"/>
                                  </w:rPr>
                                  <w:t>桥墩施工</w:t>
                                </w:r>
                              </w:p>
                            </w:txbxContent>
                          </v:textbox>
                        </v:shape>
                        <v:shape id="流程图: 过程 29" o:spid="_x0000_s1026" o:spt="109" type="#_x0000_t109" style="position:absolute;left:4352;top:816;height:553;width:1705;" fillcolor="#FFFFFF" filled="t" stroked="t" coordsize="21600,21600" o:gfxdata="UEsDBAoAAAAAAIdO4kAAAAAAAAAAAAAAAAAEAAAAZHJzL1BLAwQUAAAACACHTuJA3Hv527wAAADb&#10;AAAADwAAAGRycy9kb3ducmV2LnhtbEWP3YrCMBSE74V9h3AWvNNEQSldo6CwWERZfxa8PTTHtmxz&#10;Uppo9e3NguDlMDPfMLPF3dbiRq2vHGsYDRUI4tyZigsNv6fvQQLCB2SDtWPS8CAPi/lHb4apcR0f&#10;6HYMhYgQ9ilqKENoUil9XpJFP3QNcfQurrUYomwLaVrsItzWcqzUVFqsOC6U2NCqpPzveLUaumS9&#10;UvtK7vbZ2WXJz2a7XKLXuv85Ul8gAt3DO/xqZ0bDdAL/X+IPkPM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7+du8AAAA&#10;2wAAAA8AAAAAAAAAAQAgAAAAIgAAAGRycy9kb3ducmV2LnhtbFBLAQIUABQAAAAIAIdO4kAzLwWe&#10;OwAAADkAAAAQAAAAAAAAAAEAIAAAAAsBAABkcnMvc2hhcGV4bWwueG1sUEsFBgAAAAAGAAYAWwEA&#10;ALUDAAAAAA==&#10;">
                          <v:fill on="t" focussize="0,0"/>
                          <v:stroke color="#000000" joinstyle="miter" dashstyle="dash"/>
                          <v:imagedata o:title=""/>
                          <o:lock v:ext="edit" aspectratio="f"/>
                          <v:textbox>
                            <w:txbxContent>
                              <w:p w14:paraId="4669CAEB">
                                <w:pPr>
                                  <w:snapToGrid w:val="0"/>
                                  <w:spacing w:line="276" w:lineRule="auto"/>
                                  <w:jc w:val="center"/>
                                  <w:rPr>
                                    <w:sz w:val="18"/>
                                  </w:rPr>
                                </w:pPr>
                                <w:r>
                                  <w:rPr>
                                    <w:rFonts w:hint="eastAsia"/>
                                    <w:sz w:val="18"/>
                                  </w:rPr>
                                  <w:t>噪声、钻渣、污泥</w:t>
                                </w:r>
                              </w:p>
                            </w:txbxContent>
                          </v:textbox>
                        </v:shape>
                        <v:line id="直接连接符 30" o:spid="_x0000_s1026" o:spt="20" style="position:absolute;left:5198;top:465;height:351;width:6;" filled="f" stroked="t" coordsize="21600,21600" o:gfxdata="UEsDBAoAAAAAAIdO4kAAAAAAAAAAAAAAAAAEAAAAZHJzL1BLAwQUAAAACACHTuJAzDd0nrwAAADb&#10;AAAADwAAAGRycy9kb3ducmV2LnhtbEWPS6vCMBSE94L/IRzBnaa6KFKNLq4oghvro+tjc27be5uT&#10;0sTnrzeC4HKYmW+Y2eJuanGl1lWWFYyGEQji3OqKCwXHw2owAeE8ssbaMil4kIPFvNuZYaLtjVO6&#10;7n0hAoRdggpK75tESpeXZNANbUMcvF/bGvRBtoXULd4C3NRyHEWxNFhxWCixoZ+S8v/9xSjYpqnL&#10;lqdzfbg8s7Ne754ZTf6U6vdG0RSEp7v/hj/tjVYQx/D+En6AnL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w3dJ68AAAA&#10;2wAAAA8AAAAAAAAAAQAgAAAAIgAAAGRycy9kb3ducmV2LnhtbFBLAQIUABQAAAAIAIdO4kAzLwWe&#10;OwAAADkAAAAQAAAAAAAAAAEAIAAAAAsBAABkcnMvc2hhcGV4bWwueG1sUEsFBgAAAAAGAAYAWwEA&#10;ALUDAAAAAA==&#10;">
                          <v:fill on="f" focussize="0,0"/>
                          <v:stroke color="#000000" joinstyle="round" dashstyle="dash" endarrow="classic" endarrowwidth="narrow" endarrowlength="long"/>
                          <v:imagedata o:title=""/>
                          <o:lock v:ext="edit" aspectratio="f"/>
                        </v:line>
                        <v:line id="直接连接符 33" o:spid="_x0000_s1026" o:spt="20" style="position:absolute;left:7379;top:234;height:0;width:630;" filled="f" stroked="t" coordsize="21600,21600" o:gfxdata="UEsDBAoAAAAAAIdO4kAAAAAAAAAAAAAAAAAEAAAAZHJzL1BLAwQUAAAACACHTuJACNL7S7wAAADb&#10;AAAADwAAAGRycy9kb3ducmV2LnhtbEWPzYoCMRCE74LvEFrwpokeXJk1CiuIenPUxWvvpJ0MTjrj&#10;JP69/WZhwWNRVV9Rs8XT1eJObag8axgNFQjiwpuKSw3Hw2owBREissHaM2l4UYDFvNuZYWb8g3O6&#10;72MpEoRDhhpsjE0mZSgsOQxD3xAn7+xbhzHJtpSmxUeCu1qOlZpIhxWnBYsNLS0Vl/3NaTg3U7U5&#10;7U7r27a47vDnkn/n9kvrfm+kPkFEesZ3+L+9MRomH/D3Jf0AOf8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S+0u8AAAA&#10;2wAAAA8AAAAAAAAAAQAgAAAAIgAAAGRycy9kb3ducmV2LnhtbFBLAQIUABQAAAAIAIdO4kAzLwWe&#10;OwAAADkAAAAQAAAAAAAAAAEAIAAAAAsBAABkcnMvc2hhcGV4bWwueG1sUEsFBgAAAAAGAAYAWwEA&#10;ALUDAAAAAA==&#10;">
                          <v:fill on="f" focussize="0,0"/>
                          <v:stroke weight="1pt" color="#000000" joinstyle="round" endarrow="classic" endarrowwidth="narrow" endarrowlength="long"/>
                          <v:imagedata o:title=""/>
                          <o:lock v:ext="edit" aspectratio="f"/>
                        </v:line>
                        <v:shape id="流程图: 过程 34" o:spid="_x0000_s1026" o:spt="109" type="#_x0000_t109" style="position:absolute;left:0;top:2064;height:468;width:1513;" fillcolor="#FFFFFF" filled="t" stroked="t" coordsize="21600,21600" o:gfxdata="UEsDBAoAAAAAAIdO4kAAAAAAAAAAAAAAAAAEAAAAZHJzL1BLAwQUAAAACACHTuJAWZAOT7sAAADb&#10;AAAADwAAAGRycy9kb3ducmV2LnhtbEVPPW/CMBDdK/EfrENiQeAECkIpTgakIBg6ELp0O+JrEhGf&#10;o9gE+Pd4qMT49L632cO0YqDeNZYVxPMIBHFpdcOVgp9zPtuAcB5ZY2uZFDzJQZaOPraYaHvnEw2F&#10;r0QIYZeggtr7LpHSlTUZdHPbEQfuz/YGfYB9JXWP9xBuWrmIorU02HBoqLGjXU3ltbgZBYvNtNjz&#10;d374vBx1jqv4d5guj0pNxnH0BcLTw7/F/+6DVrAOY8OX8ANk+g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ZAOT7sAAADb&#10;AAAADwAAAAAAAAABACAAAAAiAAAAZHJzL2Rvd25yZXYueG1sUEsBAhQAFAAAAAgAh07iQDMvBZ47&#10;AAAAOQAAABAAAAAAAAAAAQAgAAAACgEAAGRycy9zaGFwZXhtbC54bWxQSwUGAAAAAAYABgBbAQAA&#10;tAMAAAAA&#10;">
                          <v:fill on="t" focussize="0,0"/>
                          <v:stroke color="#000000" joinstyle="miter"/>
                          <v:imagedata o:title=""/>
                          <o:lock v:ext="edit" aspectratio="f"/>
                          <v:textbox>
                            <w:txbxContent>
                              <w:p w14:paraId="201134BE">
                                <w:pPr>
                                  <w:snapToGrid w:val="0"/>
                                  <w:jc w:val="center"/>
                                  <w:rPr>
                                    <w:b/>
                                    <w:sz w:val="18"/>
                                  </w:rPr>
                                </w:pPr>
                                <w:r>
                                  <w:rPr>
                                    <w:rFonts w:hint="eastAsia"/>
                                    <w:b/>
                                    <w:sz w:val="18"/>
                                  </w:rPr>
                                  <w:t>上部结构施工</w:t>
                                </w:r>
                              </w:p>
                            </w:txbxContent>
                          </v:textbox>
                        </v:shape>
                        <v:line id="直接连接符 35" o:spid="_x0000_s1026" o:spt="20" style="position:absolute;left:1513;top:2298;height:0;width:827;" filled="f" stroked="t" coordsize="21600,21600" o:gfxdata="UEsDBAoAAAAAAIdO4kAAAAAAAAAAAAAAAAAEAAAAZHJzL1BLAwQUAAAACACHTuJAFgHKorwAAADb&#10;AAAADwAAAGRycy9kb3ducmV2LnhtbEWPzYoCMRCE7wu+Q2jB25q4B3FHo6AgujfHVby2k3YyOOmM&#10;k/j39kZY2GNRVV9Rk9nD1eJGbag8axj0FQjiwpuKSw273+XnCESIyAZrz6ThSQFm087HBDPj75zT&#10;bRtLkSAcMtRgY2wyKUNhyWHo+4Y4eSffOoxJtqU0Ld4T3NXyS6mhdFhxWrDY0MJScd5enYZTM1Lr&#10;w+awuv4Ulw0ez/k+t3Ote92BGoOI9Ij/4b/22mgYfsP7S/oBcvo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YByqK8AAAA&#10;2wAAAA8AAAAAAAAAAQAgAAAAIgAAAGRycy9kb3ducmV2LnhtbFBLAQIUABQAAAAIAIdO4kAzLwWe&#10;OwAAADkAAAAQAAAAAAAAAAEAIAAAAAsBAABkcnMvc2hhcGV4bWwueG1sUEsFBgAAAAAGAAYAWwEA&#10;ALUDAAAAAA==&#10;">
                          <v:fill on="f" focussize="0,0"/>
                          <v:stroke weight="1pt" color="#000000" joinstyle="round" endarrow="classic" endarrowwidth="narrow" endarrowlength="long"/>
                          <v:imagedata o:title=""/>
                          <o:lock v:ext="edit" aspectratio="f"/>
                        </v:line>
                        <v:shape id="流程图: 过程 36" o:spid="_x0000_s1026" o:spt="109" type="#_x0000_t109" style="position:absolute;left:2340;top:2064;height:468;width:720;" fillcolor="#FFFFFF" filled="t" stroked="t" coordsize="21600,21600" o:gfxdata="UEsDBAoAAAAAAIdO4kAAAAAAAAAAAAAAAAAEAAAAZHJzL1BLAwQUAAAACACHTuJAIj+UlLwAAADb&#10;AAAADwAAAGRycy9kb3ducmV2LnhtbEVPPW+DMBDdK+U/WBepS5QYaJsiGidDJSoydCjJ0u2CL4CK&#10;zwi7QP99PETq+PS+d4fZdGKkwbWWFcSbCARxZXXLtYLzKV+nIJxH1thZJgV/5OCwXzzsMNN24i8a&#10;S1+LEMIuQwWN930mpasaMug2ticO3NUOBn2AQy31gFMIN51MomgrDbYcGhrs6b2h6qf8NQqSdFV+&#10;8GdePF+OOseX+HtcPR2VelzG0RsIT7P/F9/dhVbwGtaHL+EHyP0N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I/lJS8AAAA&#10;2wAAAA8AAAAAAAAAAQAgAAAAIgAAAGRycy9kb3ducmV2LnhtbFBLAQIUABQAAAAIAIdO4kAzLwWe&#10;OwAAADkAAAAQAAAAAAAAAAEAIAAAAAsBAABkcnMvc2hhcGV4bWwueG1sUEsFBgAAAAAGAAYAWwEA&#10;ALUDAAAAAA==&#10;">
                          <v:fill on="t" focussize="0,0"/>
                          <v:stroke color="#000000" joinstyle="miter"/>
                          <v:imagedata o:title=""/>
                          <o:lock v:ext="edit" aspectratio="f"/>
                          <v:textbox>
                            <w:txbxContent>
                              <w:p w14:paraId="5CE2B431">
                                <w:pPr>
                                  <w:snapToGrid w:val="0"/>
                                  <w:jc w:val="center"/>
                                  <w:rPr>
                                    <w:b/>
                                    <w:sz w:val="18"/>
                                  </w:rPr>
                                </w:pPr>
                                <w:r>
                                  <w:rPr>
                                    <w:rFonts w:hint="eastAsia"/>
                                    <w:b/>
                                    <w:sz w:val="18"/>
                                  </w:rPr>
                                  <w:t>架梁</w:t>
                                </w:r>
                              </w:p>
                            </w:txbxContent>
                          </v:textbox>
                        </v:shape>
                        <v:line id="直接连接符 37" o:spid="_x0000_s1026" o:spt="20" style="position:absolute;left:3060;top:2298;height:0;width:1080;" filled="f" stroked="t" coordsize="21600,21600" o:gfxdata="UEsDBAoAAAAAAIdO4kAAAAAAAAAAAAAAAAAEAAAAZHJzL1BLAwQUAAAACACHTuJAba5QebwAAADb&#10;AAAADwAAAGRycy9kb3ducmV2LnhtbEWPT2sCMRTE74LfITyhN03WQ5WtUVAo2ptrFa+vm+dmcfOy&#10;3cQ//fZGEHocZuY3zGxxd424UhdqzxqykQJBXHpTc6Vh//05nIIIEdlg45k0/FGAxbzfm2Fu/I0L&#10;uu5iJRKEQ44abIxtLmUoLTkMI98SJ+/kO4cxya6SpsNbgrtGjpV6lw5rTgsWW1pZKs+7i9Nwaqdq&#10;c9we15ev8neLP+fiUNil1m+DTH2AiHSP/+FXe2M0TDJ4fkk/QM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2uUHm8AAAA&#10;2wAAAA8AAAAAAAAAAQAgAAAAIgAAAGRycy9kb3ducmV2LnhtbFBLAQIUABQAAAAIAIdO4kAzLwWe&#10;OwAAADkAAAAQAAAAAAAAAAEAIAAAAAsBAABkcnMvc2hhcGV4bWwueG1sUEsFBgAAAAAGAAYAWwEA&#10;ALUDAAAAAA==&#10;">
                          <v:fill on="f" focussize="0,0"/>
                          <v:stroke weight="1pt" color="#000000" joinstyle="round" endarrow="classic" endarrowwidth="narrow" endarrowlength="long"/>
                          <v:imagedata o:title=""/>
                          <o:lock v:ext="edit" aspectratio="f"/>
                        </v:line>
                        <v:shape id="流程图: 过程 38" o:spid="_x0000_s1026" o:spt="109" type="#_x0000_t109" style="position:absolute;left:4140;top:2064;height:468;width:720;" fillcolor="#FFFFFF" filled="t" stroked="t" coordsize="21600,21600" o:gfxdata="UEsDBAoAAAAAAIdO4kAAAAAAAAAAAAAAAAAEAAAAZHJzL1BLAwQUAAAACACHTuJAvaGveL8AAADb&#10;AAAADwAAAGRycy9kb3ducmV2LnhtbEWPQWvCQBSE7wX/w/IKXqTZJG1tiFk9CCl66MHUS2+v2WcS&#10;mn0bsmu0/74rCD0OM/MNU2yuphcTja6zrCCJYhDEtdUdNwqOn+VTBsJ5ZI29ZVLwSw4269lDgbm2&#10;Fz7QVPlGBAi7HBW03g+5lK5uyaCL7EAcvJMdDfogx0bqES8BbnqZxvFSGuw4LLQ40Lal+qc6GwVp&#10;tqje+aPcvXzvdYmvyde0eN4rNX9M4hUIT1f/H763d1rBWwq3L+EHy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2hr3i/&#10;AAAA2wAAAA8AAAAAAAAAAQAgAAAAIgAAAGRycy9kb3ducmV2LnhtbFBLAQIUABQAAAAIAIdO4kAz&#10;LwWeOwAAADkAAAAQAAAAAAAAAAEAIAAAAA4BAABkcnMvc2hhcGV4bWwueG1sUEsFBgAAAAAGAAYA&#10;WwEAALgDAAAAAA==&#10;">
                          <v:fill on="t" focussize="0,0"/>
                          <v:stroke color="#000000" joinstyle="miter"/>
                          <v:imagedata o:title=""/>
                          <o:lock v:ext="edit" aspectratio="f"/>
                          <v:textbox>
                            <w:txbxContent>
                              <w:p w14:paraId="606CCC27">
                                <w:pPr>
                                  <w:snapToGrid w:val="0"/>
                                  <w:jc w:val="center"/>
                                  <w:rPr>
                                    <w:b/>
                                    <w:sz w:val="18"/>
                                  </w:rPr>
                                </w:pPr>
                                <w:r>
                                  <w:rPr>
                                    <w:rFonts w:hint="eastAsia"/>
                                    <w:b/>
                                    <w:sz w:val="18"/>
                                  </w:rPr>
                                  <w:t>桥面</w:t>
                                </w:r>
                              </w:p>
                            </w:txbxContent>
                          </v:textbox>
                        </v:shape>
                        <v:line id="直接连接符 39" o:spid="_x0000_s1026" o:spt="20" style="position:absolute;left:4860;top:2298;height:0;width:1080;" filled="f" stroked="t" coordsize="21600,21600" o:gfxdata="UEsDBAoAAAAAAIdO4kAAAAAAAAAAAAAAAAAEAAAAZHJzL1BLAwQUAAAACACHTuJA8jBrlb0AAADb&#10;AAAADwAAAGRycy9kb3ducmV2LnhtbEWPW2sCMRSE3wv+h3AE32qiQiurUVAo6pvrBV+Pm+NmcXOy&#10;3cTbv28KhT4OM/MNM50/XS3u1IbKs4ZBX4EgLrypuNRw2H+9j0GEiGyw9kwaXhRgPuu8TTEz/sE5&#10;3XexFAnCIUMNNsYmkzIUlhyGvm+Ik3fxrcOYZFtK0+IjwV0th0p9SIcVpwWLDS0tFdfdzWm4NGO1&#10;Pm1Pq9um+N7i+Zofc7vQutcdqAmISM/4H/5rr42GzxH8fkk/QM5+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yMGuVvQAA&#10;ANsAAAAPAAAAAAAAAAEAIAAAACIAAABkcnMvZG93bnJldi54bWxQSwECFAAUAAAACACHTuJAMy8F&#10;njsAAAA5AAAAEAAAAAAAAAABACAAAAAMAQAAZHJzL3NoYXBleG1sLnhtbFBLBQYAAAAABgAGAFsB&#10;AAC2AwAAAAA=&#10;">
                          <v:fill on="f" focussize="0,0"/>
                          <v:stroke weight="1pt" color="#000000" joinstyle="round" endarrow="classic" endarrowwidth="narrow" endarrowlength="long"/>
                          <v:imagedata o:title=""/>
                          <o:lock v:ext="edit" aspectratio="f"/>
                        </v:line>
                        <v:shape id="流程图: 过程 40" o:spid="_x0000_s1026" o:spt="109" type="#_x0000_t109" style="position:absolute;left:5940;top:2064;height:468;width:1268;" fillcolor="#FFFFFF" filled="t" stroked="t" coordsize="21600,21600" o:gfxdata="UEsDBAoAAAAAAIdO4kAAAAAAAAAAAAAAAAAEAAAAZHJzL1BLAwQUAAAACACHTuJAXQSSl70AAADb&#10;AAAADwAAAGRycy9kb3ducmV2LnhtbEWPT4vCMBTE78J+h/AWvIim9T9dowehogcPdvfi7dk827LN&#10;S2li1W+/WRA8DjPzG2a1eZhadNS6yrKCeBSBIM6trrhQ8POdDpcgnEfWWFsmBU9ysFl/9FaYaHvn&#10;E3WZL0SAsEtQQel9k0jp8pIMupFtiIN3ta1BH2RbSN3iPcBNLcdRNJcGKw4LJTa0LSn/zW5GwXg5&#10;yHZ8TPfTy0GnOIvP3WByUKr/GUdfIDw9/Dv8au+1gsUU/r+EHyD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BJKXvQAA&#10;ANsAAAAPAAAAAAAAAAEAIAAAACIAAABkcnMvZG93bnJldi54bWxQSwECFAAUAAAACACHTuJAMy8F&#10;njsAAAA5AAAAEAAAAAAAAAABACAAAAAMAQAAZHJzL3NoYXBleG1sLnhtbFBLBQYAAAAABgAGAFsB&#10;AAC2AwAAAAA=&#10;">
                          <v:fill on="t" focussize="0,0"/>
                          <v:stroke color="#000000" joinstyle="miter"/>
                          <v:imagedata o:title=""/>
                          <o:lock v:ext="edit" aspectratio="f"/>
                          <v:textbox>
                            <w:txbxContent>
                              <w:p w14:paraId="605DD3BC">
                                <w:pPr>
                                  <w:snapToGrid w:val="0"/>
                                  <w:jc w:val="center"/>
                                  <w:rPr>
                                    <w:b/>
                                    <w:sz w:val="18"/>
                                  </w:rPr>
                                </w:pPr>
                                <w:r>
                                  <w:rPr>
                                    <w:rFonts w:hint="eastAsia"/>
                                    <w:b/>
                                    <w:sz w:val="18"/>
                                  </w:rPr>
                                  <w:t>附属工程</w:t>
                                </w:r>
                              </w:p>
                            </w:txbxContent>
                          </v:textbox>
                        </v:shape>
                        <v:line id="直接连接符 41" o:spid="_x0000_s1026" o:spt="20" style="position:absolute;left:617;top:2532;height:624;width:0;" filled="f" stroked="t" coordsize="21600,21600" o:gfxdata="UEsDBAoAAAAAAIdO4kAAAAAAAAAAAAAAAAAEAAAAZHJzL1BLAwQUAAAACACHTuJAuTx8NL4AAADb&#10;AAAADwAAAGRycy9kb3ducmV2LnhtbEWPQWvCQBSE7wX/w/KE3pqNQqtEVw+KpdBLo23OL9lnEs2+&#10;DdlNtP76bkHwOMzMN8xyfTWNGKhztWUFkygGQVxYXXOp4Puwe5mDcB5ZY2OZFPySg/Vq9LTERNsL&#10;pzTsfSkChF2CCirv20RKV1Rk0EW2JQ7e0XYGfZBdKXWHlwA3jZzG8Zs0WHNYqLClTUXFed8bBZ9p&#10;6rLtT94c+luW6/evW0bzk1LP40m8AOHp6h/he/tDK5i9wv+X8APk6g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Tx8NL4A&#10;AADbAAAADwAAAAAAAAABACAAAAAiAAAAZHJzL2Rvd25yZXYueG1sUEsBAhQAFAAAAAgAh07iQDMv&#10;BZ47AAAAOQAAABAAAAAAAAAAAQAgAAAADQEAAGRycy9zaGFwZXhtbC54bWxQSwUGAAAAAAYABgBb&#10;AQAAtwMAAAAA&#10;">
                          <v:fill on="f" focussize="0,0"/>
                          <v:stroke color="#000000" joinstyle="round" dashstyle="dash" endarrow="classic" endarrowwidth="narrow" endarrowlength="long"/>
                          <v:imagedata o:title=""/>
                          <o:lock v:ext="edit" aspectratio="f"/>
                        </v:line>
                      </v:group>
                      <w10:wrap type="none"/>
                      <w10:anchorlock/>
                    </v:group>
                  </w:pict>
                </mc:Fallback>
              </mc:AlternateContent>
            </w:r>
            <w:r>
              <w:rPr>
                <w:rFonts w:hint="default" w:ascii="Times New Roman" w:hAnsi="Times New Roman" w:cs="Times New Roman"/>
                <w:color w:val="auto"/>
              </w:rPr>
              <mc:AlternateContent>
                <mc:Choice Requires="wps">
                  <w:drawing>
                    <wp:anchor distT="0" distB="0" distL="114300" distR="114300" simplePos="0" relativeHeight="251663360" behindDoc="0" locked="0" layoutInCell="1" allowOverlap="1">
                      <wp:simplePos x="0" y="0"/>
                      <wp:positionH relativeFrom="column">
                        <wp:posOffset>4293235</wp:posOffset>
                      </wp:positionH>
                      <wp:positionV relativeFrom="paragraph">
                        <wp:posOffset>252730</wp:posOffset>
                      </wp:positionV>
                      <wp:extent cx="0" cy="203835"/>
                      <wp:effectExtent l="25400" t="0" r="25400" b="12065"/>
                      <wp:wrapNone/>
                      <wp:docPr id="5" name="直接连接符 2"/>
                      <wp:cNvGraphicFramePr/>
                      <a:graphic xmlns:a="http://schemas.openxmlformats.org/drawingml/2006/main">
                        <a:graphicData uri="http://schemas.microsoft.com/office/word/2010/wordprocessingShape">
                          <wps:wsp>
                            <wps:cNvCnPr/>
                            <wps:spPr>
                              <a:xfrm>
                                <a:off x="0" y="0"/>
                                <a:ext cx="0" cy="203824"/>
                              </a:xfrm>
                              <a:prstGeom prst="line">
                                <a:avLst/>
                              </a:prstGeom>
                              <a:ln w="9525" cap="flat" cmpd="sng">
                                <a:solidFill>
                                  <a:srgbClr val="000000"/>
                                </a:solidFill>
                                <a:prstDash val="dash"/>
                                <a:headEnd type="none" w="med" len="med"/>
                                <a:tailEnd type="stealth" w="sm" len="lg"/>
                              </a:ln>
                            </wps:spPr>
                            <wps:bodyPr/>
                          </wps:wsp>
                        </a:graphicData>
                      </a:graphic>
                    </wp:anchor>
                  </w:drawing>
                </mc:Choice>
                <mc:Fallback>
                  <w:pict>
                    <v:line id="直接连接符 2" o:spid="_x0000_s1026" o:spt="20" style="position:absolute;left:0pt;margin-left:338.05pt;margin-top:19.9pt;height:16.05pt;width:0pt;z-index:251663360;mso-width-relative:page;mso-height-relative:page;" filled="f" stroked="t" coordsize="21600,21600" o:gfxdata="UEsDBAoAAAAAAIdO4kAAAAAAAAAAAAAAAAAEAAAAZHJzL1BLAwQUAAAACACHTuJA21r7MNYAAAAJ&#10;AQAADwAAAGRycy9kb3ducmV2LnhtbE2PwU7DMAyG70i8Q2QkbiwtSN1Wmu4AggsXukHPaWPaQuJU&#10;TbqNPT1GHMbR9qff319sjs6KPU5h8KQgXSQgkFpvBuoUvO2eblYgQtRktPWECr4xwKa8vCh0bvyB&#10;KtxvYyc4hEKuFfQxjrmUoe3R6bDwIxLfPvzkdORx6qSZ9IHDnZW3SZJJpwfiD70e8aHH9ms7OwUv&#10;VRXqx/fG7uZT3Zjn11ONq0+lrq/S5B5ExGM8w/Crz+pQslPjZzJBWAXZMksZVXC35goM/C0aBct0&#10;DbIs5P8G5Q9QSwMEFAAAAAgAh07iQBlj7tjzAQAA1wMAAA4AAABkcnMvZTJvRG9jLnhtbK1TS44T&#10;MRDdI3EHy3vSmcCgoZXOLCYMGwSRgANUbHe3Jf/k8qSTS3ABJHawYsme28xwDMruJoFhMwt64S6X&#10;n5/rPZeXl3tr2E5F1N41/Gw250w54aV2XcM/vL9+csEZJnASjHeq4QeF/HL1+NFyCLVa+N4bqSIj&#10;Eof1EBrepxTqqkLRKws480E5Wmx9tJBoGrtKRhiI3ZpqMZ8/rwYfZYheKETKrsdFPjHGhxD6ttVC&#10;rb24scqlkTUqA4kkYa8D8lWptm2VSG/bFlVipuGkNJWRDqF4m8dqtYS6ixB6LaYS4CEl3NNkQTs6&#10;9Ei1hgTsJup/qKwW0aNv00x4W41CiiOk4mx+z5t3PQRVtJDVGI6m4/+jFW92m8i0bPg5Zw4sXfjd&#10;p++3H7/8/PGZxrtvX9kimzQErAl75TZxmmHYxKx430ab/6SF7Yuxh6Oxap+YGJOCsov504vFs0xX&#10;nfaFiOmV8pbloOFGuywZati9xjRCf0Ny2jg2NPzF+YLqFUD919K9U2gDaUDXlb3ojZbX2pi8A2O3&#10;vTKR7SD3QPmmEv6C5UPWgP2IkxRlFNS9AvnSSZYOgcxx9CZ4rsAqyZlR9IRyVJAJtDkhMSkwqS9g&#10;tBPWdNPRxpEJ2dTRxhxtvTwUd0ue7rvYNPVmbqg/52X36T2ufg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DbWvsw1gAAAAkBAAAPAAAAAAAAAAEAIAAAACIAAABkcnMvZG93bnJldi54bWxQSwECFAAU&#10;AAAACACHTuJAGWPu2PMBAADXAwAADgAAAAAAAAABACAAAAAlAQAAZHJzL2Uyb0RvYy54bWxQSwUG&#10;AAAAAAYABgBZAQAAigUAAAAA&#10;">
                      <v:fill on="f" focussize="0,0"/>
                      <v:stroke color="#000000" joinstyle="round" dashstyle="dash" endarrow="classic" endarrowwidth="narrow" endarrowlength="long"/>
                      <v:imagedata o:title=""/>
                      <o:lock v:ext="edit" aspectratio="f"/>
                    </v:line>
                  </w:pict>
                </mc:Fallback>
              </mc:AlternateContent>
            </w:r>
            <w:r>
              <w:rPr>
                <w:rFonts w:hint="default" w:ascii="Times New Roman" w:hAnsi="Times New Roman" w:cs="Times New Roman"/>
                <w:color w:val="auto"/>
              </w:rPr>
              <mc:AlternateContent>
                <mc:Choice Requires="wps">
                  <w:drawing>
                    <wp:anchor distT="0" distB="0" distL="114300" distR="114300" simplePos="0" relativeHeight="251662336" behindDoc="0" locked="0" layoutInCell="1" allowOverlap="1">
                      <wp:simplePos x="0" y="0"/>
                      <wp:positionH relativeFrom="column">
                        <wp:posOffset>3890010</wp:posOffset>
                      </wp:positionH>
                      <wp:positionV relativeFrom="paragraph">
                        <wp:posOffset>459740</wp:posOffset>
                      </wp:positionV>
                      <wp:extent cx="1000125" cy="257175"/>
                      <wp:effectExtent l="4445" t="5080" r="11430" b="4445"/>
                      <wp:wrapNone/>
                      <wp:docPr id="6" name="流程图: 过程 1"/>
                      <wp:cNvGraphicFramePr/>
                      <a:graphic xmlns:a="http://schemas.openxmlformats.org/drawingml/2006/main">
                        <a:graphicData uri="http://schemas.microsoft.com/office/word/2010/wordprocessingShape">
                          <wps:wsp>
                            <wps:cNvSpPr/>
                            <wps:spPr>
                              <a:xfrm>
                                <a:off x="0" y="0"/>
                                <a:ext cx="1000125" cy="257175"/>
                              </a:xfrm>
                              <a:prstGeom prst="flowChartProcess">
                                <a:avLst/>
                              </a:prstGeom>
                              <a:solidFill>
                                <a:srgbClr val="FFFFFF"/>
                              </a:solidFill>
                              <a:ln w="9525" cap="flat" cmpd="sng">
                                <a:solidFill>
                                  <a:srgbClr val="000000"/>
                                </a:solidFill>
                                <a:prstDash val="dash"/>
                                <a:miter/>
                                <a:headEnd type="none" w="med" len="med"/>
                                <a:tailEnd type="none" w="med" len="med"/>
                              </a:ln>
                            </wps:spPr>
                            <wps:txbx>
                              <w:txbxContent>
                                <w:p w14:paraId="48BC6B49">
                                  <w:pPr>
                                    <w:snapToGrid w:val="0"/>
                                    <w:spacing w:line="276" w:lineRule="auto"/>
                                    <w:jc w:val="center"/>
                                    <w:rPr>
                                      <w:sz w:val="18"/>
                                    </w:rPr>
                                  </w:pPr>
                                  <w:r>
                                    <w:rPr>
                                      <w:rFonts w:hint="eastAsia"/>
                                      <w:sz w:val="18"/>
                                    </w:rPr>
                                    <w:t>噪声、养护废水</w:t>
                                  </w:r>
                                </w:p>
                              </w:txbxContent>
                            </wps:txbx>
                            <wps:bodyPr wrap="square" upright="1"/>
                          </wps:wsp>
                        </a:graphicData>
                      </a:graphic>
                    </wp:anchor>
                  </w:drawing>
                </mc:Choice>
                <mc:Fallback>
                  <w:pict>
                    <v:shape id="流程图: 过程 1" o:spid="_x0000_s1026" o:spt="109" type="#_x0000_t109" style="position:absolute;left:0pt;margin-left:306.3pt;margin-top:36.2pt;height:20.25pt;width:78.75pt;z-index:251662336;mso-width-relative:page;mso-height-relative:page;" fillcolor="#FFFFFF" filled="t" stroked="t" coordsize="21600,21600" o:gfxdata="UEsDBAoAAAAAAIdO4kAAAAAAAAAAAAAAAAAEAAAAZHJzL1BLAwQUAAAACACHTuJAh3JbatkAAAAK&#10;AQAADwAAAGRycy9kb3ducmV2LnhtbE2PQUvDQBCF74L/YRnBm93dIEmM2RRaEIsorVXwOk3GJJjd&#10;DdltU/+940mPw/t475tyebaDONEUeu8M6IUCQa72Te9aA+9vDzc5iBDRNTh4Rwa+KcCyurwosWj8&#10;7F7ptI+t4BIXCjTQxTgWUoa6I4th4UdynH36yWLkc2plM+HM5XaQiVKptNg7XuhwpHVH9df+aA3M&#10;+eNa7Xr5stt8+E2+fXperTAYc32l1T2ISOf4B8OvPqtDxU4Hf3RNEIOBVCcpoway5BYEA1mmNIgD&#10;kzq5A1mV8v8L1Q9QSwMEFAAAAAgAh07iQAzRgksgAgAATQQAAA4AAABkcnMvZTJvRG9jLnhtbK1U&#10;S5LTMBDdU8UdVNoT26nKDLjizGJC2FCQqoEDdCQ5VpV+SErsLFmx4AhcgAuwhdPwOQYtOWQ+sMgC&#10;L5wnq/W63+tW5leDVmQvfJDWNLSalJQIwyyXZtvQt29WT55SEiIYDsoa0dCDCPRq8fjRvHe1mNrO&#10;Ki48QRIT6t41tIvR1UURWCc0hIl1wuBma72GiEu/LbiHHtm1KqZleVH01nPnLRMh4NfluEmPjP4c&#10;Qtu2komlZTstTBxZvVAQUVLopAt0kattW8Hi67YNIhLVUFQa8xuTIN6kd7GYQ7314DrJjiXAOSU8&#10;0KRBGkx6olpCBLLz8i8qLZm3wbZxwqwuRiHZEVRRlQ+8uenAiawFrQ7uZHr4f7Ts1X7tieQNvaDE&#10;gMaG//jy/ufnj98/fa3Jr28fEJIq2dS7UGP0jVv74yogTJqH1uv0i2rIkK09nKwVQyQMP1ZlWVbT&#10;GSUM96azy+pylkiL29POh/hCWE0SaGirbH/dgY/rcVSyu7B/GeJ47E94ShysknwllcoLv91cK0/2&#10;gC1f5eeY6V6YMqRv6LNZrglwjlucHyxPO/QimG3Od+9EuEuMcvD5F3EqbAmhGwvgiFIU1FpG4TPq&#10;BPDnhpN4cGi3wVtGUy1acEqUwEuZUI6MINU5kWijMuhm6tHYlYTisBmQJsGN5Qfsc4+Djure7cBj&#10;zp3zctuh17m/+TBOWW7K8UakMb67zilu/wUWv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Hcltq&#10;2QAAAAoBAAAPAAAAAAAAAAEAIAAAACIAAABkcnMvZG93bnJldi54bWxQSwECFAAUAAAACACHTuJA&#10;DNGCSyACAABNBAAADgAAAAAAAAABACAAAAAoAQAAZHJzL2Uyb0RvYy54bWxQSwUGAAAAAAYABgBZ&#10;AQAAugUAAAAA&#10;">
                      <v:fill on="t" focussize="0,0"/>
                      <v:stroke color="#000000" joinstyle="miter" dashstyle="dash"/>
                      <v:imagedata o:title=""/>
                      <o:lock v:ext="edit" aspectratio="f"/>
                      <v:textbox>
                        <w:txbxContent>
                          <w:p w14:paraId="48BC6B49">
                            <w:pPr>
                              <w:snapToGrid w:val="0"/>
                              <w:spacing w:line="276" w:lineRule="auto"/>
                              <w:jc w:val="center"/>
                              <w:rPr>
                                <w:sz w:val="18"/>
                              </w:rPr>
                            </w:pPr>
                            <w:r>
                              <w:rPr>
                                <w:rFonts w:hint="eastAsia"/>
                                <w:sz w:val="18"/>
                              </w:rPr>
                              <w:t>噪声、养护废水</w:t>
                            </w:r>
                          </w:p>
                        </w:txbxContent>
                      </v:textbox>
                    </v:shape>
                  </w:pict>
                </mc:Fallback>
              </mc:AlternateContent>
            </w:r>
          </w:p>
          <w:p w14:paraId="058C3E21">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 xml:space="preserve">14 </w:t>
            </w:r>
            <w:r>
              <w:rPr>
                <w:rFonts w:hint="default" w:ascii="Times New Roman" w:hAnsi="Times New Roman" w:cs="Times New Roman"/>
                <w:b/>
                <w:bCs/>
                <w:color w:val="auto"/>
              </w:rPr>
              <w:t>桥梁工程施工工艺流程及产污环节图</w:t>
            </w:r>
          </w:p>
          <w:p w14:paraId="4D343785">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①</w:t>
            </w:r>
            <w:r>
              <w:rPr>
                <w:rFonts w:hint="default" w:ascii="Times New Roman" w:hAnsi="Times New Roman" w:cs="Times New Roman"/>
                <w:b/>
                <w:bCs/>
                <w:color w:val="auto"/>
                <w:sz w:val="24"/>
                <w:szCs w:val="32"/>
              </w:rPr>
              <w:t>基础施工</w:t>
            </w:r>
          </w:p>
          <w:p w14:paraId="7C55B65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lang w:val="en-US" w:eastAsia="zh-CN"/>
              </w:rPr>
              <w:t>本项目桥梁不跨河，不涉水施工，</w:t>
            </w:r>
            <w:r>
              <w:rPr>
                <w:rFonts w:hint="default" w:ascii="Times New Roman" w:hAnsi="Times New Roman" w:cs="Times New Roman"/>
                <w:color w:val="auto"/>
                <w:kern w:val="0"/>
                <w:sz w:val="24"/>
                <w:szCs w:val="24"/>
              </w:rPr>
              <w:t>首先对桥墩所在位置进行钻孔，会产生噪声、钻屑、污泥，再对基坑采取降、排水措施，保证基坑内无积水。桥台属大体积混凝土工程，为避免混凝土浇筑时产生过大的水化热，应分层进行浇筑（采用商品混凝土）。</w:t>
            </w:r>
          </w:p>
          <w:p w14:paraId="2C6B2535">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②</w:t>
            </w:r>
            <w:r>
              <w:rPr>
                <w:rFonts w:hint="default" w:ascii="Times New Roman" w:hAnsi="Times New Roman" w:cs="Times New Roman"/>
                <w:b/>
                <w:bCs/>
                <w:color w:val="auto"/>
                <w:sz w:val="24"/>
                <w:szCs w:val="32"/>
              </w:rPr>
              <w:t>桥墩施工</w:t>
            </w:r>
          </w:p>
          <w:p w14:paraId="538B478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color w:val="auto"/>
                <w:kern w:val="0"/>
                <w:sz w:val="24"/>
                <w:szCs w:val="24"/>
              </w:rPr>
              <w:t>墩身主筋采用机械接头等强连接，接头应尽量设于受力较小区段，在任一接头中心至长度为钢筋直径的40倍范围内，同一根钢筋不得有两个接头。浇注混凝土时应采取有效措施防止混凝土离析，采用高频振捣器进行振捣，确保密实性。</w:t>
            </w:r>
            <w:r>
              <w:rPr>
                <w:rFonts w:hint="eastAsia" w:cs="Times New Roman"/>
                <w:color w:val="auto"/>
                <w:kern w:val="0"/>
                <w:sz w:val="24"/>
                <w:szCs w:val="24"/>
                <w:lang w:eastAsia="zh-CN"/>
              </w:rPr>
              <w:t>混凝土浇筑</w:t>
            </w:r>
            <w:r>
              <w:rPr>
                <w:rFonts w:hint="default" w:ascii="Times New Roman" w:hAnsi="Times New Roman" w:cs="Times New Roman"/>
                <w:color w:val="auto"/>
                <w:kern w:val="0"/>
                <w:sz w:val="24"/>
                <w:szCs w:val="24"/>
              </w:rPr>
              <w:t>振捣完毕后应加强养护。</w:t>
            </w:r>
          </w:p>
          <w:p w14:paraId="72C8FCDA">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③</w:t>
            </w:r>
            <w:r>
              <w:rPr>
                <w:rFonts w:hint="default" w:ascii="Times New Roman" w:hAnsi="Times New Roman" w:cs="Times New Roman"/>
                <w:b/>
                <w:bCs/>
                <w:color w:val="auto"/>
                <w:sz w:val="24"/>
                <w:szCs w:val="32"/>
              </w:rPr>
              <w:t>上部结构施工</w:t>
            </w:r>
          </w:p>
          <w:p w14:paraId="4F9CAF16">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本项目在施工场地内设置预制场，采用商品混凝土，预制梁体后吊装至桥台。</w:t>
            </w:r>
          </w:p>
          <w:p w14:paraId="6773701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kern w:val="0"/>
                <w:sz w:val="24"/>
                <w:szCs w:val="24"/>
              </w:rPr>
              <w:t>空心板预制时，按1m一道在铰缝的侧模嵌上500mm长的φ6钢筋，形成6mm凸凹不平的粗糙面，空心板采用设吊孔穿束兜板底加扁担梁的吊装方法，预制空心板顶面应拉毛，锚固端面和铰缝面等新、旧混凝土结合面均应凿毛成凹凸不小于6mm的粗糙面，100mm×100mm面积中不少于1个点，以利于新旧混凝土良好结合。</w:t>
            </w:r>
          </w:p>
          <w:p w14:paraId="010E539E">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④</w:t>
            </w:r>
            <w:r>
              <w:rPr>
                <w:rFonts w:hint="default" w:ascii="Times New Roman" w:hAnsi="Times New Roman" w:cs="Times New Roman"/>
                <w:b/>
                <w:bCs/>
                <w:color w:val="auto"/>
                <w:sz w:val="24"/>
                <w:szCs w:val="32"/>
              </w:rPr>
              <w:t>桥面及附属工程</w:t>
            </w:r>
          </w:p>
          <w:p w14:paraId="0955BCD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桥面铺装：桥面采用商品混凝土、商品沥青（均为外购），施工工序：桥面清理→测量放样→铺装钢筋网片→浇筑混凝土→铺筑防水层→浇洒粘层→铺装沥青层→桥面养护。</w:t>
            </w:r>
          </w:p>
          <w:p w14:paraId="42670D1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防撞护栏：项目护栏工艺流程为：测量放线→立柱安装→波形梁安装→防组块安装→起终端安装。</w:t>
            </w:r>
          </w:p>
          <w:p w14:paraId="5E3B4A1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桥面排水：桥面雨、积水通过纵、横坡经桥梁护栏边缘排水通道排至雨水口，使得整个桥面不积水保证行车。</w:t>
            </w:r>
          </w:p>
          <w:p w14:paraId="17D55EEC">
            <w:pPr>
              <w:keepNext w:val="0"/>
              <w:keepLines w:val="0"/>
              <w:pageBreakBefore w:val="0"/>
              <w:widowControl w:val="0"/>
              <w:kinsoku/>
              <w:wordWrap/>
              <w:overflowPunct/>
              <w:topLinePunct w:val="0"/>
              <w:autoSpaceDE/>
              <w:autoSpaceDN/>
              <w:bidi w:val="0"/>
              <w:adjustRightInd/>
              <w:snapToGrid/>
              <w:spacing w:line="360" w:lineRule="auto"/>
              <w:ind w:right="0" w:firstLine="482" w:firstLineChars="200"/>
              <w:textAlignment w:val="auto"/>
              <w:rPr>
                <w:rFonts w:hint="default" w:ascii="Times New Roman" w:hAnsi="Times New Roman" w:eastAsia="宋体" w:cs="Times New Roman"/>
                <w:b/>
                <w:bCs/>
                <w:color w:val="auto"/>
                <w:sz w:val="24"/>
                <w:szCs w:val="32"/>
                <w:lang w:val="en-US" w:eastAsia="zh-CN"/>
              </w:rPr>
            </w:pP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lang w:eastAsia="zh-CN"/>
              </w:rPr>
              <w:t>）</w:t>
            </w:r>
            <w:r>
              <w:rPr>
                <w:rFonts w:hint="default" w:ascii="Times New Roman" w:hAnsi="Times New Roman" w:cs="Times New Roman"/>
                <w:b/>
                <w:bCs/>
                <w:color w:val="auto"/>
                <w:sz w:val="24"/>
                <w:szCs w:val="32"/>
                <w:lang w:val="en-US" w:eastAsia="zh-CN"/>
              </w:rPr>
              <w:t>隧道</w:t>
            </w:r>
          </w:p>
          <w:p w14:paraId="4C1ADE88">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lang w:val="en-US" w:eastAsia="zh-CN"/>
              </w:rPr>
              <w:t>本项目隧道从两头同时施工。</w:t>
            </w:r>
            <w:r>
              <w:rPr>
                <w:rFonts w:hint="default" w:ascii="Times New Roman" w:hAnsi="Times New Roman" w:cs="Times New Roman"/>
                <w:color w:val="auto"/>
                <w:sz w:val="24"/>
                <w:szCs w:val="32"/>
              </w:rPr>
              <w:t>隧道施工的主要工序为：施工准备→施工测量→洞口工程→隧道开挖、施工支护、施工期防水排水→衬砌→永久性防水排水设施→路基与路面施工→附属设施施工。造成水土流失的主要环节是隧道开挖的出渣及洞口工程。</w:t>
            </w:r>
          </w:p>
          <w:p w14:paraId="2425573A">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衬砌结构设计：隧道采用新奥法原理进行设计和施工，施工采用光面爆破和预裂爆破技术，尽量减少对围岩的扰动，严格控制超挖和欠挖。隧道结构采用复合式衬砌，用锚杆、喷射混凝土、钢筋网和钢拱架组成初期支护体系；模注混凝作为二次衬砌，共同组成永久性承载结构。</w:t>
            </w:r>
          </w:p>
          <w:p w14:paraId="7FCEEA89">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隧道洞口设计：隧道洞门的设计，应综合考虑</w:t>
            </w:r>
            <w:bookmarkStart w:id="18" w:name="_GoBack"/>
            <w:bookmarkEnd w:id="18"/>
            <w:r>
              <w:rPr>
                <w:rFonts w:hint="default" w:ascii="Times New Roman" w:hAnsi="Times New Roman" w:cs="Times New Roman"/>
                <w:color w:val="auto"/>
                <w:sz w:val="24"/>
                <w:szCs w:val="32"/>
              </w:rPr>
              <w:t>地形地质的影响，结合洞门排水及边坡稳定的要求，按照“早进洞、晚出”的原则，尽量减少洞口边、仰坡的开挖，保证山体的稳定，在此前提下，力求使洞门结构简洁美观大方，与洞口地势协调一致。</w:t>
            </w:r>
          </w:p>
          <w:p w14:paraId="202D97A6">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爆破开挖前，必须根据开挖段围岩的地质条件、开挖断面、开挖方法、掘进循环进尺、爆破材料等因素编制详细的钻爆设计，并报监理工程师批准后实施。钻爆设计的主要内容包括炮眼布置、数目、深度和角度、装药量和装药结构、起爆方法和爆破顺序等。爆破人员应按爆破设计图表及说明严格施工，并根据爆破效果及时修正有关参数，以达到理想的爆破效果。</w:t>
            </w:r>
          </w:p>
          <w:p w14:paraId="2834EAC2">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隧道施工过程中按照“以堵为主、限量排放”的施工原则。</w:t>
            </w:r>
            <w:r>
              <w:rPr>
                <w:rFonts w:hint="default" w:ascii="Times New Roman" w:hAnsi="Times New Roman" w:cs="Times New Roman"/>
                <w:color w:val="auto"/>
                <w:sz w:val="24"/>
                <w:szCs w:val="24"/>
              </w:rPr>
              <w:t>根据项目的工程地质一次性勘察报告，项目区域内无深大断裂或全新活动断裂，无发震断裂，区域构造属基本稳定地块。项目区附近的构造主要有黄金口背斜、王家沟断层；场区属侵蚀剥蚀低山丘陵地貌，地形起伏较大；场区上覆第四系全新统人工填土、坡洪积粉质黏土、坡残积粉质黏土，场地土在平面上成因、状态不均匀，沟槽中多分布有软土；场区内不良地质为滑坡、岩堆，特殊岩土为人工填土、软土、石膏，不良地质对工程影响较小，地质构造与特殊岩土及其他工程地质问题对工程一定影响，采取合适的工程措施后，较适宜工程建设</w:t>
            </w:r>
            <w:r>
              <w:rPr>
                <w:rFonts w:hint="default" w:ascii="Times New Roman" w:hAnsi="Times New Roman" w:cs="Times New Roman"/>
                <w:color w:val="auto"/>
                <w:sz w:val="24"/>
                <w:szCs w:val="32"/>
              </w:rPr>
              <w:t>。</w:t>
            </w:r>
          </w:p>
          <w:p w14:paraId="2941CC29">
            <w:pPr>
              <w:keepNext w:val="0"/>
              <w:keepLines w:val="0"/>
              <w:pageBreakBefore w:val="0"/>
              <w:widowControl w:val="0"/>
              <w:kinsoku/>
              <w:wordWrap/>
              <w:overflowPunct/>
              <w:topLinePunct w:val="0"/>
              <w:autoSpaceDE/>
              <w:autoSpaceDN/>
              <w:bidi w:val="0"/>
              <w:adjustRightInd/>
              <w:snapToGrid/>
              <w:spacing w:line="360" w:lineRule="auto"/>
              <w:ind w:left="0" w:leftChars="0" w:right="0" w:firstLine="0" w:firstLineChars="0"/>
              <w:textAlignment w:val="auto"/>
              <w:rPr>
                <w:rFonts w:hint="default" w:ascii="Times New Roman" w:hAnsi="Times New Roman" w:cs="Times New Roman"/>
                <w:color w:val="auto"/>
                <w:sz w:val="24"/>
                <w:szCs w:val="32"/>
              </w:rPr>
            </w:pPr>
            <w:r>
              <w:rPr>
                <w:rFonts w:hint="default" w:ascii="Times New Roman" w:hAnsi="Times New Roman" w:cs="Times New Roman"/>
                <w:color w:val="auto"/>
              </w:rPr>
              <w:drawing>
                <wp:inline distT="0" distB="0" distL="114300" distR="114300">
                  <wp:extent cx="5109845" cy="2640965"/>
                  <wp:effectExtent l="0" t="0" r="8255" b="635"/>
                  <wp:docPr id="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5"/>
                          <pic:cNvPicPr>
                            <a:picLocks noChangeAspect="1"/>
                          </pic:cNvPicPr>
                        </pic:nvPicPr>
                        <pic:blipFill>
                          <a:blip r:embed="rId46"/>
                          <a:stretch>
                            <a:fillRect/>
                          </a:stretch>
                        </pic:blipFill>
                        <pic:spPr>
                          <a:xfrm>
                            <a:off x="0" y="0"/>
                            <a:ext cx="5109845" cy="2640965"/>
                          </a:xfrm>
                          <a:prstGeom prst="rect">
                            <a:avLst/>
                          </a:prstGeom>
                          <a:noFill/>
                          <a:ln>
                            <a:noFill/>
                          </a:ln>
                        </pic:spPr>
                      </pic:pic>
                    </a:graphicData>
                  </a:graphic>
                </wp:inline>
              </w:drawing>
            </w:r>
          </w:p>
          <w:p w14:paraId="35F5BAAC">
            <w:pPr>
              <w:spacing w:line="460" w:lineRule="exact"/>
              <w:jc w:val="center"/>
              <w:rPr>
                <w:rFonts w:hint="default" w:ascii="Times New Roman" w:hAnsi="Times New Roman" w:cs="Times New Roman"/>
                <w:b/>
                <w:bCs/>
                <w:color w:val="auto"/>
              </w:rPr>
            </w:pPr>
            <w:r>
              <w:rPr>
                <w:rFonts w:hint="default" w:ascii="Times New Roman" w:hAnsi="Times New Roman" w:cs="Times New Roman"/>
                <w:b/>
                <w:bCs/>
                <w:color w:val="auto"/>
              </w:rPr>
              <w:t>图2-</w:t>
            </w:r>
            <w:r>
              <w:rPr>
                <w:rFonts w:hint="default" w:ascii="Times New Roman" w:hAnsi="Times New Roman" w:cs="Times New Roman"/>
                <w:b/>
                <w:bCs/>
                <w:color w:val="auto"/>
                <w:lang w:val="en-US" w:eastAsia="zh-CN"/>
              </w:rPr>
              <w:t>15 隧道</w:t>
            </w:r>
            <w:r>
              <w:rPr>
                <w:rFonts w:hint="default" w:ascii="Times New Roman" w:hAnsi="Times New Roman" w:cs="Times New Roman"/>
                <w:b/>
                <w:bCs/>
                <w:color w:val="auto"/>
              </w:rPr>
              <w:t>工程施工工艺流程及产污环节图</w:t>
            </w:r>
          </w:p>
          <w:p w14:paraId="3264F178">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w:t>
            </w: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rPr>
              <w:t>）涵洞工程</w:t>
            </w:r>
          </w:p>
          <w:p w14:paraId="7FAFA8B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涵洞基础开挖采用挖掘机施工，两侧设1:1边坡，预留施工空间，人工配合清理基底。涵管采用集中预制，吊车吊装、汽车运至工地的方式。</w:t>
            </w:r>
          </w:p>
          <w:p w14:paraId="09C3EA0C">
            <w:pPr>
              <w:keepNext w:val="0"/>
              <w:keepLines w:val="0"/>
              <w:pageBreakBefore w:val="0"/>
              <w:widowControl w:val="0"/>
              <w:kinsoku/>
              <w:wordWrap/>
              <w:overflowPunct/>
              <w:topLinePunct w:val="0"/>
              <w:autoSpaceDE/>
              <w:autoSpaceDN/>
              <w:bidi w:val="0"/>
              <w:adjustRightInd/>
              <w:snapToGrid/>
              <w:spacing w:line="360" w:lineRule="auto"/>
              <w:ind w:left="0" w:leftChars="0"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2、施工进度</w:t>
            </w:r>
          </w:p>
          <w:p w14:paraId="6996783F">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2025年8月进行施工准备，计划于2026年3月完工，建设期共8个月。</w:t>
            </w:r>
          </w:p>
          <w:p w14:paraId="2D5FB5C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施工准备：2025年8月；</w:t>
            </w:r>
          </w:p>
          <w:p w14:paraId="601E8B6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路基工程：2025年8月~2026年2月；</w:t>
            </w:r>
          </w:p>
          <w:p w14:paraId="313FEAC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路面工程：2025年8月~2026年2月；</w:t>
            </w:r>
          </w:p>
          <w:p w14:paraId="00AF8AC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桥梁工程：2025年8月~2025年12月；</w:t>
            </w:r>
          </w:p>
          <w:p w14:paraId="4343C5CF">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涵洞工程：2025年8月~2025年12月；</w:t>
            </w:r>
          </w:p>
          <w:p w14:paraId="260E6398">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配套设施：2026年1月~2026年3月；</w:t>
            </w:r>
          </w:p>
          <w:p w14:paraId="799CAD4C">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sz w:val="24"/>
                <w:szCs w:val="32"/>
                <w:lang w:val="en-US" w:eastAsia="zh-CN"/>
              </w:rPr>
              <w:t>竣工验收：2026年3月。</w:t>
            </w:r>
          </w:p>
        </w:tc>
      </w:tr>
      <w:tr w14:paraId="0F8761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52" w:hRule="atLeast"/>
          <w:jc w:val="center"/>
        </w:trPr>
        <w:tc>
          <w:tcPr>
            <w:tcW w:w="710" w:type="dxa"/>
            <w:vAlign w:val="center"/>
          </w:tcPr>
          <w:p w14:paraId="02BFE9DF">
            <w:pPr>
              <w:pStyle w:val="20"/>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bCs/>
                <w:color w:val="auto"/>
                <w:kern w:val="2"/>
                <w:sz w:val="21"/>
                <w:szCs w:val="21"/>
              </w:rPr>
              <w:t>其他</w:t>
            </w:r>
          </w:p>
        </w:tc>
        <w:tc>
          <w:tcPr>
            <w:tcW w:w="8274" w:type="dxa"/>
          </w:tcPr>
          <w:p w14:paraId="15615333">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rPr>
            </w:pPr>
            <w:r>
              <w:rPr>
                <w:rFonts w:hint="default" w:ascii="Times New Roman" w:hAnsi="Times New Roman" w:eastAsia="宋体" w:cs="Times New Roman"/>
                <w:color w:val="auto"/>
                <w:sz w:val="24"/>
                <w:szCs w:val="32"/>
              </w:rPr>
              <w:t>本项目为新建</w:t>
            </w:r>
            <w:r>
              <w:rPr>
                <w:rFonts w:hint="default" w:ascii="Times New Roman" w:hAnsi="Times New Roman" w:eastAsia="宋体" w:cs="Times New Roman"/>
                <w:color w:val="auto"/>
                <w:sz w:val="24"/>
                <w:szCs w:val="32"/>
                <w:lang w:val="en-US" w:eastAsia="zh-CN"/>
              </w:rPr>
              <w:t>三级道路</w:t>
            </w:r>
            <w:r>
              <w:rPr>
                <w:rFonts w:hint="default" w:ascii="Times New Roman" w:hAnsi="Times New Roman" w:eastAsia="宋体" w:cs="Times New Roman"/>
                <w:color w:val="auto"/>
                <w:sz w:val="24"/>
                <w:szCs w:val="32"/>
              </w:rPr>
              <w:t>，项目路线方案唯一，无比选方案。</w:t>
            </w:r>
          </w:p>
        </w:tc>
      </w:tr>
    </w:tbl>
    <w:p w14:paraId="5E551BCE">
      <w:pPr>
        <w:pStyle w:val="20"/>
        <w:jc w:val="center"/>
        <w:rPr>
          <w:rFonts w:hint="default" w:ascii="Times New Roman" w:hAnsi="Times New Roman" w:eastAsia="黑体" w:cs="Times New Roman"/>
          <w:snapToGrid w:val="0"/>
          <w:color w:val="auto"/>
          <w:sz w:val="36"/>
          <w:szCs w:val="36"/>
        </w:rPr>
        <w:sectPr>
          <w:footerReference r:id="rId12" w:type="default"/>
          <w:pgSz w:w="11906" w:h="16838"/>
          <w:pgMar w:top="1701" w:right="1531" w:bottom="1701" w:left="1531" w:header="851" w:footer="851" w:gutter="0"/>
          <w:pgNumType w:fmt="decimal"/>
          <w:cols w:space="720" w:num="1"/>
          <w:docGrid w:linePitch="312" w:charSpace="0"/>
        </w:sectPr>
      </w:pPr>
    </w:p>
    <w:p w14:paraId="77ED73DB">
      <w:pPr>
        <w:pStyle w:val="20"/>
        <w:jc w:val="center"/>
        <w:outlineLvl w:val="0"/>
        <w:rPr>
          <w:rFonts w:hint="default" w:ascii="Times New Roman" w:hAnsi="Times New Roman" w:eastAsia="黑体" w:cs="Times New Roman"/>
          <w:snapToGrid w:val="0"/>
          <w:color w:val="auto"/>
          <w:sz w:val="30"/>
          <w:szCs w:val="30"/>
        </w:rPr>
      </w:pPr>
      <w:bookmarkStart w:id="11" w:name="_Toc727"/>
      <w:r>
        <w:rPr>
          <w:rFonts w:hint="default" w:ascii="Times New Roman" w:hAnsi="Times New Roman" w:eastAsia="黑体" w:cs="Times New Roman"/>
          <w:snapToGrid w:val="0"/>
          <w:color w:val="auto"/>
          <w:sz w:val="30"/>
          <w:szCs w:val="30"/>
        </w:rPr>
        <w:t>三、生态环境现状、环境保护目标及评价标准</w:t>
      </w:r>
      <w:bookmarkEnd w:id="11"/>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00DB95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01" w:hRule="atLeast"/>
          <w:jc w:val="center"/>
        </w:trPr>
        <w:tc>
          <w:tcPr>
            <w:tcW w:w="800" w:type="dxa"/>
            <w:vAlign w:val="center"/>
          </w:tcPr>
          <w:p w14:paraId="545F3050">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生态环境</w:t>
            </w:r>
          </w:p>
          <w:p w14:paraId="42A43BF9">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现状</w:t>
            </w:r>
          </w:p>
        </w:tc>
        <w:tc>
          <w:tcPr>
            <w:tcW w:w="8190" w:type="dxa"/>
            <w:vAlign w:val="center"/>
          </w:tcPr>
          <w:p w14:paraId="35802254">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eastAsia="宋体" w:cs="Times New Roman"/>
                <w:b/>
                <w:color w:val="auto"/>
                <w:sz w:val="24"/>
                <w:szCs w:val="24"/>
                <w:lang w:val="en-US" w:eastAsia="zh-CN"/>
              </w:rPr>
            </w:pPr>
            <w:r>
              <w:rPr>
                <w:rFonts w:hint="default" w:ascii="Times New Roman" w:hAnsi="Times New Roman" w:cs="Times New Roman"/>
                <w:b/>
                <w:color w:val="auto"/>
                <w:sz w:val="24"/>
                <w:szCs w:val="24"/>
                <w:lang w:val="en-US" w:eastAsia="zh-CN"/>
              </w:rPr>
              <w:t>1、主体功能区划情况</w:t>
            </w:r>
          </w:p>
          <w:p w14:paraId="4989028E">
            <w:pPr>
              <w:autoSpaceDE w:val="0"/>
              <w:autoSpaceDN w:val="0"/>
              <w:adjustRightInd w:val="0"/>
              <w:snapToGrid w:val="0"/>
              <w:spacing w:line="360" w:lineRule="auto"/>
              <w:ind w:firstLine="480" w:firstLineChars="200"/>
              <w:rPr>
                <w:rFonts w:hint="default" w:ascii="Times New Roman" w:hAnsi="Times New Roman" w:eastAsia="宋体" w:cs="Times New Roman"/>
                <w:color w:val="auto"/>
                <w:sz w:val="24"/>
              </w:rPr>
            </w:pPr>
            <w:r>
              <w:rPr>
                <w:rFonts w:hint="default" w:ascii="Times New Roman" w:hAnsi="Times New Roman" w:eastAsia="宋体" w:cs="Times New Roman"/>
                <w:color w:val="auto"/>
                <w:sz w:val="24"/>
              </w:rPr>
              <w:t>根据《四川省生态功能区划》（</w:t>
            </w:r>
            <w:r>
              <w:rPr>
                <w:rFonts w:hint="default" w:ascii="Times New Roman" w:hAnsi="Times New Roman" w:eastAsia="宋体" w:cs="Times New Roman"/>
                <w:color w:val="auto"/>
                <w:sz w:val="24"/>
                <w:lang w:val="en-US" w:eastAsia="zh-CN"/>
              </w:rPr>
              <w:t>2010年</w:t>
            </w:r>
            <w:r>
              <w:rPr>
                <w:rFonts w:hint="default" w:ascii="Times New Roman" w:hAnsi="Times New Roman" w:eastAsia="宋体" w:cs="Times New Roman"/>
                <w:color w:val="auto"/>
                <w:sz w:val="24"/>
              </w:rPr>
              <w:t>），项目区属于Ⅰ四川盆地亚热带湿润气候生态区-Ⅰ-2盆中丘陵农林复合生态亚区</w:t>
            </w:r>
            <w:r>
              <w:rPr>
                <w:rFonts w:hint="default" w:ascii="Times New Roman" w:hAnsi="Times New Roman" w:eastAsia="宋体" w:cs="Times New Roman"/>
                <w:color w:val="auto"/>
                <w:sz w:val="24"/>
              </w:rPr>
              <w:softHyphen/>
            </w:r>
            <w:r>
              <w:rPr>
                <w:rFonts w:hint="default" w:ascii="Times New Roman" w:hAnsi="Times New Roman" w:eastAsia="宋体" w:cs="Times New Roman"/>
                <w:color w:val="auto"/>
                <w:sz w:val="24"/>
              </w:rPr>
              <w:t>Ⅰ-2-1盆北深丘农林业与土壤保持生态功能区。项目区生态功能区划特征一览表详见下表。</w:t>
            </w:r>
          </w:p>
          <w:p w14:paraId="0791AF2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表3-</w:t>
            </w:r>
            <w:r>
              <w:rPr>
                <w:rFonts w:hint="default" w:ascii="Times New Roman" w:hAnsi="Times New Roman" w:cs="Times New Roman"/>
                <w:b/>
                <w:bCs/>
                <w:color w:val="auto"/>
                <w:sz w:val="21"/>
                <w:szCs w:val="21"/>
                <w:lang w:val="en-US" w:eastAsia="zh-CN"/>
              </w:rPr>
              <w:t>1</w:t>
            </w:r>
            <w:r>
              <w:rPr>
                <w:rFonts w:hint="default" w:ascii="Times New Roman" w:hAnsi="Times New Roman" w:eastAsia="宋体" w:cs="Times New Roman"/>
                <w:b/>
                <w:bCs/>
                <w:color w:val="auto"/>
                <w:sz w:val="21"/>
                <w:szCs w:val="21"/>
                <w:lang w:val="en-US" w:eastAsia="zh-CN"/>
              </w:rPr>
              <w:t>项目区生态功能分区特征表</w:t>
            </w:r>
          </w:p>
          <w:tbl>
            <w:tblPr>
              <w:tblStyle w:val="23"/>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3"/>
              <w:gridCol w:w="863"/>
              <w:gridCol w:w="985"/>
              <w:gridCol w:w="897"/>
              <w:gridCol w:w="1463"/>
              <w:gridCol w:w="1088"/>
              <w:gridCol w:w="937"/>
              <w:gridCol w:w="865"/>
            </w:tblGrid>
            <w:tr w14:paraId="5C8D4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702" w:type="pct"/>
                  <w:gridSpan w:val="3"/>
                  <w:noWrap w:val="0"/>
                  <w:vAlign w:val="center"/>
                </w:tcPr>
                <w:p w14:paraId="21BEDA7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生态功能区划</w:t>
                  </w:r>
                </w:p>
              </w:tc>
              <w:tc>
                <w:tcPr>
                  <w:tcW w:w="563" w:type="pct"/>
                  <w:noWrap w:val="0"/>
                  <w:vAlign w:val="center"/>
                </w:tcPr>
                <w:p w14:paraId="5B3D010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涉及区县（市）</w:t>
                  </w:r>
                </w:p>
              </w:tc>
              <w:tc>
                <w:tcPr>
                  <w:tcW w:w="918" w:type="pct"/>
                  <w:noWrap w:val="0"/>
                  <w:vAlign w:val="center"/>
                </w:tcPr>
                <w:p w14:paraId="4771245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主要生态特征</w:t>
                  </w:r>
                </w:p>
              </w:tc>
              <w:tc>
                <w:tcPr>
                  <w:tcW w:w="683" w:type="pct"/>
                  <w:noWrap w:val="0"/>
                  <w:vAlign w:val="center"/>
                </w:tcPr>
                <w:p w14:paraId="10F0178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主要生态问题</w:t>
                  </w:r>
                </w:p>
              </w:tc>
              <w:tc>
                <w:tcPr>
                  <w:tcW w:w="588" w:type="pct"/>
                  <w:noWrap w:val="0"/>
                  <w:vAlign w:val="center"/>
                </w:tcPr>
                <w:p w14:paraId="6203F7E0">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生态环境敏感性</w:t>
                  </w:r>
                </w:p>
              </w:tc>
              <w:tc>
                <w:tcPr>
                  <w:tcW w:w="543" w:type="pct"/>
                  <w:noWrap w:val="0"/>
                  <w:vAlign w:val="center"/>
                </w:tcPr>
                <w:p w14:paraId="0159C93B">
                  <w:pPr>
                    <w:tabs>
                      <w:tab w:val="left" w:pos="228"/>
                    </w:tabs>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主要生态服务功能</w:t>
                  </w:r>
                </w:p>
              </w:tc>
            </w:tr>
            <w:tr w14:paraId="1C5ECC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42" w:type="pct"/>
                  <w:noWrap w:val="0"/>
                  <w:vAlign w:val="center"/>
                </w:tcPr>
                <w:p w14:paraId="4BC75AE9">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Ⅰ四川盆地亚热带湿润气候生态区</w:t>
                  </w:r>
                </w:p>
              </w:tc>
              <w:tc>
                <w:tcPr>
                  <w:tcW w:w="542" w:type="pct"/>
                  <w:noWrap w:val="0"/>
                  <w:vAlign w:val="center"/>
                </w:tcPr>
                <w:p w14:paraId="5841292A">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Ⅰ2盆中丘陵农林复合生态亚区</w:t>
                  </w:r>
                </w:p>
              </w:tc>
              <w:tc>
                <w:tcPr>
                  <w:tcW w:w="617" w:type="pct"/>
                  <w:noWrap w:val="0"/>
                  <w:vAlign w:val="center"/>
                </w:tcPr>
                <w:p w14:paraId="597D614E">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Ⅰ-2-1盆北深丘农林业与土壤保持生态功能区</w:t>
                  </w:r>
                </w:p>
              </w:tc>
              <w:tc>
                <w:tcPr>
                  <w:tcW w:w="563" w:type="pct"/>
                  <w:noWrap w:val="0"/>
                  <w:vAlign w:val="center"/>
                </w:tcPr>
                <w:p w14:paraId="56D878E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宣汉县</w:t>
                  </w:r>
                </w:p>
              </w:tc>
              <w:tc>
                <w:tcPr>
                  <w:tcW w:w="918" w:type="pct"/>
                  <w:noWrap w:val="0"/>
                  <w:vAlign w:val="center"/>
                </w:tcPr>
                <w:p w14:paraId="165075B1">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深切低山丘陵地貌，海拔460~1400米；山地气候垂直变化明显，年平均气温13.5~15.7℃，≥10℃的活动积温4240~4910℃，年平均降水量为560~1420毫米。跨嘉陵江干流和渠江两大水系。森林植被主要为马尾松林、柏木林、栎类林和栎类灌丛。生物多样性及矿产资源较丰富。</w:t>
                  </w:r>
                </w:p>
              </w:tc>
              <w:tc>
                <w:tcPr>
                  <w:tcW w:w="683" w:type="pct"/>
                  <w:noWrap w:val="0"/>
                  <w:vAlign w:val="center"/>
                </w:tcPr>
                <w:p w14:paraId="5195E517">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水土流失较严重，滑坡崩塌中等发育。</w:t>
                  </w:r>
                </w:p>
              </w:tc>
              <w:tc>
                <w:tcPr>
                  <w:tcW w:w="588" w:type="pct"/>
                  <w:noWrap w:val="0"/>
                  <w:vAlign w:val="center"/>
                </w:tcPr>
                <w:p w14:paraId="3FF4903D">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土壤侵蚀高度敏感，野生动物生境中度敏感。</w:t>
                  </w:r>
                </w:p>
              </w:tc>
              <w:tc>
                <w:tcPr>
                  <w:tcW w:w="543" w:type="pct"/>
                  <w:noWrap w:val="0"/>
                  <w:vAlign w:val="center"/>
                </w:tcPr>
                <w:p w14:paraId="5D2ECFC2">
                  <w:pPr>
                    <w:jc w:val="center"/>
                    <w:rPr>
                      <w:rFonts w:hint="default" w:ascii="Times New Roman" w:hAnsi="Times New Roman" w:eastAsia="宋体" w:cs="Times New Roman"/>
                      <w:color w:val="auto"/>
                      <w:szCs w:val="21"/>
                    </w:rPr>
                  </w:pPr>
                  <w:r>
                    <w:rPr>
                      <w:rFonts w:hint="default" w:ascii="Times New Roman" w:hAnsi="Times New Roman" w:eastAsia="宋体" w:cs="Times New Roman"/>
                      <w:color w:val="auto"/>
                    </w:rPr>
                    <w:t>农林产品提供功能，土壤保持功能。</w:t>
                  </w:r>
                </w:p>
              </w:tc>
            </w:tr>
          </w:tbl>
          <w:p w14:paraId="1ACC1E0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eastAsia="宋体" w:cs="Times New Roman"/>
                <w:b/>
                <w:color w:val="auto"/>
                <w:sz w:val="24"/>
                <w:szCs w:val="24"/>
                <w:lang w:eastAsia="zh-CN"/>
              </w:rPr>
            </w:pPr>
            <w:r>
              <w:rPr>
                <w:rFonts w:hint="default" w:ascii="Times New Roman" w:hAnsi="Times New Roman" w:eastAsia="宋体" w:cs="Times New Roman"/>
                <w:color w:val="auto"/>
                <w:sz w:val="24"/>
              </w:rPr>
              <w:t>本项目位于</w:t>
            </w:r>
            <w:r>
              <w:rPr>
                <w:rFonts w:hint="default" w:ascii="Times New Roman" w:hAnsi="Times New Roman" w:eastAsia="宋体" w:cs="Times New Roman"/>
                <w:color w:val="auto"/>
                <w:sz w:val="24"/>
              </w:rPr>
              <w:softHyphen/>
            </w:r>
            <w:r>
              <w:rPr>
                <w:rFonts w:hint="default" w:ascii="Times New Roman" w:hAnsi="Times New Roman" w:eastAsia="宋体" w:cs="Times New Roman"/>
                <w:color w:val="auto"/>
                <w:sz w:val="24"/>
              </w:rPr>
              <w:t>Ⅰ-2-1盆北深丘农林业与土壤保持生态功能区，不涉及基本农田及天然林、防护林、自然保护区生态敏感区，符合《四川省生态功能区划》</w:t>
            </w:r>
            <w:r>
              <w:rPr>
                <w:rFonts w:hint="default" w:ascii="Times New Roman" w:hAnsi="Times New Roman" w:cs="Times New Roman"/>
                <w:color w:val="auto"/>
                <w:sz w:val="24"/>
                <w:lang w:eastAsia="zh-CN"/>
              </w:rPr>
              <w:t>。</w:t>
            </w:r>
          </w:p>
          <w:p w14:paraId="77403C0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、生态环境现状调查与评价</w:t>
            </w:r>
          </w:p>
          <w:p w14:paraId="5F3460F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w:t>
            </w:r>
            <w:r>
              <w:rPr>
                <w:rFonts w:hint="default" w:ascii="Times New Roman" w:hAnsi="Times New Roman" w:cs="Times New Roman"/>
                <w:b/>
                <w:color w:val="auto"/>
                <w:sz w:val="24"/>
                <w:szCs w:val="24"/>
                <w:lang w:val="en-US" w:eastAsia="zh-CN"/>
              </w:rPr>
              <w:t>1</w:t>
            </w:r>
            <w:r>
              <w:rPr>
                <w:rFonts w:hint="default" w:ascii="Times New Roman" w:hAnsi="Times New Roman" w:cs="Times New Roman"/>
                <w:b/>
                <w:color w:val="auto"/>
                <w:sz w:val="24"/>
                <w:szCs w:val="24"/>
              </w:rPr>
              <w:t>）项目沿线生态环境现状</w:t>
            </w:r>
          </w:p>
          <w:p w14:paraId="632046D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1）陆生生态环境现状</w:t>
            </w:r>
          </w:p>
          <w:p w14:paraId="59BB7B73">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①陆生植物</w:t>
            </w:r>
          </w:p>
          <w:p w14:paraId="3F86DEEC">
            <w:pPr>
              <w:keepNext w:val="0"/>
              <w:keepLines w:val="0"/>
              <w:pageBreakBefore w:val="0"/>
              <w:widowControl w:val="0"/>
              <w:kinsoku/>
              <w:wordWrap/>
              <w:overflowPunct/>
              <w:topLinePunct w:val="0"/>
              <w:autoSpaceDE/>
              <w:autoSpaceDN/>
              <w:bidi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根据现场踏勘以及对收集到的资料进行分析，对项目评价区植物群落学特征进行了全面调查。</w:t>
            </w:r>
          </w:p>
          <w:p w14:paraId="45D660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受山体绝对高度的制约，评价区植被的垂直分带不是很明显，但仍可以划分为常绿针叶林，常绿阔叶林、落叶阔叶林、山地灌丛、山地草丛等类型。主要树种有针叶林的马尾松（</w:t>
            </w:r>
            <w:r>
              <w:rPr>
                <w:rFonts w:hint="default" w:ascii="Times New Roman" w:hAnsi="Times New Roman" w:cs="Times New Roman"/>
                <w:i/>
                <w:iCs/>
                <w:color w:val="auto"/>
                <w:sz w:val="24"/>
                <w:szCs w:val="24"/>
              </w:rPr>
              <w:t>Pinus</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massoniana</w:t>
            </w:r>
            <w:r>
              <w:rPr>
                <w:rFonts w:hint="default" w:ascii="Times New Roman" w:hAnsi="Times New Roman" w:cs="Times New Roman"/>
                <w:color w:val="auto"/>
                <w:sz w:val="24"/>
                <w:szCs w:val="24"/>
              </w:rPr>
              <w:t>）、柏木（</w:t>
            </w:r>
            <w:r>
              <w:rPr>
                <w:rFonts w:hint="default" w:ascii="Times New Roman" w:hAnsi="Times New Roman" w:cs="Times New Roman"/>
                <w:i/>
                <w:iCs/>
                <w:color w:val="auto"/>
                <w:sz w:val="24"/>
                <w:szCs w:val="24"/>
              </w:rPr>
              <w:t>Cupressus</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funebris</w:t>
            </w:r>
            <w:r>
              <w:rPr>
                <w:rFonts w:hint="default" w:ascii="Times New Roman" w:hAnsi="Times New Roman" w:cs="Times New Roman"/>
                <w:color w:val="auto"/>
                <w:sz w:val="24"/>
                <w:szCs w:val="24"/>
              </w:rPr>
              <w:t>）；阔叶林的构树（</w:t>
            </w:r>
            <w:r>
              <w:rPr>
                <w:rFonts w:hint="default" w:ascii="Times New Roman" w:hAnsi="Times New Roman" w:cs="Times New Roman"/>
                <w:i/>
                <w:iCs/>
                <w:color w:val="auto"/>
                <w:sz w:val="24"/>
                <w:szCs w:val="24"/>
              </w:rPr>
              <w:t>Broussonetia papyrifera</w:t>
            </w:r>
            <w:r>
              <w:rPr>
                <w:rFonts w:hint="default" w:ascii="Times New Roman" w:hAnsi="Times New Roman" w:cs="Times New Roman"/>
                <w:color w:val="auto"/>
                <w:sz w:val="24"/>
                <w:szCs w:val="24"/>
              </w:rPr>
              <w:t>）、枫杨（</w:t>
            </w:r>
            <w:r>
              <w:rPr>
                <w:rFonts w:hint="default" w:ascii="Times New Roman" w:hAnsi="Times New Roman" w:cs="Times New Roman"/>
                <w:i/>
                <w:iCs/>
                <w:color w:val="auto"/>
                <w:sz w:val="24"/>
                <w:szCs w:val="24"/>
                <w:lang w:eastAsia="zh-CN"/>
              </w:rPr>
              <w:t>PET</w:t>
            </w:r>
            <w:r>
              <w:rPr>
                <w:rFonts w:hint="default" w:ascii="Times New Roman" w:hAnsi="Times New Roman" w:cs="Times New Roman"/>
                <w:i/>
                <w:iCs/>
                <w:color w:val="auto"/>
                <w:sz w:val="24"/>
                <w:szCs w:val="24"/>
              </w:rPr>
              <w:t>rocarya</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steno</w:t>
            </w:r>
            <w:r>
              <w:rPr>
                <w:rFonts w:hint="default" w:ascii="Times New Roman" w:hAnsi="Times New Roman" w:cs="Times New Roman"/>
                <w:i/>
                <w:iCs/>
                <w:color w:val="auto"/>
                <w:sz w:val="24"/>
                <w:szCs w:val="24"/>
                <w:lang w:eastAsia="zh-CN"/>
              </w:rPr>
              <w:t>PET</w:t>
            </w:r>
            <w:r>
              <w:rPr>
                <w:rFonts w:hint="default" w:ascii="Times New Roman" w:hAnsi="Times New Roman" w:cs="Times New Roman"/>
                <w:i/>
                <w:iCs/>
                <w:color w:val="auto"/>
                <w:sz w:val="24"/>
                <w:szCs w:val="24"/>
              </w:rPr>
              <w:t>ra</w:t>
            </w:r>
            <w:r>
              <w:rPr>
                <w:rFonts w:hint="default" w:ascii="Times New Roman" w:hAnsi="Times New Roman" w:cs="Times New Roman"/>
                <w:color w:val="auto"/>
                <w:sz w:val="24"/>
                <w:szCs w:val="24"/>
              </w:rPr>
              <w:t>）、樟树（</w:t>
            </w:r>
            <w:r>
              <w:rPr>
                <w:rFonts w:hint="default" w:ascii="Times New Roman" w:hAnsi="Times New Roman" w:cs="Times New Roman"/>
                <w:i/>
                <w:iCs/>
                <w:color w:val="auto"/>
                <w:sz w:val="24"/>
                <w:szCs w:val="24"/>
              </w:rPr>
              <w:t>Cinnamomum Spp</w:t>
            </w:r>
            <w:r>
              <w:rPr>
                <w:rFonts w:hint="default" w:ascii="Times New Roman" w:hAnsi="Times New Roman" w:cs="Times New Roman"/>
                <w:color w:val="auto"/>
                <w:sz w:val="24"/>
                <w:szCs w:val="24"/>
              </w:rPr>
              <w:t>.）；竹林的慈竹（</w:t>
            </w:r>
            <w:r>
              <w:rPr>
                <w:rFonts w:hint="default" w:ascii="Times New Roman" w:hAnsi="Times New Roman" w:cs="Times New Roman"/>
                <w:i/>
                <w:iCs/>
                <w:color w:val="auto"/>
                <w:sz w:val="24"/>
                <w:szCs w:val="24"/>
              </w:rPr>
              <w:t>Bambusa</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emeiensis</w:t>
            </w:r>
            <w:r>
              <w:rPr>
                <w:rFonts w:hint="default" w:ascii="Times New Roman" w:hAnsi="Times New Roman" w:cs="Times New Roman"/>
                <w:color w:val="auto"/>
                <w:sz w:val="24"/>
                <w:szCs w:val="24"/>
              </w:rPr>
              <w:t>）、斑竹（</w:t>
            </w:r>
            <w:r>
              <w:rPr>
                <w:rFonts w:hint="default" w:ascii="Times New Roman" w:hAnsi="Times New Roman" w:cs="Times New Roman"/>
                <w:i/>
                <w:iCs/>
                <w:color w:val="auto"/>
                <w:sz w:val="24"/>
                <w:szCs w:val="24"/>
              </w:rPr>
              <w:t>Indosasa</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shibataeoides</w:t>
            </w:r>
            <w:r>
              <w:rPr>
                <w:rFonts w:hint="default" w:ascii="Times New Roman" w:hAnsi="Times New Roman" w:cs="Times New Roman"/>
                <w:color w:val="auto"/>
                <w:sz w:val="24"/>
                <w:szCs w:val="24"/>
              </w:rPr>
              <w:t>）、水竹（</w:t>
            </w:r>
            <w:r>
              <w:rPr>
                <w:rFonts w:hint="default" w:ascii="Times New Roman" w:hAnsi="Times New Roman" w:cs="Times New Roman"/>
                <w:i/>
                <w:iCs/>
                <w:color w:val="auto"/>
                <w:sz w:val="24"/>
                <w:szCs w:val="24"/>
              </w:rPr>
              <w:t>Phyllostachys</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heteroclada</w:t>
            </w:r>
            <w:r>
              <w:rPr>
                <w:rFonts w:hint="default" w:ascii="Times New Roman" w:hAnsi="Times New Roman" w:cs="Times New Roman"/>
                <w:color w:val="auto"/>
                <w:sz w:val="24"/>
                <w:szCs w:val="24"/>
              </w:rPr>
              <w:t>）；灌丛的马桑（</w:t>
            </w:r>
            <w:r>
              <w:rPr>
                <w:rFonts w:hint="default" w:ascii="Times New Roman" w:hAnsi="Times New Roman" w:cs="Times New Roman"/>
                <w:i/>
                <w:iCs/>
                <w:color w:val="auto"/>
                <w:sz w:val="24"/>
                <w:szCs w:val="24"/>
              </w:rPr>
              <w:t>Coriaria nepalensis</w:t>
            </w:r>
            <w:r>
              <w:rPr>
                <w:rFonts w:hint="default" w:ascii="Times New Roman" w:hAnsi="Times New Roman" w:cs="Times New Roman"/>
                <w:color w:val="auto"/>
                <w:sz w:val="24"/>
                <w:szCs w:val="24"/>
              </w:rPr>
              <w:t>）、黄荆（</w:t>
            </w:r>
            <w:r>
              <w:rPr>
                <w:rFonts w:hint="default" w:ascii="Times New Roman" w:hAnsi="Times New Roman" w:cs="Times New Roman"/>
                <w:i/>
                <w:iCs/>
                <w:color w:val="auto"/>
                <w:sz w:val="24"/>
                <w:szCs w:val="24"/>
              </w:rPr>
              <w:t>Vitex negundo</w:t>
            </w:r>
            <w:r>
              <w:rPr>
                <w:rFonts w:hint="default" w:ascii="Times New Roman" w:hAnsi="Times New Roman" w:cs="Times New Roman"/>
                <w:color w:val="auto"/>
                <w:sz w:val="24"/>
                <w:szCs w:val="24"/>
              </w:rPr>
              <w:t>）、构树（</w:t>
            </w:r>
            <w:r>
              <w:rPr>
                <w:rFonts w:hint="default" w:ascii="Times New Roman" w:hAnsi="Times New Roman" w:cs="Times New Roman"/>
                <w:i/>
                <w:iCs/>
                <w:color w:val="auto"/>
                <w:sz w:val="24"/>
                <w:szCs w:val="24"/>
              </w:rPr>
              <w:t>Broussonetia papyrifera</w:t>
            </w:r>
            <w:r>
              <w:rPr>
                <w:rFonts w:hint="default" w:ascii="Times New Roman" w:hAnsi="Times New Roman" w:cs="Times New Roman"/>
                <w:color w:val="auto"/>
                <w:sz w:val="24"/>
                <w:szCs w:val="24"/>
              </w:rPr>
              <w:t>）、杜鹃（</w:t>
            </w:r>
            <w:r>
              <w:rPr>
                <w:rFonts w:hint="default" w:ascii="Times New Roman" w:hAnsi="Times New Roman" w:cs="Times New Roman"/>
                <w:i/>
                <w:iCs/>
                <w:color w:val="auto"/>
                <w:sz w:val="24"/>
                <w:szCs w:val="24"/>
              </w:rPr>
              <w:t>Rhododendron Spp.</w:t>
            </w:r>
            <w:r>
              <w:rPr>
                <w:rFonts w:hint="default" w:ascii="Times New Roman" w:hAnsi="Times New Roman" w:cs="Times New Roman"/>
                <w:color w:val="auto"/>
                <w:sz w:val="24"/>
                <w:szCs w:val="24"/>
              </w:rPr>
              <w:t>）；草丛的白茅（</w:t>
            </w:r>
            <w:r>
              <w:rPr>
                <w:rFonts w:hint="default" w:ascii="Times New Roman" w:hAnsi="Times New Roman" w:cs="Times New Roman"/>
                <w:i/>
                <w:iCs/>
                <w:color w:val="auto"/>
                <w:sz w:val="24"/>
                <w:szCs w:val="24"/>
              </w:rPr>
              <w:t>Imperata cylindrica</w:t>
            </w:r>
            <w:r>
              <w:rPr>
                <w:rFonts w:hint="default" w:ascii="Times New Roman" w:hAnsi="Times New Roman" w:cs="Times New Roman"/>
                <w:color w:val="auto"/>
                <w:sz w:val="24"/>
                <w:szCs w:val="24"/>
              </w:rPr>
              <w:t>）、狗牙根（</w:t>
            </w:r>
            <w:r>
              <w:rPr>
                <w:rFonts w:hint="default" w:ascii="Times New Roman" w:hAnsi="Times New Roman" w:cs="Times New Roman"/>
                <w:i/>
                <w:iCs/>
                <w:color w:val="auto"/>
                <w:sz w:val="24"/>
                <w:szCs w:val="24"/>
              </w:rPr>
              <w:t>Cynodon dactylon</w:t>
            </w:r>
            <w:r>
              <w:rPr>
                <w:rFonts w:hint="default" w:ascii="Times New Roman" w:hAnsi="Times New Roman" w:cs="Times New Roman"/>
                <w:color w:val="auto"/>
                <w:sz w:val="24"/>
                <w:szCs w:val="24"/>
              </w:rPr>
              <w:t>）、西来稗（</w:t>
            </w:r>
            <w:r>
              <w:rPr>
                <w:rFonts w:hint="default" w:ascii="Times New Roman" w:hAnsi="Times New Roman" w:cs="Times New Roman"/>
                <w:i/>
                <w:iCs/>
                <w:color w:val="auto"/>
                <w:sz w:val="24"/>
                <w:szCs w:val="24"/>
              </w:rPr>
              <w:t>Echinochloa crus-galli var. zelayensis</w:t>
            </w:r>
            <w:r>
              <w:rPr>
                <w:rFonts w:hint="default" w:ascii="Times New Roman" w:hAnsi="Times New Roman" w:cs="Times New Roman"/>
                <w:color w:val="auto"/>
                <w:sz w:val="24"/>
                <w:szCs w:val="24"/>
              </w:rPr>
              <w:t>）、蒿类（</w:t>
            </w:r>
            <w:r>
              <w:rPr>
                <w:rFonts w:hint="default" w:ascii="Times New Roman" w:hAnsi="Times New Roman" w:cs="Times New Roman"/>
                <w:i/>
                <w:iCs/>
                <w:color w:val="auto"/>
                <w:sz w:val="24"/>
                <w:szCs w:val="24"/>
              </w:rPr>
              <w:t>Artemisia</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Spp</w:t>
            </w:r>
            <w:r>
              <w:rPr>
                <w:rFonts w:hint="default" w:ascii="Times New Roman" w:hAnsi="Times New Roman" w:cs="Times New Roman"/>
                <w:color w:val="auto"/>
                <w:sz w:val="24"/>
                <w:szCs w:val="24"/>
              </w:rPr>
              <w:t>.）等。主要经济植物有，核桃、板栗、油桐、茶树、梨、橘子、桃等。</w:t>
            </w:r>
          </w:p>
          <w:p w14:paraId="64F80A6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本项目涉及的植被以构树（</w:t>
            </w:r>
            <w:r>
              <w:rPr>
                <w:rFonts w:hint="default" w:ascii="Times New Roman" w:hAnsi="Times New Roman" w:cs="Times New Roman"/>
                <w:i/>
                <w:iCs/>
                <w:color w:val="auto"/>
                <w:sz w:val="24"/>
                <w:szCs w:val="24"/>
              </w:rPr>
              <w:t>Broussonetia papyrifera</w:t>
            </w:r>
            <w:r>
              <w:rPr>
                <w:rFonts w:hint="default" w:ascii="Times New Roman" w:hAnsi="Times New Roman" w:cs="Times New Roman"/>
                <w:color w:val="auto"/>
                <w:sz w:val="24"/>
                <w:szCs w:val="24"/>
              </w:rPr>
              <w:t>）、枫杨（</w:t>
            </w:r>
            <w:r>
              <w:rPr>
                <w:rFonts w:hint="default" w:ascii="Times New Roman" w:hAnsi="Times New Roman" w:cs="Times New Roman"/>
                <w:i/>
                <w:iCs/>
                <w:color w:val="auto"/>
                <w:sz w:val="24"/>
                <w:szCs w:val="24"/>
                <w:lang w:eastAsia="zh-CN"/>
              </w:rPr>
              <w:t>PET</w:t>
            </w:r>
            <w:r>
              <w:rPr>
                <w:rFonts w:hint="default" w:ascii="Times New Roman" w:hAnsi="Times New Roman" w:cs="Times New Roman"/>
                <w:i/>
                <w:iCs/>
                <w:color w:val="auto"/>
                <w:sz w:val="24"/>
                <w:szCs w:val="24"/>
              </w:rPr>
              <w:t>rocarya</w:t>
            </w:r>
            <w:r>
              <w:rPr>
                <w:rFonts w:hint="default" w:ascii="Times New Roman" w:hAnsi="Times New Roman" w:cs="Times New Roman"/>
                <w:color w:val="auto"/>
                <w:sz w:val="24"/>
                <w:szCs w:val="24"/>
              </w:rPr>
              <w:t xml:space="preserve"> </w:t>
            </w:r>
            <w:r>
              <w:rPr>
                <w:rFonts w:hint="default" w:ascii="Times New Roman" w:hAnsi="Times New Roman" w:cs="Times New Roman"/>
                <w:i/>
                <w:iCs/>
                <w:color w:val="auto"/>
                <w:sz w:val="24"/>
                <w:szCs w:val="24"/>
              </w:rPr>
              <w:t>steno</w:t>
            </w:r>
            <w:r>
              <w:rPr>
                <w:rFonts w:hint="default" w:ascii="Times New Roman" w:hAnsi="Times New Roman" w:cs="Times New Roman"/>
                <w:i/>
                <w:iCs/>
                <w:color w:val="auto"/>
                <w:sz w:val="24"/>
                <w:szCs w:val="24"/>
                <w:lang w:eastAsia="zh-CN"/>
              </w:rPr>
              <w:t>PET</w:t>
            </w:r>
            <w:r>
              <w:rPr>
                <w:rFonts w:hint="default" w:ascii="Times New Roman" w:hAnsi="Times New Roman" w:cs="Times New Roman"/>
                <w:i/>
                <w:iCs/>
                <w:color w:val="auto"/>
                <w:sz w:val="24"/>
                <w:szCs w:val="24"/>
              </w:rPr>
              <w:t>ra</w:t>
            </w:r>
            <w:r>
              <w:rPr>
                <w:rFonts w:hint="default" w:ascii="Times New Roman" w:hAnsi="Times New Roman" w:cs="Times New Roman"/>
                <w:color w:val="auto"/>
                <w:sz w:val="24"/>
                <w:szCs w:val="24"/>
              </w:rPr>
              <w:t>）、樟科（</w:t>
            </w:r>
            <w:r>
              <w:rPr>
                <w:rFonts w:hint="default" w:ascii="Times New Roman" w:hAnsi="Times New Roman" w:cs="Times New Roman"/>
                <w:i/>
                <w:iCs/>
                <w:color w:val="auto"/>
                <w:sz w:val="24"/>
                <w:szCs w:val="24"/>
              </w:rPr>
              <w:t>Lauraceae</w:t>
            </w:r>
            <w:r>
              <w:rPr>
                <w:rFonts w:hint="default" w:ascii="Times New Roman" w:hAnsi="Times New Roman" w:cs="Times New Roman"/>
                <w:color w:val="auto"/>
                <w:sz w:val="24"/>
                <w:szCs w:val="24"/>
              </w:rPr>
              <w:t>）为建群种组成的亚热带落叶阔叶林，兼有以柏科（Cupressaceae）、马尾松（CasuarinaequisetifoliaForst.）为主的亚热带低山常绿针叶林、以多种大茎竹为主的亚热带竹林。以狗牙根</w:t>
            </w:r>
            <w:r>
              <w:rPr>
                <w:rFonts w:hint="default" w:ascii="Times New Roman" w:hAnsi="Times New Roman" w:cs="Times New Roman"/>
                <w:color w:val="auto"/>
                <w:sz w:val="24"/>
                <w:szCs w:val="24"/>
                <w:lang w:eastAsia="zh-CN"/>
              </w:rPr>
              <w:t>（</w:t>
            </w:r>
            <w:r>
              <w:rPr>
                <w:rFonts w:hint="default" w:ascii="Times New Roman" w:hAnsi="Times New Roman" w:cs="Times New Roman"/>
                <w:i/>
                <w:iCs/>
                <w:color w:val="auto"/>
                <w:sz w:val="24"/>
                <w:szCs w:val="24"/>
              </w:rPr>
              <w:t>Cynodon dactylon</w:t>
            </w:r>
            <w:r>
              <w:rPr>
                <w:rFonts w:hint="default" w:ascii="Times New Roman" w:hAnsi="Times New Roman" w:cs="Times New Roman"/>
                <w:color w:val="auto"/>
                <w:sz w:val="24"/>
                <w:szCs w:val="24"/>
              </w:rPr>
              <w:t>）、青蒿</w:t>
            </w:r>
            <w:r>
              <w:rPr>
                <w:rFonts w:hint="default" w:ascii="Times New Roman" w:hAnsi="Times New Roman" w:cs="Times New Roman"/>
                <w:color w:val="auto"/>
                <w:sz w:val="24"/>
                <w:szCs w:val="24"/>
                <w:lang w:eastAsia="zh-CN"/>
              </w:rPr>
              <w:t>（</w:t>
            </w:r>
            <w:r>
              <w:rPr>
                <w:rFonts w:hint="default" w:ascii="Times New Roman" w:hAnsi="Times New Roman" w:cs="Times New Roman"/>
                <w:i/>
                <w:iCs/>
                <w:color w:val="auto"/>
                <w:sz w:val="24"/>
                <w:szCs w:val="24"/>
              </w:rPr>
              <w:t>Artemisia caruifolia</w:t>
            </w:r>
            <w:r>
              <w:rPr>
                <w:rFonts w:hint="default" w:ascii="Times New Roman" w:hAnsi="Times New Roman" w:cs="Times New Roman"/>
                <w:i/>
                <w:iCs/>
                <w:color w:val="auto"/>
                <w:sz w:val="24"/>
                <w:szCs w:val="24"/>
                <w:lang w:eastAsia="zh-CN"/>
              </w:rPr>
              <w:t>）</w:t>
            </w:r>
            <w:r>
              <w:rPr>
                <w:rFonts w:hint="default" w:ascii="Times New Roman" w:hAnsi="Times New Roman" w:cs="Times New Roman"/>
                <w:color w:val="auto"/>
                <w:sz w:val="24"/>
                <w:szCs w:val="24"/>
              </w:rPr>
              <w:t>为主的山地草丛</w:t>
            </w:r>
            <w:r>
              <w:rPr>
                <w:rFonts w:hint="default" w:ascii="Times New Roman" w:hAnsi="Times New Roman" w:cs="Times New Roman"/>
                <w:bCs/>
                <w:color w:val="auto"/>
                <w:sz w:val="24"/>
                <w:szCs w:val="24"/>
              </w:rPr>
              <w:t>。</w:t>
            </w:r>
          </w:p>
          <w:p w14:paraId="379D0F8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②陆生动物</w:t>
            </w:r>
          </w:p>
          <w:p w14:paraId="5AC97C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两栖类：评价区内两栖动物常见的有中华蟾蜍、沼水蛙、饰纹姬蛙等。</w:t>
            </w:r>
          </w:p>
          <w:p w14:paraId="55ABCC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爬行类：评价区内爬行动物常见的有蹼趾壁虎、北草蜥、王锦蛇、黑眉锦蛇、乌梢蛇等。</w:t>
            </w:r>
          </w:p>
          <w:p w14:paraId="719A0DE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鸟类：评价区内鸟类常见的有珠颈斑鸠、大杜鹃、大山雀、大家燕、白鹡鸰等。</w:t>
            </w:r>
          </w:p>
          <w:p w14:paraId="4788CE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由于评价区地形地貌、植被类型和人为环境的不同，因而其鸟类组成和群落结构也各不相同，形成了各具特点的4个鸟类群落，主要为、水域生境鸟类、农耕生境鸟类、灌丛生境鸟类、森林生境鸟类。</w:t>
            </w:r>
          </w:p>
          <w:p w14:paraId="2CF53E5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兽类：评价区内受人类活动影响，区域兽类以中小型兽类为主，主要以啮齿目兽类为主，常见的有小家鼠、社鼠、褐家鼠、草兔等。</w:t>
            </w:r>
          </w:p>
          <w:p w14:paraId="655F5E7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根据现场调查及林业部门走访，本项目评价范围不涉及野生动物保护区和原始森林，不涉及国家和地方保护的珍稀野生动物分布。</w:t>
            </w:r>
          </w:p>
          <w:p w14:paraId="38F6254D">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2</w:t>
            </w:r>
            <w:r>
              <w:rPr>
                <w:rFonts w:hint="default" w:ascii="Times New Roman" w:hAnsi="Times New Roman" w:cs="Times New Roman"/>
                <w:b/>
                <w:color w:val="auto"/>
                <w:sz w:val="24"/>
                <w:szCs w:val="24"/>
              </w:rPr>
              <w:t>）生态系统及景观</w:t>
            </w:r>
          </w:p>
          <w:p w14:paraId="5FB3333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按照景观结构和生态系统的划分原则，可以将评价区划分为自然生态系统和人工生态系统。评价区自然生态系统由森林生态系统、灌草丛生态系统、河流湿地生态系统3类构成，人工生态系统有农田、道路、建筑等。</w:t>
            </w:r>
          </w:p>
          <w:p w14:paraId="14B556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评价区域内人工生态系统主要为农业生态系统、道路生态系统、人工聚落生态系统。</w:t>
            </w:r>
          </w:p>
          <w:p w14:paraId="62DB4A8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①农业生态系统</w:t>
            </w:r>
          </w:p>
          <w:p w14:paraId="703DCD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评价区域农耕历史悠久，耕地类型广布，还有多个村落、社区等。区域内的农田主要分布在地势较平缓区域，土地利用类型单一，栽培作物包括玉米、大豆、红薯等。同时评价区内的居民们还种植了柚、枇杷等水果。</w:t>
            </w:r>
          </w:p>
          <w:p w14:paraId="1D0E5CB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②道路生态系统</w:t>
            </w:r>
          </w:p>
          <w:p w14:paraId="0C346BC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评价区道路生态系统主要为小路。道路生态系统分布于地势平坦开阔的地方，在评价区分布面积最小。道路生态系统自身的高连通性是建立在对其他生态系统切割、阻隔的基础之上的。</w:t>
            </w:r>
          </w:p>
          <w:p w14:paraId="3932F5C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③人工聚落生态系统</w:t>
            </w:r>
          </w:p>
          <w:p w14:paraId="6DF7D98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该生态系统是按人类的意愿建立的一种典型的人工生态系统，在评价区主要为居民建筑物。</w:t>
            </w:r>
          </w:p>
          <w:p w14:paraId="50B86E2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baseline"/>
              <w:rPr>
                <w:rFonts w:hint="default" w:ascii="Times New Roman" w:hAnsi="Times New Roman" w:cs="Times New Roman"/>
                <w:b/>
                <w:color w:val="auto"/>
                <w:sz w:val="24"/>
                <w:szCs w:val="24"/>
              </w:rPr>
            </w:pPr>
            <w:r>
              <w:rPr>
                <w:rFonts w:hint="default" w:ascii="Times New Roman" w:hAnsi="Times New Roman" w:cs="Times New Roman"/>
                <w:b/>
                <w:color w:val="auto"/>
                <w:sz w:val="24"/>
                <w:szCs w:val="24"/>
                <w:lang w:val="en-US" w:eastAsia="zh-CN"/>
              </w:rPr>
              <w:t>3</w:t>
            </w:r>
            <w:r>
              <w:rPr>
                <w:rFonts w:hint="default" w:ascii="Times New Roman" w:hAnsi="Times New Roman" w:cs="Times New Roman"/>
                <w:b/>
                <w:color w:val="auto"/>
                <w:sz w:val="24"/>
                <w:szCs w:val="24"/>
              </w:rPr>
              <w:t>、大气环境质量</w:t>
            </w:r>
          </w:p>
          <w:p w14:paraId="5C4C6B38">
            <w:pPr>
              <w:keepNext w:val="0"/>
              <w:keepLines w:val="0"/>
              <w:pageBreakBefore w:val="0"/>
              <w:widowControl w:val="0"/>
              <w:kinsoku/>
              <w:wordWrap/>
              <w:overflowPunct/>
              <w:topLinePunct w:val="0"/>
              <w:autoSpaceDE/>
              <w:autoSpaceDN/>
              <w:bidi w:val="0"/>
              <w:spacing w:line="360" w:lineRule="auto"/>
              <w:ind w:firstLine="480" w:firstLineChars="200"/>
              <w:jc w:val="left"/>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本次采用达州市生态环境局官方网站发布的达州市生态环境局2024年1月的《达州市2023年环境空气质量状况》，对宣汉县空气质量现状进行评价。</w:t>
            </w:r>
          </w:p>
          <w:p w14:paraId="310B3960">
            <w:pPr>
              <w:keepNext w:val="0"/>
              <w:keepLines w:val="0"/>
              <w:pageBreakBefore w:val="0"/>
              <w:widowControl w:val="0"/>
              <w:kinsoku/>
              <w:wordWrap/>
              <w:overflowPunct/>
              <w:topLinePunct w:val="0"/>
              <w:autoSpaceDE/>
              <w:autoSpaceDN/>
              <w:bidi w:val="0"/>
              <w:spacing w:line="360" w:lineRule="auto"/>
              <w:ind w:firstLine="480" w:firstLineChars="200"/>
              <w:jc w:val="left"/>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达州市生态环境局发布的《达州市2023年环境空气质量状况》，2023年达州市宣汉县环境空气质量达标率为92.9%，同比下降4.4%，达标天数全年339天，其中空气质量优203天，良136天，轻度污染17天，中度污染4天，重度污染5天。宣汉县2023年各大气环境基本污染物年平均浓度及达标判定见下表：</w:t>
            </w:r>
          </w:p>
          <w:p w14:paraId="05700FFA">
            <w:pPr>
              <w:pStyle w:val="20"/>
              <w:widowControl w:val="0"/>
              <w:spacing w:before="0" w:beforeAutospacing="0" w:after="0" w:afterAutospacing="0" w:line="460" w:lineRule="exact"/>
              <w:ind w:firstLine="422" w:firstLineChars="200"/>
              <w:jc w:val="center"/>
              <w:rPr>
                <w:rFonts w:hint="default" w:ascii="Times New Roman" w:hAnsi="Times New Roman" w:cs="Times New Roman"/>
                <w:b/>
                <w:color w:val="auto"/>
                <w:kern w:val="2"/>
                <w:sz w:val="21"/>
                <w:szCs w:val="21"/>
              </w:rPr>
            </w:pPr>
            <w:r>
              <w:rPr>
                <w:rFonts w:hint="default" w:ascii="Times New Roman" w:hAnsi="Times New Roman" w:cs="Times New Roman"/>
                <w:b/>
                <w:color w:val="auto"/>
                <w:kern w:val="2"/>
                <w:sz w:val="21"/>
                <w:szCs w:val="21"/>
                <w:lang w:bidi="ar"/>
              </w:rPr>
              <w:t>表3-1</w:t>
            </w:r>
            <w:r>
              <w:rPr>
                <w:rFonts w:hint="default" w:ascii="Times New Roman" w:hAnsi="Times New Roman" w:cs="Times New Roman"/>
                <w:b/>
                <w:color w:val="auto"/>
                <w:kern w:val="2"/>
                <w:sz w:val="21"/>
                <w:szCs w:val="21"/>
                <w:lang w:val="en-US" w:eastAsia="zh-CN" w:bidi="ar"/>
              </w:rPr>
              <w:t xml:space="preserve"> </w:t>
            </w:r>
            <w:r>
              <w:rPr>
                <w:rFonts w:hint="default" w:ascii="Times New Roman" w:hAnsi="Times New Roman" w:cs="Times New Roman"/>
                <w:b/>
                <w:color w:val="auto"/>
                <w:kern w:val="2"/>
                <w:sz w:val="21"/>
                <w:szCs w:val="21"/>
                <w:lang w:bidi="ar"/>
              </w:rPr>
              <w:t>宣汉县区域空气质量现状评价表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4"/>
              <w:gridCol w:w="845"/>
              <w:gridCol w:w="2294"/>
              <w:gridCol w:w="1147"/>
              <w:gridCol w:w="958"/>
              <w:gridCol w:w="1138"/>
              <w:gridCol w:w="1138"/>
            </w:tblGrid>
            <w:tr w14:paraId="017C3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1FF8B5D2">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序号</w:t>
                  </w:r>
                </w:p>
              </w:tc>
              <w:tc>
                <w:tcPr>
                  <w:tcW w:w="531" w:type="pct"/>
                  <w:noWrap w:val="0"/>
                  <w:vAlign w:val="center"/>
                </w:tcPr>
                <w:p w14:paraId="33130A8D">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污染物</w:t>
                  </w:r>
                </w:p>
              </w:tc>
              <w:tc>
                <w:tcPr>
                  <w:tcW w:w="1440" w:type="pct"/>
                  <w:noWrap w:val="0"/>
                  <w:vAlign w:val="center"/>
                </w:tcPr>
                <w:p w14:paraId="0559F1E2">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评</w:t>
                  </w:r>
                  <w:r>
                    <w:rPr>
                      <w:rFonts w:hint="default" w:ascii="Times New Roman" w:hAnsi="Times New Roman" w:eastAsia="宋体" w:cs="Times New Roman"/>
                      <w:b w:val="0"/>
                      <w:bCs/>
                      <w:color w:val="auto"/>
                      <w:sz w:val="21"/>
                      <w:szCs w:val="21"/>
                    </w:rPr>
                    <w:cr/>
                  </w:r>
                  <w:r>
                    <w:rPr>
                      <w:rFonts w:hint="default" w:ascii="Times New Roman" w:hAnsi="Times New Roman" w:eastAsia="宋体" w:cs="Times New Roman"/>
                      <w:b w:val="0"/>
                      <w:bCs/>
                      <w:color w:val="auto"/>
                      <w:sz w:val="21"/>
                      <w:szCs w:val="21"/>
                    </w:rPr>
                    <w:t>指标</w:t>
                  </w:r>
                </w:p>
              </w:tc>
              <w:tc>
                <w:tcPr>
                  <w:tcW w:w="720" w:type="pct"/>
                  <w:noWrap w:val="0"/>
                  <w:vAlign w:val="center"/>
                </w:tcPr>
                <w:p w14:paraId="2657B184">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现状浓度μg/m</w:t>
                  </w:r>
                  <w:r>
                    <w:rPr>
                      <w:rFonts w:hint="default" w:ascii="Times New Roman" w:hAnsi="Times New Roman" w:eastAsia="宋体" w:cs="Times New Roman"/>
                      <w:b w:val="0"/>
                      <w:bCs/>
                      <w:color w:val="auto"/>
                      <w:sz w:val="21"/>
                      <w:szCs w:val="21"/>
                      <w:vertAlign w:val="superscript"/>
                    </w:rPr>
                    <w:t>3</w:t>
                  </w:r>
                </w:p>
              </w:tc>
              <w:tc>
                <w:tcPr>
                  <w:tcW w:w="601" w:type="pct"/>
                  <w:noWrap w:val="0"/>
                  <w:vAlign w:val="center"/>
                </w:tcPr>
                <w:p w14:paraId="331FEB0A">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标准值μg/m</w:t>
                  </w:r>
                  <w:r>
                    <w:rPr>
                      <w:rFonts w:hint="default" w:ascii="Times New Roman" w:hAnsi="Times New Roman" w:eastAsia="宋体" w:cs="Times New Roman"/>
                      <w:b w:val="0"/>
                      <w:bCs/>
                      <w:color w:val="auto"/>
                      <w:sz w:val="21"/>
                      <w:szCs w:val="21"/>
                      <w:vertAlign w:val="superscript"/>
                    </w:rPr>
                    <w:t>3</w:t>
                  </w:r>
                </w:p>
              </w:tc>
              <w:tc>
                <w:tcPr>
                  <w:tcW w:w="714" w:type="pct"/>
                  <w:noWrap w:val="0"/>
                  <w:vAlign w:val="center"/>
                </w:tcPr>
                <w:p w14:paraId="176BDDF8">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占标率%</w:t>
                  </w:r>
                </w:p>
              </w:tc>
              <w:tc>
                <w:tcPr>
                  <w:tcW w:w="714" w:type="pct"/>
                  <w:noWrap w:val="0"/>
                  <w:vAlign w:val="center"/>
                </w:tcPr>
                <w:p w14:paraId="054B2D9E">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达标情况</w:t>
                  </w:r>
                </w:p>
              </w:tc>
            </w:tr>
            <w:tr w14:paraId="0914E2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2E7FD0A1">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1</w:t>
                  </w:r>
                </w:p>
              </w:tc>
              <w:tc>
                <w:tcPr>
                  <w:tcW w:w="531" w:type="pct"/>
                  <w:noWrap w:val="0"/>
                  <w:vAlign w:val="center"/>
                </w:tcPr>
                <w:p w14:paraId="74898FC3">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SO</w:t>
                  </w:r>
                  <w:r>
                    <w:rPr>
                      <w:rFonts w:hint="default" w:ascii="Times New Roman" w:hAnsi="Times New Roman" w:eastAsia="宋体" w:cs="Times New Roman"/>
                      <w:b w:val="0"/>
                      <w:bCs/>
                      <w:color w:val="auto"/>
                      <w:sz w:val="21"/>
                      <w:szCs w:val="21"/>
                      <w:vertAlign w:val="subscript"/>
                    </w:rPr>
                    <w:t>2</w:t>
                  </w:r>
                </w:p>
              </w:tc>
              <w:tc>
                <w:tcPr>
                  <w:tcW w:w="1440" w:type="pct"/>
                  <w:noWrap w:val="0"/>
                  <w:vAlign w:val="center"/>
                </w:tcPr>
                <w:p w14:paraId="3A28DA0F">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年平均浓度</w:t>
                  </w:r>
                </w:p>
              </w:tc>
              <w:tc>
                <w:tcPr>
                  <w:tcW w:w="720" w:type="pct"/>
                  <w:noWrap w:val="0"/>
                  <w:vAlign w:val="center"/>
                </w:tcPr>
                <w:p w14:paraId="61516F65">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w:t>
                  </w:r>
                </w:p>
              </w:tc>
              <w:tc>
                <w:tcPr>
                  <w:tcW w:w="601" w:type="pct"/>
                  <w:noWrap w:val="0"/>
                  <w:vAlign w:val="center"/>
                </w:tcPr>
                <w:p w14:paraId="13163384">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60</w:t>
                  </w:r>
                </w:p>
              </w:tc>
              <w:tc>
                <w:tcPr>
                  <w:tcW w:w="714" w:type="pct"/>
                  <w:noWrap w:val="0"/>
                  <w:vAlign w:val="center"/>
                </w:tcPr>
                <w:p w14:paraId="0D5BFF9C">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10.0%</w:t>
                  </w:r>
                </w:p>
              </w:tc>
              <w:tc>
                <w:tcPr>
                  <w:tcW w:w="714" w:type="pct"/>
                  <w:noWrap w:val="0"/>
                  <w:vAlign w:val="center"/>
                </w:tcPr>
                <w:p w14:paraId="03CB4D62">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r w14:paraId="502853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4CB7FABF">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2</w:t>
                  </w:r>
                </w:p>
              </w:tc>
              <w:tc>
                <w:tcPr>
                  <w:tcW w:w="531" w:type="pct"/>
                  <w:noWrap w:val="0"/>
                  <w:vAlign w:val="center"/>
                </w:tcPr>
                <w:p w14:paraId="45A2573F">
                  <w:pPr>
                    <w:pStyle w:val="9"/>
                    <w:jc w:val="center"/>
                    <w:rPr>
                      <w:rFonts w:hint="default" w:ascii="Times New Roman" w:hAnsi="Times New Roman" w:eastAsia="宋体" w:cs="Times New Roman"/>
                      <w:b w:val="0"/>
                      <w:bCs/>
                      <w:color w:val="auto"/>
                      <w:sz w:val="21"/>
                      <w:szCs w:val="21"/>
                      <w:lang w:eastAsia="zh-CN"/>
                    </w:rPr>
                  </w:pPr>
                  <w:r>
                    <w:rPr>
                      <w:rFonts w:hint="default" w:ascii="Times New Roman" w:hAnsi="Times New Roman" w:eastAsia="宋体" w:cs="Times New Roman"/>
                      <w:b w:val="0"/>
                      <w:bCs/>
                      <w:color w:val="auto"/>
                      <w:sz w:val="21"/>
                      <w:szCs w:val="21"/>
                    </w:rPr>
                    <w:t>NO</w:t>
                  </w:r>
                  <w:r>
                    <w:rPr>
                      <w:rFonts w:hint="default" w:ascii="Times New Roman" w:hAnsi="Times New Roman" w:eastAsia="宋体" w:cs="Times New Roman"/>
                      <w:b w:val="0"/>
                      <w:bCs/>
                      <w:color w:val="auto"/>
                      <w:sz w:val="21"/>
                      <w:szCs w:val="21"/>
                      <w:vertAlign w:val="subscript"/>
                      <w:lang w:val="en-US" w:eastAsia="zh-CN"/>
                    </w:rPr>
                    <w:t>2</w:t>
                  </w:r>
                </w:p>
              </w:tc>
              <w:tc>
                <w:tcPr>
                  <w:tcW w:w="1440" w:type="pct"/>
                  <w:noWrap w:val="0"/>
                  <w:vAlign w:val="center"/>
                </w:tcPr>
                <w:p w14:paraId="7B536BE6">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年平均浓度</w:t>
                  </w:r>
                </w:p>
              </w:tc>
              <w:tc>
                <w:tcPr>
                  <w:tcW w:w="720" w:type="pct"/>
                  <w:noWrap w:val="0"/>
                  <w:vAlign w:val="center"/>
                </w:tcPr>
                <w:p w14:paraId="1ECDCC91">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20</w:t>
                  </w:r>
                </w:p>
              </w:tc>
              <w:tc>
                <w:tcPr>
                  <w:tcW w:w="601" w:type="pct"/>
                  <w:noWrap w:val="0"/>
                  <w:vAlign w:val="center"/>
                </w:tcPr>
                <w:p w14:paraId="1817ABA5">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w:t>
                  </w:r>
                </w:p>
              </w:tc>
              <w:tc>
                <w:tcPr>
                  <w:tcW w:w="714" w:type="pct"/>
                  <w:noWrap w:val="0"/>
                  <w:vAlign w:val="center"/>
                </w:tcPr>
                <w:p w14:paraId="781F34DE">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50.0%</w:t>
                  </w:r>
                </w:p>
              </w:tc>
              <w:tc>
                <w:tcPr>
                  <w:tcW w:w="714" w:type="pct"/>
                  <w:noWrap w:val="0"/>
                  <w:vAlign w:val="center"/>
                </w:tcPr>
                <w:p w14:paraId="7756E841">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r w14:paraId="49B360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7C9B4D2C">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3</w:t>
                  </w:r>
                </w:p>
              </w:tc>
              <w:tc>
                <w:tcPr>
                  <w:tcW w:w="531" w:type="pct"/>
                  <w:noWrap w:val="0"/>
                  <w:vAlign w:val="center"/>
                </w:tcPr>
                <w:p w14:paraId="4D0BD145">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PM</w:t>
                  </w:r>
                  <w:r>
                    <w:rPr>
                      <w:rFonts w:hint="default" w:ascii="Times New Roman" w:hAnsi="Times New Roman" w:eastAsia="宋体" w:cs="Times New Roman"/>
                      <w:b w:val="0"/>
                      <w:bCs/>
                      <w:color w:val="auto"/>
                      <w:sz w:val="21"/>
                      <w:szCs w:val="21"/>
                      <w:vertAlign w:val="subscript"/>
                    </w:rPr>
                    <w:t>10</w:t>
                  </w:r>
                </w:p>
              </w:tc>
              <w:tc>
                <w:tcPr>
                  <w:tcW w:w="1440" w:type="pct"/>
                  <w:noWrap w:val="0"/>
                  <w:vAlign w:val="center"/>
                </w:tcPr>
                <w:p w14:paraId="5F2C15CC">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年平均浓度</w:t>
                  </w:r>
                </w:p>
              </w:tc>
              <w:tc>
                <w:tcPr>
                  <w:tcW w:w="720" w:type="pct"/>
                  <w:noWrap w:val="0"/>
                  <w:vAlign w:val="center"/>
                </w:tcPr>
                <w:p w14:paraId="30F38477">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55</w:t>
                  </w:r>
                </w:p>
              </w:tc>
              <w:tc>
                <w:tcPr>
                  <w:tcW w:w="601" w:type="pct"/>
                  <w:noWrap w:val="0"/>
                  <w:vAlign w:val="center"/>
                </w:tcPr>
                <w:p w14:paraId="6C569320">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70</w:t>
                  </w:r>
                </w:p>
              </w:tc>
              <w:tc>
                <w:tcPr>
                  <w:tcW w:w="714" w:type="pct"/>
                  <w:noWrap w:val="0"/>
                  <w:vAlign w:val="center"/>
                </w:tcPr>
                <w:p w14:paraId="0F35880B">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75.57%</w:t>
                  </w:r>
                </w:p>
              </w:tc>
              <w:tc>
                <w:tcPr>
                  <w:tcW w:w="714" w:type="pct"/>
                  <w:noWrap w:val="0"/>
                  <w:vAlign w:val="center"/>
                </w:tcPr>
                <w:p w14:paraId="378F4451">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r w14:paraId="74CF06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17D1A203">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4</w:t>
                  </w:r>
                </w:p>
              </w:tc>
              <w:tc>
                <w:tcPr>
                  <w:tcW w:w="531" w:type="pct"/>
                  <w:noWrap w:val="0"/>
                  <w:vAlign w:val="center"/>
                </w:tcPr>
                <w:p w14:paraId="56B63B3D">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PM</w:t>
                  </w:r>
                  <w:r>
                    <w:rPr>
                      <w:rFonts w:hint="default" w:ascii="Times New Roman" w:hAnsi="Times New Roman" w:eastAsia="宋体" w:cs="Times New Roman"/>
                      <w:b w:val="0"/>
                      <w:bCs/>
                      <w:color w:val="auto"/>
                      <w:sz w:val="21"/>
                      <w:szCs w:val="21"/>
                      <w:vertAlign w:val="subscript"/>
                    </w:rPr>
                    <w:t>2.5</w:t>
                  </w:r>
                </w:p>
              </w:tc>
              <w:tc>
                <w:tcPr>
                  <w:tcW w:w="1440" w:type="pct"/>
                  <w:noWrap w:val="0"/>
                  <w:vAlign w:val="center"/>
                </w:tcPr>
                <w:p w14:paraId="033C8644">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年平均浓度</w:t>
                  </w:r>
                </w:p>
              </w:tc>
              <w:tc>
                <w:tcPr>
                  <w:tcW w:w="720" w:type="pct"/>
                  <w:noWrap w:val="0"/>
                  <w:vAlign w:val="center"/>
                </w:tcPr>
                <w:p w14:paraId="0D38301F">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29</w:t>
                  </w:r>
                </w:p>
              </w:tc>
              <w:tc>
                <w:tcPr>
                  <w:tcW w:w="601" w:type="pct"/>
                  <w:noWrap w:val="0"/>
                  <w:vAlign w:val="center"/>
                </w:tcPr>
                <w:p w14:paraId="73FC78EE">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35</w:t>
                  </w:r>
                </w:p>
              </w:tc>
              <w:tc>
                <w:tcPr>
                  <w:tcW w:w="714" w:type="pct"/>
                  <w:noWrap w:val="0"/>
                  <w:vAlign w:val="center"/>
                </w:tcPr>
                <w:p w14:paraId="3325FF9F">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82.86%</w:t>
                  </w:r>
                </w:p>
              </w:tc>
              <w:tc>
                <w:tcPr>
                  <w:tcW w:w="714" w:type="pct"/>
                  <w:noWrap w:val="0"/>
                  <w:vAlign w:val="center"/>
                </w:tcPr>
                <w:p w14:paraId="117F638C">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r w14:paraId="1E24E0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3680EF40">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5</w:t>
                  </w:r>
                </w:p>
              </w:tc>
              <w:tc>
                <w:tcPr>
                  <w:tcW w:w="531" w:type="pct"/>
                  <w:noWrap w:val="0"/>
                  <w:vAlign w:val="center"/>
                </w:tcPr>
                <w:p w14:paraId="70290DD5">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CO</w:t>
                  </w:r>
                </w:p>
              </w:tc>
              <w:tc>
                <w:tcPr>
                  <w:tcW w:w="1440" w:type="pct"/>
                  <w:noWrap w:val="0"/>
                  <w:vAlign w:val="center"/>
                </w:tcPr>
                <w:p w14:paraId="219E9242">
                  <w:pPr>
                    <w:widowControl/>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日均值95百分位浓度</w:t>
                  </w:r>
                </w:p>
              </w:tc>
              <w:tc>
                <w:tcPr>
                  <w:tcW w:w="720" w:type="pct"/>
                  <w:noWrap w:val="0"/>
                  <w:vAlign w:val="center"/>
                </w:tcPr>
                <w:p w14:paraId="5B29ADAA">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1200</w:t>
                  </w:r>
                </w:p>
              </w:tc>
              <w:tc>
                <w:tcPr>
                  <w:tcW w:w="601" w:type="pct"/>
                  <w:noWrap w:val="0"/>
                  <w:vAlign w:val="center"/>
                </w:tcPr>
                <w:p w14:paraId="57F00E5E">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4000</w:t>
                  </w:r>
                </w:p>
              </w:tc>
              <w:tc>
                <w:tcPr>
                  <w:tcW w:w="714" w:type="pct"/>
                  <w:noWrap w:val="0"/>
                  <w:vAlign w:val="center"/>
                </w:tcPr>
                <w:p w14:paraId="322A4654">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30.0%</w:t>
                  </w:r>
                </w:p>
              </w:tc>
              <w:tc>
                <w:tcPr>
                  <w:tcW w:w="714" w:type="pct"/>
                  <w:noWrap w:val="0"/>
                  <w:vAlign w:val="center"/>
                </w:tcPr>
                <w:p w14:paraId="63A055DC">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r w14:paraId="42C56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9" w:type="pct"/>
                  <w:noWrap w:val="0"/>
                  <w:vAlign w:val="center"/>
                </w:tcPr>
                <w:p w14:paraId="069AA948">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6</w:t>
                  </w:r>
                </w:p>
              </w:tc>
              <w:tc>
                <w:tcPr>
                  <w:tcW w:w="531" w:type="pct"/>
                  <w:noWrap w:val="0"/>
                  <w:vAlign w:val="center"/>
                </w:tcPr>
                <w:p w14:paraId="74FD2056">
                  <w:pPr>
                    <w:pStyle w:val="9"/>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O</w:t>
                  </w:r>
                  <w:r>
                    <w:rPr>
                      <w:rFonts w:hint="default" w:ascii="Times New Roman" w:hAnsi="Times New Roman" w:eastAsia="宋体" w:cs="Times New Roman"/>
                      <w:b w:val="0"/>
                      <w:bCs/>
                      <w:color w:val="auto"/>
                      <w:sz w:val="21"/>
                      <w:szCs w:val="21"/>
                      <w:vertAlign w:val="subscript"/>
                    </w:rPr>
                    <w:t>3</w:t>
                  </w:r>
                </w:p>
              </w:tc>
              <w:tc>
                <w:tcPr>
                  <w:tcW w:w="1440" w:type="pct"/>
                  <w:noWrap w:val="0"/>
                  <w:vAlign w:val="center"/>
                </w:tcPr>
                <w:p w14:paraId="25E36C2F">
                  <w:pPr>
                    <w:widowControl/>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最大8小时值第</w:t>
                  </w:r>
                  <w:r>
                    <w:rPr>
                      <w:rFonts w:hint="default" w:ascii="Times New Roman" w:hAnsi="Times New Roman" w:eastAsia="宋体" w:cs="Times New Roman"/>
                      <w:b w:val="0"/>
                      <w:bCs/>
                      <w:color w:val="auto"/>
                      <w:sz w:val="21"/>
                      <w:szCs w:val="21"/>
                      <w:lang w:val="en-US" w:eastAsia="zh-CN"/>
                    </w:rPr>
                    <w:t>90</w:t>
                  </w:r>
                  <w:r>
                    <w:rPr>
                      <w:rFonts w:hint="default" w:ascii="Times New Roman" w:hAnsi="Times New Roman" w:eastAsia="宋体" w:cs="Times New Roman"/>
                      <w:b w:val="0"/>
                      <w:bCs/>
                      <w:color w:val="auto"/>
                      <w:sz w:val="21"/>
                      <w:szCs w:val="21"/>
                    </w:rPr>
                    <w:t>百分位浓</w:t>
                  </w:r>
                  <w:r>
                    <w:rPr>
                      <w:rFonts w:hint="default" w:ascii="Times New Roman" w:hAnsi="Times New Roman" w:eastAsia="宋体" w:cs="Times New Roman"/>
                      <w:b w:val="0"/>
                      <w:bCs/>
                      <w:color w:val="auto"/>
                      <w:sz w:val="21"/>
                      <w:szCs w:val="21"/>
                    </w:rPr>
                    <w:cr/>
                  </w:r>
                </w:p>
              </w:tc>
              <w:tc>
                <w:tcPr>
                  <w:tcW w:w="720" w:type="pct"/>
                  <w:noWrap w:val="0"/>
                  <w:vAlign w:val="center"/>
                </w:tcPr>
                <w:p w14:paraId="140F20C4">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90</w:t>
                  </w:r>
                </w:p>
              </w:tc>
              <w:tc>
                <w:tcPr>
                  <w:tcW w:w="601" w:type="pct"/>
                  <w:noWrap w:val="0"/>
                  <w:vAlign w:val="center"/>
                </w:tcPr>
                <w:p w14:paraId="18143D82">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160</w:t>
                  </w:r>
                </w:p>
              </w:tc>
              <w:tc>
                <w:tcPr>
                  <w:tcW w:w="714" w:type="pct"/>
                  <w:noWrap w:val="0"/>
                  <w:vAlign w:val="center"/>
                </w:tcPr>
                <w:p w14:paraId="2DAAAD8C">
                  <w:pPr>
                    <w:pStyle w:val="9"/>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eastAsia="宋体" w:cs="Times New Roman"/>
                      <w:b w:val="0"/>
                      <w:bCs/>
                      <w:color w:val="auto"/>
                      <w:sz w:val="21"/>
                      <w:szCs w:val="21"/>
                      <w:lang w:val="en-US" w:eastAsia="zh-CN"/>
                    </w:rPr>
                    <w:t>56.25%</w:t>
                  </w:r>
                </w:p>
              </w:tc>
              <w:tc>
                <w:tcPr>
                  <w:tcW w:w="714" w:type="pct"/>
                  <w:noWrap w:val="0"/>
                  <w:vAlign w:val="center"/>
                </w:tcPr>
                <w:p w14:paraId="30D4D018">
                  <w:pPr>
                    <w:jc w:val="center"/>
                    <w:rPr>
                      <w:rFonts w:hint="default" w:ascii="Times New Roman" w:hAnsi="Times New Roman" w:eastAsia="宋体" w:cs="Times New Roman"/>
                      <w:b w:val="0"/>
                      <w:bCs/>
                      <w:color w:val="auto"/>
                      <w:sz w:val="21"/>
                      <w:szCs w:val="21"/>
                    </w:rPr>
                  </w:pPr>
                  <w:r>
                    <w:rPr>
                      <w:rFonts w:hint="default" w:ascii="Times New Roman" w:hAnsi="Times New Roman" w:eastAsia="宋体" w:cs="Times New Roman"/>
                      <w:b w:val="0"/>
                      <w:bCs/>
                      <w:color w:val="auto"/>
                      <w:sz w:val="21"/>
                      <w:szCs w:val="21"/>
                    </w:rPr>
                    <w:t>达标</w:t>
                  </w:r>
                </w:p>
              </w:tc>
            </w:tr>
          </w:tbl>
          <w:p w14:paraId="1BA8C9A4">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根据上表，宣汉县2023年SO2、NO2、PM10、PM2.5、CO、O3、均能满足《环境空气质量标准》(GB3095-2012)中二级标准限值要求，因此宣汉县属于达标区。</w:t>
            </w:r>
          </w:p>
          <w:p w14:paraId="0E2C60DF">
            <w:pPr>
              <w:keepNext w:val="0"/>
              <w:keepLines w:val="0"/>
              <w:pageBreakBefore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4</w:t>
            </w:r>
            <w:r>
              <w:rPr>
                <w:rFonts w:hint="default" w:ascii="Times New Roman" w:hAnsi="Times New Roman" w:cs="Times New Roman"/>
                <w:b/>
                <w:bCs/>
                <w:color w:val="auto"/>
                <w:sz w:val="24"/>
                <w:szCs w:val="32"/>
              </w:rPr>
              <w:t>、地表水环境质量现状及评价</w:t>
            </w:r>
          </w:p>
          <w:p w14:paraId="2DA2A1A8">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根据《环境影响评价技术导则地表水环境》（HJ2.3HJ2.3-2018）中有关水环境质量现状调查的规定，应优先采用国务院生态环境保护主管部门统一发布水量现状调查的规定，应优先采用国务院生态环境保护主管部门统一发布水状况信息，当现有资料不满足要求时应按照同等级对的评价段开展现状监测。</w:t>
            </w:r>
          </w:p>
          <w:p w14:paraId="454FC55F">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eastAsia="zh-CN"/>
              </w:rPr>
              <w:t>徐家坡监测断面</w:t>
            </w:r>
            <w:r>
              <w:rPr>
                <w:rFonts w:hint="default" w:ascii="Times New Roman" w:hAnsi="Times New Roman" w:eastAsia="宋体" w:cs="Times New Roman"/>
                <w:color w:val="auto"/>
                <w:sz w:val="24"/>
                <w:lang w:val="en-US" w:eastAsia="zh-CN"/>
              </w:rPr>
              <w:t>为后河下游断面，根据宣汉县人民政府发布的宣汉县城区集中式饮用水水源地水质状况（2023年第一季度~2024年第四季度），监测项目数据表明宣汉县城区集中式饮用水源地徐家坡监测断面实测水质类别符合II类水域标准，水质状况优。具体网址及达标情况如下所示：</w:t>
            </w:r>
          </w:p>
          <w:p w14:paraId="129AD05E">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宣汉县陈家河属于胡家河河流水系，胡家河为后河支流，发源于宣汉县原凤鸣乡郭家梁，沿正南方向经过胡家镇兰草村、黄花村进入胡家场镇，穿镇而过，经后包河、杨家河边入跳河后汇入后河。</w:t>
            </w:r>
          </w:p>
          <w:p w14:paraId="6A0CE361">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胡家河总长17.4km，流域面积72.13km2，河口流量1.93m3/s。流域为深山区，植被较好，集水面积较大，支流较长，域内水系发育，支流密布，流域呈树状分布，形状为长条形。</w:t>
            </w:r>
          </w:p>
          <w:p w14:paraId="7F9BE678">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胡家河干流沿河乡镇有胡家镇，流域涉及还有红峰镇。胡家镇位于宣汉县城北部，幅员面积88.77km2。胡家河陈家保留区上起鸡鸣寨，下至胡家镇跳河村胡家河与后河汇合口，长约3.1km，该河段沿河居民较少，又处于山区，水资源开发利用程度不高，划为保留区。水质现状为Ⅱ类，水质管理目标为Ⅲ类。</w:t>
            </w:r>
          </w:p>
          <w:p w14:paraId="0050E14B">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宣汉县人民政府发布的《2023年第一季度宣汉县城区集中式饮用水水源地水质状况》，网址：http://www.xuanhan.gov.cn/xxgk-show-75274.html。</w:t>
            </w:r>
          </w:p>
          <w:p w14:paraId="08C4AFD6">
            <w:pPr>
              <w:wordWrap w:val="0"/>
              <w:adjustRightInd w:val="0"/>
              <w:snapToGrid w:val="0"/>
              <w:spacing w:line="360" w:lineRule="auto"/>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2056765"/>
                  <wp:effectExtent l="9525" t="9525" r="13970" b="16510"/>
                  <wp:docPr id="2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3"/>
                          <pic:cNvPicPr>
                            <a:picLocks noChangeAspect="1"/>
                          </pic:cNvPicPr>
                        </pic:nvPicPr>
                        <pic:blipFill>
                          <a:blip r:embed="rId47"/>
                          <a:stretch>
                            <a:fillRect/>
                          </a:stretch>
                        </pic:blipFill>
                        <pic:spPr>
                          <a:xfrm>
                            <a:off x="0" y="0"/>
                            <a:ext cx="4319905" cy="205676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01A362A">
            <w:pPr>
              <w:wordWrap w:val="0"/>
              <w:adjustRightInd w:val="0"/>
              <w:snapToGrid w:val="0"/>
              <w:spacing w:line="36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图3-1 2023年第一季度宣汉县城区集中式饮用水水源地水质状况</w:t>
            </w:r>
          </w:p>
          <w:p w14:paraId="10935D70">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宣汉县人民政府发布的《2023年第二季度宣汉县城区集中式饮用水水源地水质状况》，网址：http://www.xuanhan.gov.cn/xxgk-show-75274.html。</w:t>
            </w:r>
          </w:p>
          <w:p w14:paraId="54EB70AC">
            <w:pPr>
              <w:wordWrap w:val="0"/>
              <w:adjustRightInd w:val="0"/>
              <w:snapToGrid w:val="0"/>
              <w:spacing w:line="360" w:lineRule="auto"/>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2085975"/>
                  <wp:effectExtent l="9525" t="9525" r="13970" b="1270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48"/>
                          <a:stretch>
                            <a:fillRect/>
                          </a:stretch>
                        </pic:blipFill>
                        <pic:spPr>
                          <a:xfrm>
                            <a:off x="0" y="0"/>
                            <a:ext cx="4319905" cy="208597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31BAEE61">
            <w:pPr>
              <w:wordWrap w:val="0"/>
              <w:adjustRightInd w:val="0"/>
              <w:snapToGrid w:val="0"/>
              <w:spacing w:line="36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图3-2 2023年第二季度宣汉县城区集中式饮用水水源地水质状况</w:t>
            </w:r>
          </w:p>
          <w:p w14:paraId="582A2110">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宣汉县人民政府发布的《2023年第三季度宣汉县城区集中式饮用水水源地水质状况》，网址：http://www.xuanhan.gov.cn/xxgk-show-77088.html。</w:t>
            </w:r>
          </w:p>
          <w:p w14:paraId="5CC80E4B">
            <w:pPr>
              <w:wordWrap w:val="0"/>
              <w:adjustRightInd w:val="0"/>
              <w:snapToGrid w:val="0"/>
              <w:spacing w:line="360" w:lineRule="auto"/>
              <w:ind w:firstLine="420" w:firstLineChars="20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1438910"/>
                  <wp:effectExtent l="9525" t="9525" r="13970" b="12065"/>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49"/>
                          <a:stretch>
                            <a:fillRect/>
                          </a:stretch>
                        </pic:blipFill>
                        <pic:spPr>
                          <a:xfrm>
                            <a:off x="0" y="0"/>
                            <a:ext cx="4319905" cy="143891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210E405">
            <w:pPr>
              <w:wordWrap w:val="0"/>
              <w:adjustRightInd w:val="0"/>
              <w:snapToGrid w:val="0"/>
              <w:spacing w:line="36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图3-3 2023年第三季度宣汉县城区集中式饮用水水源地水质状况</w:t>
            </w:r>
          </w:p>
          <w:p w14:paraId="3044720F">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宣汉县人民政府发布的《2023年第四季度宣汉县城区集中式饮用水水源地水质状况》，网址：http://www.xuanhan.gov.cn/news-show-31162.html。</w:t>
            </w:r>
          </w:p>
          <w:p w14:paraId="2E2B6D1B">
            <w:pPr>
              <w:wordWrap w:val="0"/>
              <w:adjustRightInd w:val="0"/>
              <w:snapToGrid w:val="0"/>
              <w:spacing w:line="360" w:lineRule="auto"/>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2045970"/>
                  <wp:effectExtent l="9525" t="9525" r="13970" b="14605"/>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50"/>
                          <a:stretch>
                            <a:fillRect/>
                          </a:stretch>
                        </pic:blipFill>
                        <pic:spPr>
                          <a:xfrm>
                            <a:off x="0" y="0"/>
                            <a:ext cx="4319905" cy="204597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7A7E47C">
            <w:pPr>
              <w:wordWrap w:val="0"/>
              <w:adjustRightInd w:val="0"/>
              <w:snapToGrid w:val="0"/>
              <w:spacing w:line="36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图3-4 2023年第四季度宣汉县城区集中式饮用水水源地水质状况</w:t>
            </w:r>
          </w:p>
          <w:p w14:paraId="06C5BD56">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宣汉县人民政府发布的《2024年第一季度宣汉县城区集中式饮用水水源地水质状况》，网址：http://www.xuanhan.gov.cn/news-show-33443.html。</w:t>
            </w:r>
          </w:p>
          <w:p w14:paraId="14E9982A">
            <w:pPr>
              <w:wordWrap w:val="0"/>
              <w:adjustRightInd w:val="0"/>
              <w:snapToGrid w:val="0"/>
              <w:spacing w:line="360" w:lineRule="auto"/>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2037080"/>
                  <wp:effectExtent l="9525" t="9525" r="13970" b="10795"/>
                  <wp:docPr id="2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7"/>
                          <pic:cNvPicPr>
                            <a:picLocks noChangeAspect="1"/>
                          </pic:cNvPicPr>
                        </pic:nvPicPr>
                        <pic:blipFill>
                          <a:blip r:embed="rId51"/>
                          <a:stretch>
                            <a:fillRect/>
                          </a:stretch>
                        </pic:blipFill>
                        <pic:spPr>
                          <a:xfrm>
                            <a:off x="0" y="0"/>
                            <a:ext cx="4319905" cy="2037080"/>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0CC81CC7">
            <w:pPr>
              <w:wordWrap w:val="0"/>
              <w:adjustRightInd w:val="0"/>
              <w:snapToGrid w:val="0"/>
              <w:spacing w:line="360" w:lineRule="auto"/>
              <w:ind w:left="0" w:leftChars="0" w:firstLine="0" w:firstLineChars="0"/>
              <w:jc w:val="center"/>
              <w:rPr>
                <w:rFonts w:hint="default" w:ascii="Times New Roman" w:hAnsi="Times New Roman" w:eastAsia="宋体" w:cs="Times New Roman"/>
                <w:b/>
                <w:bCs/>
                <w:color w:val="auto"/>
                <w:lang w:val="en-US" w:eastAsia="zh-CN"/>
              </w:rPr>
            </w:pPr>
            <w:r>
              <w:rPr>
                <w:rFonts w:hint="default" w:ascii="Times New Roman" w:hAnsi="Times New Roman" w:cs="Times New Roman"/>
                <w:b/>
                <w:bCs/>
                <w:color w:val="auto"/>
                <w:lang w:val="en-US" w:eastAsia="zh-CN"/>
              </w:rPr>
              <w:t>图3-5 2024年第一季度宣汉县城区集中式饮用水水源地水质状况</w:t>
            </w:r>
          </w:p>
          <w:p w14:paraId="49CA05B3">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宣汉县人民政府发布的《2024年第二季度宣汉县城区集中式饮用水水源地水质状况》，网址：http://www.xuanhan.gov.cn/news-show-33444.html。</w:t>
            </w:r>
          </w:p>
          <w:p w14:paraId="300A7FDB">
            <w:pPr>
              <w:wordWrap w:val="0"/>
              <w:adjustRightInd w:val="0"/>
              <w:snapToGrid w:val="0"/>
              <w:spacing w:line="360" w:lineRule="auto"/>
              <w:ind w:left="0" w:leftChars="0" w:firstLine="0" w:firstLineChars="0"/>
              <w:jc w:val="center"/>
              <w:rPr>
                <w:rFonts w:hint="default" w:ascii="Times New Roman" w:hAnsi="Times New Roman" w:cs="Times New Roman"/>
                <w:color w:val="auto"/>
              </w:rPr>
            </w:pPr>
            <w:r>
              <w:rPr>
                <w:rFonts w:hint="default" w:ascii="Times New Roman" w:hAnsi="Times New Roman" w:cs="Times New Roman"/>
                <w:color w:val="auto"/>
              </w:rPr>
              <w:drawing>
                <wp:inline distT="0" distB="0" distL="114300" distR="114300">
                  <wp:extent cx="4319905" cy="2032635"/>
                  <wp:effectExtent l="9525" t="9525" r="13970" b="15240"/>
                  <wp:docPr id="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8"/>
                          <pic:cNvPicPr>
                            <a:picLocks noChangeAspect="1"/>
                          </pic:cNvPicPr>
                        </pic:nvPicPr>
                        <pic:blipFill>
                          <a:blip r:embed="rId52"/>
                          <a:stretch>
                            <a:fillRect/>
                          </a:stretch>
                        </pic:blipFill>
                        <pic:spPr>
                          <a:xfrm>
                            <a:off x="0" y="0"/>
                            <a:ext cx="4319905" cy="2032635"/>
                          </a:xfrm>
                          <a:prstGeom prst="rect">
                            <a:avLst/>
                          </a:prstGeom>
                          <a:noFill/>
                          <a:ln w="9525" cap="flat" cmpd="sng">
                            <a:solidFill>
                              <a:srgbClr val="000000"/>
                            </a:solidFill>
                            <a:prstDash val="solid"/>
                            <a:miter/>
                            <a:headEnd type="none" w="med" len="med"/>
                            <a:tailEnd type="none" w="med" len="med"/>
                          </a:ln>
                        </pic:spPr>
                      </pic:pic>
                    </a:graphicData>
                  </a:graphic>
                </wp:inline>
              </w:drawing>
            </w:r>
          </w:p>
          <w:p w14:paraId="703FF34D">
            <w:pPr>
              <w:wordWrap w:val="0"/>
              <w:adjustRightInd w:val="0"/>
              <w:snapToGrid w:val="0"/>
              <w:spacing w:line="360" w:lineRule="auto"/>
              <w:ind w:left="0" w:leftChars="0" w:firstLine="0" w:firstLineChars="0"/>
              <w:jc w:val="center"/>
              <w:rPr>
                <w:rFonts w:hint="default" w:ascii="Times New Roman" w:hAnsi="Times New Roman" w:cs="Times New Roman"/>
                <w:b/>
                <w:bCs/>
                <w:color w:val="auto"/>
                <w:lang w:val="en-US" w:eastAsia="zh-CN"/>
              </w:rPr>
            </w:pPr>
            <w:r>
              <w:rPr>
                <w:rFonts w:hint="default" w:ascii="Times New Roman" w:hAnsi="Times New Roman" w:cs="Times New Roman"/>
                <w:b/>
                <w:bCs/>
                <w:color w:val="auto"/>
                <w:lang w:val="en-US" w:eastAsia="zh-CN"/>
              </w:rPr>
              <w:t>图3-6 2024年第二季度宣汉县城区集中式饮用水水源地水质状况</w:t>
            </w:r>
          </w:p>
          <w:p w14:paraId="31BCA8A4">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宣汉县人民政府发布的《2024年第三季度宣汉县城区集中式饮用水水源地水质状况》，网址：http://www.xuanhan.gov.cn/xxgk-show-83026.html。</w:t>
            </w:r>
          </w:p>
          <w:p w14:paraId="5328D20E">
            <w:pPr>
              <w:wordWrap w:val="0"/>
              <w:adjustRightInd w:val="0"/>
              <w:snapToGrid w:val="0"/>
              <w:spacing w:line="360" w:lineRule="auto"/>
              <w:ind w:left="0" w:leftChars="0" w:firstLine="0" w:firstLineChars="0"/>
              <w:jc w:val="center"/>
              <w:rPr>
                <w:rFonts w:hint="default" w:ascii="Times New Roman" w:hAnsi="Times New Roman" w:cs="Times New Roman"/>
                <w:b/>
                <w:bCs/>
                <w:color w:val="auto"/>
                <w:lang w:val="en-US" w:eastAsia="zh-CN"/>
              </w:rPr>
            </w:pPr>
            <w:r>
              <w:rPr>
                <w:rFonts w:hint="default" w:ascii="Times New Roman" w:hAnsi="Times New Roman" w:cs="Times New Roman"/>
                <w:color w:val="auto"/>
              </w:rPr>
              <w:drawing>
                <wp:inline distT="0" distB="0" distL="114300" distR="114300">
                  <wp:extent cx="4319905" cy="2271395"/>
                  <wp:effectExtent l="0" t="0" r="10795" b="1905"/>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53"/>
                          <a:stretch>
                            <a:fillRect/>
                          </a:stretch>
                        </pic:blipFill>
                        <pic:spPr>
                          <a:xfrm>
                            <a:off x="0" y="0"/>
                            <a:ext cx="4319905" cy="2271395"/>
                          </a:xfrm>
                          <a:prstGeom prst="rect">
                            <a:avLst/>
                          </a:prstGeom>
                          <a:noFill/>
                          <a:ln>
                            <a:noFill/>
                          </a:ln>
                        </pic:spPr>
                      </pic:pic>
                    </a:graphicData>
                  </a:graphic>
                </wp:inline>
              </w:drawing>
            </w:r>
          </w:p>
          <w:p w14:paraId="10E85402">
            <w:pPr>
              <w:wordWrap w:val="0"/>
              <w:adjustRightInd w:val="0"/>
              <w:snapToGrid w:val="0"/>
              <w:spacing w:line="360" w:lineRule="auto"/>
              <w:ind w:firstLine="480" w:firstLineChars="200"/>
              <w:rPr>
                <w:rFonts w:hint="default" w:ascii="Times New Roman" w:hAnsi="Times New Roman" w:eastAsia="宋体" w:cs="Times New Roman"/>
                <w:color w:val="auto"/>
                <w:sz w:val="24"/>
                <w:lang w:val="en-US" w:eastAsia="zh-CN"/>
              </w:rPr>
            </w:pPr>
            <w:r>
              <w:rPr>
                <w:rFonts w:hint="default" w:ascii="Times New Roman" w:hAnsi="Times New Roman" w:eastAsia="宋体" w:cs="Times New Roman"/>
                <w:color w:val="auto"/>
                <w:sz w:val="24"/>
                <w:lang w:val="en-US" w:eastAsia="zh-CN"/>
              </w:rPr>
              <w:t>宣汉县人民政府发布的《2024年第三季度宣汉县城区集中式饮用水水源地水质状况》，网址：http://www.xuanhan.gov.cn/news-show-36260.html。</w:t>
            </w:r>
          </w:p>
          <w:p w14:paraId="3FC70AC8">
            <w:pPr>
              <w:wordWrap w:val="0"/>
              <w:adjustRightInd w:val="0"/>
              <w:snapToGrid w:val="0"/>
              <w:spacing w:line="360" w:lineRule="auto"/>
              <w:ind w:left="0" w:leftChars="0" w:firstLine="0" w:firstLineChars="0"/>
              <w:jc w:val="center"/>
              <w:rPr>
                <w:rFonts w:hint="default" w:ascii="Times New Roman" w:hAnsi="Times New Roman" w:cs="Times New Roman"/>
                <w:b/>
                <w:bCs/>
                <w:color w:val="auto"/>
                <w:lang w:val="en-US" w:eastAsia="zh-CN"/>
              </w:rPr>
            </w:pPr>
            <w:r>
              <w:rPr>
                <w:rFonts w:hint="default" w:ascii="Times New Roman" w:hAnsi="Times New Roman" w:cs="Times New Roman"/>
                <w:color w:val="auto"/>
              </w:rPr>
              <w:drawing>
                <wp:inline distT="0" distB="0" distL="114300" distR="114300">
                  <wp:extent cx="4319905" cy="2320290"/>
                  <wp:effectExtent l="0" t="0" r="10795" b="3810"/>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54"/>
                          <a:stretch>
                            <a:fillRect/>
                          </a:stretch>
                        </pic:blipFill>
                        <pic:spPr>
                          <a:xfrm>
                            <a:off x="0" y="0"/>
                            <a:ext cx="4319905" cy="2320290"/>
                          </a:xfrm>
                          <a:prstGeom prst="rect">
                            <a:avLst/>
                          </a:prstGeom>
                          <a:noFill/>
                          <a:ln>
                            <a:noFill/>
                          </a:ln>
                        </pic:spPr>
                      </pic:pic>
                    </a:graphicData>
                  </a:graphic>
                </wp:inline>
              </w:drawing>
            </w:r>
          </w:p>
          <w:p w14:paraId="3BF43612">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 w:val="24"/>
                <w:szCs w:val="24"/>
                <w:lang w:bidi="ar"/>
              </w:rPr>
            </w:pPr>
            <w:r>
              <w:rPr>
                <w:rFonts w:hint="default" w:ascii="Times New Roman" w:hAnsi="Times New Roman" w:cs="Times New Roman"/>
                <w:color w:val="auto"/>
                <w:kern w:val="0"/>
                <w:sz w:val="24"/>
                <w:szCs w:val="24"/>
                <w:lang w:bidi="ar"/>
              </w:rPr>
              <w:t>根据上表水质结果表明：项目区域地表水能够达到《地表水环境质量标准》（GB3838-2002）II类水质标准。</w:t>
            </w:r>
          </w:p>
          <w:p w14:paraId="0A16F803">
            <w:pPr>
              <w:keepNext w:val="0"/>
              <w:keepLines w:val="0"/>
              <w:pageBreakBefore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rPr>
              <w:t>、声环境质量现状</w:t>
            </w:r>
          </w:p>
          <w:p w14:paraId="555595DE">
            <w:pPr>
              <w:keepNext w:val="0"/>
              <w:keepLines w:val="0"/>
              <w:pageBreakBefore w:val="0"/>
              <w:tabs>
                <w:tab w:val="left" w:pos="1635"/>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本项目所在区域主要为场镇和农村地区，沿线分布保护对象主要为居民点、散居农户，区域声环境质量相对较好。根据项目区特点声环境执行2类标准。</w:t>
            </w:r>
          </w:p>
          <w:p w14:paraId="52F5928B">
            <w:pPr>
              <w:keepNext w:val="0"/>
              <w:keepLines w:val="0"/>
              <w:pageBreakBefore w:val="0"/>
              <w:tabs>
                <w:tab w:val="left" w:pos="1635"/>
              </w:tabs>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本次评价委托达州恒福环境监测服务有限公司对本项目沿线声环境现状进行了监测。</w:t>
            </w:r>
          </w:p>
          <w:p w14:paraId="4A578926">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lang w:val="en-US" w:eastAsia="zh-CN"/>
              </w:rPr>
            </w:pPr>
            <w:r>
              <w:rPr>
                <w:rFonts w:hint="default" w:ascii="Times New Roman" w:hAnsi="Times New Roman" w:cs="Times New Roman"/>
                <w:b/>
                <w:color w:val="auto"/>
                <w:sz w:val="24"/>
                <w:szCs w:val="24"/>
              </w:rPr>
              <w:t>（1）监测时间：</w:t>
            </w:r>
            <w:r>
              <w:rPr>
                <w:rFonts w:hint="default" w:ascii="Times New Roman" w:hAnsi="Times New Roman" w:cs="Times New Roman"/>
                <w:bCs/>
                <w:color w:val="auto"/>
                <w:sz w:val="24"/>
                <w:szCs w:val="24"/>
              </w:rPr>
              <w:t>202</w:t>
            </w:r>
            <w:r>
              <w:rPr>
                <w:rFonts w:hint="default" w:ascii="Times New Roman" w:hAnsi="Times New Roman" w:cs="Times New Roman"/>
                <w:bCs/>
                <w:color w:val="auto"/>
                <w:sz w:val="24"/>
                <w:szCs w:val="24"/>
                <w:lang w:val="en-US" w:eastAsia="zh-CN"/>
              </w:rPr>
              <w:t>4</w:t>
            </w:r>
            <w:r>
              <w:rPr>
                <w:rFonts w:hint="default" w:ascii="Times New Roman" w:hAnsi="Times New Roman" w:cs="Times New Roman"/>
                <w:bCs/>
                <w:color w:val="auto"/>
                <w:sz w:val="24"/>
                <w:szCs w:val="24"/>
              </w:rPr>
              <w:t>年</w:t>
            </w:r>
            <w:r>
              <w:rPr>
                <w:rFonts w:hint="default" w:ascii="Times New Roman" w:hAnsi="Times New Roman" w:cs="Times New Roman"/>
                <w:bCs/>
                <w:color w:val="auto"/>
                <w:sz w:val="24"/>
                <w:szCs w:val="24"/>
                <w:lang w:val="en-US" w:eastAsia="zh-CN"/>
              </w:rPr>
              <w:t>12</w:t>
            </w:r>
            <w:r>
              <w:rPr>
                <w:rFonts w:hint="default" w:ascii="Times New Roman" w:hAnsi="Times New Roman" w:cs="Times New Roman"/>
                <w:bCs/>
                <w:color w:val="auto"/>
                <w:sz w:val="24"/>
                <w:szCs w:val="24"/>
              </w:rPr>
              <w:t>月</w:t>
            </w:r>
            <w:r>
              <w:rPr>
                <w:rFonts w:hint="default" w:ascii="Times New Roman" w:hAnsi="Times New Roman" w:cs="Times New Roman"/>
                <w:bCs/>
                <w:color w:val="auto"/>
                <w:sz w:val="24"/>
                <w:szCs w:val="24"/>
                <w:lang w:val="en-US" w:eastAsia="zh-CN"/>
              </w:rPr>
              <w:t>4</w:t>
            </w:r>
            <w:r>
              <w:rPr>
                <w:rFonts w:hint="default" w:ascii="Times New Roman" w:hAnsi="Times New Roman" w:cs="Times New Roman"/>
                <w:bCs/>
                <w:color w:val="auto"/>
                <w:sz w:val="24"/>
                <w:szCs w:val="24"/>
              </w:rPr>
              <w:t>日</w:t>
            </w:r>
            <w:r>
              <w:rPr>
                <w:rFonts w:hint="default" w:ascii="Times New Roman" w:hAnsi="Times New Roman" w:cs="Times New Roman"/>
                <w:bCs/>
                <w:color w:val="auto"/>
                <w:sz w:val="24"/>
                <w:szCs w:val="24"/>
                <w:lang w:val="en-US" w:eastAsia="zh-CN"/>
              </w:rPr>
              <w:t>~12月5日</w:t>
            </w:r>
          </w:p>
          <w:p w14:paraId="03DD9C12">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（2）监测点位：</w:t>
            </w:r>
            <w:r>
              <w:rPr>
                <w:rFonts w:hint="default" w:ascii="Times New Roman" w:hAnsi="Times New Roman" w:cs="Times New Roman"/>
                <w:bCs/>
                <w:color w:val="auto"/>
                <w:sz w:val="24"/>
                <w:szCs w:val="24"/>
              </w:rPr>
              <w:t>共设置</w:t>
            </w:r>
            <w:r>
              <w:rPr>
                <w:rFonts w:hint="default" w:ascii="Times New Roman" w:hAnsi="Times New Roman" w:cs="Times New Roman"/>
                <w:bCs/>
                <w:color w:val="auto"/>
                <w:sz w:val="24"/>
                <w:szCs w:val="24"/>
                <w:lang w:val="en-US" w:eastAsia="zh-CN"/>
              </w:rPr>
              <w:t>5</w:t>
            </w:r>
            <w:r>
              <w:rPr>
                <w:rFonts w:hint="default" w:ascii="Times New Roman" w:hAnsi="Times New Roman" w:cs="Times New Roman"/>
                <w:bCs/>
                <w:color w:val="auto"/>
                <w:sz w:val="24"/>
                <w:szCs w:val="24"/>
              </w:rPr>
              <w:t>个检测点位，主要分布于项目沿线两侧居民点、终点</w:t>
            </w:r>
          </w:p>
          <w:p w14:paraId="18A942EA">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
                <w:color w:val="auto"/>
                <w:sz w:val="24"/>
                <w:szCs w:val="24"/>
              </w:rPr>
              <w:t>（3）监测项目：</w:t>
            </w:r>
            <w:r>
              <w:rPr>
                <w:rFonts w:hint="default" w:ascii="Times New Roman" w:hAnsi="Times New Roman" w:cs="Times New Roman"/>
                <w:bCs/>
                <w:color w:val="auto"/>
                <w:sz w:val="24"/>
                <w:szCs w:val="24"/>
              </w:rPr>
              <w:t>等效连续A声级</w:t>
            </w:r>
          </w:p>
          <w:p w14:paraId="26D8A307">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eastAsia="宋体" w:cs="Times New Roman"/>
                <w:bCs/>
                <w:color w:val="auto"/>
                <w:sz w:val="24"/>
                <w:szCs w:val="24"/>
                <w:lang w:eastAsia="zh-CN"/>
              </w:rPr>
            </w:pPr>
            <w:r>
              <w:rPr>
                <w:rFonts w:hint="default" w:ascii="Times New Roman" w:hAnsi="Times New Roman" w:cs="Times New Roman"/>
                <w:b/>
                <w:color w:val="auto"/>
                <w:sz w:val="24"/>
                <w:szCs w:val="24"/>
              </w:rPr>
              <w:t>（4）监测周期及频率：</w:t>
            </w:r>
            <w:r>
              <w:rPr>
                <w:rFonts w:hint="default" w:ascii="Times New Roman" w:hAnsi="Times New Roman" w:cs="Times New Roman"/>
                <w:bCs/>
                <w:color w:val="auto"/>
                <w:sz w:val="24"/>
                <w:szCs w:val="24"/>
              </w:rPr>
              <w:t>监测</w:t>
            </w:r>
            <w:r>
              <w:rPr>
                <w:rFonts w:hint="default" w:ascii="Times New Roman" w:hAnsi="Times New Roman" w:cs="Times New Roman"/>
                <w:bCs/>
                <w:color w:val="auto"/>
                <w:sz w:val="24"/>
                <w:szCs w:val="24"/>
                <w:lang w:val="en-US" w:eastAsia="zh-CN"/>
              </w:rPr>
              <w:t>2</w:t>
            </w:r>
            <w:r>
              <w:rPr>
                <w:rFonts w:hint="default" w:ascii="Times New Roman" w:hAnsi="Times New Roman" w:cs="Times New Roman"/>
                <w:bCs/>
                <w:color w:val="auto"/>
                <w:sz w:val="24"/>
                <w:szCs w:val="24"/>
              </w:rPr>
              <w:t>天，每天昼间、夜间各检测1次，监测时间为</w:t>
            </w:r>
            <w:r>
              <w:rPr>
                <w:rFonts w:hint="default" w:ascii="Times New Roman" w:hAnsi="Times New Roman" w:cs="Times New Roman"/>
                <w:bCs/>
                <w:color w:val="auto"/>
                <w:sz w:val="24"/>
                <w:szCs w:val="24"/>
                <w:lang w:val="en-US" w:eastAsia="zh-CN"/>
              </w:rPr>
              <w:t>10</w:t>
            </w:r>
            <w:r>
              <w:rPr>
                <w:rFonts w:hint="default" w:ascii="Times New Roman" w:hAnsi="Times New Roman" w:cs="Times New Roman"/>
                <w:bCs/>
                <w:color w:val="auto"/>
                <w:sz w:val="24"/>
                <w:szCs w:val="24"/>
              </w:rPr>
              <w:t>min</w:t>
            </w:r>
            <w:r>
              <w:rPr>
                <w:rFonts w:hint="default" w:ascii="Times New Roman" w:hAnsi="Times New Roman" w:cs="Times New Roman"/>
                <w:bCs/>
                <w:color w:val="auto"/>
                <w:sz w:val="24"/>
                <w:szCs w:val="24"/>
                <w:lang w:eastAsia="zh-CN"/>
              </w:rPr>
              <w:t>。</w:t>
            </w:r>
          </w:p>
          <w:p w14:paraId="08D5F64E">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
                <w:color w:val="auto"/>
                <w:sz w:val="24"/>
                <w:szCs w:val="24"/>
              </w:rPr>
              <w:t>（5）监测方法：</w:t>
            </w:r>
            <w:r>
              <w:rPr>
                <w:rFonts w:hint="default" w:ascii="Times New Roman" w:hAnsi="Times New Roman" w:cs="Times New Roman"/>
                <w:bCs/>
                <w:color w:val="auto"/>
                <w:sz w:val="24"/>
                <w:szCs w:val="24"/>
              </w:rPr>
              <w:t>具体测量时间、测量仪器、仪器校准、测量方法均按国标《声环境质量标准》（GB3096-2008）和《环境监测技术规范》噪声部分执行。监测同时记录主要噪声源和周围环境特征、车流量等相关信息</w:t>
            </w:r>
          </w:p>
          <w:p w14:paraId="5108BC92">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Cs/>
                <w:color w:val="auto"/>
                <w:sz w:val="24"/>
                <w:szCs w:val="32"/>
              </w:rPr>
            </w:pPr>
            <w:r>
              <w:rPr>
                <w:rFonts w:hint="default" w:ascii="Times New Roman" w:hAnsi="Times New Roman" w:cs="Times New Roman"/>
                <w:b/>
                <w:color w:val="auto"/>
                <w:sz w:val="24"/>
                <w:szCs w:val="24"/>
              </w:rPr>
              <w:t>（6）执行标准：</w:t>
            </w:r>
            <w:r>
              <w:rPr>
                <w:rFonts w:hint="default" w:ascii="Times New Roman" w:hAnsi="Times New Roman" w:cs="Times New Roman"/>
                <w:bCs/>
                <w:color w:val="auto"/>
                <w:sz w:val="24"/>
                <w:szCs w:val="24"/>
              </w:rPr>
              <w:t>《声环境质量标准》（GB3096-2008）</w:t>
            </w:r>
          </w:p>
          <w:p w14:paraId="5C45E359">
            <w:pPr>
              <w:keepNext w:val="0"/>
              <w:keepLines w:val="0"/>
              <w:pageBreakBefore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（7）监测结果</w:t>
            </w:r>
          </w:p>
          <w:p w14:paraId="7034EF87">
            <w:pPr>
              <w:spacing w:line="460" w:lineRule="exact"/>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default" w:ascii="Times New Roman" w:hAnsi="Times New Roman" w:cs="Times New Roman"/>
                <w:b/>
                <w:bCs/>
                <w:color w:val="auto"/>
                <w:szCs w:val="21"/>
                <w:lang w:val="en-US" w:eastAsia="zh-CN"/>
              </w:rPr>
              <w:t xml:space="preserve">3 </w:t>
            </w:r>
            <w:r>
              <w:rPr>
                <w:rFonts w:hint="default" w:ascii="Times New Roman" w:hAnsi="Times New Roman" w:cs="Times New Roman"/>
                <w:b/>
                <w:bCs/>
                <w:color w:val="auto"/>
                <w:szCs w:val="21"/>
              </w:rPr>
              <w:t>声环境质量现状监测结果一览表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667"/>
              <w:gridCol w:w="2869"/>
              <w:gridCol w:w="1186"/>
              <w:gridCol w:w="680"/>
              <w:gridCol w:w="1173"/>
              <w:gridCol w:w="693"/>
            </w:tblGrid>
            <w:tr w14:paraId="7DCC2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741" w:type="dxa"/>
                  <w:vMerge w:val="restart"/>
                  <w:noWrap w:val="0"/>
                  <w:vAlign w:val="center"/>
                </w:tcPr>
                <w:p w14:paraId="3CD374E5">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检测日期</w:t>
                  </w:r>
                </w:p>
              </w:tc>
              <w:tc>
                <w:tcPr>
                  <w:tcW w:w="709" w:type="dxa"/>
                  <w:vMerge w:val="restart"/>
                  <w:noWrap w:val="0"/>
                  <w:vAlign w:val="center"/>
                </w:tcPr>
                <w:p w14:paraId="0DF2F547">
                  <w:pPr>
                    <w:pStyle w:val="100"/>
                    <w:snapToGrid w:val="0"/>
                    <w:spacing w:before="0" w:after="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w:t>
                  </w:r>
                </w:p>
                <w:p w14:paraId="106CD140">
                  <w:pPr>
                    <w:pStyle w:val="100"/>
                    <w:snapToGrid w:val="0"/>
                    <w:spacing w:before="0" w:after="0"/>
                    <w:rPr>
                      <w:rFonts w:hint="default" w:ascii="Times New Roman" w:hAnsi="Times New Roman" w:cs="Times New Roman"/>
                      <w:b/>
                      <w:bCs/>
                      <w:snapToGrid w:val="0"/>
                      <w:color w:val="auto"/>
                      <w:sz w:val="21"/>
                      <w:szCs w:val="21"/>
                    </w:rPr>
                  </w:pPr>
                  <w:r>
                    <w:rPr>
                      <w:rFonts w:hint="default" w:ascii="Times New Roman" w:hAnsi="Times New Roman" w:cs="Times New Roman"/>
                      <w:b/>
                      <w:bCs/>
                      <w:color w:val="auto"/>
                      <w:sz w:val="21"/>
                      <w:szCs w:val="21"/>
                    </w:rPr>
                    <w:t>因子</w:t>
                  </w:r>
                </w:p>
              </w:tc>
              <w:tc>
                <w:tcPr>
                  <w:tcW w:w="3118" w:type="dxa"/>
                  <w:vMerge w:val="restart"/>
                  <w:noWrap w:val="0"/>
                  <w:vAlign w:val="center"/>
                </w:tcPr>
                <w:p w14:paraId="7C37B6FE">
                  <w:pPr>
                    <w:pStyle w:val="100"/>
                    <w:snapToGrid w:val="0"/>
                    <w:spacing w:before="0" w:after="0"/>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检测点编号及位置</w:t>
                  </w:r>
                </w:p>
              </w:tc>
              <w:tc>
                <w:tcPr>
                  <w:tcW w:w="1999" w:type="dxa"/>
                  <w:gridSpan w:val="2"/>
                  <w:noWrap w:val="0"/>
                  <w:vAlign w:val="center"/>
                </w:tcPr>
                <w:p w14:paraId="27D9707C">
                  <w:pPr>
                    <w:jc w:val="center"/>
                    <w:rPr>
                      <w:rFonts w:hint="default" w:ascii="Times New Roman" w:hAnsi="Times New Roman" w:cs="Times New Roman"/>
                      <w:bCs/>
                      <w:color w:val="auto"/>
                      <w:sz w:val="21"/>
                      <w:szCs w:val="21"/>
                    </w:rPr>
                  </w:pPr>
                  <w:r>
                    <w:rPr>
                      <w:rFonts w:hint="default" w:ascii="Times New Roman" w:hAnsi="Times New Roman" w:cs="Times New Roman"/>
                      <w:b/>
                      <w:bCs/>
                      <w:color w:val="auto"/>
                      <w:sz w:val="21"/>
                      <w:szCs w:val="21"/>
                    </w:rPr>
                    <w:t>昼间</w:t>
                  </w:r>
                </w:p>
              </w:tc>
              <w:tc>
                <w:tcPr>
                  <w:tcW w:w="2000" w:type="dxa"/>
                  <w:gridSpan w:val="2"/>
                  <w:noWrap w:val="0"/>
                  <w:vAlign w:val="center"/>
                </w:tcPr>
                <w:p w14:paraId="06439666">
                  <w:pPr>
                    <w:jc w:val="center"/>
                    <w:rPr>
                      <w:rFonts w:hint="default" w:ascii="Times New Roman" w:hAnsi="Times New Roman" w:cs="Times New Roman"/>
                      <w:bCs/>
                      <w:color w:val="auto"/>
                      <w:sz w:val="21"/>
                      <w:szCs w:val="21"/>
                    </w:rPr>
                  </w:pPr>
                  <w:r>
                    <w:rPr>
                      <w:rFonts w:hint="default" w:ascii="Times New Roman" w:hAnsi="Times New Roman" w:cs="Times New Roman"/>
                      <w:b/>
                      <w:bCs/>
                      <w:color w:val="auto"/>
                      <w:sz w:val="21"/>
                      <w:szCs w:val="21"/>
                    </w:rPr>
                    <w:t>夜间</w:t>
                  </w:r>
                </w:p>
              </w:tc>
            </w:tr>
            <w:tr w14:paraId="31D67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jc w:val="center"/>
              </w:trPr>
              <w:tc>
                <w:tcPr>
                  <w:tcW w:w="741" w:type="dxa"/>
                  <w:vMerge w:val="continue"/>
                  <w:noWrap w:val="0"/>
                  <w:vAlign w:val="center"/>
                </w:tcPr>
                <w:p w14:paraId="375A72B1">
                  <w:pPr>
                    <w:jc w:val="center"/>
                    <w:rPr>
                      <w:rFonts w:hint="default" w:ascii="Times New Roman" w:hAnsi="Times New Roman" w:cs="Times New Roman"/>
                      <w:b/>
                      <w:bCs/>
                      <w:color w:val="auto"/>
                      <w:sz w:val="21"/>
                      <w:szCs w:val="21"/>
                    </w:rPr>
                  </w:pPr>
                </w:p>
              </w:tc>
              <w:tc>
                <w:tcPr>
                  <w:tcW w:w="709" w:type="dxa"/>
                  <w:vMerge w:val="continue"/>
                  <w:noWrap w:val="0"/>
                  <w:vAlign w:val="center"/>
                </w:tcPr>
                <w:p w14:paraId="2AA0C493">
                  <w:pPr>
                    <w:pStyle w:val="100"/>
                    <w:snapToGrid w:val="0"/>
                    <w:spacing w:before="0" w:after="0"/>
                    <w:rPr>
                      <w:rFonts w:hint="default" w:ascii="Times New Roman" w:hAnsi="Times New Roman" w:cs="Times New Roman"/>
                      <w:b/>
                      <w:bCs/>
                      <w:color w:val="auto"/>
                      <w:sz w:val="21"/>
                      <w:szCs w:val="21"/>
                    </w:rPr>
                  </w:pPr>
                </w:p>
              </w:tc>
              <w:tc>
                <w:tcPr>
                  <w:tcW w:w="3118" w:type="dxa"/>
                  <w:vMerge w:val="continue"/>
                  <w:noWrap w:val="0"/>
                  <w:vAlign w:val="center"/>
                </w:tcPr>
                <w:p w14:paraId="6C969649">
                  <w:pPr>
                    <w:pStyle w:val="100"/>
                    <w:snapToGrid w:val="0"/>
                    <w:spacing w:before="0" w:after="0"/>
                    <w:rPr>
                      <w:rFonts w:hint="default" w:ascii="Times New Roman" w:hAnsi="Times New Roman" w:cs="Times New Roman"/>
                      <w:b/>
                      <w:bCs/>
                      <w:color w:val="auto"/>
                      <w:sz w:val="21"/>
                      <w:szCs w:val="21"/>
                    </w:rPr>
                  </w:pPr>
                </w:p>
              </w:tc>
              <w:tc>
                <w:tcPr>
                  <w:tcW w:w="1276" w:type="dxa"/>
                  <w:noWrap w:val="0"/>
                  <w:vAlign w:val="center"/>
                </w:tcPr>
                <w:p w14:paraId="56500ED4">
                  <w:pPr>
                    <w:jc w:val="center"/>
                    <w:rPr>
                      <w:rFonts w:hint="default" w:ascii="Times New Roman" w:hAnsi="Times New Roman" w:cs="Times New Roman"/>
                      <w:b/>
                      <w:bCs/>
                      <w:color w:val="auto"/>
                      <w:sz w:val="21"/>
                      <w:szCs w:val="21"/>
                    </w:rPr>
                  </w:pPr>
                  <w:r>
                    <w:rPr>
                      <w:rFonts w:hint="default" w:ascii="Times New Roman" w:hAnsi="Times New Roman" w:cs="Times New Roman"/>
                      <w:b/>
                      <w:color w:val="auto"/>
                      <w:sz w:val="21"/>
                      <w:szCs w:val="21"/>
                    </w:rPr>
                    <w:t>检测时段</w:t>
                  </w:r>
                </w:p>
              </w:tc>
              <w:tc>
                <w:tcPr>
                  <w:tcW w:w="723" w:type="dxa"/>
                  <w:noWrap w:val="0"/>
                  <w:vAlign w:val="center"/>
                </w:tcPr>
                <w:p w14:paraId="36315A20">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检测结果</w:t>
                  </w:r>
                </w:p>
              </w:tc>
              <w:tc>
                <w:tcPr>
                  <w:tcW w:w="1262" w:type="dxa"/>
                  <w:noWrap w:val="0"/>
                  <w:vAlign w:val="center"/>
                </w:tcPr>
                <w:p w14:paraId="66D9146C">
                  <w:pPr>
                    <w:jc w:val="center"/>
                    <w:rPr>
                      <w:rFonts w:hint="default" w:ascii="Times New Roman" w:hAnsi="Times New Roman" w:cs="Times New Roman"/>
                      <w:b/>
                      <w:bCs/>
                      <w:color w:val="auto"/>
                      <w:sz w:val="21"/>
                      <w:szCs w:val="21"/>
                    </w:rPr>
                  </w:pPr>
                  <w:r>
                    <w:rPr>
                      <w:rFonts w:hint="default" w:ascii="Times New Roman" w:hAnsi="Times New Roman" w:cs="Times New Roman"/>
                      <w:b/>
                      <w:color w:val="auto"/>
                      <w:sz w:val="21"/>
                      <w:szCs w:val="21"/>
                    </w:rPr>
                    <w:t>检测时段</w:t>
                  </w:r>
                </w:p>
              </w:tc>
              <w:tc>
                <w:tcPr>
                  <w:tcW w:w="738" w:type="dxa"/>
                  <w:noWrap w:val="0"/>
                  <w:vAlign w:val="center"/>
                </w:tcPr>
                <w:p w14:paraId="711DF07C">
                  <w:pPr>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检测结果</w:t>
                  </w:r>
                </w:p>
              </w:tc>
            </w:tr>
            <w:tr w14:paraId="2C5559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restart"/>
                  <w:noWrap w:val="0"/>
                  <w:vAlign w:val="center"/>
                </w:tcPr>
                <w:p w14:paraId="362919B3">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2024.</w:t>
                  </w:r>
                </w:p>
                <w:p w14:paraId="6A411B01">
                  <w:pPr>
                    <w:jc w:val="center"/>
                    <w:rPr>
                      <w:rFonts w:hint="default" w:ascii="Times New Roman" w:hAnsi="Times New Roman" w:cs="Times New Roman"/>
                      <w:snapToGrid w:val="0"/>
                      <w:color w:val="auto"/>
                      <w:sz w:val="21"/>
                      <w:szCs w:val="21"/>
                    </w:rPr>
                  </w:pPr>
                  <w:r>
                    <w:rPr>
                      <w:rFonts w:hint="default" w:ascii="Times New Roman" w:hAnsi="Times New Roman" w:cs="Times New Roman"/>
                      <w:bCs/>
                      <w:color w:val="auto"/>
                      <w:sz w:val="21"/>
                      <w:szCs w:val="21"/>
                    </w:rPr>
                    <w:t>12.04</w:t>
                  </w:r>
                </w:p>
              </w:tc>
              <w:tc>
                <w:tcPr>
                  <w:tcW w:w="709" w:type="dxa"/>
                  <w:vMerge w:val="restart"/>
                  <w:noWrap w:val="0"/>
                  <w:vAlign w:val="center"/>
                </w:tcPr>
                <w:p w14:paraId="13E50C12">
                  <w:pPr>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L</w:t>
                  </w:r>
                  <w:r>
                    <w:rPr>
                      <w:rFonts w:hint="default" w:ascii="Times New Roman" w:hAnsi="Times New Roman" w:cs="Times New Roman"/>
                      <w:snapToGrid w:val="0"/>
                      <w:color w:val="auto"/>
                      <w:sz w:val="21"/>
                      <w:szCs w:val="21"/>
                      <w:vertAlign w:val="subscript"/>
                    </w:rPr>
                    <w:t>eq</w:t>
                  </w:r>
                </w:p>
              </w:tc>
              <w:tc>
                <w:tcPr>
                  <w:tcW w:w="3118" w:type="dxa"/>
                  <w:noWrap w:val="0"/>
                  <w:vAlign w:val="center"/>
                </w:tcPr>
                <w:p w14:paraId="5905F731">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N1，杏树村居民（一）K0+030右侧22米居民处</w:t>
                  </w:r>
                </w:p>
              </w:tc>
              <w:tc>
                <w:tcPr>
                  <w:tcW w:w="1276" w:type="dxa"/>
                  <w:noWrap w:val="0"/>
                  <w:vAlign w:val="center"/>
                </w:tcPr>
                <w:p w14:paraId="3129BB5C">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15:38-15:48</w:t>
                  </w:r>
                </w:p>
              </w:tc>
              <w:tc>
                <w:tcPr>
                  <w:tcW w:w="723" w:type="dxa"/>
                  <w:noWrap w:val="0"/>
                  <w:vAlign w:val="center"/>
                </w:tcPr>
                <w:p w14:paraId="72ACEFEE">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56</w:t>
                  </w:r>
                </w:p>
              </w:tc>
              <w:tc>
                <w:tcPr>
                  <w:tcW w:w="1262" w:type="dxa"/>
                  <w:noWrap w:val="0"/>
                  <w:vAlign w:val="center"/>
                </w:tcPr>
                <w:p w14:paraId="1ADE4FC8">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23:05-23:15</w:t>
                  </w:r>
                </w:p>
              </w:tc>
              <w:tc>
                <w:tcPr>
                  <w:tcW w:w="738" w:type="dxa"/>
                  <w:noWrap w:val="0"/>
                  <w:vAlign w:val="center"/>
                </w:tcPr>
                <w:p w14:paraId="53D3AE06">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w:t>
                  </w:r>
                </w:p>
              </w:tc>
            </w:tr>
            <w:tr w14:paraId="2ED42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6AC5D661">
                  <w:pPr>
                    <w:jc w:val="center"/>
                    <w:rPr>
                      <w:rFonts w:hint="default" w:ascii="Times New Roman" w:hAnsi="Times New Roman" w:cs="Times New Roman"/>
                      <w:bCs/>
                      <w:color w:val="auto"/>
                      <w:sz w:val="21"/>
                      <w:szCs w:val="21"/>
                    </w:rPr>
                  </w:pPr>
                </w:p>
              </w:tc>
              <w:tc>
                <w:tcPr>
                  <w:tcW w:w="709" w:type="dxa"/>
                  <w:vMerge w:val="continue"/>
                  <w:noWrap w:val="0"/>
                  <w:vAlign w:val="center"/>
                </w:tcPr>
                <w:p w14:paraId="5FB15DFC">
                  <w:pPr>
                    <w:jc w:val="center"/>
                    <w:rPr>
                      <w:rFonts w:hint="default" w:ascii="Times New Roman" w:hAnsi="Times New Roman" w:cs="Times New Roman"/>
                      <w:snapToGrid w:val="0"/>
                      <w:color w:val="auto"/>
                      <w:sz w:val="21"/>
                      <w:szCs w:val="21"/>
                    </w:rPr>
                  </w:pPr>
                </w:p>
              </w:tc>
              <w:tc>
                <w:tcPr>
                  <w:tcW w:w="3118" w:type="dxa"/>
                  <w:noWrap w:val="0"/>
                  <w:vAlign w:val="center"/>
                </w:tcPr>
                <w:p w14:paraId="4ECC5BBA">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N2，杏树村居民（二）K0+421.823右侧30米居民处</w:t>
                  </w:r>
                </w:p>
              </w:tc>
              <w:tc>
                <w:tcPr>
                  <w:tcW w:w="1276" w:type="dxa"/>
                  <w:noWrap w:val="0"/>
                  <w:vAlign w:val="center"/>
                </w:tcPr>
                <w:p w14:paraId="0F6FCBD2">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15:54-16:04</w:t>
                  </w:r>
                </w:p>
              </w:tc>
              <w:tc>
                <w:tcPr>
                  <w:tcW w:w="723" w:type="dxa"/>
                  <w:noWrap w:val="0"/>
                  <w:vAlign w:val="center"/>
                </w:tcPr>
                <w:p w14:paraId="42F71D5A">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55</w:t>
                  </w:r>
                </w:p>
              </w:tc>
              <w:tc>
                <w:tcPr>
                  <w:tcW w:w="1262" w:type="dxa"/>
                  <w:noWrap w:val="0"/>
                  <w:vAlign w:val="center"/>
                </w:tcPr>
                <w:p w14:paraId="71729BCD">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23:20-23:30</w:t>
                  </w:r>
                </w:p>
              </w:tc>
              <w:tc>
                <w:tcPr>
                  <w:tcW w:w="738" w:type="dxa"/>
                  <w:noWrap w:val="0"/>
                  <w:vAlign w:val="center"/>
                </w:tcPr>
                <w:p w14:paraId="486C7BE0">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w:t>
                  </w:r>
                </w:p>
              </w:tc>
            </w:tr>
            <w:tr w14:paraId="36005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50B37F1E">
                  <w:pPr>
                    <w:jc w:val="center"/>
                    <w:rPr>
                      <w:rFonts w:hint="default" w:ascii="Times New Roman" w:hAnsi="Times New Roman" w:cs="Times New Roman"/>
                      <w:bCs/>
                      <w:color w:val="auto"/>
                      <w:sz w:val="21"/>
                      <w:szCs w:val="21"/>
                    </w:rPr>
                  </w:pPr>
                </w:p>
              </w:tc>
              <w:tc>
                <w:tcPr>
                  <w:tcW w:w="709" w:type="dxa"/>
                  <w:vMerge w:val="continue"/>
                  <w:noWrap w:val="0"/>
                  <w:vAlign w:val="center"/>
                </w:tcPr>
                <w:p w14:paraId="17954290">
                  <w:pPr>
                    <w:jc w:val="center"/>
                    <w:rPr>
                      <w:rFonts w:hint="default" w:ascii="Times New Roman" w:hAnsi="Times New Roman" w:cs="Times New Roman"/>
                      <w:snapToGrid w:val="0"/>
                      <w:color w:val="auto"/>
                      <w:sz w:val="21"/>
                      <w:szCs w:val="21"/>
                    </w:rPr>
                  </w:pPr>
                </w:p>
              </w:tc>
              <w:tc>
                <w:tcPr>
                  <w:tcW w:w="3118" w:type="dxa"/>
                  <w:noWrap w:val="0"/>
                  <w:vAlign w:val="center"/>
                </w:tcPr>
                <w:p w14:paraId="30546C9B">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N3，杏树村居民（三）K1+853.034右侧18米居民处</w:t>
                  </w:r>
                </w:p>
              </w:tc>
              <w:tc>
                <w:tcPr>
                  <w:tcW w:w="1276" w:type="dxa"/>
                  <w:noWrap w:val="0"/>
                  <w:vAlign w:val="center"/>
                </w:tcPr>
                <w:p w14:paraId="654B12AE">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16:47-16:57</w:t>
                  </w:r>
                </w:p>
              </w:tc>
              <w:tc>
                <w:tcPr>
                  <w:tcW w:w="723" w:type="dxa"/>
                  <w:noWrap w:val="0"/>
                  <w:vAlign w:val="center"/>
                </w:tcPr>
                <w:p w14:paraId="3BF681F1">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55</w:t>
                  </w:r>
                </w:p>
              </w:tc>
              <w:tc>
                <w:tcPr>
                  <w:tcW w:w="1262" w:type="dxa"/>
                  <w:noWrap w:val="0"/>
                  <w:vAlign w:val="center"/>
                </w:tcPr>
                <w:p w14:paraId="06AB6F71">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22:00-22:10</w:t>
                  </w:r>
                </w:p>
              </w:tc>
              <w:tc>
                <w:tcPr>
                  <w:tcW w:w="738" w:type="dxa"/>
                  <w:noWrap w:val="0"/>
                  <w:vAlign w:val="center"/>
                </w:tcPr>
                <w:p w14:paraId="25F44780">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46</w:t>
                  </w:r>
                </w:p>
              </w:tc>
            </w:tr>
            <w:tr w14:paraId="66126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224D58B6">
                  <w:pPr>
                    <w:jc w:val="center"/>
                    <w:rPr>
                      <w:rFonts w:hint="default" w:ascii="Times New Roman" w:hAnsi="Times New Roman" w:cs="Times New Roman"/>
                      <w:bCs/>
                      <w:color w:val="auto"/>
                      <w:sz w:val="21"/>
                      <w:szCs w:val="21"/>
                    </w:rPr>
                  </w:pPr>
                </w:p>
              </w:tc>
              <w:tc>
                <w:tcPr>
                  <w:tcW w:w="709" w:type="dxa"/>
                  <w:vMerge w:val="continue"/>
                  <w:noWrap w:val="0"/>
                  <w:vAlign w:val="center"/>
                </w:tcPr>
                <w:p w14:paraId="7170122E">
                  <w:pPr>
                    <w:jc w:val="center"/>
                    <w:rPr>
                      <w:rFonts w:hint="default" w:ascii="Times New Roman" w:hAnsi="Times New Roman" w:cs="Times New Roman"/>
                      <w:snapToGrid w:val="0"/>
                      <w:color w:val="auto"/>
                      <w:sz w:val="21"/>
                      <w:szCs w:val="21"/>
                    </w:rPr>
                  </w:pPr>
                </w:p>
              </w:tc>
              <w:tc>
                <w:tcPr>
                  <w:tcW w:w="3118" w:type="dxa"/>
                  <w:noWrap w:val="0"/>
                  <w:vAlign w:val="center"/>
                </w:tcPr>
                <w:p w14:paraId="2D38387C">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N4，杏树村居民（四）K2+806.861右侧21米居民处</w:t>
                  </w:r>
                </w:p>
              </w:tc>
              <w:tc>
                <w:tcPr>
                  <w:tcW w:w="1276" w:type="dxa"/>
                  <w:noWrap w:val="0"/>
                  <w:vAlign w:val="center"/>
                </w:tcPr>
                <w:p w14:paraId="1A8AB633">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17:04-17:14</w:t>
                  </w:r>
                </w:p>
              </w:tc>
              <w:tc>
                <w:tcPr>
                  <w:tcW w:w="723" w:type="dxa"/>
                  <w:noWrap w:val="0"/>
                  <w:vAlign w:val="center"/>
                </w:tcPr>
                <w:p w14:paraId="6BD35FFB">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57</w:t>
                  </w:r>
                </w:p>
              </w:tc>
              <w:tc>
                <w:tcPr>
                  <w:tcW w:w="1262" w:type="dxa"/>
                  <w:noWrap w:val="0"/>
                  <w:vAlign w:val="center"/>
                </w:tcPr>
                <w:p w14:paraId="7CB2B70D">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22:15-22:25</w:t>
                  </w:r>
                </w:p>
              </w:tc>
              <w:tc>
                <w:tcPr>
                  <w:tcW w:w="738" w:type="dxa"/>
                  <w:noWrap w:val="0"/>
                  <w:vAlign w:val="center"/>
                </w:tcPr>
                <w:p w14:paraId="1B235D7C">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46</w:t>
                  </w:r>
                </w:p>
              </w:tc>
            </w:tr>
            <w:tr w14:paraId="2636A8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78C1F657">
                  <w:pPr>
                    <w:jc w:val="center"/>
                    <w:rPr>
                      <w:rFonts w:hint="default" w:ascii="Times New Roman" w:hAnsi="Times New Roman" w:cs="Times New Roman"/>
                      <w:bCs/>
                      <w:color w:val="auto"/>
                      <w:sz w:val="21"/>
                      <w:szCs w:val="21"/>
                    </w:rPr>
                  </w:pPr>
                </w:p>
              </w:tc>
              <w:tc>
                <w:tcPr>
                  <w:tcW w:w="709" w:type="dxa"/>
                  <w:vMerge w:val="continue"/>
                  <w:noWrap w:val="0"/>
                  <w:vAlign w:val="center"/>
                </w:tcPr>
                <w:p w14:paraId="42217451">
                  <w:pPr>
                    <w:jc w:val="center"/>
                    <w:rPr>
                      <w:rFonts w:hint="default" w:ascii="Times New Roman" w:hAnsi="Times New Roman" w:cs="Times New Roman"/>
                      <w:snapToGrid w:val="0"/>
                      <w:color w:val="auto"/>
                      <w:sz w:val="21"/>
                      <w:szCs w:val="21"/>
                    </w:rPr>
                  </w:pPr>
                </w:p>
              </w:tc>
              <w:tc>
                <w:tcPr>
                  <w:tcW w:w="3118" w:type="dxa"/>
                  <w:noWrap w:val="0"/>
                  <w:vAlign w:val="center"/>
                </w:tcPr>
                <w:p w14:paraId="3AD5883D">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N5，主路设计终点K2+792.590处</w:t>
                  </w:r>
                </w:p>
              </w:tc>
              <w:tc>
                <w:tcPr>
                  <w:tcW w:w="1276" w:type="dxa"/>
                  <w:noWrap w:val="0"/>
                  <w:vAlign w:val="center"/>
                </w:tcPr>
                <w:p w14:paraId="699E45D9">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17:20-17:30</w:t>
                  </w:r>
                </w:p>
              </w:tc>
              <w:tc>
                <w:tcPr>
                  <w:tcW w:w="723" w:type="dxa"/>
                  <w:noWrap w:val="0"/>
                  <w:vAlign w:val="center"/>
                </w:tcPr>
                <w:p w14:paraId="30A9ABCB">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56</w:t>
                  </w:r>
                </w:p>
              </w:tc>
              <w:tc>
                <w:tcPr>
                  <w:tcW w:w="1262" w:type="dxa"/>
                  <w:noWrap w:val="0"/>
                  <w:vAlign w:val="center"/>
                </w:tcPr>
                <w:p w14:paraId="56F2E271">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22:30-22:40</w:t>
                  </w:r>
                </w:p>
              </w:tc>
              <w:tc>
                <w:tcPr>
                  <w:tcW w:w="738" w:type="dxa"/>
                  <w:noWrap w:val="0"/>
                  <w:vAlign w:val="center"/>
                </w:tcPr>
                <w:p w14:paraId="5155CD1F">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43</w:t>
                  </w:r>
                </w:p>
              </w:tc>
            </w:tr>
            <w:tr w14:paraId="128E2E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restart"/>
                  <w:noWrap w:val="0"/>
                  <w:vAlign w:val="center"/>
                </w:tcPr>
                <w:p w14:paraId="4D60A37A">
                  <w:pPr>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2024.</w:t>
                  </w:r>
                </w:p>
                <w:p w14:paraId="436371BB">
                  <w:pPr>
                    <w:jc w:val="center"/>
                    <w:rPr>
                      <w:rFonts w:hint="default" w:ascii="Times New Roman" w:hAnsi="Times New Roman" w:cs="Times New Roman"/>
                      <w:snapToGrid w:val="0"/>
                      <w:color w:val="auto"/>
                      <w:sz w:val="21"/>
                      <w:szCs w:val="21"/>
                    </w:rPr>
                  </w:pPr>
                  <w:r>
                    <w:rPr>
                      <w:rFonts w:hint="default" w:ascii="Times New Roman" w:hAnsi="Times New Roman" w:cs="Times New Roman"/>
                      <w:bCs/>
                      <w:color w:val="auto"/>
                      <w:sz w:val="21"/>
                      <w:szCs w:val="21"/>
                    </w:rPr>
                    <w:t>12.05</w:t>
                  </w:r>
                </w:p>
              </w:tc>
              <w:tc>
                <w:tcPr>
                  <w:tcW w:w="709" w:type="dxa"/>
                  <w:vMerge w:val="restart"/>
                  <w:noWrap w:val="0"/>
                  <w:vAlign w:val="center"/>
                </w:tcPr>
                <w:p w14:paraId="02D8132A">
                  <w:pPr>
                    <w:jc w:val="center"/>
                    <w:rPr>
                      <w:rFonts w:hint="default" w:ascii="Times New Roman" w:hAnsi="Times New Roman" w:cs="Times New Roman"/>
                      <w:snapToGrid w:val="0"/>
                      <w:color w:val="auto"/>
                      <w:sz w:val="21"/>
                      <w:szCs w:val="21"/>
                    </w:rPr>
                  </w:pPr>
                  <w:r>
                    <w:rPr>
                      <w:rFonts w:hint="default" w:ascii="Times New Roman" w:hAnsi="Times New Roman" w:cs="Times New Roman"/>
                      <w:snapToGrid w:val="0"/>
                      <w:color w:val="auto"/>
                      <w:sz w:val="21"/>
                      <w:szCs w:val="21"/>
                    </w:rPr>
                    <w:t>L</w:t>
                  </w:r>
                  <w:r>
                    <w:rPr>
                      <w:rFonts w:hint="default" w:ascii="Times New Roman" w:hAnsi="Times New Roman" w:cs="Times New Roman"/>
                      <w:snapToGrid w:val="0"/>
                      <w:color w:val="auto"/>
                      <w:sz w:val="21"/>
                      <w:szCs w:val="21"/>
                      <w:vertAlign w:val="subscript"/>
                    </w:rPr>
                    <w:t>eq</w:t>
                  </w:r>
                </w:p>
              </w:tc>
              <w:tc>
                <w:tcPr>
                  <w:tcW w:w="3118" w:type="dxa"/>
                  <w:noWrap w:val="0"/>
                  <w:vAlign w:val="center"/>
                </w:tcPr>
                <w:p w14:paraId="1425852D">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N1，杏树村居民（一）K0+030右侧22米居民处</w:t>
                  </w:r>
                </w:p>
              </w:tc>
              <w:tc>
                <w:tcPr>
                  <w:tcW w:w="1276" w:type="dxa"/>
                  <w:noWrap w:val="0"/>
                  <w:vAlign w:val="center"/>
                </w:tcPr>
                <w:p w14:paraId="1D8DB533">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15:53-16:03</w:t>
                  </w:r>
                </w:p>
              </w:tc>
              <w:tc>
                <w:tcPr>
                  <w:tcW w:w="723" w:type="dxa"/>
                  <w:noWrap w:val="0"/>
                  <w:vAlign w:val="center"/>
                </w:tcPr>
                <w:p w14:paraId="03F81577">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58</w:t>
                  </w:r>
                </w:p>
              </w:tc>
              <w:tc>
                <w:tcPr>
                  <w:tcW w:w="1262" w:type="dxa"/>
                  <w:noWrap w:val="0"/>
                  <w:vAlign w:val="center"/>
                </w:tcPr>
                <w:p w14:paraId="2B94B735">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22:57-23:07</w:t>
                  </w:r>
                </w:p>
              </w:tc>
              <w:tc>
                <w:tcPr>
                  <w:tcW w:w="738" w:type="dxa"/>
                  <w:noWrap w:val="0"/>
                  <w:vAlign w:val="center"/>
                </w:tcPr>
                <w:p w14:paraId="4623E36C">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47</w:t>
                  </w:r>
                </w:p>
              </w:tc>
            </w:tr>
            <w:tr w14:paraId="20BC2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6BDE4922">
                  <w:pPr>
                    <w:jc w:val="center"/>
                    <w:rPr>
                      <w:rFonts w:hint="default" w:ascii="Times New Roman" w:hAnsi="Times New Roman" w:cs="Times New Roman"/>
                      <w:bCs/>
                      <w:color w:val="auto"/>
                      <w:sz w:val="21"/>
                      <w:szCs w:val="21"/>
                    </w:rPr>
                  </w:pPr>
                </w:p>
              </w:tc>
              <w:tc>
                <w:tcPr>
                  <w:tcW w:w="709" w:type="dxa"/>
                  <w:vMerge w:val="continue"/>
                  <w:noWrap w:val="0"/>
                  <w:vAlign w:val="center"/>
                </w:tcPr>
                <w:p w14:paraId="700A843C">
                  <w:pPr>
                    <w:jc w:val="center"/>
                    <w:rPr>
                      <w:rFonts w:hint="default" w:ascii="Times New Roman" w:hAnsi="Times New Roman" w:cs="Times New Roman"/>
                      <w:snapToGrid w:val="0"/>
                      <w:color w:val="auto"/>
                      <w:sz w:val="21"/>
                      <w:szCs w:val="21"/>
                    </w:rPr>
                  </w:pPr>
                </w:p>
              </w:tc>
              <w:tc>
                <w:tcPr>
                  <w:tcW w:w="3118" w:type="dxa"/>
                  <w:noWrap w:val="0"/>
                  <w:vAlign w:val="center"/>
                </w:tcPr>
                <w:p w14:paraId="762D07CE">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N2，杏树村居民（二）K0+421.823右侧30米居民处</w:t>
                  </w:r>
                </w:p>
              </w:tc>
              <w:tc>
                <w:tcPr>
                  <w:tcW w:w="1276" w:type="dxa"/>
                  <w:noWrap w:val="0"/>
                  <w:vAlign w:val="center"/>
                </w:tcPr>
                <w:p w14:paraId="0484E3D4">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16:08-16:18</w:t>
                  </w:r>
                </w:p>
              </w:tc>
              <w:tc>
                <w:tcPr>
                  <w:tcW w:w="723" w:type="dxa"/>
                  <w:noWrap w:val="0"/>
                  <w:vAlign w:val="center"/>
                </w:tcPr>
                <w:p w14:paraId="6AD3AC0B">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56</w:t>
                  </w:r>
                </w:p>
              </w:tc>
              <w:tc>
                <w:tcPr>
                  <w:tcW w:w="1262" w:type="dxa"/>
                  <w:noWrap w:val="0"/>
                  <w:vAlign w:val="center"/>
                </w:tcPr>
                <w:p w14:paraId="76D182CB">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23:13-23:23</w:t>
                  </w:r>
                </w:p>
              </w:tc>
              <w:tc>
                <w:tcPr>
                  <w:tcW w:w="738" w:type="dxa"/>
                  <w:noWrap w:val="0"/>
                  <w:vAlign w:val="center"/>
                </w:tcPr>
                <w:p w14:paraId="638497A7">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46</w:t>
                  </w:r>
                </w:p>
              </w:tc>
            </w:tr>
            <w:tr w14:paraId="70B5D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0A5283A7">
                  <w:pPr>
                    <w:jc w:val="center"/>
                    <w:rPr>
                      <w:rFonts w:hint="default" w:ascii="Times New Roman" w:hAnsi="Times New Roman" w:cs="Times New Roman"/>
                      <w:bCs/>
                      <w:color w:val="auto"/>
                      <w:sz w:val="21"/>
                      <w:szCs w:val="21"/>
                    </w:rPr>
                  </w:pPr>
                </w:p>
              </w:tc>
              <w:tc>
                <w:tcPr>
                  <w:tcW w:w="709" w:type="dxa"/>
                  <w:vMerge w:val="continue"/>
                  <w:noWrap w:val="0"/>
                  <w:vAlign w:val="center"/>
                </w:tcPr>
                <w:p w14:paraId="738767B9">
                  <w:pPr>
                    <w:jc w:val="center"/>
                    <w:rPr>
                      <w:rFonts w:hint="default" w:ascii="Times New Roman" w:hAnsi="Times New Roman" w:cs="Times New Roman"/>
                      <w:snapToGrid w:val="0"/>
                      <w:color w:val="auto"/>
                      <w:sz w:val="21"/>
                      <w:szCs w:val="21"/>
                    </w:rPr>
                  </w:pPr>
                </w:p>
              </w:tc>
              <w:tc>
                <w:tcPr>
                  <w:tcW w:w="3118" w:type="dxa"/>
                  <w:noWrap w:val="0"/>
                  <w:vAlign w:val="center"/>
                </w:tcPr>
                <w:p w14:paraId="51D77CC1">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N3，杏树村居民（三）K1+853.034右侧18米居民处</w:t>
                  </w:r>
                </w:p>
              </w:tc>
              <w:tc>
                <w:tcPr>
                  <w:tcW w:w="1276" w:type="dxa"/>
                  <w:noWrap w:val="0"/>
                  <w:vAlign w:val="center"/>
                </w:tcPr>
                <w:p w14:paraId="42253617">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14:46-14:56</w:t>
                  </w:r>
                </w:p>
              </w:tc>
              <w:tc>
                <w:tcPr>
                  <w:tcW w:w="723" w:type="dxa"/>
                  <w:noWrap w:val="0"/>
                  <w:vAlign w:val="center"/>
                </w:tcPr>
                <w:p w14:paraId="0314D060">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54</w:t>
                  </w:r>
                </w:p>
              </w:tc>
              <w:tc>
                <w:tcPr>
                  <w:tcW w:w="1262" w:type="dxa"/>
                  <w:noWrap w:val="0"/>
                  <w:vAlign w:val="center"/>
                </w:tcPr>
                <w:p w14:paraId="1950B3D8">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22:00-22:10</w:t>
                  </w:r>
                </w:p>
              </w:tc>
              <w:tc>
                <w:tcPr>
                  <w:tcW w:w="738" w:type="dxa"/>
                  <w:noWrap w:val="0"/>
                  <w:vAlign w:val="center"/>
                </w:tcPr>
                <w:p w14:paraId="4A6FB950">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w:t>
                  </w:r>
                </w:p>
              </w:tc>
            </w:tr>
            <w:tr w14:paraId="7E308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2E7E3AC3">
                  <w:pPr>
                    <w:jc w:val="center"/>
                    <w:rPr>
                      <w:rFonts w:hint="default" w:ascii="Times New Roman" w:hAnsi="Times New Roman" w:cs="Times New Roman"/>
                      <w:bCs/>
                      <w:color w:val="auto"/>
                      <w:sz w:val="21"/>
                      <w:szCs w:val="21"/>
                    </w:rPr>
                  </w:pPr>
                </w:p>
              </w:tc>
              <w:tc>
                <w:tcPr>
                  <w:tcW w:w="709" w:type="dxa"/>
                  <w:vMerge w:val="continue"/>
                  <w:noWrap w:val="0"/>
                  <w:vAlign w:val="center"/>
                </w:tcPr>
                <w:p w14:paraId="4A2E05B6">
                  <w:pPr>
                    <w:jc w:val="center"/>
                    <w:rPr>
                      <w:rFonts w:hint="default" w:ascii="Times New Roman" w:hAnsi="Times New Roman" w:cs="Times New Roman"/>
                      <w:snapToGrid w:val="0"/>
                      <w:color w:val="auto"/>
                      <w:sz w:val="21"/>
                      <w:szCs w:val="21"/>
                    </w:rPr>
                  </w:pPr>
                </w:p>
              </w:tc>
              <w:tc>
                <w:tcPr>
                  <w:tcW w:w="3118" w:type="dxa"/>
                  <w:noWrap w:val="0"/>
                  <w:vAlign w:val="center"/>
                </w:tcPr>
                <w:p w14:paraId="22EC6D4D">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N4，杏树村居民（四）K2+806.861右侧21米居民处</w:t>
                  </w:r>
                </w:p>
              </w:tc>
              <w:tc>
                <w:tcPr>
                  <w:tcW w:w="1276" w:type="dxa"/>
                  <w:noWrap w:val="0"/>
                  <w:vAlign w:val="center"/>
                </w:tcPr>
                <w:p w14:paraId="734187F5">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15:03-15:13</w:t>
                  </w:r>
                </w:p>
              </w:tc>
              <w:tc>
                <w:tcPr>
                  <w:tcW w:w="723" w:type="dxa"/>
                  <w:noWrap w:val="0"/>
                  <w:vAlign w:val="center"/>
                </w:tcPr>
                <w:p w14:paraId="07D98F8A">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56</w:t>
                  </w:r>
                </w:p>
              </w:tc>
              <w:tc>
                <w:tcPr>
                  <w:tcW w:w="1262" w:type="dxa"/>
                  <w:noWrap w:val="0"/>
                  <w:vAlign w:val="center"/>
                </w:tcPr>
                <w:p w14:paraId="4459B98D">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22:15-22:25</w:t>
                  </w:r>
                </w:p>
              </w:tc>
              <w:tc>
                <w:tcPr>
                  <w:tcW w:w="738" w:type="dxa"/>
                  <w:noWrap w:val="0"/>
                  <w:vAlign w:val="center"/>
                </w:tcPr>
                <w:p w14:paraId="7968F7E2">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46</w:t>
                  </w:r>
                </w:p>
              </w:tc>
            </w:tr>
            <w:tr w14:paraId="1BB5CE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741" w:type="dxa"/>
                  <w:vMerge w:val="continue"/>
                  <w:noWrap w:val="0"/>
                  <w:vAlign w:val="center"/>
                </w:tcPr>
                <w:p w14:paraId="69B251D0">
                  <w:pPr>
                    <w:jc w:val="center"/>
                    <w:rPr>
                      <w:rFonts w:hint="default" w:ascii="Times New Roman" w:hAnsi="Times New Roman" w:cs="Times New Roman"/>
                      <w:bCs/>
                      <w:color w:val="auto"/>
                      <w:sz w:val="21"/>
                      <w:szCs w:val="21"/>
                    </w:rPr>
                  </w:pPr>
                </w:p>
              </w:tc>
              <w:tc>
                <w:tcPr>
                  <w:tcW w:w="709" w:type="dxa"/>
                  <w:vMerge w:val="continue"/>
                  <w:noWrap w:val="0"/>
                  <w:vAlign w:val="center"/>
                </w:tcPr>
                <w:p w14:paraId="6C8B4CBA">
                  <w:pPr>
                    <w:jc w:val="center"/>
                    <w:rPr>
                      <w:rFonts w:hint="default" w:ascii="Times New Roman" w:hAnsi="Times New Roman" w:cs="Times New Roman"/>
                      <w:snapToGrid w:val="0"/>
                      <w:color w:val="auto"/>
                      <w:sz w:val="21"/>
                      <w:szCs w:val="21"/>
                    </w:rPr>
                  </w:pPr>
                </w:p>
              </w:tc>
              <w:tc>
                <w:tcPr>
                  <w:tcW w:w="3118" w:type="dxa"/>
                  <w:noWrap w:val="0"/>
                  <w:vAlign w:val="center"/>
                </w:tcPr>
                <w:p w14:paraId="111155BC">
                  <w:pPr>
                    <w:pStyle w:val="57"/>
                    <w:snapToGrid w:val="0"/>
                    <w:spacing w:line="240" w:lineRule="auto"/>
                    <w:ind w:firstLine="0" w:firstLineChars="0"/>
                    <w:jc w:val="center"/>
                    <w:rPr>
                      <w:rStyle w:val="98"/>
                      <w:rFonts w:hint="default" w:ascii="Times New Roman" w:hAnsi="Times New Roman" w:cs="Times New Roman"/>
                      <w:b w:val="0"/>
                      <w:color w:val="auto"/>
                      <w:sz w:val="21"/>
                      <w:szCs w:val="21"/>
                    </w:rPr>
                  </w:pPr>
                  <w:r>
                    <w:rPr>
                      <w:rStyle w:val="98"/>
                      <w:rFonts w:hint="default" w:ascii="Times New Roman" w:hAnsi="Times New Roman" w:cs="Times New Roman"/>
                      <w:b w:val="0"/>
                      <w:color w:val="auto"/>
                      <w:sz w:val="21"/>
                      <w:szCs w:val="21"/>
                    </w:rPr>
                    <w:t>N5，主路设计终点K2+792.590处</w:t>
                  </w:r>
                </w:p>
              </w:tc>
              <w:tc>
                <w:tcPr>
                  <w:tcW w:w="1276" w:type="dxa"/>
                  <w:noWrap w:val="0"/>
                  <w:vAlign w:val="center"/>
                </w:tcPr>
                <w:p w14:paraId="0E4B67D3">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15:18-15:28</w:t>
                  </w:r>
                </w:p>
              </w:tc>
              <w:tc>
                <w:tcPr>
                  <w:tcW w:w="723" w:type="dxa"/>
                  <w:noWrap w:val="0"/>
                  <w:vAlign w:val="center"/>
                </w:tcPr>
                <w:p w14:paraId="5877AFF5">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57</w:t>
                  </w:r>
                </w:p>
              </w:tc>
              <w:tc>
                <w:tcPr>
                  <w:tcW w:w="1262" w:type="dxa"/>
                  <w:noWrap w:val="0"/>
                  <w:vAlign w:val="center"/>
                </w:tcPr>
                <w:p w14:paraId="6FF9F671">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22:30-22:40</w:t>
                  </w:r>
                </w:p>
              </w:tc>
              <w:tc>
                <w:tcPr>
                  <w:tcW w:w="738" w:type="dxa"/>
                  <w:noWrap w:val="0"/>
                  <w:vAlign w:val="center"/>
                </w:tcPr>
                <w:p w14:paraId="35AE80F9">
                  <w:pPr>
                    <w:pStyle w:val="100"/>
                    <w:snapToGrid w:val="0"/>
                    <w:spacing w:before="0" w:after="0"/>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45</w:t>
                  </w:r>
                </w:p>
              </w:tc>
            </w:tr>
          </w:tbl>
          <w:p w14:paraId="69950CA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kern w:val="0"/>
                <w:szCs w:val="21"/>
              </w:rPr>
            </w:pPr>
            <w:r>
              <w:rPr>
                <w:rFonts w:hint="default" w:ascii="Times New Roman" w:hAnsi="Times New Roman" w:cs="Times New Roman"/>
                <w:bCs/>
                <w:color w:val="auto"/>
                <w:sz w:val="24"/>
                <w:szCs w:val="24"/>
              </w:rPr>
              <w:t>由监测结果可知，沿线监测点位噪声值满足《声环境质量标准》（GB3096-2008）中2类区标准限值，说明本项目沿线声环境质量较好。</w:t>
            </w:r>
          </w:p>
        </w:tc>
      </w:tr>
      <w:tr w14:paraId="46AA4B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800" w:type="dxa"/>
            <w:vAlign w:val="center"/>
          </w:tcPr>
          <w:p w14:paraId="1509515F">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与项目有关的原有环境污染和生态破坏问题</w:t>
            </w:r>
          </w:p>
        </w:tc>
        <w:tc>
          <w:tcPr>
            <w:tcW w:w="8190" w:type="dxa"/>
          </w:tcPr>
          <w:p w14:paraId="73D86435">
            <w:pPr>
              <w:widowControl/>
              <w:spacing w:line="460" w:lineRule="exact"/>
              <w:ind w:firstLine="480" w:firstLineChars="200"/>
              <w:rPr>
                <w:rFonts w:hint="default" w:ascii="Times New Roman" w:hAnsi="Times New Roman" w:cs="Times New Roman"/>
                <w:color w:val="auto"/>
              </w:rPr>
            </w:pPr>
            <w:r>
              <w:rPr>
                <w:rFonts w:hint="default" w:ascii="Times New Roman" w:hAnsi="Times New Roman" w:cs="Times New Roman"/>
                <w:color w:val="auto"/>
                <w:sz w:val="24"/>
                <w:szCs w:val="32"/>
              </w:rPr>
              <w:t>本项目为</w:t>
            </w:r>
            <w:r>
              <w:rPr>
                <w:rFonts w:hint="default" w:ascii="Times New Roman" w:hAnsi="Times New Roman" w:cs="Times New Roman"/>
                <w:color w:val="auto"/>
                <w:sz w:val="24"/>
                <w:szCs w:val="32"/>
                <w:lang w:val="en-US" w:eastAsia="zh-CN"/>
              </w:rPr>
              <w:t>农村</w:t>
            </w:r>
            <w:r>
              <w:rPr>
                <w:rFonts w:hint="default" w:ascii="Times New Roman" w:hAnsi="Times New Roman" w:cs="Times New Roman"/>
                <w:color w:val="auto"/>
                <w:sz w:val="24"/>
                <w:szCs w:val="32"/>
              </w:rPr>
              <w:t>道路建设项目，为新建项目，经现场勘查，不存在原有污染问题。</w:t>
            </w:r>
          </w:p>
        </w:tc>
      </w:tr>
      <w:tr w14:paraId="0B6437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8" w:hRule="atLeast"/>
          <w:jc w:val="center"/>
        </w:trPr>
        <w:tc>
          <w:tcPr>
            <w:tcW w:w="800" w:type="dxa"/>
            <w:vAlign w:val="center"/>
          </w:tcPr>
          <w:p w14:paraId="379303FD">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生态环境</w:t>
            </w:r>
          </w:p>
          <w:p w14:paraId="34893F9B">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保护</w:t>
            </w:r>
          </w:p>
          <w:p w14:paraId="006E56D2">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目标</w:t>
            </w:r>
          </w:p>
        </w:tc>
        <w:tc>
          <w:tcPr>
            <w:tcW w:w="8190" w:type="dxa"/>
            <w:vAlign w:val="center"/>
          </w:tcPr>
          <w:p w14:paraId="64AD0921">
            <w:pPr>
              <w:pStyle w:val="66"/>
              <w:spacing w:line="460" w:lineRule="exact"/>
              <w:ind w:firstLine="480" w:firstLineChars="200"/>
              <w:rPr>
                <w:rFonts w:hint="default" w:ascii="Times New Roman" w:hAnsi="Times New Roman" w:eastAsia="宋体" w:cs="Times New Roman"/>
                <w:color w:val="auto"/>
                <w:kern w:val="2"/>
                <w:sz w:val="24"/>
                <w:szCs w:val="32"/>
                <w:lang w:val="en-US" w:eastAsia="zh-CN" w:bidi="ar-SA"/>
              </w:rPr>
            </w:pPr>
            <w:r>
              <w:rPr>
                <w:rFonts w:hint="default" w:ascii="Times New Roman" w:hAnsi="Times New Roman" w:eastAsia="宋体" w:cs="Times New Roman"/>
                <w:color w:val="auto"/>
                <w:kern w:val="2"/>
                <w:sz w:val="24"/>
                <w:szCs w:val="32"/>
                <w:lang w:val="en-US" w:eastAsia="zh-CN" w:bidi="ar-SA"/>
              </w:rPr>
              <w:t>根据现场踏勘，本项目环境保护目标见下表。</w:t>
            </w:r>
          </w:p>
          <w:p w14:paraId="1F3444DB">
            <w:pPr>
              <w:pStyle w:val="72"/>
              <w:spacing w:line="460" w:lineRule="exact"/>
              <w:ind w:firstLine="422" w:firstLineChars="200"/>
              <w:jc w:val="center"/>
              <w:rPr>
                <w:rFonts w:hint="default" w:ascii="Times New Roman" w:hAnsi="Times New Roman" w:cs="Times New Roman"/>
                <w:color w:val="auto"/>
              </w:rPr>
            </w:pPr>
            <w:r>
              <w:rPr>
                <w:rFonts w:hint="default" w:ascii="Times New Roman" w:hAnsi="Times New Roman" w:cs="Times New Roman"/>
                <w:b/>
                <w:bCs/>
                <w:color w:val="auto"/>
                <w:kern w:val="2"/>
                <w:sz w:val="21"/>
                <w:szCs w:val="21"/>
              </w:rPr>
              <w:t>表</w:t>
            </w:r>
            <w:r>
              <w:rPr>
                <w:rFonts w:hint="default" w:ascii="Times New Roman" w:hAnsi="Times New Roman" w:eastAsia="Times New Roman" w:cs="Times New Roman"/>
                <w:b/>
                <w:bCs/>
                <w:color w:val="auto"/>
                <w:kern w:val="2"/>
                <w:sz w:val="21"/>
                <w:szCs w:val="21"/>
              </w:rPr>
              <w:t>3-</w:t>
            </w:r>
            <w:r>
              <w:rPr>
                <w:rFonts w:hint="default" w:ascii="Times New Roman" w:hAnsi="Times New Roman" w:eastAsia="宋体" w:cs="Times New Roman"/>
                <w:b/>
                <w:bCs/>
                <w:color w:val="auto"/>
                <w:kern w:val="2"/>
                <w:sz w:val="21"/>
                <w:szCs w:val="21"/>
                <w:lang w:val="en-US" w:eastAsia="zh-CN"/>
              </w:rPr>
              <w:t xml:space="preserve">4 </w:t>
            </w:r>
            <w:r>
              <w:rPr>
                <w:rFonts w:hint="default" w:ascii="Times New Roman" w:hAnsi="Times New Roman" w:cs="Times New Roman"/>
                <w:b/>
                <w:bCs/>
                <w:color w:val="auto"/>
                <w:kern w:val="2"/>
                <w:sz w:val="21"/>
                <w:szCs w:val="21"/>
              </w:rPr>
              <w:t>本项目环境保护目标一览表</w:t>
            </w:r>
          </w:p>
          <w:tbl>
            <w:tblPr>
              <w:tblStyle w:val="23"/>
              <w:tblW w:w="79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605"/>
              <w:gridCol w:w="1672"/>
              <w:gridCol w:w="1314"/>
              <w:gridCol w:w="1389"/>
              <w:gridCol w:w="867"/>
              <w:gridCol w:w="1106"/>
              <w:gridCol w:w="1011"/>
            </w:tblGrid>
            <w:tr w14:paraId="2CEE0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tcMar>
                    <w:left w:w="57" w:type="dxa"/>
                    <w:right w:w="57" w:type="dxa"/>
                  </w:tcMar>
                  <w:vAlign w:val="center"/>
                </w:tcPr>
                <w:p w14:paraId="3A6F0ECB">
                  <w:pPr>
                    <w:autoSpaceDE w:val="0"/>
                    <w:autoSpaceDN w:val="0"/>
                    <w:adjustRightInd w:val="0"/>
                    <w:snapToGrid w:val="0"/>
                    <w:jc w:val="center"/>
                    <w:textAlignment w:val="baseline"/>
                    <w:rPr>
                      <w:rFonts w:hint="default" w:ascii="Times New Roman" w:hAnsi="Times New Roman" w:cs="Times New Roman"/>
                      <w:b/>
                      <w:bCs/>
                      <w:color w:val="auto"/>
                      <w:szCs w:val="21"/>
                    </w:rPr>
                  </w:pPr>
                  <w:r>
                    <w:rPr>
                      <w:rFonts w:hint="default" w:ascii="Times New Roman" w:hAnsi="Times New Roman" w:cs="Times New Roman"/>
                      <w:b/>
                      <w:bCs/>
                      <w:color w:val="auto"/>
                      <w:szCs w:val="21"/>
                    </w:rPr>
                    <w:t>环境</w:t>
                  </w:r>
                </w:p>
                <w:p w14:paraId="5A9DFF82">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b/>
                      <w:bCs/>
                      <w:color w:val="auto"/>
                      <w:szCs w:val="21"/>
                    </w:rPr>
                    <w:t>要素</w:t>
                  </w:r>
                </w:p>
              </w:tc>
              <w:tc>
                <w:tcPr>
                  <w:tcW w:w="1672" w:type="dxa"/>
                  <w:vAlign w:val="center"/>
                </w:tcPr>
                <w:p w14:paraId="28D5FBB6">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b/>
                      <w:bCs/>
                      <w:color w:val="auto"/>
                      <w:szCs w:val="21"/>
                    </w:rPr>
                    <w:t>环境保护目标</w:t>
                  </w:r>
                </w:p>
              </w:tc>
              <w:tc>
                <w:tcPr>
                  <w:tcW w:w="1314" w:type="dxa"/>
                  <w:tcMar>
                    <w:left w:w="57" w:type="dxa"/>
                    <w:right w:w="57" w:type="dxa"/>
                  </w:tcMar>
                  <w:vAlign w:val="center"/>
                </w:tcPr>
                <w:p w14:paraId="3FDC164C">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规模</w:t>
                  </w:r>
                </w:p>
              </w:tc>
              <w:tc>
                <w:tcPr>
                  <w:tcW w:w="1389" w:type="dxa"/>
                  <w:tcMar>
                    <w:left w:w="57" w:type="dxa"/>
                    <w:right w:w="57" w:type="dxa"/>
                  </w:tcMar>
                  <w:vAlign w:val="center"/>
                </w:tcPr>
                <w:p w14:paraId="69466A5A">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方位</w:t>
                  </w:r>
                </w:p>
              </w:tc>
              <w:tc>
                <w:tcPr>
                  <w:tcW w:w="867" w:type="dxa"/>
                  <w:tcMar>
                    <w:left w:w="57" w:type="dxa"/>
                    <w:right w:w="57" w:type="dxa"/>
                  </w:tcMar>
                  <w:vAlign w:val="center"/>
                </w:tcPr>
                <w:p w14:paraId="2056DEEA">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b/>
                      <w:bCs/>
                      <w:color w:val="auto"/>
                      <w:szCs w:val="21"/>
                    </w:rPr>
                    <w:t>距道路边界距离（m）</w:t>
                  </w:r>
                </w:p>
              </w:tc>
              <w:tc>
                <w:tcPr>
                  <w:tcW w:w="1106" w:type="dxa"/>
                  <w:tcMar>
                    <w:left w:w="57" w:type="dxa"/>
                    <w:right w:w="57" w:type="dxa"/>
                  </w:tcMar>
                  <w:vAlign w:val="center"/>
                </w:tcPr>
                <w:p w14:paraId="32F74EC6">
                  <w:pPr>
                    <w:adjustRightInd w:val="0"/>
                    <w:snapToGri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高差（m）</w:t>
                  </w:r>
                </w:p>
              </w:tc>
              <w:tc>
                <w:tcPr>
                  <w:tcW w:w="1011" w:type="dxa"/>
                  <w:vAlign w:val="center"/>
                </w:tcPr>
                <w:p w14:paraId="24DF6167">
                  <w:pPr>
                    <w:autoSpaceDE w:val="0"/>
                    <w:autoSpaceDN w:val="0"/>
                    <w:adjustRightInd w:val="0"/>
                    <w:snapToGrid w:val="0"/>
                    <w:jc w:val="center"/>
                    <w:textAlignment w:val="baseline"/>
                    <w:rPr>
                      <w:rFonts w:hint="default" w:ascii="Times New Roman" w:hAnsi="Times New Roman" w:cs="Times New Roman"/>
                      <w:b/>
                      <w:bCs/>
                      <w:color w:val="auto"/>
                      <w:szCs w:val="21"/>
                    </w:rPr>
                  </w:pPr>
                  <w:r>
                    <w:rPr>
                      <w:rFonts w:hint="default" w:ascii="Times New Roman" w:hAnsi="Times New Roman" w:cs="Times New Roman"/>
                      <w:b/>
                      <w:bCs/>
                      <w:color w:val="auto"/>
                      <w:szCs w:val="21"/>
                    </w:rPr>
                    <w:t>环境</w:t>
                  </w:r>
                </w:p>
                <w:p w14:paraId="3995B518">
                  <w:pPr>
                    <w:autoSpaceDE w:val="0"/>
                    <w:autoSpaceDN w:val="0"/>
                    <w:adjustRightInd w:val="0"/>
                    <w:snapToGrid w:val="0"/>
                    <w:jc w:val="center"/>
                    <w:textAlignment w:val="baseline"/>
                    <w:rPr>
                      <w:rFonts w:hint="default" w:ascii="Times New Roman" w:hAnsi="Times New Roman" w:cs="Times New Roman"/>
                      <w:color w:val="auto"/>
                      <w:szCs w:val="21"/>
                    </w:rPr>
                  </w:pPr>
                  <w:r>
                    <w:rPr>
                      <w:rFonts w:hint="default" w:ascii="Times New Roman" w:hAnsi="Times New Roman" w:cs="Times New Roman"/>
                      <w:b/>
                      <w:bCs/>
                      <w:color w:val="auto"/>
                      <w:szCs w:val="21"/>
                    </w:rPr>
                    <w:t>功能区</w:t>
                  </w:r>
                </w:p>
              </w:tc>
            </w:tr>
            <w:tr w14:paraId="3501E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restart"/>
                  <w:tcMar>
                    <w:left w:w="57" w:type="dxa"/>
                    <w:right w:w="57" w:type="dxa"/>
                  </w:tcMar>
                  <w:vAlign w:val="center"/>
                </w:tcPr>
                <w:p w14:paraId="229E58AC">
                  <w:pPr>
                    <w:autoSpaceDE w:val="0"/>
                    <w:autoSpaceDN w:val="0"/>
                    <w:adjustRightInd w:val="0"/>
                    <w:snapToGrid w:val="0"/>
                    <w:jc w:val="center"/>
                    <w:textAlignment w:val="baseline"/>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环境空气、声环境</w:t>
                  </w:r>
                </w:p>
              </w:tc>
              <w:tc>
                <w:tcPr>
                  <w:tcW w:w="1672" w:type="dxa"/>
                  <w:vAlign w:val="center"/>
                </w:tcPr>
                <w:p w14:paraId="5BE15D94">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杏树村居民（一）</w:t>
                  </w:r>
                </w:p>
              </w:tc>
              <w:tc>
                <w:tcPr>
                  <w:tcW w:w="1314" w:type="dxa"/>
                  <w:tcMar>
                    <w:left w:w="57" w:type="dxa"/>
                    <w:right w:w="57" w:type="dxa"/>
                  </w:tcMar>
                  <w:vAlign w:val="center"/>
                </w:tcPr>
                <w:p w14:paraId="2CE1F535">
                  <w:pPr>
                    <w:jc w:val="center"/>
                    <w:rPr>
                      <w:rFonts w:hint="default" w:ascii="Times New Roman" w:hAnsi="Times New Roman" w:cs="Times New Roman"/>
                      <w:color w:val="auto"/>
                      <w:szCs w:val="21"/>
                    </w:rPr>
                  </w:pPr>
                  <w:r>
                    <w:rPr>
                      <w:rFonts w:hint="default" w:ascii="Times New Roman" w:hAnsi="Times New Roman" w:cs="Times New Roman"/>
                      <w:color w:val="auto"/>
                      <w:szCs w:val="21"/>
                    </w:rPr>
                    <w:t>3户，9人</w:t>
                  </w:r>
                </w:p>
              </w:tc>
              <w:tc>
                <w:tcPr>
                  <w:tcW w:w="1389" w:type="dxa"/>
                  <w:tcMar>
                    <w:left w:w="57" w:type="dxa"/>
                    <w:right w:w="57" w:type="dxa"/>
                  </w:tcMar>
                  <w:vAlign w:val="center"/>
                </w:tcPr>
                <w:p w14:paraId="333208ED">
                  <w:pPr>
                    <w:jc w:val="center"/>
                    <w:rPr>
                      <w:rFonts w:hint="default" w:ascii="Times New Roman" w:hAnsi="Times New Roman" w:cs="Times New Roman"/>
                      <w:color w:val="auto"/>
                      <w:szCs w:val="21"/>
                    </w:rPr>
                  </w:pPr>
                  <w:r>
                    <w:rPr>
                      <w:rFonts w:hint="default" w:ascii="Times New Roman" w:hAnsi="Times New Roman" w:cs="Times New Roman"/>
                      <w:color w:val="auto"/>
                      <w:szCs w:val="21"/>
                    </w:rPr>
                    <w:t>K0+000右侧</w:t>
                  </w:r>
                </w:p>
              </w:tc>
              <w:tc>
                <w:tcPr>
                  <w:tcW w:w="867" w:type="dxa"/>
                  <w:tcMar>
                    <w:left w:w="57" w:type="dxa"/>
                    <w:right w:w="57" w:type="dxa"/>
                  </w:tcMar>
                  <w:vAlign w:val="center"/>
                </w:tcPr>
                <w:p w14:paraId="19B0540D">
                  <w:pPr>
                    <w:jc w:val="center"/>
                    <w:rPr>
                      <w:rFonts w:hint="default" w:ascii="Times New Roman" w:hAnsi="Times New Roman" w:cs="Times New Roman"/>
                      <w:color w:val="auto"/>
                      <w:szCs w:val="21"/>
                    </w:rPr>
                  </w:pPr>
                  <w:r>
                    <w:rPr>
                      <w:rFonts w:hint="default" w:ascii="Times New Roman" w:hAnsi="Times New Roman" w:cs="Times New Roman"/>
                      <w:color w:val="auto"/>
                      <w:szCs w:val="21"/>
                    </w:rPr>
                    <w:t>173.2</w:t>
                  </w:r>
                </w:p>
              </w:tc>
              <w:tc>
                <w:tcPr>
                  <w:tcW w:w="1106" w:type="dxa"/>
                  <w:tcMar>
                    <w:left w:w="57" w:type="dxa"/>
                    <w:right w:w="57" w:type="dxa"/>
                  </w:tcMar>
                  <w:vAlign w:val="center"/>
                </w:tcPr>
                <w:p w14:paraId="51AAC2F6">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1.1</w:t>
                  </w:r>
                </w:p>
              </w:tc>
              <w:tc>
                <w:tcPr>
                  <w:tcW w:w="1011" w:type="dxa"/>
                  <w:vMerge w:val="restart"/>
                  <w:vAlign w:val="center"/>
                </w:tcPr>
                <w:p w14:paraId="0EE54ECE">
                  <w:pPr>
                    <w:autoSpaceDE w:val="0"/>
                    <w:autoSpaceDN w:val="0"/>
                    <w:adjustRightInd w:val="0"/>
                    <w:snapToGrid w:val="0"/>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环境空气二类区、声环境功能</w:t>
                  </w:r>
                  <w:r>
                    <w:rPr>
                      <w:rFonts w:hint="default" w:ascii="Times New Roman" w:hAnsi="Times New Roman" w:cs="Times New Roman"/>
                      <w:bCs/>
                      <w:color w:val="auto"/>
                      <w:szCs w:val="21"/>
                    </w:rPr>
                    <w:t>2类区</w:t>
                  </w:r>
                </w:p>
              </w:tc>
            </w:tr>
            <w:tr w14:paraId="539B5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248C5B86">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4A4BE35A">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二</w:t>
                  </w:r>
                  <w:r>
                    <w:rPr>
                      <w:rFonts w:hint="default" w:ascii="Times New Roman" w:hAnsi="Times New Roman" w:cs="Times New Roman"/>
                      <w:color w:val="auto"/>
                      <w:szCs w:val="21"/>
                    </w:rPr>
                    <w:t>）</w:t>
                  </w:r>
                </w:p>
              </w:tc>
              <w:tc>
                <w:tcPr>
                  <w:tcW w:w="1314" w:type="dxa"/>
                  <w:tcMar>
                    <w:left w:w="57" w:type="dxa"/>
                    <w:right w:w="57" w:type="dxa"/>
                  </w:tcMar>
                  <w:vAlign w:val="center"/>
                </w:tcPr>
                <w:p w14:paraId="06692E6E">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1户，3人</w:t>
                  </w:r>
                </w:p>
              </w:tc>
              <w:tc>
                <w:tcPr>
                  <w:tcW w:w="1389" w:type="dxa"/>
                  <w:tcMar>
                    <w:left w:w="57" w:type="dxa"/>
                    <w:right w:w="57" w:type="dxa"/>
                  </w:tcMar>
                  <w:vAlign w:val="center"/>
                </w:tcPr>
                <w:p w14:paraId="592918B8">
                  <w:pPr>
                    <w:jc w:val="center"/>
                    <w:rPr>
                      <w:rFonts w:hint="default" w:ascii="Times New Roman" w:hAnsi="Times New Roman" w:cs="Times New Roman"/>
                      <w:color w:val="auto"/>
                      <w:szCs w:val="21"/>
                    </w:rPr>
                  </w:pPr>
                  <w:r>
                    <w:rPr>
                      <w:rFonts w:hint="default" w:ascii="Times New Roman" w:hAnsi="Times New Roman" w:cs="Times New Roman"/>
                      <w:color w:val="auto"/>
                      <w:szCs w:val="21"/>
                    </w:rPr>
                    <w:t>K0+030右侧</w:t>
                  </w:r>
                </w:p>
              </w:tc>
              <w:tc>
                <w:tcPr>
                  <w:tcW w:w="867" w:type="dxa"/>
                  <w:tcMar>
                    <w:left w:w="57" w:type="dxa"/>
                    <w:right w:w="57" w:type="dxa"/>
                  </w:tcMar>
                  <w:vAlign w:val="center"/>
                </w:tcPr>
                <w:p w14:paraId="1C95376E">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22</w:t>
                  </w:r>
                </w:p>
              </w:tc>
              <w:tc>
                <w:tcPr>
                  <w:tcW w:w="1106" w:type="dxa"/>
                  <w:tcMar>
                    <w:left w:w="57" w:type="dxa"/>
                    <w:right w:w="57" w:type="dxa"/>
                  </w:tcMar>
                  <w:vAlign w:val="center"/>
                </w:tcPr>
                <w:p w14:paraId="2EA1FB95">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7.5</w:t>
                  </w:r>
                </w:p>
              </w:tc>
              <w:tc>
                <w:tcPr>
                  <w:tcW w:w="1011" w:type="dxa"/>
                  <w:vMerge w:val="continue"/>
                  <w:vAlign w:val="center"/>
                </w:tcPr>
                <w:p w14:paraId="49C5B584">
                  <w:pPr>
                    <w:autoSpaceDE w:val="0"/>
                    <w:autoSpaceDN w:val="0"/>
                    <w:adjustRightInd w:val="0"/>
                    <w:snapToGrid w:val="0"/>
                    <w:jc w:val="center"/>
                    <w:textAlignment w:val="baseline"/>
                    <w:rPr>
                      <w:rFonts w:hint="default" w:ascii="Times New Roman" w:hAnsi="Times New Roman" w:cs="Times New Roman"/>
                      <w:color w:val="auto"/>
                      <w:szCs w:val="21"/>
                    </w:rPr>
                  </w:pPr>
                </w:p>
              </w:tc>
            </w:tr>
            <w:tr w14:paraId="06A7A4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19E23DA9">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31DC2C6A">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三</w:t>
                  </w:r>
                  <w:r>
                    <w:rPr>
                      <w:rFonts w:hint="default" w:ascii="Times New Roman" w:hAnsi="Times New Roman" w:cs="Times New Roman"/>
                      <w:color w:val="auto"/>
                      <w:szCs w:val="21"/>
                    </w:rPr>
                    <w:t>）</w:t>
                  </w:r>
                </w:p>
              </w:tc>
              <w:tc>
                <w:tcPr>
                  <w:tcW w:w="1314" w:type="dxa"/>
                  <w:tcMar>
                    <w:left w:w="57" w:type="dxa"/>
                    <w:right w:w="57" w:type="dxa"/>
                  </w:tcMar>
                  <w:vAlign w:val="center"/>
                </w:tcPr>
                <w:p w14:paraId="4129770B">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12户，36人</w:t>
                  </w:r>
                </w:p>
              </w:tc>
              <w:tc>
                <w:tcPr>
                  <w:tcW w:w="1389" w:type="dxa"/>
                  <w:tcMar>
                    <w:left w:w="57" w:type="dxa"/>
                    <w:right w:w="57" w:type="dxa"/>
                  </w:tcMar>
                  <w:vAlign w:val="center"/>
                </w:tcPr>
                <w:p w14:paraId="1A43D86D">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K0+000左侧</w:t>
                  </w:r>
                </w:p>
              </w:tc>
              <w:tc>
                <w:tcPr>
                  <w:tcW w:w="867" w:type="dxa"/>
                  <w:tcMar>
                    <w:left w:w="57" w:type="dxa"/>
                    <w:right w:w="57" w:type="dxa"/>
                  </w:tcMar>
                  <w:vAlign w:val="center"/>
                </w:tcPr>
                <w:p w14:paraId="28DF4AA8">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152</w:t>
                  </w:r>
                </w:p>
              </w:tc>
              <w:tc>
                <w:tcPr>
                  <w:tcW w:w="1106" w:type="dxa"/>
                  <w:tcMar>
                    <w:left w:w="57" w:type="dxa"/>
                    <w:right w:w="57" w:type="dxa"/>
                  </w:tcMar>
                  <w:vAlign w:val="center"/>
                </w:tcPr>
                <w:p w14:paraId="126874A4">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5.3</w:t>
                  </w:r>
                </w:p>
              </w:tc>
              <w:tc>
                <w:tcPr>
                  <w:tcW w:w="1011" w:type="dxa"/>
                  <w:vMerge w:val="continue"/>
                  <w:vAlign w:val="center"/>
                </w:tcPr>
                <w:p w14:paraId="01317E03">
                  <w:pPr>
                    <w:autoSpaceDE w:val="0"/>
                    <w:autoSpaceDN w:val="0"/>
                    <w:adjustRightInd w:val="0"/>
                    <w:snapToGrid w:val="0"/>
                    <w:jc w:val="center"/>
                    <w:textAlignment w:val="baseline"/>
                    <w:rPr>
                      <w:rFonts w:hint="default" w:ascii="Times New Roman" w:hAnsi="Times New Roman" w:cs="Times New Roman"/>
                      <w:color w:val="auto"/>
                      <w:szCs w:val="21"/>
                    </w:rPr>
                  </w:pPr>
                </w:p>
              </w:tc>
            </w:tr>
            <w:tr w14:paraId="27C67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42BC75FB">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7A3159D7">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四</w:t>
                  </w:r>
                  <w:r>
                    <w:rPr>
                      <w:rFonts w:hint="default" w:ascii="Times New Roman" w:hAnsi="Times New Roman" w:cs="Times New Roman"/>
                      <w:color w:val="auto"/>
                      <w:szCs w:val="21"/>
                    </w:rPr>
                    <w:t>）</w:t>
                  </w:r>
                </w:p>
              </w:tc>
              <w:tc>
                <w:tcPr>
                  <w:tcW w:w="1314" w:type="dxa"/>
                  <w:tcMar>
                    <w:left w:w="57" w:type="dxa"/>
                    <w:right w:w="57" w:type="dxa"/>
                  </w:tcMar>
                  <w:vAlign w:val="center"/>
                </w:tcPr>
                <w:p w14:paraId="18616993">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13户，39人</w:t>
                  </w:r>
                </w:p>
              </w:tc>
              <w:tc>
                <w:tcPr>
                  <w:tcW w:w="1389" w:type="dxa"/>
                  <w:tcMar>
                    <w:left w:w="57" w:type="dxa"/>
                    <w:right w:w="57" w:type="dxa"/>
                  </w:tcMar>
                  <w:vAlign w:val="center"/>
                </w:tcPr>
                <w:p w14:paraId="7E20CB16">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K0+107左侧</w:t>
                  </w:r>
                </w:p>
              </w:tc>
              <w:tc>
                <w:tcPr>
                  <w:tcW w:w="867" w:type="dxa"/>
                  <w:tcMar>
                    <w:left w:w="57" w:type="dxa"/>
                    <w:right w:w="57" w:type="dxa"/>
                  </w:tcMar>
                  <w:vAlign w:val="center"/>
                </w:tcPr>
                <w:p w14:paraId="7A6DA25D">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24</w:t>
                  </w:r>
                </w:p>
              </w:tc>
              <w:tc>
                <w:tcPr>
                  <w:tcW w:w="1106" w:type="dxa"/>
                  <w:tcMar>
                    <w:left w:w="57" w:type="dxa"/>
                    <w:right w:w="57" w:type="dxa"/>
                  </w:tcMar>
                  <w:vAlign w:val="center"/>
                </w:tcPr>
                <w:p w14:paraId="31516922">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2.2</w:t>
                  </w:r>
                </w:p>
              </w:tc>
              <w:tc>
                <w:tcPr>
                  <w:tcW w:w="1011" w:type="dxa"/>
                  <w:vMerge w:val="continue"/>
                  <w:vAlign w:val="center"/>
                </w:tcPr>
                <w:p w14:paraId="2BD8F778">
                  <w:pPr>
                    <w:autoSpaceDE w:val="0"/>
                    <w:autoSpaceDN w:val="0"/>
                    <w:adjustRightInd w:val="0"/>
                    <w:snapToGrid w:val="0"/>
                    <w:jc w:val="center"/>
                    <w:textAlignment w:val="baseline"/>
                    <w:rPr>
                      <w:rFonts w:hint="default" w:ascii="Times New Roman" w:hAnsi="Times New Roman" w:cs="Times New Roman"/>
                      <w:color w:val="auto"/>
                      <w:szCs w:val="21"/>
                    </w:rPr>
                  </w:pPr>
                </w:p>
              </w:tc>
            </w:tr>
            <w:tr w14:paraId="53AE2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40CA42ED">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104A42EC">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五</w:t>
                  </w:r>
                  <w:r>
                    <w:rPr>
                      <w:rFonts w:hint="default" w:ascii="Times New Roman" w:hAnsi="Times New Roman" w:cs="Times New Roman"/>
                      <w:color w:val="auto"/>
                      <w:szCs w:val="21"/>
                    </w:rPr>
                    <w:t>）</w:t>
                  </w:r>
                </w:p>
              </w:tc>
              <w:tc>
                <w:tcPr>
                  <w:tcW w:w="1314" w:type="dxa"/>
                  <w:tcMar>
                    <w:left w:w="57" w:type="dxa"/>
                    <w:right w:w="57" w:type="dxa"/>
                  </w:tcMar>
                  <w:vAlign w:val="center"/>
                </w:tcPr>
                <w:p w14:paraId="3C3A3A20">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21户，63人</w:t>
                  </w:r>
                </w:p>
              </w:tc>
              <w:tc>
                <w:tcPr>
                  <w:tcW w:w="1389" w:type="dxa"/>
                  <w:tcMar>
                    <w:left w:w="57" w:type="dxa"/>
                    <w:right w:w="57" w:type="dxa"/>
                  </w:tcMar>
                  <w:vAlign w:val="center"/>
                </w:tcPr>
                <w:p w14:paraId="340BE14A">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K0+326.491右侧</w:t>
                  </w:r>
                </w:p>
              </w:tc>
              <w:tc>
                <w:tcPr>
                  <w:tcW w:w="867" w:type="dxa"/>
                  <w:tcMar>
                    <w:left w:w="57" w:type="dxa"/>
                    <w:right w:w="57" w:type="dxa"/>
                  </w:tcMar>
                  <w:vAlign w:val="center"/>
                </w:tcPr>
                <w:p w14:paraId="29F8CBFA">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101</w:t>
                  </w:r>
                </w:p>
              </w:tc>
              <w:tc>
                <w:tcPr>
                  <w:tcW w:w="1106" w:type="dxa"/>
                  <w:tcMar>
                    <w:left w:w="57" w:type="dxa"/>
                    <w:right w:w="57" w:type="dxa"/>
                  </w:tcMar>
                  <w:vAlign w:val="center"/>
                </w:tcPr>
                <w:p w14:paraId="6A889608">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48</w:t>
                  </w:r>
                </w:p>
              </w:tc>
              <w:tc>
                <w:tcPr>
                  <w:tcW w:w="1011" w:type="dxa"/>
                  <w:vMerge w:val="continue"/>
                  <w:vAlign w:val="center"/>
                </w:tcPr>
                <w:p w14:paraId="165AAFD8">
                  <w:pPr>
                    <w:autoSpaceDE w:val="0"/>
                    <w:autoSpaceDN w:val="0"/>
                    <w:adjustRightInd w:val="0"/>
                    <w:snapToGrid w:val="0"/>
                    <w:jc w:val="center"/>
                    <w:textAlignment w:val="baseline"/>
                    <w:rPr>
                      <w:rFonts w:hint="default" w:ascii="Times New Roman" w:hAnsi="Times New Roman" w:cs="Times New Roman"/>
                      <w:color w:val="auto"/>
                      <w:szCs w:val="21"/>
                    </w:rPr>
                  </w:pPr>
                </w:p>
              </w:tc>
            </w:tr>
            <w:tr w14:paraId="455031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440CDFAF">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1C6B71FB">
                  <w:pPr>
                    <w:jc w:val="center"/>
                    <w:rPr>
                      <w:rFonts w:hint="default" w:ascii="Times New Roman" w:hAnsi="Times New Roman" w:cs="Times New Roman"/>
                      <w:color w:val="auto"/>
                      <w:szCs w:val="21"/>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六</w:t>
                  </w:r>
                  <w:r>
                    <w:rPr>
                      <w:rFonts w:hint="default" w:ascii="Times New Roman" w:hAnsi="Times New Roman" w:cs="Times New Roman"/>
                      <w:color w:val="auto"/>
                      <w:szCs w:val="21"/>
                    </w:rPr>
                    <w:t>）</w:t>
                  </w:r>
                </w:p>
              </w:tc>
              <w:tc>
                <w:tcPr>
                  <w:tcW w:w="1314" w:type="dxa"/>
                  <w:tcMar>
                    <w:left w:w="57" w:type="dxa"/>
                    <w:right w:w="57" w:type="dxa"/>
                  </w:tcMar>
                  <w:vAlign w:val="center"/>
                </w:tcPr>
                <w:p w14:paraId="4D9FE42B">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1户，3人</w:t>
                  </w:r>
                </w:p>
              </w:tc>
              <w:tc>
                <w:tcPr>
                  <w:tcW w:w="1389" w:type="dxa"/>
                  <w:tcMar>
                    <w:left w:w="57" w:type="dxa"/>
                    <w:right w:w="57" w:type="dxa"/>
                  </w:tcMar>
                  <w:vAlign w:val="center"/>
                </w:tcPr>
                <w:p w14:paraId="6F5E1A23">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K0+421.823右侧</w:t>
                  </w:r>
                </w:p>
              </w:tc>
              <w:tc>
                <w:tcPr>
                  <w:tcW w:w="867" w:type="dxa"/>
                  <w:tcMar>
                    <w:left w:w="57" w:type="dxa"/>
                    <w:right w:w="57" w:type="dxa"/>
                  </w:tcMar>
                  <w:vAlign w:val="center"/>
                </w:tcPr>
                <w:p w14:paraId="01134026">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c>
                <w:tcPr>
                  <w:tcW w:w="1106" w:type="dxa"/>
                  <w:tcMar>
                    <w:left w:w="57" w:type="dxa"/>
                    <w:right w:w="57" w:type="dxa"/>
                  </w:tcMar>
                  <w:vAlign w:val="center"/>
                </w:tcPr>
                <w:p w14:paraId="03BCA187">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30</w:t>
                  </w:r>
                </w:p>
              </w:tc>
              <w:tc>
                <w:tcPr>
                  <w:tcW w:w="1011" w:type="dxa"/>
                  <w:vMerge w:val="continue"/>
                  <w:vAlign w:val="center"/>
                </w:tcPr>
                <w:p w14:paraId="556F91E0">
                  <w:pPr>
                    <w:autoSpaceDE w:val="0"/>
                    <w:autoSpaceDN w:val="0"/>
                    <w:adjustRightInd w:val="0"/>
                    <w:snapToGrid w:val="0"/>
                    <w:jc w:val="center"/>
                    <w:textAlignment w:val="baseline"/>
                    <w:rPr>
                      <w:rFonts w:hint="default" w:ascii="Times New Roman" w:hAnsi="Times New Roman" w:cs="Times New Roman"/>
                      <w:color w:val="auto"/>
                      <w:szCs w:val="21"/>
                    </w:rPr>
                  </w:pPr>
                </w:p>
              </w:tc>
            </w:tr>
            <w:tr w14:paraId="795A75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7BC7A1B1">
                  <w:pPr>
                    <w:autoSpaceDE w:val="0"/>
                    <w:autoSpaceDN w:val="0"/>
                    <w:adjustRightInd w:val="0"/>
                    <w:snapToGrid w:val="0"/>
                    <w:jc w:val="center"/>
                    <w:textAlignment w:val="baseline"/>
                    <w:rPr>
                      <w:rFonts w:hint="default" w:ascii="Times New Roman" w:hAnsi="Times New Roman" w:cs="Times New Roman"/>
                      <w:color w:val="auto"/>
                      <w:kern w:val="0"/>
                      <w:szCs w:val="21"/>
                    </w:rPr>
                  </w:pPr>
                </w:p>
              </w:tc>
              <w:tc>
                <w:tcPr>
                  <w:tcW w:w="1672" w:type="dxa"/>
                  <w:vAlign w:val="center"/>
                </w:tcPr>
                <w:p w14:paraId="2D15FD1E">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杏树村居民（</w:t>
                  </w:r>
                  <w:r>
                    <w:rPr>
                      <w:rFonts w:hint="default" w:ascii="Times New Roman" w:hAnsi="Times New Roman" w:cs="Times New Roman"/>
                      <w:color w:val="auto"/>
                      <w:szCs w:val="21"/>
                      <w:lang w:val="en-US" w:eastAsia="zh-CN"/>
                    </w:rPr>
                    <w:t>七</w:t>
                  </w:r>
                  <w:r>
                    <w:rPr>
                      <w:rFonts w:hint="default" w:ascii="Times New Roman" w:hAnsi="Times New Roman" w:cs="Times New Roman"/>
                      <w:color w:val="auto"/>
                      <w:szCs w:val="21"/>
                    </w:rPr>
                    <w:t>）</w:t>
                  </w:r>
                </w:p>
              </w:tc>
              <w:tc>
                <w:tcPr>
                  <w:tcW w:w="1314" w:type="dxa"/>
                  <w:tcMar>
                    <w:left w:w="57" w:type="dxa"/>
                    <w:right w:w="57" w:type="dxa"/>
                  </w:tcMar>
                  <w:vAlign w:val="center"/>
                </w:tcPr>
                <w:p w14:paraId="2ECA8AD9">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2户，6人</w:t>
                  </w:r>
                </w:p>
              </w:tc>
              <w:tc>
                <w:tcPr>
                  <w:tcW w:w="1389" w:type="dxa"/>
                  <w:tcMar>
                    <w:left w:w="57" w:type="dxa"/>
                    <w:right w:w="57" w:type="dxa"/>
                  </w:tcMar>
                  <w:vAlign w:val="center"/>
                </w:tcPr>
                <w:p w14:paraId="1035EDAD">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K1+853.034右侧</w:t>
                  </w:r>
                </w:p>
              </w:tc>
              <w:tc>
                <w:tcPr>
                  <w:tcW w:w="867" w:type="dxa"/>
                  <w:tcMar>
                    <w:left w:w="57" w:type="dxa"/>
                    <w:right w:w="57" w:type="dxa"/>
                  </w:tcMar>
                  <w:vAlign w:val="center"/>
                </w:tcPr>
                <w:p w14:paraId="059D1E98">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21</w:t>
                  </w:r>
                </w:p>
              </w:tc>
              <w:tc>
                <w:tcPr>
                  <w:tcW w:w="1106" w:type="dxa"/>
                  <w:tcMar>
                    <w:left w:w="57" w:type="dxa"/>
                    <w:right w:w="57" w:type="dxa"/>
                  </w:tcMar>
                  <w:vAlign w:val="center"/>
                </w:tcPr>
                <w:p w14:paraId="7EDA78B8">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lang w:val="en-US" w:eastAsia="zh-CN"/>
                    </w:rPr>
                    <w:t>3.7</w:t>
                  </w:r>
                </w:p>
              </w:tc>
              <w:tc>
                <w:tcPr>
                  <w:tcW w:w="1011" w:type="dxa"/>
                  <w:vMerge w:val="continue"/>
                  <w:vAlign w:val="center"/>
                </w:tcPr>
                <w:p w14:paraId="4D795C17">
                  <w:pPr>
                    <w:autoSpaceDE w:val="0"/>
                    <w:autoSpaceDN w:val="0"/>
                    <w:adjustRightInd w:val="0"/>
                    <w:snapToGrid w:val="0"/>
                    <w:jc w:val="center"/>
                    <w:textAlignment w:val="baseline"/>
                    <w:rPr>
                      <w:rFonts w:hint="default" w:ascii="Times New Roman" w:hAnsi="Times New Roman" w:cs="Times New Roman"/>
                      <w:color w:val="auto"/>
                      <w:szCs w:val="21"/>
                    </w:rPr>
                  </w:pPr>
                </w:p>
              </w:tc>
            </w:tr>
            <w:tr w14:paraId="53E66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restart"/>
                  <w:tcMar>
                    <w:left w:w="57" w:type="dxa"/>
                    <w:right w:w="57" w:type="dxa"/>
                  </w:tcMar>
                  <w:vAlign w:val="center"/>
                </w:tcPr>
                <w:p w14:paraId="21433E09">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地表水环境</w:t>
                  </w:r>
                </w:p>
              </w:tc>
              <w:tc>
                <w:tcPr>
                  <w:tcW w:w="1672" w:type="dxa"/>
                  <w:vAlign w:val="center"/>
                </w:tcPr>
                <w:p w14:paraId="5D4D3414">
                  <w:pPr>
                    <w:autoSpaceDE w:val="0"/>
                    <w:autoSpaceDN w:val="0"/>
                    <w:adjustRightInd w:val="0"/>
                    <w:snapToGrid w:val="0"/>
                    <w:jc w:val="center"/>
                    <w:rPr>
                      <w:rFonts w:hint="default" w:ascii="Times New Roman" w:hAnsi="Times New Roman" w:eastAsia="宋体" w:cs="Times New Roman"/>
                      <w:color w:val="auto"/>
                      <w:kern w:val="0"/>
                      <w:szCs w:val="21"/>
                      <w:lang w:eastAsia="zh-CN"/>
                    </w:rPr>
                  </w:pPr>
                  <w:r>
                    <w:rPr>
                      <w:rFonts w:hint="default" w:ascii="Times New Roman" w:hAnsi="Times New Roman" w:cs="Times New Roman"/>
                      <w:color w:val="auto"/>
                      <w:kern w:val="0"/>
                      <w:szCs w:val="21"/>
                      <w:lang w:val="en-US" w:eastAsia="zh-CN"/>
                    </w:rPr>
                    <w:t>后河</w:t>
                  </w:r>
                </w:p>
              </w:tc>
              <w:tc>
                <w:tcPr>
                  <w:tcW w:w="1314" w:type="dxa"/>
                  <w:vAlign w:val="center"/>
                </w:tcPr>
                <w:p w14:paraId="0805FF4E">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排洪、灌溉</w:t>
                  </w:r>
                </w:p>
              </w:tc>
              <w:tc>
                <w:tcPr>
                  <w:tcW w:w="2256" w:type="dxa"/>
                  <w:gridSpan w:val="2"/>
                  <w:vAlign w:val="center"/>
                </w:tcPr>
                <w:p w14:paraId="14D235F9">
                  <w:pPr>
                    <w:autoSpaceDE w:val="0"/>
                    <w:autoSpaceDN w:val="0"/>
                    <w:adjustRightInd w:val="0"/>
                    <w:snapToGrid w:val="0"/>
                    <w:jc w:val="center"/>
                    <w:rPr>
                      <w:rFonts w:hint="default" w:ascii="Times New Roman" w:hAnsi="Times New Roman" w:eastAsia="宋体" w:cs="Times New Roman"/>
                      <w:color w:val="auto"/>
                      <w:kern w:val="0"/>
                      <w:szCs w:val="21"/>
                      <w:lang w:val="en-US" w:eastAsia="zh-CN"/>
                    </w:rPr>
                  </w:pPr>
                  <w:r>
                    <w:rPr>
                      <w:rFonts w:hint="default" w:ascii="Times New Roman" w:hAnsi="Times New Roman" w:cs="Times New Roman"/>
                      <w:color w:val="auto"/>
                      <w:kern w:val="0"/>
                      <w:szCs w:val="21"/>
                      <w:lang w:val="en-US" w:eastAsia="zh-CN"/>
                    </w:rPr>
                    <w:t>4.58km</w:t>
                  </w:r>
                </w:p>
              </w:tc>
              <w:tc>
                <w:tcPr>
                  <w:tcW w:w="1106" w:type="dxa"/>
                  <w:vAlign w:val="center"/>
                </w:tcPr>
                <w:p w14:paraId="2922317A">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w:t>
                  </w:r>
                </w:p>
              </w:tc>
              <w:tc>
                <w:tcPr>
                  <w:tcW w:w="1011" w:type="dxa"/>
                  <w:vAlign w:val="center"/>
                </w:tcPr>
                <w:p w14:paraId="208CBE02">
                  <w:pPr>
                    <w:autoSpaceDE w:val="0"/>
                    <w:autoSpaceDN w:val="0"/>
                    <w:adjustRightInd w:val="0"/>
                    <w:snapToGrid w:val="0"/>
                    <w:jc w:val="center"/>
                    <w:textAlignment w:val="baseline"/>
                    <w:rPr>
                      <w:rFonts w:hint="default" w:ascii="Times New Roman" w:hAnsi="Times New Roman" w:cs="Times New Roman"/>
                      <w:color w:val="auto"/>
                      <w:szCs w:val="21"/>
                    </w:rPr>
                  </w:pPr>
                  <w:r>
                    <w:rPr>
                      <w:rFonts w:hint="default" w:ascii="Times New Roman" w:hAnsi="Times New Roman" w:cs="Times New Roman"/>
                      <w:color w:val="auto"/>
                      <w:szCs w:val="21"/>
                    </w:rPr>
                    <w:t>Ⅲ类地表水体</w:t>
                  </w:r>
                </w:p>
              </w:tc>
            </w:tr>
            <w:tr w14:paraId="147C56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vMerge w:val="continue"/>
                  <w:tcMar>
                    <w:left w:w="57" w:type="dxa"/>
                    <w:right w:w="57" w:type="dxa"/>
                  </w:tcMar>
                  <w:vAlign w:val="center"/>
                </w:tcPr>
                <w:p w14:paraId="0EA59F49">
                  <w:pPr>
                    <w:adjustRightInd w:val="0"/>
                    <w:snapToGrid w:val="0"/>
                    <w:jc w:val="center"/>
                    <w:rPr>
                      <w:rFonts w:hint="default" w:ascii="Times New Roman" w:hAnsi="Times New Roman" w:cs="Times New Roman"/>
                      <w:color w:val="auto"/>
                      <w:kern w:val="0"/>
                      <w:szCs w:val="21"/>
                    </w:rPr>
                  </w:pPr>
                </w:p>
              </w:tc>
              <w:tc>
                <w:tcPr>
                  <w:tcW w:w="1672" w:type="dxa"/>
                  <w:vAlign w:val="center"/>
                </w:tcPr>
                <w:p w14:paraId="1453C2BF">
                  <w:pPr>
                    <w:autoSpaceDE w:val="0"/>
                    <w:autoSpaceDN w:val="0"/>
                    <w:adjustRightInd w:val="0"/>
                    <w:snapToGrid w:val="0"/>
                    <w:jc w:val="center"/>
                    <w:rPr>
                      <w:rFonts w:hint="default" w:ascii="Times New Roman" w:hAnsi="Times New Roman" w:cs="Times New Roman"/>
                      <w:color w:val="auto"/>
                      <w:kern w:val="0"/>
                      <w:szCs w:val="21"/>
                      <w:lang w:val="en-US" w:eastAsia="zh-CN"/>
                    </w:rPr>
                  </w:pPr>
                  <w:r>
                    <w:rPr>
                      <w:rFonts w:hint="eastAsia" w:cs="Times New Roman"/>
                      <w:color w:val="auto"/>
                      <w:kern w:val="0"/>
                      <w:szCs w:val="21"/>
                      <w:lang w:val="en-US" w:eastAsia="zh-CN"/>
                    </w:rPr>
                    <w:t>陈家河</w:t>
                  </w:r>
                </w:p>
              </w:tc>
              <w:tc>
                <w:tcPr>
                  <w:tcW w:w="1314" w:type="dxa"/>
                  <w:vAlign w:val="center"/>
                </w:tcPr>
                <w:p w14:paraId="59713CFC">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排洪、灌溉</w:t>
                  </w:r>
                </w:p>
              </w:tc>
              <w:tc>
                <w:tcPr>
                  <w:tcW w:w="2256" w:type="dxa"/>
                  <w:gridSpan w:val="2"/>
                  <w:vAlign w:val="center"/>
                </w:tcPr>
                <w:p w14:paraId="2EC5C9DF">
                  <w:pPr>
                    <w:autoSpaceDE w:val="0"/>
                    <w:autoSpaceDN w:val="0"/>
                    <w:adjustRightInd w:val="0"/>
                    <w:snapToGrid w:val="0"/>
                    <w:jc w:val="center"/>
                    <w:rPr>
                      <w:rFonts w:hint="default" w:ascii="Times New Roman" w:hAnsi="Times New Roman" w:cs="Times New Roman"/>
                      <w:color w:val="auto"/>
                      <w:kern w:val="0"/>
                      <w:szCs w:val="21"/>
                      <w:lang w:val="en-US" w:eastAsia="zh-CN"/>
                    </w:rPr>
                  </w:pPr>
                  <w:r>
                    <w:rPr>
                      <w:rFonts w:hint="eastAsia" w:cs="Times New Roman"/>
                      <w:color w:val="auto"/>
                      <w:kern w:val="0"/>
                      <w:szCs w:val="21"/>
                      <w:lang w:val="en-US" w:eastAsia="zh-CN"/>
                    </w:rPr>
                    <w:t>0.88km</w:t>
                  </w:r>
                </w:p>
              </w:tc>
              <w:tc>
                <w:tcPr>
                  <w:tcW w:w="1106" w:type="dxa"/>
                  <w:shd w:val="clear" w:color="auto" w:fill="auto"/>
                  <w:vAlign w:val="center"/>
                </w:tcPr>
                <w:p w14:paraId="6CE6C66A">
                  <w:pPr>
                    <w:autoSpaceDE w:val="0"/>
                    <w:autoSpaceDN w:val="0"/>
                    <w:adjustRightInd w:val="0"/>
                    <w:snapToGrid w:val="0"/>
                    <w:jc w:val="center"/>
                    <w:rPr>
                      <w:rFonts w:hint="default" w:ascii="Times New Roman" w:hAnsi="Times New Roman" w:eastAsia="宋体" w:cs="Times New Roman"/>
                      <w:color w:val="auto"/>
                      <w:kern w:val="0"/>
                      <w:sz w:val="21"/>
                      <w:szCs w:val="21"/>
                      <w:lang w:val="en-US" w:eastAsia="zh-CN" w:bidi="ar-SA"/>
                    </w:rPr>
                  </w:pPr>
                  <w:r>
                    <w:rPr>
                      <w:rFonts w:hint="default" w:ascii="Times New Roman" w:hAnsi="Times New Roman" w:cs="Times New Roman"/>
                      <w:color w:val="auto"/>
                      <w:kern w:val="0"/>
                      <w:szCs w:val="21"/>
                    </w:rPr>
                    <w:t>/</w:t>
                  </w:r>
                </w:p>
              </w:tc>
              <w:tc>
                <w:tcPr>
                  <w:tcW w:w="1011" w:type="dxa"/>
                  <w:shd w:val="clear" w:color="auto" w:fill="auto"/>
                  <w:vAlign w:val="center"/>
                </w:tcPr>
                <w:p w14:paraId="689EF943">
                  <w:pPr>
                    <w:autoSpaceDE w:val="0"/>
                    <w:autoSpaceDN w:val="0"/>
                    <w:adjustRightInd w:val="0"/>
                    <w:snapToGrid w:val="0"/>
                    <w:jc w:val="center"/>
                    <w:textAlignment w:val="base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Ⅲ类地表水体</w:t>
                  </w:r>
                </w:p>
              </w:tc>
            </w:tr>
            <w:tr w14:paraId="4E93D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605" w:type="dxa"/>
                  <w:tcMar>
                    <w:left w:w="57" w:type="dxa"/>
                    <w:right w:w="57" w:type="dxa"/>
                  </w:tcMar>
                  <w:vAlign w:val="center"/>
                </w:tcPr>
                <w:p w14:paraId="4639B9D3">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生态环境</w:t>
                  </w:r>
                </w:p>
              </w:tc>
              <w:tc>
                <w:tcPr>
                  <w:tcW w:w="7359" w:type="dxa"/>
                  <w:gridSpan w:val="6"/>
                  <w:vAlign w:val="center"/>
                </w:tcPr>
                <w:p w14:paraId="45A6822A">
                  <w:pPr>
                    <w:autoSpaceDE w:val="0"/>
                    <w:autoSpaceDN w:val="0"/>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道路沿线及外延500m范围内的耕地、林地等</w:t>
                  </w:r>
                </w:p>
                <w:p w14:paraId="68C7F5D6">
                  <w:pPr>
                    <w:autoSpaceDE w:val="0"/>
                    <w:autoSpaceDN w:val="0"/>
                    <w:adjustRightInd w:val="0"/>
                    <w:snapToGrid w:val="0"/>
                    <w:jc w:val="center"/>
                    <w:textAlignment w:val="baseline"/>
                    <w:rPr>
                      <w:rFonts w:hint="default" w:ascii="Times New Roman" w:hAnsi="Times New Roman" w:cs="Times New Roman"/>
                      <w:color w:val="auto"/>
                    </w:rPr>
                  </w:pPr>
                  <w:r>
                    <w:rPr>
                      <w:rFonts w:hint="default" w:ascii="Times New Roman" w:hAnsi="Times New Roman" w:cs="Times New Roman"/>
                      <w:color w:val="auto"/>
                    </w:rPr>
                    <w:t>不破坏施工占地范围外的植被，不破坏区域生态功能</w:t>
                  </w:r>
                </w:p>
              </w:tc>
            </w:tr>
          </w:tbl>
          <w:p w14:paraId="754C1A58">
            <w:pPr>
              <w:pStyle w:val="7"/>
              <w:rPr>
                <w:rFonts w:hint="default" w:ascii="Times New Roman" w:hAnsi="Times New Roman" w:cs="Times New Roman"/>
                <w:color w:val="auto"/>
              </w:rPr>
            </w:pPr>
          </w:p>
        </w:tc>
      </w:tr>
      <w:tr w14:paraId="17168B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800" w:type="dxa"/>
            <w:tcMar>
              <w:left w:w="28" w:type="dxa"/>
              <w:right w:w="28" w:type="dxa"/>
            </w:tcMar>
            <w:vAlign w:val="center"/>
          </w:tcPr>
          <w:p w14:paraId="7963DBF7">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评价标准</w:t>
            </w:r>
          </w:p>
        </w:tc>
        <w:tc>
          <w:tcPr>
            <w:tcW w:w="8190" w:type="dxa"/>
            <w:vAlign w:val="center"/>
          </w:tcPr>
          <w:p w14:paraId="63DCF6B7">
            <w:pPr>
              <w:pStyle w:val="59"/>
              <w:keepNext w:val="0"/>
              <w:keepLines w:val="0"/>
              <w:pageBreakBefore w:val="0"/>
              <w:widowControl w:val="0"/>
              <w:kinsoku/>
              <w:wordWrap/>
              <w:overflowPunct/>
              <w:topLinePunct w:val="0"/>
              <w:autoSpaceDE/>
              <w:autoSpaceDN/>
              <w:bidi w:val="0"/>
              <w:adjustRightInd w:val="0"/>
              <w:snapToGrid/>
              <w:spacing w:line="360" w:lineRule="auto"/>
              <w:ind w:left="0" w:right="113"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一、环境质量标准</w:t>
            </w:r>
          </w:p>
          <w:p w14:paraId="2DAA6F5E">
            <w:pPr>
              <w:pStyle w:val="59"/>
              <w:keepNext w:val="0"/>
              <w:keepLines w:val="0"/>
              <w:pageBreakBefore w:val="0"/>
              <w:widowControl w:val="0"/>
              <w:kinsoku/>
              <w:wordWrap/>
              <w:overflowPunct/>
              <w:topLinePunct w:val="0"/>
              <w:autoSpaceDE/>
              <w:autoSpaceDN/>
              <w:bidi w:val="0"/>
              <w:adjustRightInd w:val="0"/>
              <w:snapToGrid/>
              <w:spacing w:line="360" w:lineRule="auto"/>
              <w:ind w:left="0" w:right="113"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1、环境空气</w:t>
            </w:r>
          </w:p>
          <w:p w14:paraId="4E9FBA3F">
            <w:pPr>
              <w:pStyle w:val="59"/>
              <w:keepNext w:val="0"/>
              <w:keepLines w:val="0"/>
              <w:pageBreakBefore w:val="0"/>
              <w:widowControl w:val="0"/>
              <w:kinsoku/>
              <w:wordWrap/>
              <w:overflowPunct/>
              <w:topLinePunct w:val="0"/>
              <w:autoSpaceDE/>
              <w:autoSpaceDN/>
              <w:bidi w:val="0"/>
              <w:adjustRightInd w:val="0"/>
              <w:snapToGrid/>
              <w:spacing w:line="360" w:lineRule="auto"/>
              <w:ind w:left="0" w:right="113"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SO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2</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10</w:t>
            </w:r>
            <w:r>
              <w:rPr>
                <w:rFonts w:hint="default" w:ascii="Times New Roman" w:hAnsi="Times New Roman" w:cs="Times New Roman"/>
                <w:color w:val="auto"/>
                <w:sz w:val="24"/>
                <w:szCs w:val="24"/>
              </w:rPr>
              <w:t>、PM</w:t>
            </w:r>
            <w:r>
              <w:rPr>
                <w:rFonts w:hint="default" w:ascii="Times New Roman" w:hAnsi="Times New Roman" w:cs="Times New Roman"/>
                <w:color w:val="auto"/>
                <w:sz w:val="24"/>
                <w:szCs w:val="24"/>
                <w:vertAlign w:val="subscript"/>
              </w:rPr>
              <w:t>2.5</w:t>
            </w:r>
            <w:r>
              <w:rPr>
                <w:rFonts w:hint="default" w:ascii="Times New Roman" w:hAnsi="Times New Roman" w:cs="Times New Roman"/>
                <w:color w:val="auto"/>
                <w:sz w:val="24"/>
                <w:szCs w:val="24"/>
              </w:rPr>
              <w:t>、CO、O</w:t>
            </w:r>
            <w:r>
              <w:rPr>
                <w:rFonts w:hint="default" w:ascii="Times New Roman" w:hAnsi="Times New Roman" w:cs="Times New Roman"/>
                <w:color w:val="auto"/>
                <w:sz w:val="24"/>
                <w:szCs w:val="24"/>
                <w:vertAlign w:val="subscript"/>
              </w:rPr>
              <w:t>3</w:t>
            </w:r>
            <w:r>
              <w:rPr>
                <w:rFonts w:hint="default" w:ascii="Times New Roman" w:hAnsi="Times New Roman" w:cs="Times New Roman"/>
                <w:color w:val="auto"/>
                <w:sz w:val="24"/>
                <w:szCs w:val="24"/>
              </w:rPr>
              <w:t>执行《环境空气质量标准》（GB3095-2012）中的二级标准。</w:t>
            </w:r>
          </w:p>
          <w:p w14:paraId="2A7F4CFC">
            <w:pPr>
              <w:pStyle w:val="59"/>
              <w:spacing w:line="460" w:lineRule="exact"/>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w:t>
            </w:r>
            <w:r>
              <w:rPr>
                <w:rFonts w:hint="default" w:ascii="Times New Roman" w:hAnsi="Times New Roman" w:cs="Times New Roman"/>
                <w:b/>
                <w:bCs/>
                <w:color w:val="auto"/>
                <w:sz w:val="21"/>
                <w:szCs w:val="21"/>
                <w:lang w:val="en-US" w:eastAsia="zh-CN"/>
              </w:rPr>
              <w:t>5</w:t>
            </w:r>
            <w:r>
              <w:rPr>
                <w:rFonts w:hint="default" w:ascii="Times New Roman" w:hAnsi="Times New Roman" w:cs="Times New Roman"/>
                <w:b/>
                <w:bCs/>
                <w:color w:val="auto"/>
                <w:sz w:val="21"/>
                <w:szCs w:val="21"/>
              </w:rPr>
              <w:t>环境空气质量标准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0"/>
              <w:gridCol w:w="2794"/>
              <w:gridCol w:w="2515"/>
              <w:gridCol w:w="1094"/>
              <w:gridCol w:w="781"/>
            </w:tblGrid>
            <w:tr w14:paraId="7C99FD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88" w:type="dxa"/>
                  <w:vAlign w:val="center"/>
                </w:tcPr>
                <w:p w14:paraId="12C81D00">
                  <w:pPr>
                    <w:adjustRightIn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序号</w:t>
                  </w:r>
                </w:p>
              </w:tc>
              <w:tc>
                <w:tcPr>
                  <w:tcW w:w="2829" w:type="dxa"/>
                  <w:vAlign w:val="center"/>
                </w:tcPr>
                <w:p w14:paraId="4DA9576A">
                  <w:pPr>
                    <w:adjustRightIn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污染物项目</w:t>
                  </w:r>
                </w:p>
              </w:tc>
              <w:tc>
                <w:tcPr>
                  <w:tcW w:w="2547" w:type="dxa"/>
                  <w:vAlign w:val="center"/>
                </w:tcPr>
                <w:p w14:paraId="14FF2838">
                  <w:pPr>
                    <w:adjustRightIn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平均时间</w:t>
                  </w:r>
                </w:p>
              </w:tc>
              <w:tc>
                <w:tcPr>
                  <w:tcW w:w="1105" w:type="dxa"/>
                  <w:vAlign w:val="center"/>
                </w:tcPr>
                <w:p w14:paraId="0DF47D2A">
                  <w:pPr>
                    <w:adjustRightIn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浓度限值</w:t>
                  </w:r>
                </w:p>
              </w:tc>
              <w:tc>
                <w:tcPr>
                  <w:tcW w:w="788" w:type="dxa"/>
                  <w:vAlign w:val="center"/>
                </w:tcPr>
                <w:p w14:paraId="2E7E875C">
                  <w:pPr>
                    <w:adjustRightInd w:val="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单位</w:t>
                  </w:r>
                </w:p>
              </w:tc>
            </w:tr>
            <w:tr w14:paraId="6EA7EE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5167E1D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2829" w:type="dxa"/>
                  <w:vMerge w:val="restart"/>
                  <w:vAlign w:val="center"/>
                </w:tcPr>
                <w:p w14:paraId="6F147D23">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二氧化硫（SO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w:t>
                  </w:r>
                </w:p>
              </w:tc>
              <w:tc>
                <w:tcPr>
                  <w:tcW w:w="2547" w:type="dxa"/>
                  <w:vAlign w:val="center"/>
                </w:tcPr>
                <w:p w14:paraId="2215B61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w:t>
                  </w:r>
                </w:p>
              </w:tc>
              <w:tc>
                <w:tcPr>
                  <w:tcW w:w="1105" w:type="dxa"/>
                  <w:vAlign w:val="center"/>
                </w:tcPr>
                <w:p w14:paraId="3D0A39A8">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60</w:t>
                  </w:r>
                </w:p>
              </w:tc>
              <w:tc>
                <w:tcPr>
                  <w:tcW w:w="788" w:type="dxa"/>
                  <w:vMerge w:val="restart"/>
                  <w:vAlign w:val="center"/>
                </w:tcPr>
                <w:p w14:paraId="7C5F7D54">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ug/m</w:t>
                  </w:r>
                  <w:r>
                    <w:rPr>
                      <w:rFonts w:hint="default" w:ascii="Times New Roman" w:hAnsi="Times New Roman" w:cs="Times New Roman"/>
                      <w:color w:val="auto"/>
                      <w:szCs w:val="21"/>
                      <w:vertAlign w:val="superscript"/>
                    </w:rPr>
                    <w:t>3</w:t>
                  </w:r>
                </w:p>
              </w:tc>
            </w:tr>
            <w:tr w14:paraId="143E6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2151E698">
                  <w:pPr>
                    <w:adjustRightInd w:val="0"/>
                    <w:jc w:val="center"/>
                    <w:rPr>
                      <w:rFonts w:hint="default" w:ascii="Times New Roman" w:hAnsi="Times New Roman" w:cs="Times New Roman"/>
                      <w:color w:val="auto"/>
                      <w:szCs w:val="21"/>
                    </w:rPr>
                  </w:pPr>
                </w:p>
              </w:tc>
              <w:tc>
                <w:tcPr>
                  <w:tcW w:w="2829" w:type="dxa"/>
                  <w:vMerge w:val="continue"/>
                  <w:vAlign w:val="center"/>
                </w:tcPr>
                <w:p w14:paraId="7AA25D1A">
                  <w:pPr>
                    <w:adjustRightInd w:val="0"/>
                    <w:jc w:val="center"/>
                    <w:rPr>
                      <w:rFonts w:hint="default" w:ascii="Times New Roman" w:hAnsi="Times New Roman" w:cs="Times New Roman"/>
                      <w:color w:val="auto"/>
                      <w:szCs w:val="21"/>
                    </w:rPr>
                  </w:pPr>
                </w:p>
              </w:tc>
              <w:tc>
                <w:tcPr>
                  <w:tcW w:w="2547" w:type="dxa"/>
                  <w:vAlign w:val="center"/>
                </w:tcPr>
                <w:p w14:paraId="550F985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387F011F">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788" w:type="dxa"/>
                  <w:vMerge w:val="continue"/>
                  <w:vAlign w:val="center"/>
                </w:tcPr>
                <w:p w14:paraId="19836663">
                  <w:pPr>
                    <w:adjustRightInd w:val="0"/>
                    <w:jc w:val="center"/>
                    <w:rPr>
                      <w:rFonts w:hint="default" w:ascii="Times New Roman" w:hAnsi="Times New Roman" w:cs="Times New Roman"/>
                      <w:color w:val="auto"/>
                      <w:szCs w:val="21"/>
                    </w:rPr>
                  </w:pPr>
                </w:p>
              </w:tc>
            </w:tr>
            <w:tr w14:paraId="19F44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1020F1DA">
                  <w:pPr>
                    <w:adjustRightInd w:val="0"/>
                    <w:jc w:val="center"/>
                    <w:rPr>
                      <w:rFonts w:hint="default" w:ascii="Times New Roman" w:hAnsi="Times New Roman" w:cs="Times New Roman"/>
                      <w:color w:val="auto"/>
                      <w:szCs w:val="21"/>
                    </w:rPr>
                  </w:pPr>
                </w:p>
              </w:tc>
              <w:tc>
                <w:tcPr>
                  <w:tcW w:w="2829" w:type="dxa"/>
                  <w:vMerge w:val="continue"/>
                  <w:vAlign w:val="center"/>
                </w:tcPr>
                <w:p w14:paraId="3BCC7E2E">
                  <w:pPr>
                    <w:adjustRightInd w:val="0"/>
                    <w:jc w:val="center"/>
                    <w:rPr>
                      <w:rFonts w:hint="default" w:ascii="Times New Roman" w:hAnsi="Times New Roman" w:cs="Times New Roman"/>
                      <w:color w:val="auto"/>
                      <w:szCs w:val="21"/>
                    </w:rPr>
                  </w:pPr>
                </w:p>
              </w:tc>
              <w:tc>
                <w:tcPr>
                  <w:tcW w:w="2547" w:type="dxa"/>
                  <w:vAlign w:val="center"/>
                </w:tcPr>
                <w:p w14:paraId="6A8BF63E">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1小时平均</w:t>
                  </w:r>
                </w:p>
              </w:tc>
              <w:tc>
                <w:tcPr>
                  <w:tcW w:w="1105" w:type="dxa"/>
                  <w:vAlign w:val="center"/>
                </w:tcPr>
                <w:p w14:paraId="0D205D2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500</w:t>
                  </w:r>
                </w:p>
              </w:tc>
              <w:tc>
                <w:tcPr>
                  <w:tcW w:w="788" w:type="dxa"/>
                  <w:vMerge w:val="continue"/>
                  <w:vAlign w:val="center"/>
                </w:tcPr>
                <w:p w14:paraId="084D27EE">
                  <w:pPr>
                    <w:adjustRightInd w:val="0"/>
                    <w:jc w:val="center"/>
                    <w:rPr>
                      <w:rFonts w:hint="default" w:ascii="Times New Roman" w:hAnsi="Times New Roman" w:cs="Times New Roman"/>
                      <w:color w:val="auto"/>
                      <w:szCs w:val="21"/>
                    </w:rPr>
                  </w:pPr>
                </w:p>
              </w:tc>
            </w:tr>
            <w:tr w14:paraId="3CAC61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4C637F83">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w:t>
                  </w:r>
                </w:p>
              </w:tc>
              <w:tc>
                <w:tcPr>
                  <w:tcW w:w="2829" w:type="dxa"/>
                  <w:vMerge w:val="restart"/>
                  <w:vAlign w:val="center"/>
                </w:tcPr>
                <w:p w14:paraId="4EE5BE76">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二氧化氮（NO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w:t>
                  </w:r>
                </w:p>
              </w:tc>
              <w:tc>
                <w:tcPr>
                  <w:tcW w:w="2547" w:type="dxa"/>
                  <w:vAlign w:val="center"/>
                </w:tcPr>
                <w:p w14:paraId="238D6DC3">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w:t>
                  </w:r>
                </w:p>
              </w:tc>
              <w:tc>
                <w:tcPr>
                  <w:tcW w:w="1105" w:type="dxa"/>
                  <w:vAlign w:val="center"/>
                </w:tcPr>
                <w:p w14:paraId="6921B26B">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40</w:t>
                  </w:r>
                </w:p>
              </w:tc>
              <w:tc>
                <w:tcPr>
                  <w:tcW w:w="788" w:type="dxa"/>
                  <w:vMerge w:val="continue"/>
                  <w:vAlign w:val="center"/>
                </w:tcPr>
                <w:p w14:paraId="52986FD6">
                  <w:pPr>
                    <w:adjustRightInd w:val="0"/>
                    <w:jc w:val="center"/>
                    <w:rPr>
                      <w:rFonts w:hint="default" w:ascii="Times New Roman" w:hAnsi="Times New Roman" w:cs="Times New Roman"/>
                      <w:color w:val="auto"/>
                      <w:szCs w:val="21"/>
                    </w:rPr>
                  </w:pPr>
                </w:p>
              </w:tc>
            </w:tr>
            <w:tr w14:paraId="53A75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54955EE0">
                  <w:pPr>
                    <w:adjustRightInd w:val="0"/>
                    <w:jc w:val="center"/>
                    <w:rPr>
                      <w:rFonts w:hint="default" w:ascii="Times New Roman" w:hAnsi="Times New Roman" w:cs="Times New Roman"/>
                      <w:color w:val="auto"/>
                      <w:szCs w:val="21"/>
                    </w:rPr>
                  </w:pPr>
                </w:p>
              </w:tc>
              <w:tc>
                <w:tcPr>
                  <w:tcW w:w="2829" w:type="dxa"/>
                  <w:vMerge w:val="continue"/>
                  <w:vAlign w:val="center"/>
                </w:tcPr>
                <w:p w14:paraId="2D8B5E16">
                  <w:pPr>
                    <w:adjustRightInd w:val="0"/>
                    <w:jc w:val="center"/>
                    <w:rPr>
                      <w:rFonts w:hint="default" w:ascii="Times New Roman" w:hAnsi="Times New Roman" w:cs="Times New Roman"/>
                      <w:color w:val="auto"/>
                      <w:szCs w:val="21"/>
                    </w:rPr>
                  </w:pPr>
                </w:p>
              </w:tc>
              <w:tc>
                <w:tcPr>
                  <w:tcW w:w="2547" w:type="dxa"/>
                  <w:vAlign w:val="center"/>
                </w:tcPr>
                <w:p w14:paraId="3B8CEBFA">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305414E5">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80</w:t>
                  </w:r>
                </w:p>
              </w:tc>
              <w:tc>
                <w:tcPr>
                  <w:tcW w:w="788" w:type="dxa"/>
                  <w:vMerge w:val="continue"/>
                  <w:vAlign w:val="center"/>
                </w:tcPr>
                <w:p w14:paraId="03416DBA">
                  <w:pPr>
                    <w:adjustRightInd w:val="0"/>
                    <w:jc w:val="center"/>
                    <w:rPr>
                      <w:rFonts w:hint="default" w:ascii="Times New Roman" w:hAnsi="Times New Roman" w:cs="Times New Roman"/>
                      <w:color w:val="auto"/>
                      <w:szCs w:val="21"/>
                    </w:rPr>
                  </w:pPr>
                </w:p>
              </w:tc>
            </w:tr>
            <w:tr w14:paraId="3248A6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2C3DD32C">
                  <w:pPr>
                    <w:adjustRightInd w:val="0"/>
                    <w:jc w:val="center"/>
                    <w:rPr>
                      <w:rFonts w:hint="default" w:ascii="Times New Roman" w:hAnsi="Times New Roman" w:cs="Times New Roman"/>
                      <w:color w:val="auto"/>
                      <w:szCs w:val="21"/>
                    </w:rPr>
                  </w:pPr>
                </w:p>
              </w:tc>
              <w:tc>
                <w:tcPr>
                  <w:tcW w:w="2829" w:type="dxa"/>
                  <w:vMerge w:val="continue"/>
                  <w:vAlign w:val="center"/>
                </w:tcPr>
                <w:p w14:paraId="7EFA72D3">
                  <w:pPr>
                    <w:adjustRightInd w:val="0"/>
                    <w:jc w:val="center"/>
                    <w:rPr>
                      <w:rFonts w:hint="default" w:ascii="Times New Roman" w:hAnsi="Times New Roman" w:cs="Times New Roman"/>
                      <w:color w:val="auto"/>
                      <w:szCs w:val="21"/>
                    </w:rPr>
                  </w:pPr>
                </w:p>
              </w:tc>
              <w:tc>
                <w:tcPr>
                  <w:tcW w:w="2547" w:type="dxa"/>
                  <w:vAlign w:val="center"/>
                </w:tcPr>
                <w:p w14:paraId="7DB75188">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1小时平均</w:t>
                  </w:r>
                </w:p>
              </w:tc>
              <w:tc>
                <w:tcPr>
                  <w:tcW w:w="1105" w:type="dxa"/>
                  <w:vAlign w:val="center"/>
                </w:tcPr>
                <w:p w14:paraId="29355FA7">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788" w:type="dxa"/>
                  <w:vMerge w:val="continue"/>
                  <w:vAlign w:val="center"/>
                </w:tcPr>
                <w:p w14:paraId="78CFCA42">
                  <w:pPr>
                    <w:adjustRightInd w:val="0"/>
                    <w:jc w:val="center"/>
                    <w:rPr>
                      <w:rFonts w:hint="default" w:ascii="Times New Roman" w:hAnsi="Times New Roman" w:cs="Times New Roman"/>
                      <w:color w:val="auto"/>
                      <w:szCs w:val="21"/>
                    </w:rPr>
                  </w:pPr>
                </w:p>
              </w:tc>
            </w:tr>
            <w:tr w14:paraId="4BE09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416329E4">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w:t>
                  </w:r>
                </w:p>
              </w:tc>
              <w:tc>
                <w:tcPr>
                  <w:tcW w:w="2829" w:type="dxa"/>
                  <w:vMerge w:val="restart"/>
                  <w:vAlign w:val="center"/>
                </w:tcPr>
                <w:p w14:paraId="06B2D72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一氧化碳（CO）</w:t>
                  </w:r>
                </w:p>
              </w:tc>
              <w:tc>
                <w:tcPr>
                  <w:tcW w:w="2547" w:type="dxa"/>
                  <w:vAlign w:val="center"/>
                </w:tcPr>
                <w:p w14:paraId="6AAC6C90">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2908CA06">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788" w:type="dxa"/>
                  <w:vMerge w:val="restart"/>
                  <w:vAlign w:val="center"/>
                </w:tcPr>
                <w:p w14:paraId="5663A496">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mg/m</w:t>
                  </w:r>
                  <w:r>
                    <w:rPr>
                      <w:rFonts w:hint="default" w:ascii="Times New Roman" w:hAnsi="Times New Roman" w:cs="Times New Roman"/>
                      <w:color w:val="auto"/>
                      <w:szCs w:val="21"/>
                      <w:vertAlign w:val="superscript"/>
                    </w:rPr>
                    <w:t>3</w:t>
                  </w:r>
                </w:p>
              </w:tc>
            </w:tr>
            <w:tr w14:paraId="3AA56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23273B4D">
                  <w:pPr>
                    <w:adjustRightInd w:val="0"/>
                    <w:jc w:val="center"/>
                    <w:rPr>
                      <w:rFonts w:hint="default" w:ascii="Times New Roman" w:hAnsi="Times New Roman" w:cs="Times New Roman"/>
                      <w:color w:val="auto"/>
                      <w:szCs w:val="21"/>
                    </w:rPr>
                  </w:pPr>
                </w:p>
              </w:tc>
              <w:tc>
                <w:tcPr>
                  <w:tcW w:w="2829" w:type="dxa"/>
                  <w:vMerge w:val="continue"/>
                  <w:vAlign w:val="center"/>
                </w:tcPr>
                <w:p w14:paraId="78C4A276">
                  <w:pPr>
                    <w:adjustRightInd w:val="0"/>
                    <w:jc w:val="center"/>
                    <w:rPr>
                      <w:rFonts w:hint="default" w:ascii="Times New Roman" w:hAnsi="Times New Roman" w:cs="Times New Roman"/>
                      <w:color w:val="auto"/>
                      <w:szCs w:val="21"/>
                    </w:rPr>
                  </w:pPr>
                </w:p>
              </w:tc>
              <w:tc>
                <w:tcPr>
                  <w:tcW w:w="2547" w:type="dxa"/>
                  <w:vAlign w:val="center"/>
                </w:tcPr>
                <w:p w14:paraId="6F1A3A74">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1小时平均</w:t>
                  </w:r>
                </w:p>
              </w:tc>
              <w:tc>
                <w:tcPr>
                  <w:tcW w:w="1105" w:type="dxa"/>
                  <w:vAlign w:val="center"/>
                </w:tcPr>
                <w:p w14:paraId="0D8DD519">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10</w:t>
                  </w:r>
                </w:p>
              </w:tc>
              <w:tc>
                <w:tcPr>
                  <w:tcW w:w="788" w:type="dxa"/>
                  <w:vMerge w:val="continue"/>
                  <w:vAlign w:val="center"/>
                </w:tcPr>
                <w:p w14:paraId="32048B6E">
                  <w:pPr>
                    <w:adjustRightInd w:val="0"/>
                    <w:jc w:val="center"/>
                    <w:rPr>
                      <w:rFonts w:hint="default" w:ascii="Times New Roman" w:hAnsi="Times New Roman" w:cs="Times New Roman"/>
                      <w:color w:val="auto"/>
                      <w:szCs w:val="21"/>
                    </w:rPr>
                  </w:pPr>
                </w:p>
              </w:tc>
            </w:tr>
            <w:tr w14:paraId="429EC8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2619DEAB">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4</w:t>
                  </w:r>
                </w:p>
              </w:tc>
              <w:tc>
                <w:tcPr>
                  <w:tcW w:w="2829" w:type="dxa"/>
                  <w:vMerge w:val="restart"/>
                  <w:vAlign w:val="center"/>
                </w:tcPr>
                <w:p w14:paraId="35E9F9F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臭氧（O</w:t>
                  </w:r>
                  <w:r>
                    <w:rPr>
                      <w:rFonts w:hint="default" w:ascii="Times New Roman" w:hAnsi="Times New Roman" w:cs="Times New Roman"/>
                      <w:color w:val="auto"/>
                      <w:szCs w:val="21"/>
                      <w:vertAlign w:val="subscript"/>
                    </w:rPr>
                    <w:t>3</w:t>
                  </w:r>
                  <w:r>
                    <w:rPr>
                      <w:rFonts w:hint="default" w:ascii="Times New Roman" w:hAnsi="Times New Roman" w:cs="Times New Roman"/>
                      <w:color w:val="auto"/>
                      <w:szCs w:val="21"/>
                    </w:rPr>
                    <w:t>）</w:t>
                  </w:r>
                </w:p>
              </w:tc>
              <w:tc>
                <w:tcPr>
                  <w:tcW w:w="2547" w:type="dxa"/>
                  <w:vAlign w:val="center"/>
                </w:tcPr>
                <w:p w14:paraId="66C4DFE5">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日最大8小时平均</w:t>
                  </w:r>
                </w:p>
              </w:tc>
              <w:tc>
                <w:tcPr>
                  <w:tcW w:w="1105" w:type="dxa"/>
                  <w:vAlign w:val="center"/>
                </w:tcPr>
                <w:p w14:paraId="6F404B7F">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160</w:t>
                  </w:r>
                </w:p>
              </w:tc>
              <w:tc>
                <w:tcPr>
                  <w:tcW w:w="788" w:type="dxa"/>
                  <w:vMerge w:val="restart"/>
                  <w:vAlign w:val="center"/>
                </w:tcPr>
                <w:p w14:paraId="4001C809">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ug/m</w:t>
                  </w:r>
                  <w:r>
                    <w:rPr>
                      <w:rFonts w:hint="default" w:ascii="Times New Roman" w:hAnsi="Times New Roman" w:cs="Times New Roman"/>
                      <w:color w:val="auto"/>
                      <w:szCs w:val="21"/>
                      <w:vertAlign w:val="superscript"/>
                    </w:rPr>
                    <w:t>3</w:t>
                  </w:r>
                </w:p>
              </w:tc>
            </w:tr>
            <w:tr w14:paraId="6EB6D2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continue"/>
                  <w:vAlign w:val="center"/>
                </w:tcPr>
                <w:p w14:paraId="1518E9EE">
                  <w:pPr>
                    <w:adjustRightInd w:val="0"/>
                    <w:jc w:val="center"/>
                    <w:rPr>
                      <w:rFonts w:hint="default" w:ascii="Times New Roman" w:hAnsi="Times New Roman" w:cs="Times New Roman"/>
                      <w:color w:val="auto"/>
                      <w:szCs w:val="21"/>
                    </w:rPr>
                  </w:pPr>
                </w:p>
              </w:tc>
              <w:tc>
                <w:tcPr>
                  <w:tcW w:w="2829" w:type="dxa"/>
                  <w:vMerge w:val="continue"/>
                  <w:vAlign w:val="center"/>
                </w:tcPr>
                <w:p w14:paraId="1342475B">
                  <w:pPr>
                    <w:adjustRightInd w:val="0"/>
                    <w:jc w:val="center"/>
                    <w:rPr>
                      <w:rFonts w:hint="default" w:ascii="Times New Roman" w:hAnsi="Times New Roman" w:cs="Times New Roman"/>
                      <w:color w:val="auto"/>
                      <w:szCs w:val="21"/>
                    </w:rPr>
                  </w:pPr>
                </w:p>
              </w:tc>
              <w:tc>
                <w:tcPr>
                  <w:tcW w:w="2547" w:type="dxa"/>
                  <w:vAlign w:val="center"/>
                </w:tcPr>
                <w:p w14:paraId="2222F3B7">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1小时平均</w:t>
                  </w:r>
                </w:p>
              </w:tc>
              <w:tc>
                <w:tcPr>
                  <w:tcW w:w="1105" w:type="dxa"/>
                  <w:vAlign w:val="center"/>
                </w:tcPr>
                <w:p w14:paraId="1ABC71D8">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788" w:type="dxa"/>
                  <w:vMerge w:val="continue"/>
                  <w:vAlign w:val="center"/>
                </w:tcPr>
                <w:p w14:paraId="5191BABF">
                  <w:pPr>
                    <w:adjustRightInd w:val="0"/>
                    <w:jc w:val="center"/>
                    <w:rPr>
                      <w:rFonts w:hint="default" w:ascii="Times New Roman" w:hAnsi="Times New Roman" w:cs="Times New Roman"/>
                      <w:color w:val="auto"/>
                      <w:szCs w:val="21"/>
                    </w:rPr>
                  </w:pPr>
                </w:p>
              </w:tc>
            </w:tr>
            <w:tr w14:paraId="1865D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67F3BB4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5</w:t>
                  </w:r>
                </w:p>
              </w:tc>
              <w:tc>
                <w:tcPr>
                  <w:tcW w:w="2829" w:type="dxa"/>
                  <w:vMerge w:val="restart"/>
                  <w:vAlign w:val="center"/>
                </w:tcPr>
                <w:p w14:paraId="04EFD4D6">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颗粒物（粒径小于等于10um）</w:t>
                  </w:r>
                </w:p>
              </w:tc>
              <w:tc>
                <w:tcPr>
                  <w:tcW w:w="2547" w:type="dxa"/>
                  <w:vAlign w:val="center"/>
                </w:tcPr>
                <w:p w14:paraId="4764B204">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w:t>
                  </w:r>
                </w:p>
              </w:tc>
              <w:tc>
                <w:tcPr>
                  <w:tcW w:w="1105" w:type="dxa"/>
                  <w:vAlign w:val="center"/>
                </w:tcPr>
                <w:p w14:paraId="0795BC62">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70</w:t>
                  </w:r>
                </w:p>
              </w:tc>
              <w:tc>
                <w:tcPr>
                  <w:tcW w:w="788" w:type="dxa"/>
                  <w:vMerge w:val="continue"/>
                  <w:vAlign w:val="center"/>
                </w:tcPr>
                <w:p w14:paraId="46D10721">
                  <w:pPr>
                    <w:adjustRightInd w:val="0"/>
                    <w:jc w:val="center"/>
                    <w:rPr>
                      <w:rFonts w:hint="default" w:ascii="Times New Roman" w:hAnsi="Times New Roman" w:cs="Times New Roman"/>
                      <w:color w:val="auto"/>
                      <w:szCs w:val="21"/>
                    </w:rPr>
                  </w:pPr>
                </w:p>
              </w:tc>
            </w:tr>
            <w:tr w14:paraId="5985A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88" w:type="dxa"/>
                  <w:vMerge w:val="continue"/>
                  <w:vAlign w:val="center"/>
                </w:tcPr>
                <w:p w14:paraId="5E8737B1">
                  <w:pPr>
                    <w:adjustRightInd w:val="0"/>
                    <w:jc w:val="center"/>
                    <w:rPr>
                      <w:rFonts w:hint="default" w:ascii="Times New Roman" w:hAnsi="Times New Roman" w:cs="Times New Roman"/>
                      <w:color w:val="auto"/>
                      <w:szCs w:val="21"/>
                    </w:rPr>
                  </w:pPr>
                </w:p>
              </w:tc>
              <w:tc>
                <w:tcPr>
                  <w:tcW w:w="2829" w:type="dxa"/>
                  <w:vMerge w:val="continue"/>
                  <w:vAlign w:val="center"/>
                </w:tcPr>
                <w:p w14:paraId="6D5A85B5">
                  <w:pPr>
                    <w:adjustRightInd w:val="0"/>
                    <w:jc w:val="center"/>
                    <w:rPr>
                      <w:rFonts w:hint="default" w:ascii="Times New Roman" w:hAnsi="Times New Roman" w:cs="Times New Roman"/>
                      <w:color w:val="auto"/>
                      <w:szCs w:val="21"/>
                    </w:rPr>
                  </w:pPr>
                </w:p>
              </w:tc>
              <w:tc>
                <w:tcPr>
                  <w:tcW w:w="2547" w:type="dxa"/>
                  <w:vAlign w:val="center"/>
                </w:tcPr>
                <w:p w14:paraId="7D64D82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4B9C0D20">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150</w:t>
                  </w:r>
                </w:p>
              </w:tc>
              <w:tc>
                <w:tcPr>
                  <w:tcW w:w="788" w:type="dxa"/>
                  <w:vMerge w:val="continue"/>
                  <w:vAlign w:val="center"/>
                </w:tcPr>
                <w:p w14:paraId="4793213B">
                  <w:pPr>
                    <w:adjustRightInd w:val="0"/>
                    <w:jc w:val="center"/>
                    <w:rPr>
                      <w:rFonts w:hint="default" w:ascii="Times New Roman" w:hAnsi="Times New Roman" w:cs="Times New Roman"/>
                      <w:color w:val="auto"/>
                      <w:szCs w:val="21"/>
                    </w:rPr>
                  </w:pPr>
                </w:p>
              </w:tc>
            </w:tr>
            <w:tr w14:paraId="045AB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6F6F03F2">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6</w:t>
                  </w:r>
                </w:p>
              </w:tc>
              <w:tc>
                <w:tcPr>
                  <w:tcW w:w="2829" w:type="dxa"/>
                  <w:vMerge w:val="restart"/>
                  <w:vAlign w:val="center"/>
                </w:tcPr>
                <w:p w14:paraId="75FF58A2">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颗粒物（粒径小于等于2.5um）</w:t>
                  </w:r>
                </w:p>
              </w:tc>
              <w:tc>
                <w:tcPr>
                  <w:tcW w:w="2547" w:type="dxa"/>
                  <w:vAlign w:val="center"/>
                </w:tcPr>
                <w:p w14:paraId="1A9FA4BE">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w:t>
                  </w:r>
                </w:p>
              </w:tc>
              <w:tc>
                <w:tcPr>
                  <w:tcW w:w="1105" w:type="dxa"/>
                  <w:vAlign w:val="center"/>
                </w:tcPr>
                <w:p w14:paraId="296914FB">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35</w:t>
                  </w:r>
                </w:p>
              </w:tc>
              <w:tc>
                <w:tcPr>
                  <w:tcW w:w="788" w:type="dxa"/>
                  <w:vMerge w:val="continue"/>
                  <w:vAlign w:val="center"/>
                </w:tcPr>
                <w:p w14:paraId="6F549422">
                  <w:pPr>
                    <w:adjustRightInd w:val="0"/>
                    <w:jc w:val="center"/>
                    <w:rPr>
                      <w:rFonts w:hint="default" w:ascii="Times New Roman" w:hAnsi="Times New Roman" w:cs="Times New Roman"/>
                      <w:color w:val="auto"/>
                      <w:szCs w:val="21"/>
                    </w:rPr>
                  </w:pPr>
                </w:p>
              </w:tc>
            </w:tr>
            <w:tr w14:paraId="27790F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88" w:type="dxa"/>
                  <w:vMerge w:val="continue"/>
                  <w:vAlign w:val="center"/>
                </w:tcPr>
                <w:p w14:paraId="6332649B">
                  <w:pPr>
                    <w:adjustRightInd w:val="0"/>
                    <w:jc w:val="center"/>
                    <w:rPr>
                      <w:rFonts w:hint="default" w:ascii="Times New Roman" w:hAnsi="Times New Roman" w:cs="Times New Roman"/>
                      <w:color w:val="auto"/>
                      <w:szCs w:val="21"/>
                    </w:rPr>
                  </w:pPr>
                </w:p>
              </w:tc>
              <w:tc>
                <w:tcPr>
                  <w:tcW w:w="2829" w:type="dxa"/>
                  <w:vMerge w:val="continue"/>
                  <w:vAlign w:val="center"/>
                </w:tcPr>
                <w:p w14:paraId="6B1F08FA">
                  <w:pPr>
                    <w:adjustRightInd w:val="0"/>
                    <w:jc w:val="center"/>
                    <w:rPr>
                      <w:rFonts w:hint="default" w:ascii="Times New Roman" w:hAnsi="Times New Roman" w:cs="Times New Roman"/>
                      <w:color w:val="auto"/>
                      <w:szCs w:val="21"/>
                    </w:rPr>
                  </w:pPr>
                </w:p>
              </w:tc>
              <w:tc>
                <w:tcPr>
                  <w:tcW w:w="2547" w:type="dxa"/>
                  <w:vAlign w:val="center"/>
                </w:tcPr>
                <w:p w14:paraId="2009F18C">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7F74AAE8">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75</w:t>
                  </w:r>
                </w:p>
              </w:tc>
              <w:tc>
                <w:tcPr>
                  <w:tcW w:w="788" w:type="dxa"/>
                  <w:vMerge w:val="continue"/>
                  <w:vAlign w:val="center"/>
                </w:tcPr>
                <w:p w14:paraId="18D43FD9">
                  <w:pPr>
                    <w:adjustRightInd w:val="0"/>
                    <w:jc w:val="center"/>
                    <w:rPr>
                      <w:rFonts w:hint="default" w:ascii="Times New Roman" w:hAnsi="Times New Roman" w:cs="Times New Roman"/>
                      <w:color w:val="auto"/>
                      <w:szCs w:val="21"/>
                    </w:rPr>
                  </w:pPr>
                </w:p>
              </w:tc>
            </w:tr>
            <w:tr w14:paraId="4E90F7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788" w:type="dxa"/>
                  <w:vMerge w:val="restart"/>
                  <w:vAlign w:val="center"/>
                </w:tcPr>
                <w:p w14:paraId="31E4C425">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7</w:t>
                  </w:r>
                </w:p>
              </w:tc>
              <w:tc>
                <w:tcPr>
                  <w:tcW w:w="2829" w:type="dxa"/>
                  <w:vMerge w:val="restart"/>
                  <w:vAlign w:val="center"/>
                </w:tcPr>
                <w:p w14:paraId="12299B8B">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总悬浮颗粒物（TSP）</w:t>
                  </w:r>
                </w:p>
              </w:tc>
              <w:tc>
                <w:tcPr>
                  <w:tcW w:w="2547" w:type="dxa"/>
                  <w:vAlign w:val="center"/>
                </w:tcPr>
                <w:p w14:paraId="2C2B6FAD">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年平均</w:t>
                  </w:r>
                </w:p>
              </w:tc>
              <w:tc>
                <w:tcPr>
                  <w:tcW w:w="1105" w:type="dxa"/>
                  <w:vAlign w:val="center"/>
                </w:tcPr>
                <w:p w14:paraId="446CC96D">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200</w:t>
                  </w:r>
                </w:p>
              </w:tc>
              <w:tc>
                <w:tcPr>
                  <w:tcW w:w="788" w:type="dxa"/>
                  <w:vMerge w:val="continue"/>
                  <w:vAlign w:val="center"/>
                </w:tcPr>
                <w:p w14:paraId="69CCE24D">
                  <w:pPr>
                    <w:adjustRightInd w:val="0"/>
                    <w:jc w:val="center"/>
                    <w:rPr>
                      <w:rFonts w:hint="default" w:ascii="Times New Roman" w:hAnsi="Times New Roman" w:cs="Times New Roman"/>
                      <w:color w:val="auto"/>
                      <w:szCs w:val="21"/>
                    </w:rPr>
                  </w:pPr>
                </w:p>
              </w:tc>
            </w:tr>
            <w:tr w14:paraId="36214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788" w:type="dxa"/>
                  <w:vMerge w:val="continue"/>
                  <w:vAlign w:val="center"/>
                </w:tcPr>
                <w:p w14:paraId="3645CFFA">
                  <w:pPr>
                    <w:adjustRightInd w:val="0"/>
                    <w:jc w:val="center"/>
                    <w:rPr>
                      <w:rFonts w:hint="default" w:ascii="Times New Roman" w:hAnsi="Times New Roman" w:cs="Times New Roman"/>
                      <w:color w:val="auto"/>
                      <w:szCs w:val="21"/>
                    </w:rPr>
                  </w:pPr>
                </w:p>
              </w:tc>
              <w:tc>
                <w:tcPr>
                  <w:tcW w:w="2829" w:type="dxa"/>
                  <w:vMerge w:val="continue"/>
                  <w:vAlign w:val="center"/>
                </w:tcPr>
                <w:p w14:paraId="5A7799B7">
                  <w:pPr>
                    <w:adjustRightInd w:val="0"/>
                    <w:jc w:val="center"/>
                    <w:rPr>
                      <w:rFonts w:hint="default" w:ascii="Times New Roman" w:hAnsi="Times New Roman" w:cs="Times New Roman"/>
                      <w:color w:val="auto"/>
                      <w:szCs w:val="21"/>
                    </w:rPr>
                  </w:pPr>
                </w:p>
              </w:tc>
              <w:tc>
                <w:tcPr>
                  <w:tcW w:w="2547" w:type="dxa"/>
                  <w:vAlign w:val="center"/>
                </w:tcPr>
                <w:p w14:paraId="5E8DCF34">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24小时平均</w:t>
                  </w:r>
                </w:p>
              </w:tc>
              <w:tc>
                <w:tcPr>
                  <w:tcW w:w="1105" w:type="dxa"/>
                  <w:vAlign w:val="center"/>
                </w:tcPr>
                <w:p w14:paraId="5B6BA140">
                  <w:pPr>
                    <w:adjustRightInd w:val="0"/>
                    <w:jc w:val="center"/>
                    <w:rPr>
                      <w:rFonts w:hint="default" w:ascii="Times New Roman" w:hAnsi="Times New Roman" w:cs="Times New Roman"/>
                      <w:color w:val="auto"/>
                      <w:szCs w:val="21"/>
                    </w:rPr>
                  </w:pPr>
                  <w:r>
                    <w:rPr>
                      <w:rFonts w:hint="default" w:ascii="Times New Roman" w:hAnsi="Times New Roman" w:cs="Times New Roman"/>
                      <w:color w:val="auto"/>
                      <w:szCs w:val="21"/>
                    </w:rPr>
                    <w:t>300</w:t>
                  </w:r>
                </w:p>
              </w:tc>
              <w:tc>
                <w:tcPr>
                  <w:tcW w:w="788" w:type="dxa"/>
                  <w:vMerge w:val="continue"/>
                  <w:vAlign w:val="center"/>
                </w:tcPr>
                <w:p w14:paraId="716D8525">
                  <w:pPr>
                    <w:adjustRightInd w:val="0"/>
                    <w:jc w:val="center"/>
                    <w:rPr>
                      <w:rFonts w:hint="default" w:ascii="Times New Roman" w:hAnsi="Times New Roman" w:cs="Times New Roman"/>
                      <w:color w:val="auto"/>
                      <w:szCs w:val="21"/>
                    </w:rPr>
                  </w:pPr>
                </w:p>
              </w:tc>
            </w:tr>
          </w:tbl>
          <w:p w14:paraId="220A201E">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2、地表水环境</w:t>
            </w:r>
          </w:p>
          <w:p w14:paraId="0DC9071C">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地表水执行《地表水环境质量标准》（GB3838-2002）中Ⅲ类水域标准。</w:t>
            </w:r>
          </w:p>
          <w:p w14:paraId="4E76F50B">
            <w:pPr>
              <w:pStyle w:val="59"/>
              <w:spacing w:line="460" w:lineRule="exact"/>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w:t>
            </w:r>
            <w:r>
              <w:rPr>
                <w:rFonts w:hint="default" w:ascii="Times New Roman" w:hAnsi="Times New Roman" w:cs="Times New Roman"/>
                <w:b/>
                <w:bCs/>
                <w:color w:val="auto"/>
                <w:sz w:val="21"/>
                <w:szCs w:val="21"/>
                <w:lang w:val="en-US" w:eastAsia="zh-CN"/>
              </w:rPr>
              <w:t xml:space="preserve">6 </w:t>
            </w:r>
            <w:r>
              <w:rPr>
                <w:rFonts w:hint="default" w:ascii="Times New Roman" w:hAnsi="Times New Roman" w:cs="Times New Roman"/>
                <w:b/>
                <w:bCs/>
                <w:color w:val="auto"/>
                <w:sz w:val="21"/>
                <w:szCs w:val="21"/>
              </w:rPr>
              <w:t>地表水环境质量标准</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672"/>
              <w:gridCol w:w="854"/>
              <w:gridCol w:w="833"/>
              <w:gridCol w:w="950"/>
              <w:gridCol w:w="1232"/>
              <w:gridCol w:w="1221"/>
              <w:gridCol w:w="1311"/>
            </w:tblGrid>
            <w:tr w14:paraId="305E9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8" w:type="dxa"/>
                  <w:vAlign w:val="center"/>
                </w:tcPr>
                <w:p w14:paraId="35405F55">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项目</w:t>
                  </w:r>
                </w:p>
              </w:tc>
              <w:tc>
                <w:tcPr>
                  <w:tcW w:w="677" w:type="dxa"/>
                  <w:vAlign w:val="center"/>
                </w:tcPr>
                <w:p w14:paraId="70D5892E">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pH</w:t>
                  </w:r>
                </w:p>
              </w:tc>
              <w:tc>
                <w:tcPr>
                  <w:tcW w:w="862" w:type="dxa"/>
                  <w:vAlign w:val="center"/>
                </w:tcPr>
                <w:p w14:paraId="4EA2D925">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COD</w:t>
                  </w:r>
                  <w:r>
                    <w:rPr>
                      <w:rFonts w:hint="default" w:ascii="Times New Roman" w:hAnsi="Times New Roman" w:cs="Times New Roman"/>
                      <w:b/>
                      <w:bCs/>
                      <w:color w:val="auto"/>
                      <w:kern w:val="0"/>
                      <w:szCs w:val="21"/>
                      <w:vertAlign w:val="subscript"/>
                    </w:rPr>
                    <w:t>Cr</w:t>
                  </w:r>
                </w:p>
              </w:tc>
              <w:tc>
                <w:tcPr>
                  <w:tcW w:w="840" w:type="dxa"/>
                  <w:vAlign w:val="center"/>
                </w:tcPr>
                <w:p w14:paraId="3AE6846F">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BOD</w:t>
                  </w:r>
                  <w:r>
                    <w:rPr>
                      <w:rFonts w:hint="default" w:ascii="Times New Roman" w:hAnsi="Times New Roman" w:cs="Times New Roman"/>
                      <w:b/>
                      <w:bCs/>
                      <w:color w:val="auto"/>
                      <w:kern w:val="0"/>
                      <w:szCs w:val="21"/>
                      <w:vertAlign w:val="subscript"/>
                    </w:rPr>
                    <w:t>5</w:t>
                  </w:r>
                </w:p>
              </w:tc>
              <w:tc>
                <w:tcPr>
                  <w:tcW w:w="959" w:type="dxa"/>
                  <w:vAlign w:val="center"/>
                </w:tcPr>
                <w:p w14:paraId="3808E535">
                  <w:pPr>
                    <w:jc w:val="center"/>
                    <w:rPr>
                      <w:rFonts w:hint="default" w:ascii="Times New Roman" w:hAnsi="Times New Roman" w:cs="Times New Roman"/>
                      <w:b/>
                      <w:bCs/>
                      <w:color w:val="auto"/>
                    </w:rPr>
                  </w:pPr>
                  <w:r>
                    <w:rPr>
                      <w:rFonts w:hint="default" w:ascii="Times New Roman" w:hAnsi="Times New Roman" w:cs="Times New Roman"/>
                      <w:b/>
                      <w:bCs/>
                      <w:color w:val="auto"/>
                      <w:kern w:val="0"/>
                      <w:szCs w:val="21"/>
                    </w:rPr>
                    <w:t>NH</w:t>
                  </w:r>
                  <w:r>
                    <w:rPr>
                      <w:rFonts w:hint="default" w:ascii="Times New Roman" w:hAnsi="Times New Roman" w:cs="Times New Roman"/>
                      <w:b/>
                      <w:bCs/>
                      <w:color w:val="auto"/>
                      <w:kern w:val="0"/>
                      <w:szCs w:val="21"/>
                      <w:vertAlign w:val="subscript"/>
                    </w:rPr>
                    <w:t>3</w:t>
                  </w:r>
                  <w:r>
                    <w:rPr>
                      <w:rFonts w:hint="default" w:ascii="Times New Roman" w:hAnsi="Times New Roman" w:cs="Times New Roman"/>
                      <w:b/>
                      <w:bCs/>
                      <w:color w:val="auto"/>
                      <w:kern w:val="0"/>
                      <w:szCs w:val="21"/>
                    </w:rPr>
                    <w:t>-N</w:t>
                  </w:r>
                </w:p>
              </w:tc>
              <w:tc>
                <w:tcPr>
                  <w:tcW w:w="1244" w:type="dxa"/>
                  <w:vAlign w:val="center"/>
                </w:tcPr>
                <w:p w14:paraId="60F11323">
                  <w:pPr>
                    <w:jc w:val="center"/>
                    <w:rPr>
                      <w:rFonts w:hint="default" w:ascii="Times New Roman" w:hAnsi="Times New Roman" w:cs="Times New Roman"/>
                      <w:b/>
                      <w:bCs/>
                      <w:color w:val="auto"/>
                    </w:rPr>
                  </w:pPr>
                  <w:r>
                    <w:rPr>
                      <w:rFonts w:hint="default" w:ascii="Times New Roman" w:hAnsi="Times New Roman" w:cs="Times New Roman"/>
                      <w:b/>
                      <w:bCs/>
                      <w:color w:val="auto"/>
                    </w:rPr>
                    <w:t>TP</w:t>
                  </w:r>
                </w:p>
              </w:tc>
              <w:tc>
                <w:tcPr>
                  <w:tcW w:w="1233" w:type="dxa"/>
                  <w:vAlign w:val="center"/>
                </w:tcPr>
                <w:p w14:paraId="69DDF60C">
                  <w:pPr>
                    <w:jc w:val="center"/>
                    <w:rPr>
                      <w:rFonts w:hint="default" w:ascii="Times New Roman" w:hAnsi="Times New Roman" w:cs="Times New Roman"/>
                      <w:b/>
                      <w:bCs/>
                      <w:color w:val="auto"/>
                    </w:rPr>
                  </w:pPr>
                  <w:r>
                    <w:rPr>
                      <w:rFonts w:hint="default" w:ascii="Times New Roman" w:hAnsi="Times New Roman" w:cs="Times New Roman"/>
                      <w:b/>
                      <w:bCs/>
                      <w:color w:val="auto"/>
                    </w:rPr>
                    <w:t>TN</w:t>
                  </w:r>
                </w:p>
              </w:tc>
              <w:tc>
                <w:tcPr>
                  <w:tcW w:w="1324" w:type="dxa"/>
                  <w:vAlign w:val="center"/>
                </w:tcPr>
                <w:p w14:paraId="2DD71C91">
                  <w:pPr>
                    <w:jc w:val="center"/>
                    <w:rPr>
                      <w:rFonts w:hint="default" w:ascii="Times New Roman" w:hAnsi="Times New Roman" w:cs="Times New Roman"/>
                      <w:b/>
                      <w:bCs/>
                      <w:color w:val="auto"/>
                    </w:rPr>
                  </w:pPr>
                  <w:r>
                    <w:rPr>
                      <w:rFonts w:hint="default" w:ascii="Times New Roman" w:hAnsi="Times New Roman" w:cs="Times New Roman"/>
                      <w:b/>
                      <w:bCs/>
                      <w:color w:val="auto"/>
                    </w:rPr>
                    <w:t>粪大肠菌群</w:t>
                  </w:r>
                </w:p>
              </w:tc>
            </w:tr>
            <w:tr w14:paraId="635D47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98" w:type="dxa"/>
                  <w:vAlign w:val="center"/>
                </w:tcPr>
                <w:p w14:paraId="3E2AF6B5">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标准值</w:t>
                  </w:r>
                </w:p>
              </w:tc>
              <w:tc>
                <w:tcPr>
                  <w:tcW w:w="677" w:type="dxa"/>
                  <w:vAlign w:val="center"/>
                </w:tcPr>
                <w:p w14:paraId="175CBEEC">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6~9</w:t>
                  </w:r>
                </w:p>
              </w:tc>
              <w:tc>
                <w:tcPr>
                  <w:tcW w:w="862" w:type="dxa"/>
                  <w:vAlign w:val="center"/>
                </w:tcPr>
                <w:p w14:paraId="57D7ADC0">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≤20</w:t>
                  </w:r>
                </w:p>
              </w:tc>
              <w:tc>
                <w:tcPr>
                  <w:tcW w:w="840" w:type="dxa"/>
                  <w:vAlign w:val="center"/>
                </w:tcPr>
                <w:p w14:paraId="2F8BB298">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≤4</w:t>
                  </w:r>
                </w:p>
              </w:tc>
              <w:tc>
                <w:tcPr>
                  <w:tcW w:w="959" w:type="dxa"/>
                  <w:vAlign w:val="center"/>
                </w:tcPr>
                <w:p w14:paraId="0F840B1C">
                  <w:pPr>
                    <w:jc w:val="center"/>
                    <w:rPr>
                      <w:rFonts w:hint="default" w:ascii="Times New Roman" w:hAnsi="Times New Roman" w:cs="Times New Roman"/>
                      <w:color w:val="auto"/>
                    </w:rPr>
                  </w:pPr>
                  <w:r>
                    <w:rPr>
                      <w:rFonts w:hint="default" w:ascii="Times New Roman" w:hAnsi="Times New Roman" w:cs="Times New Roman"/>
                      <w:color w:val="auto"/>
                      <w:kern w:val="0"/>
                      <w:szCs w:val="21"/>
                    </w:rPr>
                    <w:t>≤1.0</w:t>
                  </w:r>
                </w:p>
              </w:tc>
              <w:tc>
                <w:tcPr>
                  <w:tcW w:w="1244" w:type="dxa"/>
                  <w:vAlign w:val="center"/>
                </w:tcPr>
                <w:p w14:paraId="6C585E67">
                  <w:pPr>
                    <w:jc w:val="center"/>
                    <w:rPr>
                      <w:rFonts w:hint="default" w:ascii="Times New Roman" w:hAnsi="Times New Roman" w:cs="Times New Roman"/>
                      <w:color w:val="auto"/>
                    </w:rPr>
                  </w:pPr>
                  <w:r>
                    <w:rPr>
                      <w:rFonts w:hint="default" w:ascii="Times New Roman" w:hAnsi="Times New Roman" w:cs="Times New Roman"/>
                      <w:color w:val="auto"/>
                      <w:kern w:val="0"/>
                      <w:szCs w:val="21"/>
                    </w:rPr>
                    <w:t>≤0.2（湖、库0.05）</w:t>
                  </w:r>
                </w:p>
              </w:tc>
              <w:tc>
                <w:tcPr>
                  <w:tcW w:w="1233" w:type="dxa"/>
                  <w:vAlign w:val="center"/>
                </w:tcPr>
                <w:p w14:paraId="58EC7762">
                  <w:pPr>
                    <w:jc w:val="center"/>
                    <w:rPr>
                      <w:rFonts w:hint="default" w:ascii="Times New Roman" w:hAnsi="Times New Roman" w:cs="Times New Roman"/>
                      <w:color w:val="auto"/>
                    </w:rPr>
                  </w:pPr>
                  <w:r>
                    <w:rPr>
                      <w:rFonts w:hint="default" w:ascii="Times New Roman" w:hAnsi="Times New Roman" w:cs="Times New Roman"/>
                      <w:color w:val="auto"/>
                      <w:kern w:val="0"/>
                      <w:szCs w:val="21"/>
                    </w:rPr>
                    <w:t>≤1.0（湖库以N计）</w:t>
                  </w:r>
                </w:p>
              </w:tc>
              <w:tc>
                <w:tcPr>
                  <w:tcW w:w="1324" w:type="dxa"/>
                  <w:vAlign w:val="center"/>
                </w:tcPr>
                <w:p w14:paraId="23B53229">
                  <w:pPr>
                    <w:jc w:val="center"/>
                    <w:rPr>
                      <w:rFonts w:hint="default" w:ascii="Times New Roman" w:hAnsi="Times New Roman" w:cs="Times New Roman"/>
                      <w:color w:val="auto"/>
                    </w:rPr>
                  </w:pPr>
                  <w:r>
                    <w:rPr>
                      <w:rFonts w:hint="default" w:ascii="Times New Roman" w:hAnsi="Times New Roman" w:cs="Times New Roman"/>
                      <w:color w:val="auto"/>
                    </w:rPr>
                    <w:t>1000</w:t>
                  </w:r>
                </w:p>
              </w:tc>
            </w:tr>
          </w:tbl>
          <w:p w14:paraId="7BE12265">
            <w:pPr>
              <w:pStyle w:val="59"/>
              <w:spacing w:line="360" w:lineRule="auto"/>
              <w:ind w:left="0" w:firstLine="360" w:firstLineChars="200"/>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注：pH值无量纲，粪大肠菌群单位：个/L，其余单位均为：mg/L。</w:t>
            </w:r>
          </w:p>
          <w:p w14:paraId="546DC4E0">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3、声学环境</w:t>
            </w:r>
          </w:p>
          <w:p w14:paraId="5227121E">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0" w:firstLineChars="200"/>
              <w:textAlignment w:val="baseline"/>
              <w:rPr>
                <w:rFonts w:hint="default" w:ascii="Times New Roman" w:hAnsi="Times New Roman" w:cs="Times New Roman"/>
                <w:bCs/>
                <w:color w:val="auto"/>
                <w:kern w:val="2"/>
                <w:sz w:val="24"/>
                <w:szCs w:val="24"/>
              </w:rPr>
            </w:pPr>
            <w:r>
              <w:rPr>
                <w:rFonts w:hint="default" w:ascii="Times New Roman" w:hAnsi="Times New Roman" w:cs="Times New Roman"/>
                <w:bCs/>
                <w:color w:val="auto"/>
                <w:kern w:val="2"/>
                <w:sz w:val="24"/>
                <w:szCs w:val="24"/>
              </w:rPr>
              <w:t>本工程所在地声环境质量执行《声环境质量标准》（GB3096-2008）中2类标准，具体限值见下表。</w:t>
            </w:r>
          </w:p>
          <w:p w14:paraId="2F170ECE">
            <w:pPr>
              <w:pStyle w:val="59"/>
              <w:spacing w:line="460" w:lineRule="exact"/>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表3-</w:t>
            </w:r>
            <w:r>
              <w:rPr>
                <w:rFonts w:hint="default" w:ascii="Times New Roman" w:hAnsi="Times New Roman" w:cs="Times New Roman"/>
                <w:b/>
                <w:bCs/>
                <w:color w:val="auto"/>
                <w:sz w:val="21"/>
                <w:szCs w:val="21"/>
                <w:lang w:val="en-US" w:eastAsia="zh-CN"/>
              </w:rPr>
              <w:t xml:space="preserve">7 </w:t>
            </w:r>
            <w:r>
              <w:rPr>
                <w:rFonts w:hint="default" w:ascii="Times New Roman" w:hAnsi="Times New Roman" w:cs="Times New Roman"/>
                <w:b/>
                <w:bCs/>
                <w:color w:val="auto"/>
                <w:sz w:val="21"/>
                <w:szCs w:val="21"/>
              </w:rPr>
              <w:t>声环境质量标准单位：dB(A)</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53"/>
              <w:gridCol w:w="2656"/>
              <w:gridCol w:w="2656"/>
            </w:tblGrid>
            <w:tr w14:paraId="57C469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84" w:type="dxa"/>
                  <w:vAlign w:val="center"/>
                </w:tcPr>
                <w:p w14:paraId="50E742FF">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标准值</w:t>
                  </w:r>
                </w:p>
              </w:tc>
              <w:tc>
                <w:tcPr>
                  <w:tcW w:w="2687" w:type="dxa"/>
                  <w:vAlign w:val="center"/>
                </w:tcPr>
                <w:p w14:paraId="62B92DC4">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昼间</w:t>
                  </w:r>
                </w:p>
              </w:tc>
              <w:tc>
                <w:tcPr>
                  <w:tcW w:w="2687" w:type="dxa"/>
                  <w:vAlign w:val="center"/>
                </w:tcPr>
                <w:p w14:paraId="32E19954">
                  <w:pPr>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夜间</w:t>
                  </w:r>
                </w:p>
              </w:tc>
            </w:tr>
            <w:tr w14:paraId="2F77B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2684" w:type="dxa"/>
                  <w:vAlign w:val="center"/>
                </w:tcPr>
                <w:p w14:paraId="1D3CA44D">
                  <w:pPr>
                    <w:pStyle w:val="84"/>
                    <w:adjustRightInd/>
                    <w:snapToGrid/>
                    <w:textAlignment w:val="auto"/>
                    <w:rPr>
                      <w:rFonts w:hint="default" w:ascii="Times New Roman" w:hAnsi="Times New Roman" w:cs="Times New Roman"/>
                      <w:color w:val="auto"/>
                      <w:kern w:val="0"/>
                      <w:sz w:val="21"/>
                      <w:szCs w:val="21"/>
                    </w:rPr>
                  </w:pPr>
                  <w:r>
                    <w:rPr>
                      <w:rFonts w:hint="default" w:ascii="Times New Roman" w:hAnsi="Times New Roman" w:cs="Times New Roman"/>
                      <w:color w:val="auto"/>
                      <w:kern w:val="0"/>
                      <w:sz w:val="21"/>
                      <w:szCs w:val="21"/>
                    </w:rPr>
                    <w:t>2类</w:t>
                  </w:r>
                </w:p>
              </w:tc>
              <w:tc>
                <w:tcPr>
                  <w:tcW w:w="2687" w:type="dxa"/>
                  <w:vAlign w:val="center"/>
                </w:tcPr>
                <w:p w14:paraId="51729255">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60</w:t>
                  </w:r>
                </w:p>
              </w:tc>
              <w:tc>
                <w:tcPr>
                  <w:tcW w:w="2687" w:type="dxa"/>
                  <w:vAlign w:val="center"/>
                </w:tcPr>
                <w:p w14:paraId="6A095AD8">
                  <w:pPr>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50</w:t>
                  </w:r>
                </w:p>
              </w:tc>
            </w:tr>
          </w:tbl>
          <w:p w14:paraId="69731AC6">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2" w:firstLineChars="200"/>
              <w:textAlignment w:val="baseline"/>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5、生态环境</w:t>
            </w:r>
          </w:p>
          <w:p w14:paraId="2E93A59D">
            <w:pPr>
              <w:pStyle w:val="59"/>
              <w:keepNext w:val="0"/>
              <w:keepLines w:val="0"/>
              <w:pageBreakBefore w:val="0"/>
              <w:widowControl w:val="0"/>
              <w:kinsoku/>
              <w:wordWrap/>
              <w:overflowPunct/>
              <w:topLinePunct w:val="0"/>
              <w:autoSpaceDE/>
              <w:autoSpaceDN/>
              <w:bidi w:val="0"/>
              <w:adjustRightInd w:val="0"/>
              <w:snapToGrid/>
              <w:spacing w:line="360" w:lineRule="auto"/>
              <w:ind w:left="0" w:right="0" w:firstLine="480" w:firstLineChars="200"/>
              <w:textAlignment w:val="baseline"/>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生态环境影响评价以不减少区域内濒危珍稀动植物和不破坏当地生态系统完整性为标准；水土流失评价以不改变土壤侵蚀强度为标准，土壤侵蚀标准执行《土壤侵蚀分类分级标准》（SL190-2007）。</w:t>
            </w:r>
          </w:p>
          <w:p w14:paraId="4D5F7CA2">
            <w:pPr>
              <w:pStyle w:val="59"/>
              <w:spacing w:line="460" w:lineRule="exact"/>
              <w:ind w:left="0" w:firstLine="482" w:firstLineChars="200"/>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二、污染物排放标准</w:t>
            </w:r>
          </w:p>
          <w:p w14:paraId="023B887D">
            <w:pPr>
              <w:pStyle w:val="59"/>
              <w:spacing w:line="460" w:lineRule="exact"/>
              <w:ind w:left="0" w:firstLine="482" w:firstLineChars="200"/>
              <w:rPr>
                <w:rFonts w:hint="default" w:ascii="Times New Roman" w:hAnsi="Times New Roman" w:cs="Times New Roman"/>
                <w:b/>
                <w:color w:val="auto"/>
                <w:sz w:val="24"/>
                <w:szCs w:val="24"/>
              </w:rPr>
            </w:pPr>
            <w:r>
              <w:rPr>
                <w:rFonts w:hint="default" w:ascii="Times New Roman" w:hAnsi="Times New Roman" w:cs="Times New Roman"/>
                <w:b/>
                <w:bCs/>
                <w:color w:val="auto"/>
                <w:sz w:val="24"/>
                <w:szCs w:val="24"/>
              </w:rPr>
              <w:t>1、废气</w:t>
            </w:r>
          </w:p>
          <w:p w14:paraId="53B4692B">
            <w:pPr>
              <w:spacing w:line="460" w:lineRule="exact"/>
              <w:ind w:firstLine="480" w:firstLineChars="200"/>
              <w:rPr>
                <w:rFonts w:hint="default" w:ascii="Times New Roman" w:hAnsi="Times New Roman" w:cs="Times New Roman"/>
                <w:bCs/>
                <w:color w:val="auto"/>
                <w:szCs w:val="21"/>
              </w:rPr>
            </w:pPr>
            <w:r>
              <w:rPr>
                <w:rFonts w:hint="default" w:ascii="Times New Roman" w:hAnsi="Times New Roman" w:cs="Times New Roman"/>
                <w:bCs/>
                <w:color w:val="auto"/>
                <w:sz w:val="24"/>
                <w:szCs w:val="24"/>
              </w:rPr>
              <w:t>施工期扬尘执行《四川省施工场地扬尘排放标准》（DB51/2682-2020）。见表3-24。</w:t>
            </w:r>
          </w:p>
          <w:p w14:paraId="27EB8F63">
            <w:pPr>
              <w:snapToGrid w:val="0"/>
              <w:spacing w:line="460" w:lineRule="exact"/>
              <w:ind w:firstLine="422" w:firstLineChars="200"/>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表3-</w:t>
            </w:r>
            <w:r>
              <w:rPr>
                <w:rFonts w:hint="default" w:ascii="Times New Roman" w:hAnsi="Times New Roman" w:cs="Times New Roman"/>
                <w:b/>
                <w:bCs/>
                <w:color w:val="auto"/>
                <w:szCs w:val="21"/>
                <w:lang w:val="en-US" w:eastAsia="zh-CN"/>
              </w:rPr>
              <w:t xml:space="preserve">8 </w:t>
            </w:r>
            <w:r>
              <w:rPr>
                <w:rFonts w:hint="default" w:ascii="Times New Roman" w:hAnsi="Times New Roman" w:cs="Times New Roman"/>
                <w:b/>
                <w:bCs/>
                <w:color w:val="auto"/>
                <w:szCs w:val="21"/>
              </w:rPr>
              <w:t>《四川省施工场地扬尘排放标准》（DB51/2682-2020）</w:t>
            </w:r>
          </w:p>
          <w:tbl>
            <w:tblPr>
              <w:tblStyle w:val="23"/>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07"/>
              <w:gridCol w:w="2693"/>
              <w:gridCol w:w="1474"/>
              <w:gridCol w:w="1526"/>
              <w:gridCol w:w="865"/>
            </w:tblGrid>
            <w:tr w14:paraId="3F105C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3" w:type="pct"/>
                  <w:vAlign w:val="center"/>
                </w:tcPr>
                <w:p w14:paraId="196821E7">
                  <w:pPr>
                    <w:pStyle w:val="59"/>
                    <w:spacing w:line="240" w:lineRule="auto"/>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监测项目</w:t>
                  </w:r>
                </w:p>
              </w:tc>
              <w:tc>
                <w:tcPr>
                  <w:tcW w:w="1690" w:type="pct"/>
                  <w:vAlign w:val="center"/>
                </w:tcPr>
                <w:p w14:paraId="751A68C1">
                  <w:pPr>
                    <w:pStyle w:val="59"/>
                    <w:spacing w:line="240" w:lineRule="auto"/>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区域</w:t>
                  </w:r>
                </w:p>
              </w:tc>
              <w:tc>
                <w:tcPr>
                  <w:tcW w:w="924" w:type="pct"/>
                  <w:vAlign w:val="center"/>
                </w:tcPr>
                <w:p w14:paraId="76635EE1">
                  <w:pPr>
                    <w:pStyle w:val="59"/>
                    <w:spacing w:line="240" w:lineRule="auto"/>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施工阶段</w:t>
                  </w:r>
                </w:p>
              </w:tc>
              <w:tc>
                <w:tcPr>
                  <w:tcW w:w="957" w:type="pct"/>
                  <w:vAlign w:val="center"/>
                </w:tcPr>
                <w:p w14:paraId="50DFB7A0">
                  <w:pPr>
                    <w:pStyle w:val="59"/>
                    <w:spacing w:line="240" w:lineRule="auto"/>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监测点排放限值（μɡ/m</w:t>
                  </w:r>
                  <w:r>
                    <w:rPr>
                      <w:rFonts w:hint="default" w:ascii="Times New Roman" w:hAnsi="Times New Roman" w:cs="Times New Roman"/>
                      <w:b/>
                      <w:bCs/>
                      <w:color w:val="auto"/>
                      <w:sz w:val="21"/>
                      <w:szCs w:val="21"/>
                      <w:vertAlign w:val="superscript"/>
                    </w:rPr>
                    <w:t>3</w:t>
                  </w:r>
                  <w:r>
                    <w:rPr>
                      <w:rFonts w:hint="default" w:ascii="Times New Roman" w:hAnsi="Times New Roman" w:cs="Times New Roman"/>
                      <w:b/>
                      <w:bCs/>
                      <w:color w:val="auto"/>
                      <w:sz w:val="21"/>
                      <w:szCs w:val="21"/>
                    </w:rPr>
                    <w:t>）</w:t>
                  </w:r>
                </w:p>
              </w:tc>
              <w:tc>
                <w:tcPr>
                  <w:tcW w:w="543" w:type="pct"/>
                  <w:vAlign w:val="center"/>
                </w:tcPr>
                <w:p w14:paraId="21392C1A">
                  <w:pPr>
                    <w:pStyle w:val="59"/>
                    <w:spacing w:line="240" w:lineRule="auto"/>
                    <w:ind w:left="0" w:right="0" w:firstLine="0"/>
                    <w:jc w:val="center"/>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监测时间</w:t>
                  </w:r>
                </w:p>
              </w:tc>
            </w:tr>
            <w:tr w14:paraId="11BEA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3" w:type="pct"/>
                  <w:vMerge w:val="restart"/>
                  <w:vAlign w:val="center"/>
                </w:tcPr>
                <w:p w14:paraId="29AAEB72">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总悬浮颗粒物（TSP）</w:t>
                  </w:r>
                </w:p>
              </w:tc>
              <w:tc>
                <w:tcPr>
                  <w:tcW w:w="1690" w:type="pct"/>
                  <w:vMerge w:val="restart"/>
                  <w:vAlign w:val="center"/>
                </w:tcPr>
                <w:p w14:paraId="4B3D93E3">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成都市、自贡市、泸州市、德阳市、绵阳市、广元市、遂宁市、内江市、乐山市、南充市、宜宾市、广安市、</w:t>
                  </w:r>
                  <w:r>
                    <w:rPr>
                      <w:rFonts w:hint="default" w:ascii="Times New Roman" w:hAnsi="Times New Roman" w:cs="Times New Roman"/>
                      <w:b/>
                      <w:color w:val="auto"/>
                      <w:sz w:val="21"/>
                      <w:szCs w:val="21"/>
                    </w:rPr>
                    <w:t>达州市</w:t>
                  </w:r>
                  <w:r>
                    <w:rPr>
                      <w:rFonts w:hint="default" w:ascii="Times New Roman" w:hAnsi="Times New Roman" w:cs="Times New Roman"/>
                      <w:bCs/>
                      <w:color w:val="auto"/>
                      <w:sz w:val="21"/>
                      <w:szCs w:val="21"/>
                    </w:rPr>
                    <w:t>、巴中市、雅安市、眉山市、资阳市</w:t>
                  </w:r>
                </w:p>
              </w:tc>
              <w:tc>
                <w:tcPr>
                  <w:tcW w:w="924" w:type="pct"/>
                  <w:vAlign w:val="center"/>
                </w:tcPr>
                <w:p w14:paraId="62369ADB">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拆除工程/土方开挖/土方回填阶段</w:t>
                  </w:r>
                </w:p>
              </w:tc>
              <w:tc>
                <w:tcPr>
                  <w:tcW w:w="957" w:type="pct"/>
                  <w:vAlign w:val="center"/>
                </w:tcPr>
                <w:p w14:paraId="3896958E">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600</w:t>
                  </w:r>
                </w:p>
              </w:tc>
              <w:tc>
                <w:tcPr>
                  <w:tcW w:w="543" w:type="pct"/>
                  <w:vMerge w:val="restart"/>
                  <w:vAlign w:val="center"/>
                </w:tcPr>
                <w:p w14:paraId="6F3EBB88">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自监测起持续15分钟</w:t>
                  </w:r>
                </w:p>
              </w:tc>
            </w:tr>
            <w:tr w14:paraId="13D22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83" w:type="pct"/>
                  <w:vMerge w:val="continue"/>
                  <w:vAlign w:val="center"/>
                </w:tcPr>
                <w:p w14:paraId="39EA6C25">
                  <w:pPr>
                    <w:pStyle w:val="59"/>
                    <w:spacing w:line="240" w:lineRule="auto"/>
                    <w:ind w:left="0" w:right="0" w:firstLine="0"/>
                    <w:jc w:val="center"/>
                    <w:rPr>
                      <w:rFonts w:hint="default" w:ascii="Times New Roman" w:hAnsi="Times New Roman" w:cs="Times New Roman"/>
                      <w:bCs/>
                      <w:color w:val="auto"/>
                      <w:sz w:val="21"/>
                      <w:szCs w:val="21"/>
                    </w:rPr>
                  </w:pPr>
                </w:p>
              </w:tc>
              <w:tc>
                <w:tcPr>
                  <w:tcW w:w="1690" w:type="pct"/>
                  <w:vMerge w:val="continue"/>
                  <w:vAlign w:val="center"/>
                </w:tcPr>
                <w:p w14:paraId="73D1995E">
                  <w:pPr>
                    <w:pStyle w:val="59"/>
                    <w:spacing w:line="240" w:lineRule="auto"/>
                    <w:ind w:left="0" w:right="0" w:firstLine="0"/>
                    <w:jc w:val="center"/>
                    <w:rPr>
                      <w:rFonts w:hint="default" w:ascii="Times New Roman" w:hAnsi="Times New Roman" w:cs="Times New Roman"/>
                      <w:bCs/>
                      <w:color w:val="auto"/>
                      <w:sz w:val="21"/>
                      <w:szCs w:val="21"/>
                    </w:rPr>
                  </w:pPr>
                </w:p>
              </w:tc>
              <w:tc>
                <w:tcPr>
                  <w:tcW w:w="924" w:type="pct"/>
                  <w:vAlign w:val="center"/>
                </w:tcPr>
                <w:p w14:paraId="66CFAB53">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其他工程阶段</w:t>
                  </w:r>
                </w:p>
              </w:tc>
              <w:tc>
                <w:tcPr>
                  <w:tcW w:w="957" w:type="pct"/>
                  <w:vAlign w:val="center"/>
                </w:tcPr>
                <w:p w14:paraId="31EFB139">
                  <w:pPr>
                    <w:pStyle w:val="59"/>
                    <w:spacing w:line="240" w:lineRule="auto"/>
                    <w:ind w:left="0" w:right="0" w:firstLine="0"/>
                    <w:jc w:val="center"/>
                    <w:rPr>
                      <w:rFonts w:hint="default" w:ascii="Times New Roman" w:hAnsi="Times New Roman" w:cs="Times New Roman"/>
                      <w:bCs/>
                      <w:color w:val="auto"/>
                      <w:sz w:val="21"/>
                      <w:szCs w:val="21"/>
                    </w:rPr>
                  </w:pPr>
                  <w:r>
                    <w:rPr>
                      <w:rFonts w:hint="default" w:ascii="Times New Roman" w:hAnsi="Times New Roman" w:cs="Times New Roman"/>
                      <w:bCs/>
                      <w:color w:val="auto"/>
                      <w:sz w:val="21"/>
                      <w:szCs w:val="21"/>
                    </w:rPr>
                    <w:t>250</w:t>
                  </w:r>
                </w:p>
              </w:tc>
              <w:tc>
                <w:tcPr>
                  <w:tcW w:w="543" w:type="pct"/>
                  <w:vMerge w:val="continue"/>
                  <w:vAlign w:val="center"/>
                </w:tcPr>
                <w:p w14:paraId="046BC7E9">
                  <w:pPr>
                    <w:pStyle w:val="59"/>
                    <w:spacing w:line="240" w:lineRule="auto"/>
                    <w:ind w:left="0" w:right="0" w:firstLine="0"/>
                    <w:jc w:val="center"/>
                    <w:rPr>
                      <w:rFonts w:hint="default" w:ascii="Times New Roman" w:hAnsi="Times New Roman" w:cs="Times New Roman"/>
                      <w:b/>
                      <w:bCs/>
                      <w:color w:val="auto"/>
                      <w:sz w:val="21"/>
                      <w:szCs w:val="21"/>
                    </w:rPr>
                  </w:pPr>
                </w:p>
              </w:tc>
            </w:tr>
          </w:tbl>
          <w:p w14:paraId="017FBA5A">
            <w:pPr>
              <w:pStyle w:val="59"/>
              <w:spacing w:line="460" w:lineRule="exact"/>
              <w:ind w:left="0"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2、废水</w:t>
            </w:r>
          </w:p>
          <w:p w14:paraId="13CA494F">
            <w:pPr>
              <w:pStyle w:val="59"/>
              <w:spacing w:line="460" w:lineRule="exact"/>
              <w:ind w:left="0" w:right="0" w:firstLine="480" w:firstLineChars="200"/>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施工期施工废水经隔油沉淀后回用，不外排；</w:t>
            </w:r>
            <w:r>
              <w:rPr>
                <w:rFonts w:hint="default" w:ascii="Times New Roman" w:hAnsi="Times New Roman" w:cs="Times New Roman"/>
                <w:color w:val="auto"/>
              </w:rPr>
              <w:t>生活污水</w:t>
            </w:r>
            <w:r>
              <w:rPr>
                <w:rFonts w:hint="default" w:ascii="Times New Roman" w:hAnsi="Times New Roman" w:cs="Times New Roman"/>
                <w:color w:val="auto"/>
                <w:lang w:val="en-US" w:eastAsia="zh-CN"/>
              </w:rPr>
              <w:t>由预处理池收集后，定期拉运至周边污水处理厂</w:t>
            </w:r>
            <w:r>
              <w:rPr>
                <w:rFonts w:hint="default" w:ascii="Times New Roman" w:hAnsi="Times New Roman" w:cs="Times New Roman"/>
                <w:color w:val="auto"/>
              </w:rPr>
              <w:t>，不外排</w:t>
            </w:r>
            <w:r>
              <w:rPr>
                <w:rFonts w:hint="default" w:ascii="Times New Roman" w:hAnsi="Times New Roman" w:cs="Times New Roman"/>
                <w:bCs/>
                <w:color w:val="auto"/>
                <w:sz w:val="24"/>
                <w:szCs w:val="24"/>
              </w:rPr>
              <w:t>。</w:t>
            </w:r>
          </w:p>
          <w:p w14:paraId="147CF309">
            <w:pPr>
              <w:pStyle w:val="59"/>
              <w:spacing w:line="460" w:lineRule="exact"/>
              <w:ind w:left="420" w:leftChars="200" w:firstLine="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3、噪声</w:t>
            </w:r>
          </w:p>
          <w:p w14:paraId="5DA635D0">
            <w:pPr>
              <w:pStyle w:val="59"/>
              <w:spacing w:line="460" w:lineRule="exact"/>
              <w:ind w:left="0" w:firstLine="480" w:firstLineChars="200"/>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施工期噪声执行《建筑施工场界环境噪声排放标准》（GB12523-2011）限值。</w:t>
            </w:r>
          </w:p>
          <w:p w14:paraId="7414ED27">
            <w:pPr>
              <w:snapToGrid w:val="0"/>
              <w:spacing w:line="460" w:lineRule="exact"/>
              <w:jc w:val="center"/>
              <w:rPr>
                <w:rFonts w:hint="default" w:ascii="Times New Roman" w:hAnsi="Times New Roman" w:cs="Times New Roman"/>
                <w:color w:val="auto"/>
                <w:szCs w:val="21"/>
              </w:rPr>
            </w:pPr>
            <w:r>
              <w:rPr>
                <w:rFonts w:hint="default" w:ascii="Times New Roman" w:hAnsi="Times New Roman" w:cs="Times New Roman"/>
                <w:b/>
                <w:color w:val="auto"/>
                <w:szCs w:val="21"/>
              </w:rPr>
              <w:t>表3-</w:t>
            </w:r>
            <w:r>
              <w:rPr>
                <w:rFonts w:hint="default" w:ascii="Times New Roman" w:hAnsi="Times New Roman" w:cs="Times New Roman"/>
                <w:b/>
                <w:color w:val="auto"/>
                <w:szCs w:val="21"/>
                <w:lang w:val="en-US" w:eastAsia="zh-CN"/>
              </w:rPr>
              <w:t xml:space="preserve">9 </w:t>
            </w:r>
            <w:r>
              <w:rPr>
                <w:rFonts w:hint="default" w:ascii="Times New Roman" w:hAnsi="Times New Roman" w:cs="Times New Roman"/>
                <w:b/>
                <w:color w:val="auto"/>
                <w:szCs w:val="21"/>
              </w:rPr>
              <w:t>施工期噪声排放限值</w:t>
            </w:r>
          </w:p>
          <w:tbl>
            <w:tblPr>
              <w:tblStyle w:val="23"/>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62"/>
              <w:gridCol w:w="2292"/>
              <w:gridCol w:w="2710"/>
            </w:tblGrid>
            <w:tr w14:paraId="578AA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68" w:type="dxa"/>
                  <w:vAlign w:val="center"/>
                </w:tcPr>
                <w:p w14:paraId="6FB9AFA5">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阶段</w:t>
                  </w:r>
                </w:p>
              </w:tc>
              <w:tc>
                <w:tcPr>
                  <w:tcW w:w="2296" w:type="dxa"/>
                  <w:vAlign w:val="center"/>
                </w:tcPr>
                <w:p w14:paraId="4DC44555">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昼间（dB(A)）</w:t>
                  </w:r>
                </w:p>
              </w:tc>
              <w:tc>
                <w:tcPr>
                  <w:tcW w:w="2714" w:type="dxa"/>
                  <w:vAlign w:val="center"/>
                </w:tcPr>
                <w:p w14:paraId="5227E2AF">
                  <w:pPr>
                    <w:jc w:val="center"/>
                    <w:rPr>
                      <w:rFonts w:hint="default" w:ascii="Times New Roman" w:hAnsi="Times New Roman" w:cs="Times New Roman"/>
                      <w:b/>
                      <w:color w:val="auto"/>
                      <w:szCs w:val="21"/>
                    </w:rPr>
                  </w:pPr>
                  <w:r>
                    <w:rPr>
                      <w:rFonts w:hint="default" w:ascii="Times New Roman" w:hAnsi="Times New Roman" w:cs="Times New Roman"/>
                      <w:b/>
                      <w:color w:val="auto"/>
                      <w:szCs w:val="21"/>
                    </w:rPr>
                    <w:t>夜间（dB(A)）</w:t>
                  </w:r>
                </w:p>
              </w:tc>
            </w:tr>
            <w:tr w14:paraId="0E98DA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68" w:type="dxa"/>
                  <w:vAlign w:val="center"/>
                </w:tcPr>
                <w:p w14:paraId="20A5B7A3">
                  <w:pPr>
                    <w:jc w:val="center"/>
                    <w:rPr>
                      <w:rFonts w:hint="default" w:ascii="Times New Roman" w:hAnsi="Times New Roman" w:cs="Times New Roman"/>
                      <w:color w:val="auto"/>
                      <w:szCs w:val="21"/>
                    </w:rPr>
                  </w:pPr>
                  <w:r>
                    <w:rPr>
                      <w:rFonts w:hint="default" w:ascii="Times New Roman" w:hAnsi="Times New Roman" w:cs="Times New Roman"/>
                      <w:color w:val="auto"/>
                      <w:szCs w:val="21"/>
                    </w:rPr>
                    <w:t>施工期</w:t>
                  </w:r>
                </w:p>
              </w:tc>
              <w:tc>
                <w:tcPr>
                  <w:tcW w:w="2296" w:type="dxa"/>
                  <w:vAlign w:val="center"/>
                </w:tcPr>
                <w:p w14:paraId="0A46FC07">
                  <w:pPr>
                    <w:jc w:val="center"/>
                    <w:rPr>
                      <w:rFonts w:hint="default" w:ascii="Times New Roman" w:hAnsi="Times New Roman" w:cs="Times New Roman"/>
                      <w:color w:val="auto"/>
                      <w:szCs w:val="21"/>
                    </w:rPr>
                  </w:pPr>
                  <w:r>
                    <w:rPr>
                      <w:rFonts w:hint="default" w:ascii="Times New Roman" w:hAnsi="Times New Roman" w:cs="Times New Roman"/>
                      <w:color w:val="auto"/>
                      <w:szCs w:val="21"/>
                    </w:rPr>
                    <w:t>70</w:t>
                  </w:r>
                </w:p>
              </w:tc>
              <w:tc>
                <w:tcPr>
                  <w:tcW w:w="2714" w:type="dxa"/>
                  <w:vAlign w:val="center"/>
                </w:tcPr>
                <w:p w14:paraId="1437AE6D">
                  <w:pPr>
                    <w:jc w:val="center"/>
                    <w:rPr>
                      <w:rFonts w:hint="default" w:ascii="Times New Roman" w:hAnsi="Times New Roman" w:cs="Times New Roman"/>
                      <w:color w:val="auto"/>
                      <w:szCs w:val="21"/>
                    </w:rPr>
                  </w:pPr>
                  <w:r>
                    <w:rPr>
                      <w:rFonts w:hint="default" w:ascii="Times New Roman" w:hAnsi="Times New Roman" w:cs="Times New Roman"/>
                      <w:color w:val="auto"/>
                      <w:szCs w:val="21"/>
                    </w:rPr>
                    <w:t>55</w:t>
                  </w:r>
                </w:p>
              </w:tc>
            </w:tr>
          </w:tbl>
          <w:p w14:paraId="7192AA4F">
            <w:pPr>
              <w:pStyle w:val="59"/>
              <w:spacing w:line="460" w:lineRule="exact"/>
              <w:ind w:left="0" w:firstLine="482" w:firstLineChars="200"/>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4、固体废物</w:t>
            </w:r>
          </w:p>
          <w:p w14:paraId="443C739D">
            <w:pPr>
              <w:pStyle w:val="59"/>
              <w:spacing w:line="460" w:lineRule="exact"/>
              <w:ind w:left="0" w:firstLine="480" w:firstLineChars="200"/>
              <w:rPr>
                <w:rFonts w:hint="default" w:ascii="Times New Roman" w:hAnsi="Times New Roman" w:cs="Times New Roman"/>
                <w:color w:val="auto"/>
                <w:szCs w:val="21"/>
              </w:rPr>
            </w:pPr>
            <w:r>
              <w:rPr>
                <w:rFonts w:hint="default" w:ascii="Times New Roman" w:hAnsi="Times New Roman" w:cs="Times New Roman"/>
                <w:bCs/>
                <w:color w:val="auto"/>
                <w:sz w:val="24"/>
                <w:szCs w:val="24"/>
              </w:rPr>
              <w:t>一般工业固体废物处理执行《一般工业固体废物贮存和填埋污染控制标准》（GB18599-2020）中相关规定。</w:t>
            </w:r>
          </w:p>
        </w:tc>
      </w:tr>
      <w:tr w14:paraId="1491B9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0" w:hRule="atLeast"/>
          <w:jc w:val="center"/>
        </w:trPr>
        <w:tc>
          <w:tcPr>
            <w:tcW w:w="800" w:type="dxa"/>
            <w:vAlign w:val="center"/>
          </w:tcPr>
          <w:p w14:paraId="57C9BAC3">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Cs w:val="21"/>
              </w:rPr>
              <w:t>其他</w:t>
            </w:r>
          </w:p>
        </w:tc>
        <w:tc>
          <w:tcPr>
            <w:tcW w:w="8190" w:type="dxa"/>
            <w:vAlign w:val="center"/>
          </w:tcPr>
          <w:p w14:paraId="5C191BA3">
            <w:pPr>
              <w:pStyle w:val="59"/>
              <w:spacing w:line="460" w:lineRule="exact"/>
              <w:ind w:left="0" w:firstLine="480" w:firstLineChars="200"/>
              <w:rPr>
                <w:rFonts w:hint="default" w:ascii="Times New Roman" w:hAnsi="Times New Roman" w:cs="Times New Roman"/>
                <w:color w:val="auto"/>
              </w:rPr>
            </w:pPr>
            <w:r>
              <w:rPr>
                <w:rFonts w:hint="default" w:ascii="Times New Roman" w:hAnsi="Times New Roman" w:cs="Times New Roman"/>
                <w:bCs/>
                <w:color w:val="auto"/>
                <w:sz w:val="24"/>
                <w:szCs w:val="24"/>
                <w:lang w:val="de-DE"/>
              </w:rPr>
              <w:t>本项目</w:t>
            </w:r>
            <w:r>
              <w:rPr>
                <w:rFonts w:hint="default" w:ascii="Times New Roman" w:hAnsi="Times New Roman" w:cs="Times New Roman"/>
                <w:bCs/>
                <w:color w:val="auto"/>
                <w:sz w:val="24"/>
                <w:szCs w:val="24"/>
              </w:rPr>
              <w:t>为生态影响类</w:t>
            </w:r>
            <w:r>
              <w:rPr>
                <w:rFonts w:hint="default" w:ascii="Times New Roman" w:hAnsi="Times New Roman" w:cs="Times New Roman"/>
                <w:bCs/>
                <w:color w:val="auto"/>
                <w:sz w:val="24"/>
                <w:szCs w:val="24"/>
                <w:lang w:val="de-DE"/>
              </w:rPr>
              <w:t>，不涉及国家相关环境保护法律法规规定纳入总量控制计划管理的污染物的排放，</w:t>
            </w:r>
            <w:r>
              <w:rPr>
                <w:rFonts w:hint="default" w:ascii="Times New Roman" w:hAnsi="Times New Roman" w:cs="Times New Roman"/>
                <w:bCs/>
                <w:color w:val="auto"/>
                <w:sz w:val="24"/>
                <w:szCs w:val="24"/>
              </w:rPr>
              <w:t>故</w:t>
            </w:r>
            <w:r>
              <w:rPr>
                <w:rFonts w:hint="default" w:ascii="Times New Roman" w:hAnsi="Times New Roman" w:cs="Times New Roman"/>
                <w:bCs/>
                <w:color w:val="auto"/>
                <w:sz w:val="24"/>
                <w:szCs w:val="24"/>
                <w:lang w:val="de-DE"/>
              </w:rPr>
              <w:t>本项目不需设置总量控制指标。</w:t>
            </w:r>
          </w:p>
        </w:tc>
      </w:tr>
    </w:tbl>
    <w:p w14:paraId="7AF98339">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6"/>
          <w:szCs w:val="36"/>
        </w:rPr>
        <w:br w:type="page"/>
      </w:r>
      <w:bookmarkStart w:id="12" w:name="_Toc7441"/>
      <w:r>
        <w:rPr>
          <w:rFonts w:hint="default" w:ascii="Times New Roman" w:hAnsi="Times New Roman" w:eastAsia="黑体" w:cs="Times New Roman"/>
          <w:snapToGrid w:val="0"/>
          <w:color w:val="auto"/>
          <w:sz w:val="30"/>
          <w:szCs w:val="30"/>
        </w:rPr>
        <w:t>四、生态环境影响分析</w:t>
      </w:r>
      <w:bookmarkEnd w:id="12"/>
    </w:p>
    <w:tbl>
      <w:tblPr>
        <w:tblStyle w:val="23"/>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169D86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7A1679DA">
            <w:pPr>
              <w:pStyle w:val="20"/>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1"/>
                <w:szCs w:val="21"/>
              </w:rPr>
              <w:t>施工期生态环境影响分析</w:t>
            </w:r>
          </w:p>
        </w:tc>
        <w:tc>
          <w:tcPr>
            <w:tcW w:w="8162" w:type="dxa"/>
            <w:vAlign w:val="center"/>
          </w:tcPr>
          <w:p w14:paraId="2887027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1、环境空气影响分析</w:t>
            </w:r>
          </w:p>
          <w:p w14:paraId="0EF7866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（1）施工扬尘</w:t>
            </w:r>
          </w:p>
          <w:p w14:paraId="4489C7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本项目施工扬尘主要产生于施工车辆行驶产生的扬尘及路基开挖产生的风力扬尘等。</w:t>
            </w:r>
          </w:p>
          <w:p w14:paraId="3B5D650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采用相似道路施工扬尘监测资料做类比分析，施工场地下风向50m处TSP浓度为8.90mg/m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，100m处浓度为1.65mg/m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，150m处已基本无影响。施工过程中，道路施工在混合土工序阶段，运输车辆来往来引起的扬尘是最严重的扬尘污染，在距路边下风向50m处TSP浓度&gt;10mg/m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，150m处TSP浓度&gt;4mg/m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w:t>
            </w:r>
          </w:p>
          <w:p w14:paraId="39CC83B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一般情况下，施工场地、施工道路在自然风的作用下产生的扬尘所影响的范围在100米范围以内。施工扬尘对附近居民影响较大，因此在施工场地应采取适当的防护措施，对建筑材料等用毡布进行遮盖，减少材料裸露的时间以减小扬尘对居民的影响。如果在施工期间对车辆行驶的路面实施洒水抑尘，每天洒水1~2次，可减少70%。</w:t>
            </w:r>
          </w:p>
          <w:p w14:paraId="6E7A80A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本项目沿线居民在公路红线两侧200m范围内将受到一定影响，为减小施工期扬尘的环境影响，环评要求在施工中采取以下措施：</w:t>
            </w:r>
          </w:p>
          <w:p w14:paraId="43223CD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①严格落实施工区域范围，并定期进行洒水降尘；</w:t>
            </w:r>
          </w:p>
          <w:p w14:paraId="532C981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②在集中居民点施工路段，施工现场设置2m高围挡；</w:t>
            </w:r>
          </w:p>
          <w:p w14:paraId="36A739C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③运输车辆物料采用帆布全遮挡，及时清扫可能撒漏的物料；</w:t>
            </w:r>
          </w:p>
          <w:p w14:paraId="1E65463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④在经过居民集中点施工路段，运输车辆控制车速，设置警示牌；</w:t>
            </w:r>
          </w:p>
          <w:p w14:paraId="09EC1C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⑤施工场地内建筑用料临时堆放点进行必要的遮盖，抑制二次扬尘量；</w:t>
            </w:r>
          </w:p>
          <w:p w14:paraId="5B70709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⑥强化施工场地进出口硬化、设置冲洗平台等措施；</w:t>
            </w:r>
          </w:p>
          <w:p w14:paraId="270FB98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⑦加强施工机械日常维修维护。</w:t>
            </w:r>
          </w:p>
          <w:p w14:paraId="19B4AB7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采取上述措施后，可有效控制施工期扬尘对周边环境及环境保护目标的影响。</w:t>
            </w:r>
          </w:p>
          <w:p w14:paraId="60016A7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（2）施工机械和运输车辆燃油废气</w:t>
            </w:r>
          </w:p>
          <w:p w14:paraId="28B02E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间，使用机动车运送原材料、渣土，机械设备的运转，均会排放一定量的CO、NOx等，其特点是排放量小，且属间断性无组织排放，加之施工场地开阔，扩散条件良好，施工期机械燃油废气及运输车辆尾气可实现达标排放。</w:t>
            </w:r>
          </w:p>
          <w:p w14:paraId="683230D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另外，施工单位应选择尾气排放达标的施工机械和运输车辆，安排专人注意加强施工机械维护，确保机械设备正常运行。采取以上措施后，施工机械燃油废气和运输车辆尾气对环境空气影响较小。</w:t>
            </w:r>
          </w:p>
          <w:p w14:paraId="1BE9093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（3）沥青烟</w:t>
            </w:r>
          </w:p>
          <w:p w14:paraId="3635DC1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路面铺设采用改性沥青，均使用商品沥青，由专用运输车运至现场，立即铺设，约2～3小时后即固化可通车，液体沥青在施工现场停留时间较短，因此，产生的沥青烟很少，根据类比资料，沥青在铺设过程中沥青烟的排放浓度为12.5~17.0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，路面铺设过程沥青烟排放浓度符合《大气污染物综合排放标准》（GB16297-1996）中的沥青烟排放限值（80～150mg/m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）要求，不会对周围的环境造成明显影响。</w:t>
            </w:r>
          </w:p>
          <w:p w14:paraId="2212EFA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（4）焊接废气影响分析</w:t>
            </w:r>
          </w:p>
          <w:p w14:paraId="5601BC1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设置预制场，配套有钢筋加工棚，以及桥梁工程施工钢筋作业均涉及焊接工序。在加工棚内设置移动式焊接烟气净化设施进行处理后排放；桥梁工程施工区焊接作业相对较少，且周边区域空旷，烟气直接排入大气，对周边环境空气的影响较小。</w:t>
            </w:r>
          </w:p>
          <w:p w14:paraId="3FDF78B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2、地表水环境影响分析</w:t>
            </w:r>
          </w:p>
          <w:p w14:paraId="718F8D7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施工期的水污染源主要是施工废水、施工人员生活污水、初期雨水。</w:t>
            </w:r>
          </w:p>
          <w:p w14:paraId="5A80011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（1）施工废水</w:t>
            </w:r>
          </w:p>
          <w:p w14:paraId="0E6E27E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本项目机械产生故障后运至专业的维修单位进行修理，不设置机械维修点。施工废水主要包括预制梁养护废水、施工机械和车辆冲洗废水、桥梁施工泥浆废水。</w:t>
            </w:r>
          </w:p>
          <w:p w14:paraId="49C99D5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①预制梁养护废水</w:t>
            </w:r>
          </w:p>
          <w:p w14:paraId="243B55B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各施工场地现场设置预制场进行制梁，混凝土浇筑后需进行养护。养护废水经场内截排水沟收集至沉淀池内预处理后循环使用或洒水抑尘。</w:t>
            </w:r>
          </w:p>
          <w:p w14:paraId="1DC2E45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②施工机械和车辆冲洗废水</w:t>
            </w:r>
          </w:p>
          <w:p w14:paraId="6C00A4A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各施工场地施工机械设备和运输车辆均设置冲洗平台进行清洗，主要污染因子为SS和石油类。施工高峰期每天冲洗机械设备和运输车辆约35辆（台），每次每台平均冲洗废水产生量约为0.25m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，按每天1次，则冲洗废水量为8.75m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/d。施工冲洗废水经隔油沉淀池处理后循环使用，不外排。</w:t>
            </w:r>
          </w:p>
          <w:p w14:paraId="44D87B6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（2）生活污水</w:t>
            </w:r>
          </w:p>
          <w:p w14:paraId="3A9FF1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本项目施工人员租住周边民房，生活污水由预处理池收集后，定期拉运至周边污水处理厂，不外排。</w:t>
            </w:r>
          </w:p>
          <w:p w14:paraId="2021F75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（3）初期雨水</w:t>
            </w:r>
          </w:p>
          <w:p w14:paraId="2C1BAAE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各施工场地四周修建雨水沟，对初期雨水进行收集至沉淀池，经沉淀处理后可回用于场内洒水。</w:t>
            </w:r>
          </w:p>
          <w:p w14:paraId="6AA473B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在采取上述措施后，本项目施工期废水对周围地表水影响较小。</w:t>
            </w:r>
          </w:p>
          <w:p w14:paraId="53F6B756">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3、声环境影响分析</w:t>
            </w:r>
          </w:p>
          <w:p w14:paraId="4F4E98F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本项目施工期噪声影响包括主体工程施工区机械设备运行噪声和施工运输车辆交通噪声。</w:t>
            </w:r>
            <w:r>
              <w:rPr>
                <w:rFonts w:hint="default" w:ascii="Times New Roman" w:hAnsi="Times New Roman" w:cs="Times New Roman"/>
                <w:color w:val="auto"/>
                <w:sz w:val="24"/>
                <w:szCs w:val="24"/>
                <w:lang w:val="en-US" w:eastAsia="zh-CN"/>
              </w:rPr>
              <w:t>本项目施工设备均使用《低噪声施工设备指导名录》（2024 年版）中的设备。</w:t>
            </w:r>
          </w:p>
          <w:p w14:paraId="50557E1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机械噪声声源相对固定，持续时间长，设备声功率级高，一般源强在75dB(A)~100dB(A)；运输车辆噪声具有流动性及不稳定性的特点，该类噪声属于线源污染，源强与行车速度、装载量等因素相关，影响范围主要为运输沿线两侧一定范围内。根据类比工程经验，道路交通噪声的影响范围集中在公路两侧150m范围内，施工机械噪声影响主要在距离上述施工场所400m范围内。</w:t>
            </w:r>
          </w:p>
          <w:p w14:paraId="5F7A25C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结合外环境关系介绍，施工期噪声环境影响对象主要是沿线两侧的村庄居民，因此需要合理安排施工时间、优化施工布局、严格施工管理、加强施工人员培训教育</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夜间禁止施工</w:t>
            </w:r>
            <w:r>
              <w:rPr>
                <w:rFonts w:hint="default" w:ascii="Times New Roman" w:hAnsi="Times New Roman" w:cs="Times New Roman"/>
                <w:color w:val="auto"/>
                <w:sz w:val="24"/>
                <w:szCs w:val="24"/>
              </w:rPr>
              <w:t>等来降低对周边环境和居民的影响。且施工期噪声污染是暂时的，随着施工期的结束而消失。详见“声环境影响专项”。</w:t>
            </w:r>
          </w:p>
          <w:p w14:paraId="5DC9EDD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4、固体废弃物环境影响分析</w:t>
            </w:r>
          </w:p>
          <w:p w14:paraId="11C4114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施工期产生的固体废物主要包括建筑垃圾、弃方、生活垃圾、钻渣、污泥、钢筋加工产生的废机油、废焊条、焊渣。</w:t>
            </w:r>
          </w:p>
          <w:p w14:paraId="2E4B623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（1）建筑垃圾</w:t>
            </w:r>
          </w:p>
          <w:p w14:paraId="686798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建筑垃圾主要来自施工作业，包括砂石、石块、水泥、废木料、废钢筋等杂物，在遇大风及干燥天气时将产生扬尘。施工生产的废料首先应考虑废料的回收利用，对钢筋、钢板、木材等下角料可分类回收，交废物收购站处理；对不能回收的建筑垃圾，如混凝土废料、含砖、砂石等及时清运到</w:t>
            </w:r>
            <w:r>
              <w:rPr>
                <w:rFonts w:hint="default" w:ascii="Times New Roman" w:hAnsi="Times New Roman" w:cs="Times New Roman"/>
                <w:color w:val="auto"/>
                <w:sz w:val="24"/>
                <w:szCs w:val="32"/>
              </w:rPr>
              <w:t>项目规划的</w:t>
            </w:r>
            <w:r>
              <w:rPr>
                <w:rFonts w:hint="default" w:ascii="Times New Roman" w:hAnsi="Times New Roman" w:cs="Times New Roman"/>
                <w:color w:val="auto"/>
                <w:sz w:val="24"/>
                <w:szCs w:val="32"/>
                <w:lang w:val="en-US" w:eastAsia="zh-CN"/>
              </w:rPr>
              <w:t>2</w:t>
            </w:r>
            <w:r>
              <w:rPr>
                <w:rFonts w:hint="default" w:ascii="Times New Roman" w:hAnsi="Times New Roman" w:cs="Times New Roman"/>
                <w:color w:val="auto"/>
                <w:sz w:val="24"/>
                <w:szCs w:val="32"/>
              </w:rPr>
              <w:t>处弃土场集中堆放</w:t>
            </w:r>
            <w:r>
              <w:rPr>
                <w:rFonts w:hint="default" w:ascii="Times New Roman" w:hAnsi="Times New Roman" w:cs="Times New Roman"/>
                <w:color w:val="auto"/>
                <w:sz w:val="24"/>
                <w:szCs w:val="24"/>
              </w:rPr>
              <w:t>。</w:t>
            </w:r>
          </w:p>
          <w:p w14:paraId="7F00E95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（2）弃方</w:t>
            </w:r>
          </w:p>
          <w:p w14:paraId="49DDA91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本项目总弃方量为</w:t>
            </w:r>
            <w:r>
              <w:rPr>
                <w:rFonts w:hint="default" w:ascii="Times New Roman" w:hAnsi="Times New Roman" w:cs="Times New Roman"/>
                <w:color w:val="auto"/>
                <w:sz w:val="24"/>
                <w:szCs w:val="24"/>
                <w:lang w:val="en-US" w:eastAsia="zh-CN"/>
              </w:rPr>
              <w:t>80500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，运至规划的</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处弃土场集中堆放。</w:t>
            </w:r>
          </w:p>
          <w:p w14:paraId="3B7DF2D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（3）施工人员生活垃圾</w:t>
            </w:r>
          </w:p>
          <w:p w14:paraId="79DD769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生活垃圾集中收集后委托当地环卫部门定期清运处理。</w:t>
            </w:r>
          </w:p>
          <w:p w14:paraId="15E443B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（4）钻渣、污泥</w:t>
            </w:r>
          </w:p>
          <w:p w14:paraId="6D6DDF8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桥梁基础施工产生的钻渣运至规划的弃土场堆放。</w:t>
            </w:r>
          </w:p>
          <w:p w14:paraId="77A0DD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桥梁基础施工围堰和钻孔工序产生的泥浆废水采用泥浆池、沉淀池沉淀晾干后与施工场地废水沉淀池产生的污泥，均运至项目规划的弃土场。</w:t>
            </w:r>
          </w:p>
          <w:p w14:paraId="10164B3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（5）废机油</w:t>
            </w:r>
          </w:p>
          <w:p w14:paraId="17218D8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施工场地钢筋加工会产生废机油，需交由有资质单位妥善处置。</w:t>
            </w:r>
          </w:p>
          <w:p w14:paraId="6DC750A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（6）废焊条、焊渣</w:t>
            </w:r>
          </w:p>
          <w:p w14:paraId="33EEF20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施工场地钢筋加工会产生废焊条、焊渣，经收集后卖至废品回收站。</w:t>
            </w:r>
          </w:p>
          <w:p w14:paraId="7E3ADAB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施工期固体废弃物经上述妥善处理后可确保不对环境造成二次污染，施工期产生的固体废物对环境影响较小。</w:t>
            </w:r>
          </w:p>
          <w:p w14:paraId="35EAFC2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5、生态影响分析</w:t>
            </w:r>
          </w:p>
          <w:p w14:paraId="56D9502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（1）对陆生动植物的影响</w:t>
            </w:r>
          </w:p>
          <w:p w14:paraId="65212DC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本项目对生物多样性的影响表现为直接影响、间接影响和累积影响三个方面，其中在施工期对生物多样性的影响以直接影响为主，建成后，对生物多样性的影响主要为间接影响和累积影响。</w:t>
            </w:r>
          </w:p>
          <w:p w14:paraId="1E83E93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期对陆生植被及植物多样性最直接的影响为地表植被清除。在施工区域，受影响的陆生植物包括自然植物和人工植物，其中自然植物主要为次生草本植物和灌木林，在施工区内没有区域特有植物分布、没有国家级和省级重点保护植物的分布、也没有珍稀濒危植物种类。因此，本项目在地表植被清除过程中，不会导致植物物种灭绝或消失，只会造成植物种群数量的减少，引起区域生物量下降。施工期不会对区域植物造成大的影响。</w:t>
            </w:r>
          </w:p>
          <w:p w14:paraId="6BCD1C0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沿线无国家保护、省级保护或珍稀濒危动物，主要为一些常见的啮齿类、两栖类等动物，亦不涉及动物迁徙路线，因此项目的建设虽然对周围常见动物有所干扰，但动物有趋利避害的本能，故施工期不会造成区域生物多样性的减少。</w:t>
            </w:r>
          </w:p>
          <w:p w14:paraId="43BD984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综上，本项目施工对区域内动植物不会产生较大影响。</w:t>
            </w:r>
          </w:p>
          <w:p w14:paraId="6D29B61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w:t>
            </w:r>
            <w:r>
              <w:rPr>
                <w:rFonts w:hint="default" w:ascii="Times New Roman" w:hAnsi="Times New Roman" w:cs="Times New Roman"/>
                <w:b/>
                <w:bCs/>
                <w:color w:val="auto"/>
                <w:sz w:val="24"/>
                <w:szCs w:val="24"/>
                <w:lang w:val="en-US" w:eastAsia="zh-CN"/>
              </w:rPr>
              <w:t>2</w:t>
            </w:r>
            <w:r>
              <w:rPr>
                <w:rFonts w:hint="default" w:ascii="Times New Roman" w:hAnsi="Times New Roman" w:cs="Times New Roman"/>
                <w:b/>
                <w:bCs/>
                <w:color w:val="auto"/>
                <w:sz w:val="24"/>
                <w:szCs w:val="24"/>
              </w:rPr>
              <w:t>）工程占地的影响</w:t>
            </w:r>
          </w:p>
          <w:p w14:paraId="559E47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占地分为永久占地和临时占地。永久占地将改变项目区域内原有土地性质及功能，将引发区域生物量下降等问题，项目建成后，将使道路两侧的土地连贯性受到破坏，影响当地农地、林地等景观的完整性。施工期间物料临时堆场等临时占地将临时影响占地范围内的土地利用现状，影响时间与工程工期有关，施工结束，可通过人工恢复为原有土地利用类型。</w:t>
            </w:r>
          </w:p>
          <w:p w14:paraId="6598943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总体而言，本项目的永久占地是长期的，是支撑工程建设的基础，临时占地是暂时的，可受人为调控的。为减少项目占地对区域土地利用类型的影响，在项目路基、路面施工过程中，物料临时堆场等严禁设于项目征地范围之外。此外，工程施工结束后，应尽快恢复临时占地的土地类型。</w:t>
            </w:r>
          </w:p>
          <w:p w14:paraId="0313B49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3</w:t>
            </w:r>
            <w:r>
              <w:rPr>
                <w:rFonts w:hint="default" w:ascii="Times New Roman" w:hAnsi="Times New Roman" w:cs="Times New Roman"/>
                <w:b/>
                <w:bCs/>
                <w:color w:val="auto"/>
                <w:sz w:val="24"/>
                <w:szCs w:val="24"/>
                <w:lang w:eastAsia="zh-CN"/>
              </w:rPr>
              <w:t>）隧道工程</w:t>
            </w:r>
            <w:r>
              <w:rPr>
                <w:rFonts w:hint="default" w:ascii="Times New Roman" w:hAnsi="Times New Roman" w:cs="Times New Roman"/>
                <w:b/>
                <w:bCs/>
                <w:color w:val="auto"/>
                <w:sz w:val="24"/>
                <w:szCs w:val="24"/>
                <w:lang w:val="en-US" w:eastAsia="zh-CN"/>
              </w:rPr>
              <w:t>对植被、地下水和景观的影响分析</w:t>
            </w:r>
          </w:p>
          <w:p w14:paraId="78E2F49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rPr>
              <w:t>隧道施工对生态环境的影响主要表现在隧道洞口开挖</w:t>
            </w:r>
            <w:r>
              <w:rPr>
                <w:rFonts w:hint="default" w:ascii="Times New Roman" w:hAnsi="Times New Roman" w:cs="Times New Roman"/>
                <w:b w:val="0"/>
                <w:bCs w:val="0"/>
                <w:color w:val="auto"/>
                <w:sz w:val="24"/>
                <w:szCs w:val="24"/>
                <w:lang w:eastAsia="zh-CN"/>
              </w:rPr>
              <w:t>、</w:t>
            </w:r>
            <w:r>
              <w:rPr>
                <w:rFonts w:hint="default" w:ascii="Times New Roman" w:hAnsi="Times New Roman" w:cs="Times New Roman"/>
                <w:b w:val="0"/>
                <w:bCs w:val="0"/>
                <w:color w:val="auto"/>
                <w:sz w:val="24"/>
                <w:szCs w:val="24"/>
                <w:lang w:val="en-US" w:eastAsia="zh-CN"/>
              </w:rPr>
              <w:t>爆破</w:t>
            </w:r>
            <w:r>
              <w:rPr>
                <w:rFonts w:hint="default" w:ascii="Times New Roman" w:hAnsi="Times New Roman" w:cs="Times New Roman"/>
                <w:b w:val="0"/>
                <w:bCs w:val="0"/>
                <w:color w:val="auto"/>
                <w:sz w:val="24"/>
                <w:szCs w:val="24"/>
              </w:rPr>
              <w:t>直接造成的植被破坏、施工弃渣以及施工破坏地下含水层而引起的一系列生态环境问题等。</w:t>
            </w:r>
          </w:p>
          <w:p w14:paraId="6F9F1D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rPr>
            </w:pPr>
            <w:r>
              <w:rPr>
                <w:rFonts w:hint="default" w:ascii="Times New Roman" w:hAnsi="Times New Roman" w:cs="Times New Roman"/>
                <w:b w:val="0"/>
                <w:bCs w:val="0"/>
                <w:color w:val="auto"/>
                <w:sz w:val="24"/>
                <w:szCs w:val="24"/>
                <w:lang w:val="en-US" w:eastAsia="zh-CN"/>
              </w:rPr>
              <w:t>①</w:t>
            </w:r>
            <w:r>
              <w:rPr>
                <w:rFonts w:hint="default" w:ascii="Times New Roman" w:hAnsi="Times New Roman" w:cs="Times New Roman"/>
                <w:b w:val="0"/>
                <w:bCs w:val="0"/>
                <w:color w:val="auto"/>
                <w:sz w:val="24"/>
                <w:szCs w:val="24"/>
              </w:rPr>
              <w:t>洞口开挖对植物多样性的影响</w:t>
            </w:r>
          </w:p>
          <w:p w14:paraId="47BCF84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rPr>
              <w:t>根据现场调查并结合本项目前期环评现场调查资料，本项目隧道洞口施工区及影响区域</w:t>
            </w:r>
            <w:r>
              <w:rPr>
                <w:rFonts w:hint="default" w:ascii="Times New Roman" w:hAnsi="Times New Roman" w:cs="Times New Roman"/>
                <w:b w:val="0"/>
                <w:bCs w:val="0"/>
                <w:color w:val="auto"/>
                <w:sz w:val="24"/>
                <w:szCs w:val="24"/>
                <w:lang w:val="en-US" w:eastAsia="zh-CN"/>
              </w:rPr>
              <w:t>植被</w:t>
            </w:r>
            <w:r>
              <w:rPr>
                <w:rFonts w:hint="default" w:ascii="Times New Roman" w:hAnsi="Times New Roman" w:cs="Times New Roman"/>
                <w:b w:val="0"/>
                <w:bCs w:val="0"/>
                <w:color w:val="auto"/>
                <w:sz w:val="24"/>
                <w:szCs w:val="24"/>
              </w:rPr>
              <w:t>在公路沿线及评价区范围内分布较广，隧道口开挖施工不会减少评价区植物种类，不会改变评价区植物种类组成，但由于隧道口施工产生的粉尘、废水等对隧道口附近100m范围内植物生长不良，种群更新速度下降，根据本区域同类型项目的隧道口工程施工观测结果来看，致死的可能性较小。因此，隧道洞口开挖对开挖区域的植物种类影响较大，但对整个评价区而言，对植物种类组成、植物生长及种群更新影响较小</w:t>
            </w:r>
            <w:r>
              <w:rPr>
                <w:rFonts w:hint="default" w:ascii="Times New Roman" w:hAnsi="Times New Roman" w:cs="Times New Roman"/>
                <w:b w:val="0"/>
                <w:bCs w:val="0"/>
                <w:color w:val="auto"/>
                <w:sz w:val="24"/>
                <w:szCs w:val="24"/>
                <w:lang w:eastAsia="zh-CN"/>
              </w:rPr>
              <w:t>。</w:t>
            </w:r>
          </w:p>
          <w:p w14:paraId="40E8DD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val="en-US" w:eastAsia="zh-CN"/>
              </w:rPr>
              <w:t>②</w:t>
            </w:r>
            <w:r>
              <w:rPr>
                <w:rFonts w:hint="default" w:ascii="Times New Roman" w:hAnsi="Times New Roman" w:cs="Times New Roman"/>
                <w:b w:val="0"/>
                <w:bCs w:val="0"/>
                <w:color w:val="auto"/>
                <w:sz w:val="24"/>
                <w:szCs w:val="24"/>
                <w:lang w:eastAsia="zh-CN"/>
              </w:rPr>
              <w:t>对隧道顶部植物的影响</w:t>
            </w:r>
          </w:p>
          <w:p w14:paraId="5D3E329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隧址区地下水主要类型为第四系孔隙潜水、基岩裂隙水。</w:t>
            </w:r>
          </w:p>
          <w:p w14:paraId="4493E4F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松散堆积层孔隙水：孔隙水主要赋存于第四系松散土层中，除接受大气降雨补给外，还接受基岩裂隙水及沟水等地表水的入渗补给；地下水成带状赋存，富水性差异较大，如坡残积黏性土内地下水赋存量较小，而坡洪积堆积层内由于孔隙率较大，且补给量较大，地下水体相对较丰富，地下水埋深一般0～5m，且随季节变化较大，变幅为2～5m。</w:t>
            </w:r>
          </w:p>
          <w:p w14:paraId="34215D6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基岩裂隙水：基岩裂隙水主要赋存于泥岩、砂岩等风化裂隙之中，受大气降雨的补给，地下水位埋深一般10～25m，多在山坡下部陡崖下及坡脚以泉的形式排泄，但一些坡面冲沟也成为地下水的就近排泄的场所。</w:t>
            </w:r>
          </w:p>
          <w:p w14:paraId="09E1447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隧道可能打穿的含水层远离地表包气带，除非深层含水层与浅层含水层水力联系紧密，否则不会与地表植被生长需水有关系，洞顶植物以浅根系类型（深根系植物根系埋深多在10m以内）为主。地表植被的生长本身以地表降水、大气湿度和土壤水分3个方面为主，植物生长对地下水依赖程度小，因此隧道施工不会对隧道口和隧道洞身地表植被生长产生明显不利影响。</w:t>
            </w:r>
          </w:p>
          <w:p w14:paraId="7B08127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③隧洞工程对景观的影响分析</w:t>
            </w:r>
          </w:p>
          <w:p w14:paraId="15AD8F1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景观破碎化：施工活动导致原有连续的自然景观被切割成孤立斑块，破坏景观整体性与连贯性。</w:t>
            </w:r>
          </w:p>
          <w:p w14:paraId="2659835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植被与地貌破坏：施工用地直接清除地表植被，导致覆盖率下降，同时挖掘活动改变地形地貌，使山体、水域等自然景观的原始形态受损。</w:t>
            </w:r>
          </w:p>
          <w:p w14:paraId="5EE90B4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生物栖息地丧失：景观破碎化阻断了野生动物迁徙路径，影响生物多样性。</w:t>
            </w:r>
          </w:p>
          <w:p w14:paraId="0D0CDD2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eastAsia="zh-CN"/>
              </w:rPr>
            </w:pPr>
            <w:r>
              <w:rPr>
                <w:rFonts w:hint="default" w:ascii="Times New Roman" w:hAnsi="Times New Roman" w:cs="Times New Roman"/>
                <w:b w:val="0"/>
                <w:bCs w:val="0"/>
                <w:color w:val="auto"/>
                <w:sz w:val="24"/>
                <w:szCs w:val="24"/>
                <w:lang w:eastAsia="zh-CN"/>
              </w:rPr>
              <w:t>本项目各隧道工程区顶部植被生长用水主要来自大气降水，受项目施工可能导致的地下水水量和水位变化影响较小，隧道施工一般不会对隧道顶部地表植被生长造成明显不利影响，在采取地下水涌水堵水、人工灌溉等措施后，对可能产生的不利影响还可进一步减缓和补偿。因而，本项目各隧道施工对隧道顶部植被生长影响较小。</w:t>
            </w:r>
          </w:p>
          <w:p w14:paraId="797DE511">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w:t>
            </w:r>
            <w:r>
              <w:rPr>
                <w:rFonts w:hint="default" w:ascii="Times New Roman" w:hAnsi="Times New Roman" w:cs="Times New Roman"/>
                <w:b/>
                <w:bCs/>
                <w:color w:val="auto"/>
                <w:sz w:val="24"/>
                <w:szCs w:val="24"/>
                <w:lang w:val="en-US" w:eastAsia="zh-CN"/>
              </w:rPr>
              <w:t>4</w:t>
            </w:r>
            <w:r>
              <w:rPr>
                <w:rFonts w:hint="default" w:ascii="Times New Roman" w:hAnsi="Times New Roman" w:cs="Times New Roman"/>
                <w:b/>
                <w:bCs/>
                <w:color w:val="auto"/>
                <w:sz w:val="24"/>
                <w:szCs w:val="24"/>
              </w:rPr>
              <w:t>）水土流失的影响分析</w:t>
            </w:r>
          </w:p>
          <w:p w14:paraId="59E79D9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工程特点及建设条件、施工工序等，本项目对水土流失的影响主要集中在建设期，在此期间道路工程占地、路基挖填等工程活动都会扰动或再塑地表，并使地表植被受到不同程度的破坏，地表抗蚀能力减弱，产生新的水土流失。道路投入使用后，工程防护及相应的水保、环保措施发挥作用，将有效地控制道路用地范围内的水土流失，同时随着植被的逐渐恢复，造成的水土流失将逐渐减弱、稳定，达到轻度以下的水平，实现局部治理和改善水土流失状况的目的。施工期主要产生的水土流失影响包括：</w:t>
            </w:r>
          </w:p>
          <w:p w14:paraId="21900E57">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①工程占地造成的水土流失影响</w:t>
            </w:r>
          </w:p>
          <w:p w14:paraId="4CCE730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工程占地将改变原有地貌，损坏或压埋原有植被，对原有水土保持设施造成破坏，使地表土层抗蚀能力减弱，降低其水土保持功效。</w:t>
            </w:r>
          </w:p>
          <w:p w14:paraId="39239EB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②路基挖填带来的水土流失影响</w:t>
            </w:r>
          </w:p>
          <w:p w14:paraId="6AF5A32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路基施工中，将开挖边坡、填筑路基。工程施工开挖容易造成自然边坡表层土裸露，土体松散，失去原有植被的防冲、固土能力，如受雨水冲刷，会造成严重的水土流失。填方路段在填筑过程中，将形成新的填土边坡，在未防护前受雨水冲刷也会造成水土流失。</w:t>
            </w:r>
          </w:p>
          <w:p w14:paraId="5780B1BD">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③临时工程水土流失影响</w:t>
            </w:r>
          </w:p>
          <w:p w14:paraId="70274F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临时工程占地主要包括：施工场地、弃土场。临时工程占地对地面的扰动会对土壤结构造成一定程度的破坏，在未防护前受雨水冲刷可能会造成水土流失。本项目施工场地集中布置，设置围挡，做好排水、防护和绿化等，防止水土流失。弃土场区严格执行“先拦后弃”的原则，弃土堆放前必须在弃土场坡脚修建挡墙，并在弃土场的周边修建截、排水沟。为保证弃土场的安全，应严格控制弃土场的堆土高度和坡面坡率。施工结束后，必须对土体顶面进行土地整治，并对土体坡面和顶部进行复耕。</w:t>
            </w:r>
          </w:p>
          <w:p w14:paraId="30567D1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通过加强施工管理，可减小施工期临时工程造成的水土流失影响。</w:t>
            </w:r>
          </w:p>
          <w:p w14:paraId="6EEB093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本项目施工过程可能产生水土流失对区域生态环境产生影响，须加强工程施工期水土保持工作，在采取合理的措施之后，施工期间不会有明显的水土流失现象。</w:t>
            </w:r>
          </w:p>
          <w:p w14:paraId="64135BD3">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6、施工期环境风险分析</w:t>
            </w:r>
          </w:p>
          <w:p w14:paraId="3DE3865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（1）施工机械设备跑冒滴漏油污污染土壤</w:t>
            </w:r>
          </w:p>
          <w:p w14:paraId="28E87A1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本项目施工场地内不进行润滑油、柴油等油品的储存，要求施工机械设备用油现用现购；施工期间应加强施工机械设备的日常管理和保养，加强施工人员培训，避免施工设备发生油品泄漏事故。</w:t>
            </w:r>
          </w:p>
          <w:p w14:paraId="003F4ED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rPr>
              <w:t>（2）施工废水处理设施发生故障可能</w:t>
            </w:r>
            <w:r>
              <w:rPr>
                <w:rFonts w:hint="default" w:ascii="Times New Roman" w:hAnsi="Times New Roman" w:cs="Times New Roman"/>
                <w:b/>
                <w:bCs/>
                <w:color w:val="auto"/>
                <w:sz w:val="24"/>
                <w:szCs w:val="24"/>
                <w:lang w:val="en-US" w:eastAsia="zh-CN"/>
              </w:rPr>
              <w:t>污染土壤</w:t>
            </w:r>
          </w:p>
          <w:p w14:paraId="519C241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施工废水处理设施（隔油池、沉淀池）池体进行加固防渗，应加强日常环保设施的巡检和保养，确保设备运行良好、废水能够有效处理并循环回用、不外排。</w:t>
            </w:r>
          </w:p>
          <w:p w14:paraId="5BF787BA">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（3）弃土场坍塌环境风险</w:t>
            </w:r>
          </w:p>
          <w:p w14:paraId="64833B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弃土场严格执行“先拦后弃”的原则，弃土堆放前必须在弃土场坡脚修建挡墙，并在弃土场的周边修建截、排水沟，为保证弃土场的安全，应严格控制渣场的堆土高度和坡面坡率。施工结束后，必须对土体顶面进行土地整治，并对土体坡面和顶部进行复耕。</w:t>
            </w:r>
          </w:p>
          <w:p w14:paraId="792A4A4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4</w:t>
            </w:r>
            <w:r>
              <w:rPr>
                <w:rFonts w:hint="default" w:ascii="Times New Roman" w:hAnsi="Times New Roman" w:cs="Times New Roman"/>
                <w:b/>
                <w:bCs/>
                <w:color w:val="auto"/>
                <w:sz w:val="24"/>
                <w:szCs w:val="24"/>
                <w:lang w:eastAsia="zh-CN"/>
              </w:rPr>
              <w:t>）</w:t>
            </w:r>
            <w:r>
              <w:rPr>
                <w:rFonts w:hint="default" w:ascii="Times New Roman" w:hAnsi="Times New Roman" w:cs="Times New Roman"/>
                <w:b/>
                <w:bCs/>
                <w:color w:val="auto"/>
                <w:sz w:val="24"/>
                <w:szCs w:val="24"/>
                <w:lang w:val="en-US" w:eastAsia="zh-CN"/>
              </w:rPr>
              <w:t>施工过程导致输气管道泄漏、火灾、爆炸</w:t>
            </w:r>
          </w:p>
          <w:p w14:paraId="6BEF23A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bCs/>
                <w:color w:val="auto"/>
                <w:sz w:val="24"/>
                <w:szCs w:val="24"/>
                <w:lang w:val="en-US" w:eastAsia="zh-CN"/>
              </w:rPr>
            </w:pPr>
            <w:r>
              <w:rPr>
                <w:rFonts w:hint="default" w:ascii="Times New Roman" w:hAnsi="Times New Roman" w:cs="Times New Roman"/>
                <w:b w:val="0"/>
                <w:bCs w:val="0"/>
                <w:color w:val="auto"/>
                <w:sz w:val="24"/>
                <w:szCs w:val="24"/>
                <w:lang w:val="en-US" w:eastAsia="zh-CN"/>
              </w:rPr>
              <w:t>不当施工破坏沿线管网造成燃气泄漏污染引发火险</w:t>
            </w:r>
            <w:r>
              <w:rPr>
                <w:rFonts w:hint="eastAsia" w:cs="Times New Roman"/>
                <w:b w:val="0"/>
                <w:bCs w:val="0"/>
                <w:color w:val="auto"/>
                <w:sz w:val="24"/>
                <w:szCs w:val="24"/>
                <w:lang w:val="en-US" w:eastAsia="zh-CN"/>
              </w:rPr>
              <w:t>。本项目风险物质如下：</w:t>
            </w:r>
          </w:p>
          <w:p w14:paraId="015D911C">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cs="Times New Roman"/>
                <w:b/>
                <w:bCs/>
                <w:color w:val="auto"/>
                <w:sz w:val="21"/>
                <w:szCs w:val="21"/>
                <w:lang w:val="en-US" w:eastAsia="zh-CN"/>
              </w:rPr>
            </w:pPr>
            <w:r>
              <w:rPr>
                <w:rFonts w:hint="eastAsia" w:cs="Times New Roman"/>
                <w:b/>
                <w:bCs/>
                <w:color w:val="auto"/>
                <w:sz w:val="21"/>
                <w:szCs w:val="21"/>
                <w:lang w:val="en-US" w:eastAsia="zh-CN"/>
              </w:rPr>
              <w:t>表4-1 风险物质简介</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1"/>
              <w:gridCol w:w="2213"/>
              <w:gridCol w:w="537"/>
              <w:gridCol w:w="470"/>
              <w:gridCol w:w="1071"/>
              <w:gridCol w:w="935"/>
              <w:gridCol w:w="2329"/>
            </w:tblGrid>
            <w:tr w14:paraId="10758C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restart"/>
                  <w:vAlign w:val="center"/>
                </w:tcPr>
                <w:p w14:paraId="4B150E3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标识</w:t>
                  </w:r>
                </w:p>
              </w:tc>
              <w:tc>
                <w:tcPr>
                  <w:tcW w:w="3220" w:type="dxa"/>
                  <w:gridSpan w:val="3"/>
                  <w:vAlign w:val="center"/>
                </w:tcPr>
                <w:p w14:paraId="10A21869">
                  <w:pPr>
                    <w:pStyle w:val="73"/>
                    <w:keepNext w:val="0"/>
                    <w:keepLines w:val="0"/>
                    <w:pageBreakBefore w:val="0"/>
                    <w:widowControl w:val="0"/>
                    <w:tabs>
                      <w:tab w:val="center" w:pos="1662"/>
                      <w:tab w:val="right" w:pos="3205"/>
                    </w:tabs>
                    <w:kinsoku/>
                    <w:wordWrap/>
                    <w:overflowPunct/>
                    <w:topLinePunct w:val="0"/>
                    <w:autoSpaceDE/>
                    <w:autoSpaceDN/>
                    <w:bidi w:val="0"/>
                    <w:adjustRightInd/>
                    <w:snapToGrid/>
                    <w:spacing w:line="240" w:lineRule="auto"/>
                    <w:ind w:left="0" w:right="0"/>
                    <w:jc w:val="left"/>
                    <w:textAlignment w:val="auto"/>
                    <w:rPr>
                      <w:rFonts w:hint="eastAsia" w:ascii="宋体" w:hAnsi="宋体" w:eastAsia="宋体" w:cs="宋体"/>
                      <w:sz w:val="20"/>
                      <w:szCs w:val="20"/>
                      <w:lang w:eastAsia="zh-CN"/>
                    </w:rPr>
                  </w:pPr>
                  <w:r>
                    <w:rPr>
                      <w:rFonts w:hint="eastAsia" w:ascii="宋体" w:hAnsi="宋体" w:eastAsia="宋体" w:cs="宋体"/>
                      <w:sz w:val="20"/>
                      <w:szCs w:val="20"/>
                      <w:lang w:eastAsia="zh-CN"/>
                    </w:rPr>
                    <w:tab/>
                  </w:r>
                  <w:r>
                    <w:rPr>
                      <w:rFonts w:ascii="宋体" w:hAnsi="宋体" w:eastAsia="宋体" w:cs="宋体"/>
                      <w:sz w:val="20"/>
                      <w:szCs w:val="20"/>
                    </w:rPr>
                    <w:t>中文名：甲烷、沼气</w:t>
                  </w:r>
                  <w:r>
                    <w:rPr>
                      <w:rFonts w:hint="eastAsia" w:ascii="宋体" w:hAnsi="宋体" w:eastAsia="宋体" w:cs="宋体"/>
                      <w:sz w:val="20"/>
                      <w:szCs w:val="20"/>
                      <w:lang w:eastAsia="zh-CN"/>
                    </w:rPr>
                    <w:tab/>
                  </w:r>
                </w:p>
              </w:tc>
              <w:tc>
                <w:tcPr>
                  <w:tcW w:w="4345" w:type="dxa"/>
                  <w:gridSpan w:val="3"/>
                  <w:vAlign w:val="center"/>
                </w:tcPr>
                <w:p w14:paraId="0A90D42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z w:val="20"/>
                      <w:szCs w:val="20"/>
                    </w:rPr>
                    <w:t>英文名：</w:t>
                  </w:r>
                  <w:r>
                    <w:rPr>
                      <w:rFonts w:ascii="Times New Roman" w:hAnsi="Times New Roman" w:eastAsia="Times New Roman" w:cs="Times New Roman"/>
                      <w:sz w:val="20"/>
                      <w:szCs w:val="20"/>
                    </w:rPr>
                    <w:t>methaneMarshgas</w:t>
                  </w:r>
                </w:p>
              </w:tc>
            </w:tr>
            <w:tr w14:paraId="61638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4CB4B4D1">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754" w:type="dxa"/>
                  <w:gridSpan w:val="2"/>
                  <w:vAlign w:val="center"/>
                </w:tcPr>
                <w:p w14:paraId="211E89B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position w:val="2"/>
                      <w:sz w:val="20"/>
                      <w:szCs w:val="20"/>
                    </w:rPr>
                    <w:t>分子式：</w:t>
                  </w:r>
                  <w:r>
                    <w:rPr>
                      <w:rFonts w:ascii="Times New Roman" w:hAnsi="Times New Roman" w:eastAsia="Times New Roman" w:cs="Times New Roman"/>
                      <w:position w:val="2"/>
                      <w:sz w:val="20"/>
                      <w:szCs w:val="20"/>
                    </w:rPr>
                    <w:t>CH</w:t>
                  </w:r>
                  <w:r>
                    <w:rPr>
                      <w:rFonts w:ascii="Times New Roman" w:hAnsi="Times New Roman" w:eastAsia="Times New Roman" w:cs="Times New Roman"/>
                      <w:sz w:val="20"/>
                      <w:szCs w:val="20"/>
                    </w:rPr>
                    <w:t>4</w:t>
                  </w:r>
                </w:p>
              </w:tc>
              <w:tc>
                <w:tcPr>
                  <w:tcW w:w="2472" w:type="dxa"/>
                  <w:gridSpan w:val="3"/>
                  <w:vAlign w:val="center"/>
                </w:tcPr>
                <w:p w14:paraId="2F471ED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z w:val="20"/>
                      <w:szCs w:val="20"/>
                    </w:rPr>
                    <w:t>分子量：</w:t>
                  </w:r>
                  <w:r>
                    <w:rPr>
                      <w:rFonts w:ascii="Times New Roman" w:hAnsi="Times New Roman" w:eastAsia="Times New Roman" w:cs="Times New Roman"/>
                      <w:sz w:val="20"/>
                      <w:szCs w:val="20"/>
                    </w:rPr>
                    <w:t>16.04</w:t>
                  </w:r>
                </w:p>
              </w:tc>
              <w:tc>
                <w:tcPr>
                  <w:tcW w:w="2339" w:type="dxa"/>
                  <w:vAlign w:val="center"/>
                </w:tcPr>
                <w:p w14:paraId="1C696860">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Times New Roman" w:hAnsi="Times New Roman" w:eastAsia="Times New Roman" w:cs="Times New Roman"/>
                      <w:sz w:val="20"/>
                      <w:szCs w:val="20"/>
                    </w:rPr>
                    <w:t>CAS</w:t>
                  </w:r>
                  <w:r>
                    <w:rPr>
                      <w:rFonts w:ascii="宋体" w:hAnsi="宋体" w:eastAsia="宋体" w:cs="宋体"/>
                      <w:sz w:val="20"/>
                      <w:szCs w:val="20"/>
                    </w:rPr>
                    <w:t>号：</w:t>
                  </w:r>
                  <w:r>
                    <w:rPr>
                      <w:rFonts w:ascii="Times New Roman" w:hAnsi="Times New Roman" w:eastAsia="Times New Roman" w:cs="Times New Roman"/>
                      <w:sz w:val="20"/>
                      <w:szCs w:val="20"/>
                    </w:rPr>
                    <w:t>74</w:t>
                  </w:r>
                  <w:r>
                    <w:rPr>
                      <w:rFonts w:ascii="宋体" w:hAnsi="宋体" w:eastAsia="宋体" w:cs="宋体"/>
                      <w:sz w:val="20"/>
                      <w:szCs w:val="20"/>
                    </w:rPr>
                    <w:t>－</w:t>
                  </w:r>
                  <w:r>
                    <w:rPr>
                      <w:rFonts w:ascii="Times New Roman" w:hAnsi="Times New Roman" w:eastAsia="Times New Roman" w:cs="Times New Roman"/>
                      <w:sz w:val="20"/>
                      <w:szCs w:val="20"/>
                    </w:rPr>
                    <w:t>82</w:t>
                  </w:r>
                  <w:r>
                    <w:rPr>
                      <w:rFonts w:ascii="宋体" w:hAnsi="宋体" w:eastAsia="宋体" w:cs="宋体"/>
                      <w:sz w:val="20"/>
                      <w:szCs w:val="20"/>
                    </w:rPr>
                    <w:t>－</w:t>
                  </w:r>
                  <w:r>
                    <w:rPr>
                      <w:rFonts w:ascii="Times New Roman" w:hAnsi="Times New Roman" w:eastAsia="Times New Roman" w:cs="Times New Roman"/>
                      <w:sz w:val="20"/>
                      <w:szCs w:val="20"/>
                    </w:rPr>
                    <w:t>8</w:t>
                  </w:r>
                </w:p>
              </w:tc>
            </w:tr>
            <w:tr w14:paraId="480C6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13ED950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7565" w:type="dxa"/>
                  <w:gridSpan w:val="6"/>
                  <w:vAlign w:val="center"/>
                </w:tcPr>
                <w:p w14:paraId="4EB71B5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z w:val="20"/>
                      <w:szCs w:val="20"/>
                    </w:rPr>
                    <w:t>危规号：</w:t>
                  </w:r>
                  <w:r>
                    <w:rPr>
                      <w:rFonts w:ascii="Times New Roman" w:hAnsi="Times New Roman" w:eastAsia="Times New Roman" w:cs="Times New Roman"/>
                      <w:sz w:val="20"/>
                      <w:szCs w:val="20"/>
                    </w:rPr>
                    <w:t>21007</w:t>
                  </w:r>
                </w:p>
              </w:tc>
            </w:tr>
            <w:tr w14:paraId="26A41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restart"/>
                  <w:vAlign w:val="center"/>
                </w:tcPr>
                <w:p w14:paraId="59D60DE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理化性</w:t>
                  </w:r>
                  <w:r>
                    <w:rPr>
                      <w:rFonts w:ascii="宋体" w:hAnsi="宋体" w:eastAsia="宋体" w:cs="宋体"/>
                      <w:w w:val="99"/>
                      <w:sz w:val="20"/>
                      <w:szCs w:val="20"/>
                    </w:rPr>
                    <w:t>质</w:t>
                  </w:r>
                </w:p>
              </w:tc>
              <w:tc>
                <w:tcPr>
                  <w:tcW w:w="7565" w:type="dxa"/>
                  <w:gridSpan w:val="6"/>
                  <w:vAlign w:val="center"/>
                </w:tcPr>
                <w:p w14:paraId="21462E2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性状：无色无臭气体。</w:t>
                  </w:r>
                </w:p>
              </w:tc>
            </w:tr>
            <w:tr w14:paraId="7FB9EE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37B08BC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7565" w:type="dxa"/>
                  <w:gridSpan w:val="6"/>
                  <w:vAlign w:val="center"/>
                </w:tcPr>
                <w:p w14:paraId="434F2D6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溶解性：微溶于水，溶于醇、乙醚。</w:t>
                  </w:r>
                </w:p>
              </w:tc>
            </w:tr>
            <w:tr w14:paraId="5D742E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4B9ECA4D">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216" w:type="dxa"/>
                  <w:vAlign w:val="center"/>
                </w:tcPr>
                <w:p w14:paraId="62C8FF1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9"/>
                      <w:sz w:val="20"/>
                      <w:szCs w:val="20"/>
                    </w:rPr>
                    <w:t>熔点（℃）：－</w:t>
                  </w:r>
                  <w:r>
                    <w:rPr>
                      <w:rFonts w:ascii="Times New Roman" w:hAnsi="Times New Roman" w:eastAsia="Times New Roman" w:cs="Times New Roman"/>
                      <w:spacing w:val="-9"/>
                      <w:sz w:val="20"/>
                      <w:szCs w:val="20"/>
                    </w:rPr>
                    <w:t>182.5</w:t>
                  </w:r>
                </w:p>
              </w:tc>
              <w:tc>
                <w:tcPr>
                  <w:tcW w:w="2081" w:type="dxa"/>
                  <w:gridSpan w:val="3"/>
                  <w:vAlign w:val="center"/>
                </w:tcPr>
                <w:p w14:paraId="38CBD0A7">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9"/>
                      <w:sz w:val="20"/>
                      <w:szCs w:val="20"/>
                    </w:rPr>
                    <w:t>沸点（℃）：－</w:t>
                  </w:r>
                  <w:r>
                    <w:rPr>
                      <w:rFonts w:ascii="Times New Roman" w:hAnsi="Times New Roman" w:eastAsia="Times New Roman" w:cs="Times New Roman"/>
                      <w:spacing w:val="-9"/>
                      <w:sz w:val="20"/>
                      <w:szCs w:val="20"/>
                    </w:rPr>
                    <w:t>161.5</w:t>
                  </w:r>
                </w:p>
              </w:tc>
              <w:tc>
                <w:tcPr>
                  <w:tcW w:w="3268" w:type="dxa"/>
                  <w:gridSpan w:val="2"/>
                  <w:vAlign w:val="center"/>
                </w:tcPr>
                <w:p w14:paraId="091147C1">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pacing w:val="-5"/>
                      <w:sz w:val="20"/>
                      <w:szCs w:val="20"/>
                    </w:rPr>
                    <w:t>相对密度（水＝</w:t>
                  </w:r>
                  <w:r>
                    <w:rPr>
                      <w:rFonts w:ascii="Times New Roman" w:hAnsi="Times New Roman" w:eastAsia="Times New Roman" w:cs="Times New Roman"/>
                      <w:spacing w:val="-5"/>
                      <w:sz w:val="20"/>
                      <w:szCs w:val="20"/>
                    </w:rPr>
                    <w:t>1</w:t>
                  </w:r>
                  <w:r>
                    <w:rPr>
                      <w:rFonts w:ascii="宋体" w:hAnsi="宋体" w:eastAsia="宋体" w:cs="宋体"/>
                      <w:spacing w:val="-5"/>
                      <w:sz w:val="20"/>
                      <w:szCs w:val="20"/>
                    </w:rPr>
                    <w:t>）：</w:t>
                  </w:r>
                  <w:r>
                    <w:rPr>
                      <w:rFonts w:ascii="Times New Roman" w:hAnsi="Times New Roman" w:eastAsia="Times New Roman" w:cs="Times New Roman"/>
                      <w:spacing w:val="-5"/>
                      <w:sz w:val="20"/>
                      <w:szCs w:val="20"/>
                    </w:rPr>
                    <w:t>0.42</w:t>
                  </w:r>
                  <w:r>
                    <w:rPr>
                      <w:rFonts w:ascii="宋体" w:hAnsi="宋体" w:eastAsia="宋体" w:cs="宋体"/>
                      <w:spacing w:val="-5"/>
                      <w:sz w:val="20"/>
                      <w:szCs w:val="20"/>
                    </w:rPr>
                    <w:t>（－</w:t>
                  </w:r>
                  <w:r>
                    <w:rPr>
                      <w:rFonts w:ascii="Times New Roman" w:hAnsi="Times New Roman" w:eastAsia="Times New Roman" w:cs="Times New Roman"/>
                      <w:spacing w:val="-5"/>
                      <w:sz w:val="20"/>
                      <w:szCs w:val="20"/>
                    </w:rPr>
                    <w:t>164</w:t>
                  </w:r>
                  <w:r>
                    <w:rPr>
                      <w:rFonts w:ascii="宋体" w:hAnsi="宋体" w:eastAsia="宋体" w:cs="宋体"/>
                      <w:spacing w:val="-5"/>
                      <w:sz w:val="20"/>
                      <w:szCs w:val="20"/>
                    </w:rPr>
                    <w:t>℃）</w:t>
                  </w:r>
                </w:p>
              </w:tc>
            </w:tr>
            <w:tr w14:paraId="00EE9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2F6491F0">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216" w:type="dxa"/>
                  <w:vAlign w:val="center"/>
                </w:tcPr>
                <w:p w14:paraId="589499C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8"/>
                      <w:sz w:val="20"/>
                      <w:szCs w:val="20"/>
                    </w:rPr>
                    <w:t>临界温度（℃）：－</w:t>
                  </w:r>
                  <w:r>
                    <w:rPr>
                      <w:rFonts w:ascii="Times New Roman" w:hAnsi="Times New Roman" w:eastAsia="Times New Roman" w:cs="Times New Roman"/>
                      <w:spacing w:val="-8"/>
                      <w:sz w:val="20"/>
                      <w:szCs w:val="20"/>
                    </w:rPr>
                    <w:t>82.6</w:t>
                  </w:r>
                </w:p>
              </w:tc>
              <w:tc>
                <w:tcPr>
                  <w:tcW w:w="2081" w:type="dxa"/>
                  <w:gridSpan w:val="3"/>
                  <w:vAlign w:val="center"/>
                </w:tcPr>
                <w:p w14:paraId="569A8FB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8"/>
                      <w:sz w:val="20"/>
                      <w:szCs w:val="20"/>
                    </w:rPr>
                    <w:t>临界压力（</w:t>
                  </w:r>
                  <w:r>
                    <w:rPr>
                      <w:rFonts w:ascii="Times New Roman" w:hAnsi="Times New Roman" w:eastAsia="Times New Roman" w:cs="Times New Roman"/>
                      <w:spacing w:val="-8"/>
                      <w:sz w:val="20"/>
                      <w:szCs w:val="20"/>
                    </w:rPr>
                    <w:t>MPa</w:t>
                  </w:r>
                  <w:r>
                    <w:rPr>
                      <w:rFonts w:ascii="宋体" w:hAnsi="宋体" w:eastAsia="宋体" w:cs="宋体"/>
                      <w:spacing w:val="-8"/>
                      <w:sz w:val="20"/>
                      <w:szCs w:val="20"/>
                    </w:rPr>
                    <w:t>）：</w:t>
                  </w:r>
                  <w:r>
                    <w:rPr>
                      <w:rFonts w:ascii="Times New Roman" w:hAnsi="Times New Roman" w:eastAsia="Times New Roman" w:cs="Times New Roman"/>
                      <w:spacing w:val="-8"/>
                      <w:sz w:val="20"/>
                      <w:szCs w:val="20"/>
                    </w:rPr>
                    <w:t>4.59</w:t>
                  </w:r>
                </w:p>
              </w:tc>
              <w:tc>
                <w:tcPr>
                  <w:tcW w:w="3268" w:type="dxa"/>
                  <w:gridSpan w:val="2"/>
                  <w:vAlign w:val="center"/>
                </w:tcPr>
                <w:p w14:paraId="0C1AA7C0">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7"/>
                      <w:sz w:val="20"/>
                      <w:szCs w:val="20"/>
                    </w:rPr>
                    <w:t>相对密度（空气＝</w:t>
                  </w:r>
                  <w:r>
                    <w:rPr>
                      <w:rFonts w:ascii="Times New Roman" w:hAnsi="Times New Roman" w:eastAsia="Times New Roman" w:cs="Times New Roman"/>
                      <w:spacing w:val="-7"/>
                      <w:sz w:val="20"/>
                      <w:szCs w:val="20"/>
                    </w:rPr>
                    <w:t>1</w:t>
                  </w:r>
                  <w:r>
                    <w:rPr>
                      <w:rFonts w:ascii="宋体" w:hAnsi="宋体" w:eastAsia="宋体" w:cs="宋体"/>
                      <w:spacing w:val="-7"/>
                      <w:sz w:val="20"/>
                      <w:szCs w:val="20"/>
                    </w:rPr>
                    <w:t>）：</w:t>
                  </w:r>
                  <w:r>
                    <w:rPr>
                      <w:rFonts w:ascii="Times New Roman" w:hAnsi="Times New Roman" w:eastAsia="Times New Roman" w:cs="Times New Roman"/>
                      <w:spacing w:val="-7"/>
                      <w:sz w:val="20"/>
                      <w:szCs w:val="20"/>
                    </w:rPr>
                    <w:t>0.55</w:t>
                  </w:r>
                </w:p>
              </w:tc>
            </w:tr>
            <w:tr w14:paraId="5E63F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0B80C62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216" w:type="dxa"/>
                  <w:vAlign w:val="center"/>
                </w:tcPr>
                <w:p w14:paraId="573464FB">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6"/>
                      <w:sz w:val="20"/>
                      <w:szCs w:val="20"/>
                    </w:rPr>
                    <w:t>燃烧热（</w:t>
                  </w:r>
                  <w:r>
                    <w:rPr>
                      <w:rFonts w:ascii="Times New Roman" w:hAnsi="Times New Roman" w:eastAsia="Times New Roman" w:cs="Times New Roman"/>
                      <w:spacing w:val="-6"/>
                      <w:sz w:val="20"/>
                      <w:szCs w:val="20"/>
                    </w:rPr>
                    <w:t>KJ/mol</w:t>
                  </w:r>
                  <w:r>
                    <w:rPr>
                      <w:rFonts w:ascii="宋体" w:hAnsi="宋体" w:eastAsia="宋体" w:cs="宋体"/>
                      <w:spacing w:val="-6"/>
                      <w:sz w:val="20"/>
                      <w:szCs w:val="20"/>
                    </w:rPr>
                    <w:t>）：</w:t>
                  </w:r>
                  <w:r>
                    <w:rPr>
                      <w:rFonts w:ascii="Times New Roman" w:hAnsi="Times New Roman" w:eastAsia="Times New Roman" w:cs="Times New Roman"/>
                      <w:spacing w:val="-6"/>
                      <w:sz w:val="20"/>
                      <w:szCs w:val="20"/>
                    </w:rPr>
                    <w:t>889.5</w:t>
                  </w:r>
                </w:p>
              </w:tc>
              <w:tc>
                <w:tcPr>
                  <w:tcW w:w="2081" w:type="dxa"/>
                  <w:gridSpan w:val="3"/>
                  <w:vAlign w:val="center"/>
                </w:tcPr>
                <w:p w14:paraId="2961A03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9"/>
                      <w:sz w:val="20"/>
                      <w:szCs w:val="20"/>
                    </w:rPr>
                    <w:t>最小点火能（</w:t>
                  </w:r>
                  <w:r>
                    <w:rPr>
                      <w:rFonts w:ascii="Times New Roman" w:hAnsi="Times New Roman" w:eastAsia="Times New Roman" w:cs="Times New Roman"/>
                      <w:spacing w:val="-9"/>
                      <w:sz w:val="20"/>
                      <w:szCs w:val="20"/>
                    </w:rPr>
                    <w:t>mJ</w:t>
                  </w:r>
                  <w:r>
                    <w:rPr>
                      <w:rFonts w:ascii="宋体" w:hAnsi="宋体" w:eastAsia="宋体" w:cs="宋体"/>
                      <w:spacing w:val="-9"/>
                      <w:sz w:val="20"/>
                      <w:szCs w:val="20"/>
                    </w:rPr>
                    <w:t>）：</w:t>
                  </w:r>
                  <w:r>
                    <w:rPr>
                      <w:rFonts w:ascii="Times New Roman" w:hAnsi="Times New Roman" w:eastAsia="Times New Roman" w:cs="Times New Roman"/>
                      <w:spacing w:val="-9"/>
                      <w:sz w:val="20"/>
                      <w:szCs w:val="20"/>
                    </w:rPr>
                    <w:t>0.28</w:t>
                  </w:r>
                </w:p>
              </w:tc>
              <w:tc>
                <w:tcPr>
                  <w:tcW w:w="3268" w:type="dxa"/>
                  <w:gridSpan w:val="2"/>
                  <w:vAlign w:val="center"/>
                </w:tcPr>
                <w:p w14:paraId="3F98153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pacing w:val="-8"/>
                      <w:sz w:val="20"/>
                      <w:szCs w:val="20"/>
                    </w:rPr>
                    <w:t>饱和蒸汽压（</w:t>
                  </w:r>
                  <w:r>
                    <w:rPr>
                      <w:rFonts w:ascii="Times New Roman" w:hAnsi="Times New Roman" w:eastAsia="Times New Roman" w:cs="Times New Roman"/>
                      <w:spacing w:val="-8"/>
                      <w:sz w:val="20"/>
                      <w:szCs w:val="20"/>
                    </w:rPr>
                    <w:t>KPa</w:t>
                  </w:r>
                  <w:r>
                    <w:rPr>
                      <w:rFonts w:ascii="宋体" w:hAnsi="宋体" w:eastAsia="宋体" w:cs="宋体"/>
                      <w:spacing w:val="-8"/>
                      <w:sz w:val="20"/>
                      <w:szCs w:val="20"/>
                    </w:rPr>
                    <w:t>）：</w:t>
                  </w:r>
                  <w:r>
                    <w:rPr>
                      <w:rFonts w:ascii="Times New Roman" w:hAnsi="Times New Roman" w:eastAsia="Times New Roman" w:cs="Times New Roman"/>
                      <w:spacing w:val="-8"/>
                      <w:sz w:val="20"/>
                      <w:szCs w:val="20"/>
                    </w:rPr>
                    <w:t>53.32</w:t>
                  </w:r>
                  <w:r>
                    <w:rPr>
                      <w:rFonts w:ascii="宋体" w:hAnsi="宋体" w:eastAsia="宋体" w:cs="宋体"/>
                      <w:spacing w:val="-8"/>
                      <w:sz w:val="20"/>
                      <w:szCs w:val="20"/>
                    </w:rPr>
                    <w:t>（－</w:t>
                  </w:r>
                  <w:r>
                    <w:rPr>
                      <w:rFonts w:ascii="Times New Roman" w:hAnsi="Times New Roman" w:eastAsia="Times New Roman" w:cs="Times New Roman"/>
                      <w:spacing w:val="-8"/>
                      <w:sz w:val="20"/>
                      <w:szCs w:val="20"/>
                    </w:rPr>
                    <w:t>168.8</w:t>
                  </w:r>
                  <w:r>
                    <w:rPr>
                      <w:rFonts w:ascii="宋体" w:hAnsi="宋体" w:eastAsia="宋体" w:cs="宋体"/>
                      <w:spacing w:val="-8"/>
                      <w:sz w:val="20"/>
                      <w:szCs w:val="20"/>
                    </w:rPr>
                    <w:t>℃）</w:t>
                  </w:r>
                </w:p>
              </w:tc>
            </w:tr>
            <w:tr w14:paraId="0E48A7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restart"/>
                  <w:vAlign w:val="center"/>
                </w:tcPr>
                <w:p w14:paraId="09A89C2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燃烧爆炸危险性</w:t>
                  </w:r>
                </w:p>
              </w:tc>
              <w:tc>
                <w:tcPr>
                  <w:tcW w:w="2754" w:type="dxa"/>
                  <w:gridSpan w:val="2"/>
                  <w:vAlign w:val="center"/>
                </w:tcPr>
                <w:p w14:paraId="376D13E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燃烧性：易燃</w:t>
                  </w:r>
                </w:p>
              </w:tc>
              <w:tc>
                <w:tcPr>
                  <w:tcW w:w="4811" w:type="dxa"/>
                  <w:gridSpan w:val="4"/>
                  <w:vAlign w:val="center"/>
                </w:tcPr>
                <w:p w14:paraId="4FAA5D5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燃烧分解产物：一氧化碳、二氧化碳</w:t>
                  </w:r>
                </w:p>
              </w:tc>
            </w:tr>
            <w:tr w14:paraId="5E2FF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16DBB617">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754" w:type="dxa"/>
                  <w:gridSpan w:val="2"/>
                  <w:vAlign w:val="center"/>
                </w:tcPr>
                <w:p w14:paraId="164CFEF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11"/>
                      <w:sz w:val="20"/>
                      <w:szCs w:val="20"/>
                    </w:rPr>
                    <w:t>闪点（℃）：－</w:t>
                  </w:r>
                  <w:r>
                    <w:rPr>
                      <w:rFonts w:ascii="Times New Roman" w:hAnsi="Times New Roman" w:eastAsia="Times New Roman" w:cs="Times New Roman"/>
                      <w:spacing w:val="-11"/>
                      <w:sz w:val="20"/>
                      <w:szCs w:val="20"/>
                    </w:rPr>
                    <w:t>188</w:t>
                  </w:r>
                </w:p>
              </w:tc>
              <w:tc>
                <w:tcPr>
                  <w:tcW w:w="4811" w:type="dxa"/>
                  <w:gridSpan w:val="4"/>
                  <w:vAlign w:val="center"/>
                </w:tcPr>
                <w:p w14:paraId="63272B9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聚合危害：不聚合</w:t>
                  </w:r>
                </w:p>
              </w:tc>
            </w:tr>
            <w:tr w14:paraId="56013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5E85FA53">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754" w:type="dxa"/>
                  <w:gridSpan w:val="2"/>
                  <w:vAlign w:val="center"/>
                </w:tcPr>
                <w:p w14:paraId="161A544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10"/>
                      <w:sz w:val="20"/>
                      <w:szCs w:val="20"/>
                    </w:rPr>
                    <w:t>爆炸下限（％）：</w:t>
                  </w:r>
                  <w:r>
                    <w:rPr>
                      <w:rFonts w:ascii="Times New Roman" w:hAnsi="Times New Roman" w:eastAsia="Times New Roman" w:cs="Times New Roman"/>
                      <w:spacing w:val="-10"/>
                      <w:sz w:val="20"/>
                      <w:szCs w:val="20"/>
                    </w:rPr>
                    <w:t>5.3</w:t>
                  </w:r>
                </w:p>
              </w:tc>
              <w:tc>
                <w:tcPr>
                  <w:tcW w:w="4811" w:type="dxa"/>
                  <w:gridSpan w:val="4"/>
                  <w:vAlign w:val="center"/>
                </w:tcPr>
                <w:p w14:paraId="6F57C9A8">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稳定性：稳定</w:t>
                  </w:r>
                </w:p>
              </w:tc>
            </w:tr>
            <w:tr w14:paraId="74238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2077D5EE">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754" w:type="dxa"/>
                  <w:gridSpan w:val="2"/>
                  <w:vAlign w:val="center"/>
                </w:tcPr>
                <w:p w14:paraId="037C793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11"/>
                      <w:sz w:val="20"/>
                      <w:szCs w:val="20"/>
                    </w:rPr>
                    <w:t>爆炸上限（％）：</w:t>
                  </w:r>
                  <w:r>
                    <w:rPr>
                      <w:rFonts w:ascii="Times New Roman" w:hAnsi="Times New Roman" w:eastAsia="Times New Roman" w:cs="Times New Roman"/>
                      <w:spacing w:val="-11"/>
                      <w:sz w:val="20"/>
                      <w:szCs w:val="20"/>
                    </w:rPr>
                    <w:t>15</w:t>
                  </w:r>
                </w:p>
              </w:tc>
              <w:tc>
                <w:tcPr>
                  <w:tcW w:w="4811" w:type="dxa"/>
                  <w:gridSpan w:val="4"/>
                  <w:vAlign w:val="center"/>
                </w:tcPr>
                <w:p w14:paraId="69F7CB13">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6"/>
                      <w:sz w:val="20"/>
                      <w:szCs w:val="20"/>
                    </w:rPr>
                    <w:t>最大爆炸压力（</w:t>
                  </w:r>
                  <w:r>
                    <w:rPr>
                      <w:rFonts w:ascii="Times New Roman" w:hAnsi="Times New Roman" w:eastAsia="Times New Roman" w:cs="Times New Roman"/>
                      <w:spacing w:val="-6"/>
                      <w:sz w:val="20"/>
                      <w:szCs w:val="20"/>
                    </w:rPr>
                    <w:t>MPa</w:t>
                  </w:r>
                  <w:r>
                    <w:rPr>
                      <w:rFonts w:ascii="宋体" w:hAnsi="宋体" w:eastAsia="宋体" w:cs="宋体"/>
                      <w:spacing w:val="-6"/>
                      <w:sz w:val="20"/>
                      <w:szCs w:val="20"/>
                    </w:rPr>
                    <w:t>）：</w:t>
                  </w:r>
                  <w:r>
                    <w:rPr>
                      <w:rFonts w:ascii="Times New Roman" w:hAnsi="Times New Roman" w:eastAsia="Times New Roman" w:cs="Times New Roman"/>
                      <w:spacing w:val="-6"/>
                      <w:sz w:val="20"/>
                      <w:szCs w:val="20"/>
                    </w:rPr>
                    <w:t>0.717</w:t>
                  </w:r>
                </w:p>
              </w:tc>
            </w:tr>
            <w:tr w14:paraId="103BE0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1AA14119">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2754" w:type="dxa"/>
                  <w:gridSpan w:val="2"/>
                  <w:vAlign w:val="center"/>
                </w:tcPr>
                <w:p w14:paraId="3BF7C134">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Times New Roman" w:hAnsi="Times New Roman" w:eastAsia="Times New Roman" w:cs="Times New Roman"/>
                      <w:sz w:val="20"/>
                      <w:szCs w:val="20"/>
                    </w:rPr>
                  </w:pPr>
                  <w:r>
                    <w:rPr>
                      <w:rFonts w:ascii="宋体" w:hAnsi="宋体" w:eastAsia="宋体" w:cs="宋体"/>
                      <w:spacing w:val="-10"/>
                      <w:sz w:val="20"/>
                      <w:szCs w:val="20"/>
                    </w:rPr>
                    <w:t>引燃温度（℃）：</w:t>
                  </w:r>
                  <w:r>
                    <w:rPr>
                      <w:rFonts w:ascii="Times New Roman" w:hAnsi="Times New Roman" w:eastAsia="Times New Roman" w:cs="Times New Roman"/>
                      <w:spacing w:val="-10"/>
                      <w:sz w:val="20"/>
                      <w:szCs w:val="20"/>
                    </w:rPr>
                    <w:t>538</w:t>
                  </w:r>
                </w:p>
              </w:tc>
              <w:tc>
                <w:tcPr>
                  <w:tcW w:w="4811" w:type="dxa"/>
                  <w:gridSpan w:val="4"/>
                  <w:vAlign w:val="center"/>
                </w:tcPr>
                <w:p w14:paraId="7B3A4D1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禁忌物：强氧化剂、氟、氯</w:t>
                  </w:r>
                </w:p>
              </w:tc>
            </w:tr>
            <w:tr w14:paraId="03B4B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67419405">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7565" w:type="dxa"/>
                  <w:gridSpan w:val="6"/>
                  <w:vAlign w:val="center"/>
                </w:tcPr>
                <w:p w14:paraId="42E5F6B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危险特性：易燃，与空气混合能形成爆炸性混合物，遇热源和明火有燃烧爆炸的危险。与五氧化溴、氯气、次氯酸、三氟化氮、液氧、二氟化氧及其它强氧化剂接触剧烈反应。</w:t>
                  </w:r>
                </w:p>
              </w:tc>
            </w:tr>
            <w:tr w14:paraId="5254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Merge w:val="continue"/>
                  <w:vAlign w:val="center"/>
                </w:tcPr>
                <w:p w14:paraId="7162E076">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sz w:val="20"/>
                      <w:szCs w:val="20"/>
                    </w:rPr>
                  </w:pPr>
                </w:p>
              </w:tc>
              <w:tc>
                <w:tcPr>
                  <w:tcW w:w="7565" w:type="dxa"/>
                  <w:gridSpan w:val="6"/>
                  <w:vAlign w:val="center"/>
                </w:tcPr>
                <w:p w14:paraId="4D8E1E7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pacing w:val="-2"/>
                      <w:sz w:val="20"/>
                      <w:szCs w:val="20"/>
                    </w:rPr>
                    <w:t>消防措施：切断气源。若不能立即切断气源，则不允许熄灭正在燃烧的气体。喷水冷却容器，</w:t>
                  </w:r>
                  <w:r>
                    <w:rPr>
                      <w:rFonts w:ascii="宋体" w:hAnsi="宋体" w:eastAsia="宋体" w:cs="宋体"/>
                      <w:sz w:val="20"/>
                      <w:szCs w:val="20"/>
                    </w:rPr>
                    <w:t>可能的话将容器从火场移至空旷处。灭火剂：雾状水、泡沫、二氧化碳、干粉。</w:t>
                  </w:r>
                </w:p>
              </w:tc>
            </w:tr>
            <w:tr w14:paraId="2B4D51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363A7E32">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w w:val="99"/>
                      <w:sz w:val="20"/>
                      <w:szCs w:val="20"/>
                    </w:rPr>
                    <w:t>毒性</w:t>
                  </w:r>
                </w:p>
              </w:tc>
              <w:tc>
                <w:tcPr>
                  <w:tcW w:w="7565" w:type="dxa"/>
                  <w:gridSpan w:val="6"/>
                  <w:vAlign w:val="center"/>
                </w:tcPr>
                <w:p w14:paraId="7A0919A5">
                  <w:pPr>
                    <w:pStyle w:val="73"/>
                    <w:keepNext w:val="0"/>
                    <w:keepLines w:val="0"/>
                    <w:pageBreakBefore w:val="0"/>
                    <w:widowControl w:val="0"/>
                    <w:tabs>
                      <w:tab w:val="left" w:pos="4759"/>
                    </w:tabs>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接触限值：中国</w:t>
                  </w:r>
                  <w:r>
                    <w:rPr>
                      <w:rFonts w:ascii="Times New Roman" w:hAnsi="Times New Roman" w:eastAsia="Times New Roman" w:cs="Times New Roman"/>
                      <w:sz w:val="20"/>
                      <w:szCs w:val="20"/>
                    </w:rPr>
                    <w:t>MAC</w:t>
                  </w:r>
                  <w:r>
                    <w:rPr>
                      <w:rFonts w:ascii="宋体" w:hAnsi="宋体" w:eastAsia="宋体" w:cs="宋体"/>
                      <w:sz w:val="20"/>
                      <w:szCs w:val="20"/>
                    </w:rPr>
                    <w:t>（</w:t>
                  </w:r>
                  <w:r>
                    <w:rPr>
                      <w:rFonts w:ascii="Times New Roman" w:hAnsi="Times New Roman" w:eastAsia="Times New Roman" w:cs="Times New Roman"/>
                      <w:sz w:val="20"/>
                      <w:szCs w:val="20"/>
                    </w:rPr>
                    <w:t>mg/m</w:t>
                  </w:r>
                  <w:r>
                    <w:rPr>
                      <w:rFonts w:ascii="Times New Roman" w:hAnsi="Times New Roman" w:eastAsia="Times New Roman" w:cs="Times New Roman"/>
                      <w:position w:val="7"/>
                      <w:sz w:val="20"/>
                      <w:szCs w:val="20"/>
                    </w:rPr>
                    <w:t>3</w:t>
                  </w:r>
                  <w:r>
                    <w:rPr>
                      <w:rFonts w:ascii="宋体" w:hAnsi="宋体" w:eastAsia="宋体" w:cs="宋体"/>
                      <w:sz w:val="20"/>
                      <w:szCs w:val="20"/>
                    </w:rPr>
                    <w:t>）未制定标准</w:t>
                  </w:r>
                  <w:r>
                    <w:rPr>
                      <w:rFonts w:hint="eastAsia" w:ascii="宋体" w:hAnsi="宋体" w:eastAsia="宋体" w:cs="宋体"/>
                      <w:sz w:val="20"/>
                      <w:szCs w:val="20"/>
                      <w:lang w:val="en-US" w:eastAsia="zh-CN"/>
                    </w:rPr>
                    <w:t xml:space="preserve"> </w:t>
                  </w:r>
                  <w:r>
                    <w:rPr>
                      <w:rFonts w:ascii="宋体" w:hAnsi="宋体" w:eastAsia="宋体" w:cs="宋体"/>
                      <w:sz w:val="20"/>
                      <w:szCs w:val="20"/>
                    </w:rPr>
                    <w:t>前苏联</w:t>
                  </w:r>
                  <w:r>
                    <w:rPr>
                      <w:rFonts w:ascii="Times New Roman" w:hAnsi="Times New Roman" w:eastAsia="Times New Roman" w:cs="Times New Roman"/>
                      <w:sz w:val="20"/>
                      <w:szCs w:val="20"/>
                    </w:rPr>
                    <w:t>MAC</w:t>
                  </w:r>
                  <w:r>
                    <w:rPr>
                      <w:rFonts w:ascii="宋体" w:hAnsi="宋体" w:eastAsia="宋体" w:cs="宋体"/>
                      <w:sz w:val="20"/>
                      <w:szCs w:val="20"/>
                    </w:rPr>
                    <w:t>（</w:t>
                  </w:r>
                  <w:r>
                    <w:rPr>
                      <w:rFonts w:ascii="Times New Roman" w:hAnsi="Times New Roman" w:eastAsia="Times New Roman" w:cs="Times New Roman"/>
                      <w:sz w:val="20"/>
                      <w:szCs w:val="20"/>
                    </w:rPr>
                    <w:t>mg/m</w:t>
                  </w:r>
                  <w:r>
                    <w:rPr>
                      <w:rFonts w:ascii="Times New Roman" w:hAnsi="Times New Roman" w:eastAsia="Times New Roman" w:cs="Times New Roman"/>
                      <w:position w:val="7"/>
                      <w:sz w:val="20"/>
                      <w:szCs w:val="20"/>
                    </w:rPr>
                    <w:t>3</w:t>
                  </w:r>
                  <w:r>
                    <w:rPr>
                      <w:rFonts w:ascii="宋体" w:hAnsi="宋体" w:eastAsia="宋体" w:cs="宋体"/>
                      <w:sz w:val="20"/>
                      <w:szCs w:val="20"/>
                    </w:rPr>
                    <w:t>）</w:t>
                  </w:r>
                  <w:r>
                    <w:rPr>
                      <w:rFonts w:ascii="Times New Roman" w:hAnsi="Times New Roman" w:eastAsia="Times New Roman" w:cs="Times New Roman"/>
                      <w:sz w:val="20"/>
                      <w:szCs w:val="20"/>
                    </w:rPr>
                    <w:t>300</w:t>
                  </w:r>
                  <w:r>
                    <w:rPr>
                      <w:rFonts w:ascii="宋体" w:hAnsi="宋体" w:eastAsia="宋体" w:cs="宋体"/>
                      <w:sz w:val="20"/>
                      <w:szCs w:val="20"/>
                    </w:rPr>
                    <w:t>美国</w:t>
                  </w:r>
                  <w:r>
                    <w:rPr>
                      <w:rFonts w:ascii="Times New Roman" w:hAnsi="Times New Roman" w:eastAsia="Times New Roman" w:cs="Times New Roman"/>
                      <w:spacing w:val="-3"/>
                      <w:sz w:val="20"/>
                      <w:szCs w:val="20"/>
                    </w:rPr>
                    <w:t>TVL</w:t>
                  </w:r>
                  <w:r>
                    <w:rPr>
                      <w:rFonts w:ascii="宋体" w:hAnsi="宋体" w:eastAsia="宋体" w:cs="宋体"/>
                      <w:spacing w:val="-3"/>
                      <w:sz w:val="20"/>
                      <w:szCs w:val="20"/>
                    </w:rPr>
                    <w:t>－</w:t>
                  </w:r>
                  <w:r>
                    <w:rPr>
                      <w:rFonts w:ascii="Times New Roman" w:hAnsi="Times New Roman" w:eastAsia="Times New Roman" w:cs="Times New Roman"/>
                      <w:spacing w:val="-3"/>
                      <w:sz w:val="20"/>
                      <w:szCs w:val="20"/>
                    </w:rPr>
                    <w:t>TWA</w:t>
                  </w:r>
                  <w:r>
                    <w:rPr>
                      <w:rFonts w:ascii="Times New Roman" w:hAnsi="Times New Roman" w:eastAsia="Times New Roman" w:cs="Times New Roman"/>
                      <w:sz w:val="20"/>
                      <w:szCs w:val="20"/>
                    </w:rPr>
                    <w:t>ACGIH</w:t>
                  </w:r>
                  <w:r>
                    <w:rPr>
                      <w:rFonts w:ascii="宋体" w:hAnsi="宋体" w:eastAsia="宋体" w:cs="宋体"/>
                      <w:sz w:val="20"/>
                      <w:szCs w:val="20"/>
                    </w:rPr>
                    <w:t>窒息性气体</w:t>
                  </w:r>
                  <w:r>
                    <w:rPr>
                      <w:rFonts w:hint="eastAsia" w:ascii="宋体" w:hAnsi="宋体" w:eastAsia="宋体" w:cs="宋体"/>
                      <w:sz w:val="20"/>
                      <w:szCs w:val="20"/>
                      <w:lang w:val="en-US" w:eastAsia="zh-CN"/>
                    </w:rPr>
                    <w:t xml:space="preserve"> </w:t>
                  </w:r>
                  <w:r>
                    <w:rPr>
                      <w:rFonts w:ascii="宋体" w:hAnsi="宋体" w:eastAsia="宋体" w:cs="宋体"/>
                      <w:sz w:val="20"/>
                      <w:szCs w:val="20"/>
                    </w:rPr>
                    <w:t>美国</w:t>
                  </w:r>
                  <w:r>
                    <w:rPr>
                      <w:rFonts w:ascii="Times New Roman" w:hAnsi="Times New Roman" w:eastAsia="Times New Roman" w:cs="Times New Roman"/>
                      <w:spacing w:val="-3"/>
                      <w:sz w:val="20"/>
                      <w:szCs w:val="20"/>
                    </w:rPr>
                    <w:t>TLV</w:t>
                  </w:r>
                  <w:r>
                    <w:rPr>
                      <w:rFonts w:ascii="宋体" w:hAnsi="宋体" w:eastAsia="宋体" w:cs="宋体"/>
                      <w:spacing w:val="-3"/>
                      <w:sz w:val="20"/>
                      <w:szCs w:val="20"/>
                    </w:rPr>
                    <w:t>－</w:t>
                  </w:r>
                  <w:r>
                    <w:rPr>
                      <w:rFonts w:ascii="Times New Roman" w:hAnsi="Times New Roman" w:eastAsia="Times New Roman" w:cs="Times New Roman"/>
                      <w:spacing w:val="-3"/>
                      <w:sz w:val="20"/>
                      <w:szCs w:val="20"/>
                    </w:rPr>
                    <w:t>STEL</w:t>
                  </w:r>
                  <w:r>
                    <w:rPr>
                      <w:rFonts w:hint="eastAsia" w:ascii="Times New Roman" w:hAnsi="Times New Roman" w:eastAsia="宋体" w:cs="Times New Roman"/>
                      <w:spacing w:val="-3"/>
                      <w:sz w:val="20"/>
                      <w:szCs w:val="20"/>
                      <w:lang w:val="en-US" w:eastAsia="zh-CN"/>
                    </w:rPr>
                    <w:t xml:space="preserve"> </w:t>
                  </w:r>
                  <w:r>
                    <w:rPr>
                      <w:rFonts w:ascii="宋体" w:hAnsi="宋体" w:eastAsia="宋体" w:cs="宋体"/>
                      <w:sz w:val="20"/>
                      <w:szCs w:val="20"/>
                    </w:rPr>
                    <w:t>未制定标准</w:t>
                  </w:r>
                </w:p>
              </w:tc>
            </w:tr>
            <w:tr w14:paraId="63762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672E91CE">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w w:val="99"/>
                      <w:sz w:val="20"/>
                      <w:szCs w:val="20"/>
                    </w:rPr>
                    <w:t>对</w:t>
                  </w:r>
                  <w:r>
                    <w:rPr>
                      <w:rFonts w:ascii="宋体" w:hAnsi="宋体" w:eastAsia="宋体" w:cs="宋体"/>
                      <w:sz w:val="20"/>
                      <w:szCs w:val="20"/>
                    </w:rPr>
                    <w:t>人体危害</w:t>
                  </w:r>
                </w:p>
              </w:tc>
              <w:tc>
                <w:tcPr>
                  <w:tcW w:w="7565" w:type="dxa"/>
                  <w:gridSpan w:val="6"/>
                  <w:vAlign w:val="center"/>
                </w:tcPr>
                <w:p w14:paraId="446E6C8A">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侵入途径：吸入。健康危害：甲烷对人基本无毒，但浓度过高时，使空气中氧含量明显降低，使人窒息。当空气中甲烷达</w:t>
                  </w:r>
                  <w:r>
                    <w:rPr>
                      <w:rFonts w:ascii="Times New Roman" w:hAnsi="Times New Roman" w:eastAsia="Times New Roman" w:cs="Times New Roman"/>
                      <w:sz w:val="20"/>
                      <w:szCs w:val="20"/>
                    </w:rPr>
                    <w:t>25</w:t>
                  </w:r>
                  <w:r>
                    <w:rPr>
                      <w:rFonts w:ascii="宋体" w:hAnsi="宋体" w:eastAsia="宋体" w:cs="宋体"/>
                      <w:sz w:val="20"/>
                      <w:szCs w:val="20"/>
                    </w:rPr>
                    <w:t>％～</w:t>
                  </w:r>
                  <w:r>
                    <w:rPr>
                      <w:rFonts w:ascii="Times New Roman" w:hAnsi="Times New Roman" w:eastAsia="Times New Roman" w:cs="Times New Roman"/>
                      <w:sz w:val="20"/>
                      <w:szCs w:val="20"/>
                    </w:rPr>
                    <w:t>30</w:t>
                  </w:r>
                  <w:r>
                    <w:rPr>
                      <w:rFonts w:ascii="宋体" w:hAnsi="宋体" w:eastAsia="宋体" w:cs="宋体"/>
                      <w:sz w:val="20"/>
                      <w:szCs w:val="20"/>
                    </w:rPr>
                    <w:t>％时，可引起头痛、头晕、乏力、注意力不集中、呼吸和心跳加速、共济失调。若不及时脱离，可致窒息死亡。皮肤接触液化本品，可致冻伤。</w:t>
                  </w:r>
                </w:p>
              </w:tc>
            </w:tr>
            <w:tr w14:paraId="7CFC9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077AD61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急救</w:t>
                  </w:r>
                </w:p>
              </w:tc>
              <w:tc>
                <w:tcPr>
                  <w:tcW w:w="7565" w:type="dxa"/>
                  <w:gridSpan w:val="6"/>
                  <w:vAlign w:val="center"/>
                </w:tcPr>
                <w:p w14:paraId="74EEFDA6">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皮肤冻伤：若有冻伤，就医治疗。吸入：迅速脱离现场至空气新鲜处，保持呼吸道通畅。如呼吸困难，给输氧。如呼吸停止，立即进行人工呼吸。就医。</w:t>
                  </w:r>
                </w:p>
              </w:tc>
            </w:tr>
            <w:tr w14:paraId="44889B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7091D375">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防护</w:t>
                  </w:r>
                </w:p>
              </w:tc>
              <w:tc>
                <w:tcPr>
                  <w:tcW w:w="7565" w:type="dxa"/>
                  <w:gridSpan w:val="6"/>
                  <w:vAlign w:val="center"/>
                </w:tcPr>
                <w:p w14:paraId="43D185DF">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工程防护：生产过程密闭，全面通风。个人防护：</w:t>
                  </w:r>
                  <w:r>
                    <w:rPr>
                      <w:rFonts w:ascii="宋体" w:hAnsi="宋体" w:eastAsia="宋体" w:cs="宋体"/>
                      <w:spacing w:val="-4"/>
                      <w:sz w:val="20"/>
                      <w:szCs w:val="20"/>
                    </w:rPr>
                    <w:t>一般不需要特殊防护，但建议特殊情况下，佩戴自吸过滤式防毒面具（半面罩）。</w:t>
                  </w:r>
                  <w:r>
                    <w:rPr>
                      <w:rFonts w:ascii="宋体" w:hAnsi="宋体" w:eastAsia="宋体" w:cs="宋体"/>
                      <w:sz w:val="20"/>
                      <w:szCs w:val="20"/>
                    </w:rPr>
                    <w:t>眼睛防护一般不需要特殊防护，高浓度接触时可戴安全防护眼镜，穿防静电工作服。戴一般作业防护手套。工作现场严禁吸烟。避免长期反复接触，进入罐、限制性空间或其它高浓度区作业，须有人监护。</w:t>
                  </w:r>
                </w:p>
              </w:tc>
            </w:tr>
            <w:tr w14:paraId="7BC877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1FEBF191">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泄漏处理</w:t>
                  </w:r>
                </w:p>
              </w:tc>
              <w:tc>
                <w:tcPr>
                  <w:tcW w:w="7565" w:type="dxa"/>
                  <w:gridSpan w:val="6"/>
                  <w:vAlign w:val="center"/>
                </w:tcPr>
                <w:p w14:paraId="05BAD54D">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迅速撤离泄漏污染区人员至上风处，并进行隔离，严格限制出入。切断火源。建议应急处理人员戴自给正压式呼吸器，穿消防防护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7506D1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381" w:type="dxa"/>
                  <w:vAlign w:val="center"/>
                </w:tcPr>
                <w:p w14:paraId="7B3650C9">
                  <w:pPr>
                    <w:pStyle w:val="73"/>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sz w:val="20"/>
                      <w:szCs w:val="20"/>
                    </w:rPr>
                    <w:t>贮运</w:t>
                  </w:r>
                </w:p>
              </w:tc>
              <w:tc>
                <w:tcPr>
                  <w:tcW w:w="7565" w:type="dxa"/>
                  <w:gridSpan w:val="6"/>
                  <w:vAlign w:val="center"/>
                </w:tcPr>
                <w:p w14:paraId="2B9DA2CA">
                  <w:pPr>
                    <w:pStyle w:val="73"/>
                    <w:keepNext w:val="0"/>
                    <w:keepLines w:val="0"/>
                    <w:pageBreakBefore w:val="0"/>
                    <w:widowControl w:val="0"/>
                    <w:tabs>
                      <w:tab w:val="left" w:pos="1992"/>
                      <w:tab w:val="left" w:pos="4027"/>
                      <w:tab w:val="left" w:pos="6022"/>
                    </w:tabs>
                    <w:kinsoku/>
                    <w:wordWrap/>
                    <w:overflowPunct/>
                    <w:topLinePunct w:val="0"/>
                    <w:autoSpaceDE/>
                    <w:autoSpaceDN/>
                    <w:bidi w:val="0"/>
                    <w:adjustRightInd/>
                    <w:snapToGrid/>
                    <w:spacing w:line="240" w:lineRule="auto"/>
                    <w:ind w:left="0" w:right="0"/>
                    <w:jc w:val="center"/>
                    <w:textAlignment w:val="auto"/>
                    <w:rPr>
                      <w:rFonts w:ascii="宋体" w:hAnsi="宋体" w:eastAsia="宋体" w:cs="宋体"/>
                      <w:sz w:val="20"/>
                      <w:szCs w:val="20"/>
                    </w:rPr>
                  </w:pPr>
                  <w:r>
                    <w:rPr>
                      <w:rFonts w:ascii="宋体" w:hAnsi="宋体" w:eastAsia="宋体" w:cs="宋体"/>
                      <w:w w:val="95"/>
                      <w:sz w:val="20"/>
                      <w:szCs w:val="20"/>
                    </w:rPr>
                    <w:t>包装标志：</w:t>
                  </w:r>
                  <w:r>
                    <w:rPr>
                      <w:rFonts w:ascii="Times New Roman" w:hAnsi="Times New Roman" w:eastAsia="Times New Roman" w:cs="Times New Roman"/>
                      <w:w w:val="95"/>
                      <w:sz w:val="20"/>
                      <w:szCs w:val="20"/>
                    </w:rPr>
                    <w:t>4</w:t>
                  </w:r>
                  <w:r>
                    <w:rPr>
                      <w:rFonts w:hint="eastAsia" w:ascii="Times New Roman" w:hAnsi="Times New Roman" w:eastAsia="宋体" w:cs="Times New Roman"/>
                      <w:w w:val="95"/>
                      <w:sz w:val="20"/>
                      <w:szCs w:val="20"/>
                      <w:lang w:val="en-US" w:eastAsia="zh-CN"/>
                    </w:rPr>
                    <w:t xml:space="preserve"> </w:t>
                  </w:r>
                  <w:r>
                    <w:rPr>
                      <w:rFonts w:ascii="Times New Roman" w:hAnsi="Times New Roman" w:eastAsia="Times New Roman" w:cs="Times New Roman"/>
                      <w:sz w:val="20"/>
                      <w:szCs w:val="20"/>
                    </w:rPr>
                    <w:t>UN</w:t>
                  </w:r>
                  <w:r>
                    <w:rPr>
                      <w:rFonts w:ascii="宋体" w:hAnsi="宋体" w:eastAsia="宋体" w:cs="宋体"/>
                      <w:sz w:val="20"/>
                      <w:szCs w:val="20"/>
                    </w:rPr>
                    <w:t>编号：</w:t>
                  </w:r>
                  <w:r>
                    <w:rPr>
                      <w:rFonts w:ascii="Times New Roman" w:hAnsi="Times New Roman" w:eastAsia="Times New Roman" w:cs="Times New Roman"/>
                      <w:sz w:val="20"/>
                      <w:szCs w:val="20"/>
                    </w:rPr>
                    <w:t>1971</w:t>
                  </w:r>
                  <w:r>
                    <w:rPr>
                      <w:rFonts w:hint="eastAsia" w:ascii="Times New Roman" w:hAnsi="Times New Roman" w:eastAsia="宋体" w:cs="Times New Roman"/>
                      <w:sz w:val="20"/>
                      <w:szCs w:val="20"/>
                      <w:lang w:val="en-US" w:eastAsia="zh-CN"/>
                    </w:rPr>
                    <w:t xml:space="preserve"> </w:t>
                  </w:r>
                  <w:r>
                    <w:rPr>
                      <w:rFonts w:ascii="宋体" w:hAnsi="宋体" w:eastAsia="宋体" w:cs="宋体"/>
                      <w:w w:val="95"/>
                      <w:sz w:val="20"/>
                      <w:szCs w:val="20"/>
                    </w:rPr>
                    <w:t>包装分类：Ⅱ</w:t>
                  </w:r>
                  <w:r>
                    <w:rPr>
                      <w:rFonts w:hint="eastAsia" w:ascii="宋体" w:hAnsi="宋体" w:eastAsia="宋体" w:cs="宋体"/>
                      <w:w w:val="95"/>
                      <w:sz w:val="20"/>
                      <w:szCs w:val="20"/>
                      <w:lang w:val="en-US" w:eastAsia="zh-CN"/>
                    </w:rPr>
                    <w:t xml:space="preserve"> </w:t>
                  </w:r>
                  <w:r>
                    <w:rPr>
                      <w:rFonts w:ascii="宋体" w:hAnsi="宋体" w:eastAsia="宋体" w:cs="宋体"/>
                      <w:sz w:val="20"/>
                      <w:szCs w:val="20"/>
                    </w:rPr>
                    <w:t>包装方法：钢质气瓶</w:t>
                  </w:r>
                  <w:r>
                    <w:rPr>
                      <w:rFonts w:ascii="宋体" w:hAnsi="宋体" w:eastAsia="宋体" w:cs="宋体"/>
                      <w:spacing w:val="-3"/>
                      <w:sz w:val="20"/>
                      <w:szCs w:val="20"/>
                    </w:rPr>
                    <w:t>储运条件：易燃压缩气体。储存于阴凉、通风仓间内。仓温不宜超过</w:t>
                  </w:r>
                  <w:r>
                    <w:rPr>
                      <w:rFonts w:ascii="Times New Roman" w:hAnsi="Times New Roman" w:eastAsia="Times New Roman" w:cs="Times New Roman"/>
                      <w:spacing w:val="-3"/>
                      <w:sz w:val="20"/>
                      <w:szCs w:val="20"/>
                    </w:rPr>
                    <w:t>30</w:t>
                  </w:r>
                  <w:r>
                    <w:rPr>
                      <w:rFonts w:ascii="宋体" w:hAnsi="宋体" w:eastAsia="宋体" w:cs="宋体"/>
                      <w:spacing w:val="-3"/>
                      <w:sz w:val="20"/>
                      <w:szCs w:val="20"/>
                    </w:rPr>
                    <w:t>℃。远离火种、热源。</w:t>
                  </w:r>
                  <w:r>
                    <w:rPr>
                      <w:rFonts w:ascii="宋体" w:hAnsi="宋体" w:eastAsia="宋体" w:cs="宋体"/>
                      <w:sz w:val="20"/>
                      <w:szCs w:val="20"/>
                    </w:rPr>
                    <w:t>防止阳光直射。应与氧气、压缩空气、卤素（氟、氯、溴）等分开存放。切忌混储混运。储存间的照明、通风等设施应采用防爆型，开关设在仓外。配备相应品种和数量的消防器材。罐储时要有防火防爆技术措施。露天贮罐夏季要有降温措施。禁止使用易产生火花的机械设备和工具。验收时要注意品名，注意验瓶日期，先进仓的先发用。搬运时轻装轻卸，防止钢瓶及附件破损。</w:t>
                  </w:r>
                </w:p>
              </w:tc>
            </w:tr>
          </w:tbl>
          <w:p w14:paraId="0E820B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施工前若没有对输气管道周边地理位置、地质、埋深进行勘探，没有收集了管道的相关资料，盲目编制施工组织方案，可能造成管道的移位、涌管、破裂等，致使天然气泄漏，发生火灾爆炸事故。</w:t>
            </w:r>
          </w:p>
          <w:p w14:paraId="15F2C07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施工前若没有和管道管理单位进行沟通协商，管理单位未派专人现场指导，一旦施工造成天然气管道移位、涌管、破裂等，有可能致使天然气泄漏，易发生火灾、爆炸事故。</w:t>
            </w:r>
          </w:p>
          <w:p w14:paraId="19AEC01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施工前施工单位若没有编制施工专项方案和管道保护方案，方案没有组织相关单位和专家进行可行性论证，施工时可能因施工组织方案的不合理、不可行、无可控性而引发天然气泄漏和天然气管道使用寿命减小。</w:t>
            </w:r>
          </w:p>
          <w:p w14:paraId="459E7C9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施工中擅自拆除或破坏管道标志桩、安全警示标志牌等安全设施，会造成管道中心两侧5m范围内的保护带不清。</w:t>
            </w:r>
          </w:p>
          <w:p w14:paraId="4FD27E8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对施工人员缺乏安全管理，施工人员在施工现场野蛮作业，会破坏管道安全设施，对管道正常运行埋下安全隐患。</w:t>
            </w:r>
          </w:p>
          <w:p w14:paraId="4B219EB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如对天然气埋地管道提供的线路不准确。施工机械碰及管道，造成管道损坏泄漏，从而导致火灾事故发生。</w:t>
            </w:r>
          </w:p>
          <w:p w14:paraId="443F0F2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该工程位于输气管道上方，在施工工程中涉及材料堆放、工程车辆出入等，若未对输气管道与施工作业区域采取硬质隔离措施，工程车辆在管线上方碾压，可能造成管线破裂，引发火灾爆炸事故。</w:t>
            </w:r>
          </w:p>
          <w:p w14:paraId="090145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采取的防范措施如下：</w:t>
            </w:r>
          </w:p>
          <w:p w14:paraId="656B3BA5">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w:t>
            </w:r>
            <w:r>
              <w:rPr>
                <w:rFonts w:hint="default" w:ascii="Times New Roman" w:hAnsi="Times New Roman" w:eastAsia="宋体" w:cs="Times New Roman"/>
                <w:color w:val="auto"/>
                <w:sz w:val="24"/>
                <w:szCs w:val="22"/>
              </w:rPr>
              <w:t>）施工过程不得破坏天然气管道标志桩和警示标志。管道穿越公路两端增设标识。</w:t>
            </w:r>
          </w:p>
          <w:p w14:paraId="0BE5EE78">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2</w:t>
            </w:r>
            <w:r>
              <w:rPr>
                <w:rFonts w:hint="default" w:ascii="Times New Roman" w:hAnsi="Times New Roman" w:eastAsia="宋体" w:cs="Times New Roman"/>
                <w:color w:val="auto"/>
                <w:sz w:val="24"/>
                <w:szCs w:val="22"/>
              </w:rPr>
              <w:t>）施工单位编制保护方案报管道保护主管部门审批取得同意后与管道企业签订保护协议。施工作业，施工应当在开工七日前书面通知管道企业。管道企业应当指派专门人员到现场进行管道保护安全指导。</w:t>
            </w:r>
          </w:p>
          <w:p w14:paraId="48E97E6A">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3</w:t>
            </w:r>
            <w:r>
              <w:rPr>
                <w:rFonts w:hint="default" w:ascii="Times New Roman" w:hAnsi="Times New Roman" w:eastAsia="宋体" w:cs="Times New Roman"/>
                <w:color w:val="auto"/>
                <w:sz w:val="24"/>
                <w:szCs w:val="22"/>
              </w:rPr>
              <w:t>）施工前对交叉段管道防腐层进行检测并修复。</w:t>
            </w:r>
          </w:p>
          <w:p w14:paraId="29093806">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4</w:t>
            </w:r>
            <w:r>
              <w:rPr>
                <w:rFonts w:hint="default" w:ascii="Times New Roman" w:hAnsi="Times New Roman" w:eastAsia="宋体" w:cs="Times New Roman"/>
                <w:color w:val="auto"/>
                <w:sz w:val="24"/>
                <w:szCs w:val="22"/>
              </w:rPr>
              <w:t>）管道企业派专人到现场监护施工并参与安全技术交底与验收。</w:t>
            </w:r>
          </w:p>
          <w:p w14:paraId="4614703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5</w:t>
            </w:r>
            <w:r>
              <w:rPr>
                <w:rFonts w:hint="default" w:ascii="Times New Roman" w:hAnsi="Times New Roman" w:eastAsia="宋体" w:cs="Times New Roman"/>
                <w:color w:val="auto"/>
                <w:sz w:val="24"/>
                <w:szCs w:val="22"/>
              </w:rPr>
              <w:t>）施工前应编制应急预案，并与管道单位进行联动应急演练。</w:t>
            </w:r>
          </w:p>
          <w:p w14:paraId="18AA293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6</w:t>
            </w:r>
            <w:r>
              <w:rPr>
                <w:rFonts w:hint="default" w:ascii="Times New Roman" w:hAnsi="Times New Roman" w:eastAsia="宋体" w:cs="Times New Roman"/>
                <w:color w:val="auto"/>
                <w:sz w:val="24"/>
                <w:szCs w:val="22"/>
              </w:rPr>
              <w:t>）作业前，涉及管道周边动土、受限空间、动火、临时用电等作业时，应办理相关作业票。</w:t>
            </w:r>
          </w:p>
          <w:p w14:paraId="2FC35408">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7</w:t>
            </w:r>
            <w:r>
              <w:rPr>
                <w:rFonts w:hint="default" w:ascii="Times New Roman" w:hAnsi="Times New Roman" w:eastAsia="宋体" w:cs="Times New Roman"/>
                <w:color w:val="auto"/>
                <w:sz w:val="24"/>
                <w:szCs w:val="22"/>
              </w:rPr>
              <w:t>）钻孔灌注桩施工时，做好管道沉降位移监测工作，实时监测管道的沉降及水平位移情况。应注意软土层的缩径，粉土、粉砂层的踏空及漏浆问题。施工钻孔时应做好地质层面记录，如发现地质情况与钻孔资料不符，位移变化等异常情况，应立即停止施工。</w:t>
            </w:r>
          </w:p>
          <w:p w14:paraId="4F1E9F4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8</w:t>
            </w:r>
            <w:r>
              <w:rPr>
                <w:rFonts w:hint="default" w:ascii="Times New Roman" w:hAnsi="Times New Roman" w:eastAsia="宋体" w:cs="Times New Roman"/>
                <w:color w:val="auto"/>
                <w:sz w:val="24"/>
                <w:szCs w:val="22"/>
              </w:rPr>
              <w:t>）在工程施工前，加强对施工区域管线的调查工作，对施工区域的天然气管道进行标注，注明管道名称、走向、埋深等。</w:t>
            </w:r>
          </w:p>
          <w:p w14:paraId="5A3E24BC">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9</w:t>
            </w:r>
            <w:r>
              <w:rPr>
                <w:rFonts w:hint="default" w:ascii="Times New Roman" w:hAnsi="Times New Roman" w:eastAsia="宋体" w:cs="Times New Roman"/>
                <w:color w:val="auto"/>
                <w:sz w:val="24"/>
                <w:szCs w:val="22"/>
              </w:rPr>
              <w:t>）施工时，机械设备、运输车辆进场应禁止直接经过管道上方，以免对管道可能产生的损害。管道防护带距离内不得加载，包括堆土及重型机械进入。管道周边严禁停放重车，重型设备。</w:t>
            </w:r>
          </w:p>
          <w:p w14:paraId="411BA93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10</w:t>
            </w:r>
            <w:r>
              <w:rPr>
                <w:rFonts w:hint="default" w:ascii="Times New Roman" w:hAnsi="Times New Roman" w:eastAsia="宋体" w:cs="Times New Roman"/>
                <w:color w:val="auto"/>
                <w:sz w:val="24"/>
                <w:szCs w:val="22"/>
              </w:rPr>
              <w:t>）施工前和施工期间要加强对施工人员的安全教育，不得盲目、野蛮施工。</w:t>
            </w:r>
          </w:p>
          <w:p w14:paraId="6D075D85">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11</w:t>
            </w:r>
            <w:r>
              <w:rPr>
                <w:rFonts w:hint="default" w:ascii="Times New Roman" w:hAnsi="Times New Roman" w:eastAsia="宋体" w:cs="Times New Roman"/>
                <w:color w:val="auto"/>
                <w:sz w:val="24"/>
                <w:szCs w:val="22"/>
              </w:rPr>
              <w:t>）施工前应根据设计文件复查地下、管道的埋设位置及走向，并采取保护措施；必要时进行地质超前探测预报，进一步了解顶管区域地层构造、地下水以及埋地设施状况。</w:t>
            </w:r>
          </w:p>
          <w:p w14:paraId="4686F5A5">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12</w:t>
            </w:r>
            <w:r>
              <w:rPr>
                <w:rFonts w:hint="default" w:ascii="Times New Roman" w:hAnsi="Times New Roman" w:eastAsia="宋体" w:cs="Times New Roman"/>
                <w:color w:val="auto"/>
                <w:sz w:val="24"/>
                <w:szCs w:val="22"/>
              </w:rPr>
              <w:t>）施工作业时，应做好防止管道沉降、位移的相关监测措施，出现相关情况时应立即停止作业，并通知管道产权单位，协商确定处理措施。</w:t>
            </w:r>
          </w:p>
          <w:p w14:paraId="255D3031">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13</w:t>
            </w:r>
            <w:r>
              <w:rPr>
                <w:rFonts w:hint="default" w:ascii="Times New Roman" w:hAnsi="Times New Roman" w:eastAsia="宋体" w:cs="Times New Roman"/>
                <w:color w:val="auto"/>
                <w:sz w:val="24"/>
                <w:szCs w:val="22"/>
              </w:rPr>
              <w:t>）基坑开挖过程应设置完善的排水设施，防止基坑积水。基坑边坡设置支护措施，进行分段开挖分段施工，防止基坑坍塌。</w:t>
            </w:r>
          </w:p>
          <w:p w14:paraId="75790A26">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eastAsia" w:eastAsia="宋体" w:cs="Times New Roman"/>
                <w:color w:val="auto"/>
                <w:sz w:val="24"/>
                <w:szCs w:val="22"/>
                <w:lang w:val="en-US" w:eastAsia="zh-CN"/>
              </w:rPr>
              <w:t>14</w:t>
            </w:r>
            <w:r>
              <w:rPr>
                <w:rFonts w:hint="default" w:ascii="Times New Roman" w:hAnsi="Times New Roman" w:eastAsia="宋体" w:cs="Times New Roman"/>
                <w:color w:val="auto"/>
                <w:sz w:val="24"/>
                <w:szCs w:val="22"/>
              </w:rPr>
              <w:t>）施工过程对对裸露及悬空管道、光缆进行保护。</w:t>
            </w:r>
          </w:p>
          <w:p w14:paraId="2240FC07">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lang w:eastAsia="zh-CN"/>
              </w:rPr>
            </w:pPr>
            <w:r>
              <w:rPr>
                <w:rFonts w:hint="eastAsia" w:eastAsia="宋体" w:cs="Times New Roman"/>
                <w:color w:val="auto"/>
                <w:sz w:val="24"/>
                <w:szCs w:val="22"/>
                <w:lang w:val="en-US" w:eastAsia="zh-CN"/>
              </w:rPr>
              <w:t>15</w:t>
            </w:r>
            <w:r>
              <w:rPr>
                <w:rFonts w:hint="default" w:ascii="Times New Roman" w:hAnsi="Times New Roman" w:eastAsia="宋体" w:cs="Times New Roman"/>
                <w:color w:val="auto"/>
                <w:sz w:val="24"/>
                <w:szCs w:val="22"/>
              </w:rPr>
              <w:t>）涵洞内进行填实，涵洞两端进行封堵，防止水流入涵洞引起管道悬空冲走填充物。</w:t>
            </w:r>
          </w:p>
          <w:p w14:paraId="71A46E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此外，施工期间应建立环境风险管理制度，场地内预备防渗、截留、截污等</w:t>
            </w:r>
            <w:r>
              <w:rPr>
                <w:rFonts w:hint="eastAsia" w:cs="Times New Roman"/>
                <w:color w:val="auto"/>
                <w:sz w:val="24"/>
                <w:szCs w:val="24"/>
                <w:lang w:eastAsia="zh-CN"/>
              </w:rPr>
              <w:t>应急物资</w:t>
            </w:r>
            <w:r>
              <w:rPr>
                <w:rFonts w:hint="default" w:ascii="Times New Roman" w:hAnsi="Times New Roman" w:cs="Times New Roman"/>
                <w:color w:val="auto"/>
                <w:sz w:val="24"/>
                <w:szCs w:val="24"/>
              </w:rPr>
              <w:t>，便于发生事故情况下及时进行处理。</w:t>
            </w:r>
          </w:p>
          <w:p w14:paraId="30EE231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在采取上述措施后，项目施工期环境风险的影响较小。</w:t>
            </w:r>
          </w:p>
          <w:p w14:paraId="2710347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eastAsia" w:cs="Times New Roman"/>
                <w:b/>
                <w:bCs/>
                <w:color w:val="auto"/>
                <w:sz w:val="24"/>
                <w:szCs w:val="24"/>
                <w:lang w:val="en-US" w:eastAsia="zh-CN"/>
              </w:rPr>
            </w:pPr>
            <w:r>
              <w:rPr>
                <w:rFonts w:hint="eastAsia" w:cs="Times New Roman"/>
                <w:b/>
                <w:bCs/>
                <w:color w:val="auto"/>
                <w:sz w:val="24"/>
                <w:szCs w:val="24"/>
                <w:lang w:val="en-US" w:eastAsia="zh-CN"/>
              </w:rPr>
              <w:t>8、施工过程中对天然气管线、铁路专用线的影响分析</w:t>
            </w:r>
          </w:p>
          <w:p w14:paraId="32D542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b w:val="0"/>
                <w:bCs w:val="0"/>
                <w:color w:val="auto"/>
                <w:sz w:val="24"/>
                <w:szCs w:val="32"/>
                <w:lang w:val="en-US" w:eastAsia="zh-CN"/>
              </w:rPr>
            </w:pPr>
            <w:r>
              <w:rPr>
                <w:rFonts w:hint="eastAsia" w:cs="Times New Roman"/>
                <w:b w:val="0"/>
                <w:bCs w:val="0"/>
                <w:color w:val="auto"/>
                <w:sz w:val="24"/>
                <w:szCs w:val="32"/>
                <w:lang w:val="en-US" w:eastAsia="zh-CN"/>
              </w:rPr>
              <w:t>本项目跨越燃气管道</w:t>
            </w:r>
            <w:r>
              <w:rPr>
                <w:rFonts w:hint="default" w:ascii="Times New Roman" w:hAnsi="Times New Roman" w:cs="Times New Roman"/>
                <w:b w:val="0"/>
                <w:bCs w:val="0"/>
                <w:color w:val="auto"/>
                <w:sz w:val="24"/>
                <w:szCs w:val="32"/>
                <w:lang w:val="en-US" w:eastAsia="zh-CN"/>
              </w:rPr>
              <w:t>2#桥墩与输气管道净间距5.82m，3#桥墩与输气管道净间距17m</w:t>
            </w:r>
            <w:r>
              <w:rPr>
                <w:rFonts w:hint="eastAsia" w:cs="Times New Roman"/>
                <w:b w:val="0"/>
                <w:bCs w:val="0"/>
                <w:color w:val="auto"/>
                <w:sz w:val="24"/>
                <w:szCs w:val="32"/>
                <w:lang w:val="en-US" w:eastAsia="zh-CN"/>
              </w:rPr>
              <w:t>。施工过程中采取的措施如下：</w:t>
            </w:r>
          </w:p>
          <w:p w14:paraId="611A714A">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w:t>
            </w:r>
            <w:r>
              <w:rPr>
                <w:rFonts w:hint="default" w:ascii="Times New Roman" w:hAnsi="Times New Roman" w:eastAsia="宋体" w:cs="Times New Roman"/>
                <w:color w:val="auto"/>
                <w:sz w:val="24"/>
                <w:szCs w:val="22"/>
              </w:rPr>
              <w:t>）管道中心线五米范围内禁止机械作业动土；应采用人工开挖，并应有管道企业现场管理人员监督。</w:t>
            </w:r>
          </w:p>
          <w:p w14:paraId="54D86E4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2</w:t>
            </w:r>
            <w:r>
              <w:rPr>
                <w:rFonts w:hint="default" w:ascii="Times New Roman" w:hAnsi="Times New Roman" w:eastAsia="宋体" w:cs="Times New Roman"/>
                <w:color w:val="auto"/>
                <w:sz w:val="24"/>
                <w:szCs w:val="22"/>
              </w:rPr>
              <w:t>）管道附近的桩基成桩方式应协调使用钻孔灌注桩基础，避免锤击桩形式。管道保护周围不得震动作业（爆破、冲击钻）。</w:t>
            </w:r>
          </w:p>
          <w:p w14:paraId="0F6F7A80">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3</w:t>
            </w:r>
            <w:r>
              <w:rPr>
                <w:rFonts w:hint="default" w:ascii="Times New Roman" w:hAnsi="Times New Roman" w:eastAsia="宋体" w:cs="Times New Roman"/>
                <w:color w:val="auto"/>
                <w:sz w:val="24"/>
                <w:szCs w:val="22"/>
              </w:rPr>
              <w:t>）禁止在管道保护带内堆土和堆放重物，禁止重车碾压管道；</w:t>
            </w:r>
          </w:p>
          <w:p w14:paraId="6E2934BB">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4</w:t>
            </w:r>
            <w:r>
              <w:rPr>
                <w:rFonts w:hint="default" w:ascii="Times New Roman" w:hAnsi="Times New Roman" w:eastAsia="宋体" w:cs="Times New Roman"/>
                <w:color w:val="auto"/>
                <w:sz w:val="24"/>
                <w:szCs w:val="22"/>
              </w:rPr>
              <w:t>）施工区域应安装摄像头、断缆报警系统，保护带内采用彩钢板等将管道区域与施工区进行硬隔离。在施工区域设置摄像头等监控设备，实现对施工过程的全方位监控。建立预警机制，一旦发现异常情况或潜在风险，立即启动预警程序，通知相关人员采取紧急措施。对监控和预警数据进行收集和分析，为施工安全管理和决策提供有力支持。</w:t>
            </w:r>
          </w:p>
          <w:p w14:paraId="1B201B1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auto"/>
                <w:sz w:val="24"/>
                <w:szCs w:val="22"/>
                <w:lang w:eastAsia="zh-CN"/>
              </w:rPr>
            </w:pPr>
            <w:r>
              <w:rPr>
                <w:rFonts w:hint="default" w:ascii="Times New Roman" w:hAnsi="Times New Roman" w:eastAsia="TimesNewRomanPSMT" w:cs="Times New Roman"/>
                <w:color w:val="auto"/>
                <w:sz w:val="24"/>
                <w:szCs w:val="22"/>
              </w:rPr>
              <w:t>5</w:t>
            </w:r>
            <w:r>
              <w:rPr>
                <w:rFonts w:hint="default" w:ascii="Times New Roman" w:hAnsi="Times New Roman" w:eastAsia="宋体" w:cs="Times New Roman"/>
                <w:color w:val="auto"/>
                <w:sz w:val="24"/>
                <w:szCs w:val="22"/>
              </w:rPr>
              <w:t>）吊装作业前，应协调起重吊臂回转范围不处于管道上方。必须经过时，需提前对管道采取盖板涵、盖板、铺设沙袋等必要的防护措施，吊装作业中，速度要均匀，禁止忽快和忽慢和突然制动。注意防范可能会出现对吊机操作不当或其它不可预知因素导致吊装重物从高空坠落，误伤管道</w:t>
            </w:r>
            <w:r>
              <w:rPr>
                <w:rFonts w:hint="eastAsia" w:cs="Times New Roman"/>
                <w:color w:val="auto"/>
                <w:sz w:val="24"/>
                <w:szCs w:val="22"/>
                <w:lang w:eastAsia="zh-CN"/>
              </w:rPr>
              <w:t>。</w:t>
            </w:r>
          </w:p>
          <w:p w14:paraId="22AB450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穿越四川达州普光经济开发区物流园铁路专用线牵出线（路基段）工程框构桥顶至铁路轨底垂直净距1.02m，框构桥内道路净空大于4.5m。</w:t>
            </w:r>
            <w:r>
              <w:rPr>
                <w:rFonts w:hint="eastAsia" w:cs="Times New Roman"/>
                <w:color w:val="auto"/>
                <w:sz w:val="24"/>
                <w:szCs w:val="32"/>
                <w:lang w:val="en-US" w:eastAsia="zh-CN"/>
              </w:rPr>
              <w:t>穿越工程不会对铁路专用线造成影响。</w:t>
            </w:r>
          </w:p>
          <w:p w14:paraId="5101CAF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在采取上述措施后，项目施工期环境风险的影响较小。</w:t>
            </w:r>
          </w:p>
          <w:p w14:paraId="6ADE549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Cs/>
                <w:color w:val="auto"/>
                <w:spacing w:val="-10"/>
                <w:szCs w:val="21"/>
              </w:rPr>
            </w:pPr>
            <w:r>
              <w:rPr>
                <w:rFonts w:hint="default" w:ascii="Times New Roman" w:hAnsi="Times New Roman" w:cs="Times New Roman"/>
                <w:b/>
                <w:bCs/>
                <w:color w:val="auto"/>
                <w:sz w:val="24"/>
                <w:szCs w:val="24"/>
              </w:rPr>
              <w:t>评价认为：建设项目施工期间虽然会对环境产生一定的不利影响，但是这些影响都是暂时的，随着施工期的结束，影响也随之消失。因此，建设单位在施工期认真按施工要求进行文明施工，对施工扬尘、废水、噪声和固废按环评提出的环保措施进行有效治理和处置，及时对裸露土地进行绿化和生态恢复，能有效控制施工期造成的环境影响。</w:t>
            </w:r>
          </w:p>
        </w:tc>
      </w:tr>
      <w:tr w14:paraId="49DA2B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5" w:hRule="atLeast"/>
          <w:jc w:val="center"/>
        </w:trPr>
        <w:tc>
          <w:tcPr>
            <w:tcW w:w="746" w:type="dxa"/>
            <w:tcMar>
              <w:left w:w="28" w:type="dxa"/>
              <w:right w:w="28" w:type="dxa"/>
            </w:tcMar>
            <w:vAlign w:val="center"/>
          </w:tcPr>
          <w:p w14:paraId="77C80A7A">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Cs w:val="21"/>
              </w:rPr>
              <w:t>运营期生态环境影响分析</w:t>
            </w:r>
          </w:p>
        </w:tc>
        <w:tc>
          <w:tcPr>
            <w:tcW w:w="8162" w:type="dxa"/>
          </w:tcPr>
          <w:p w14:paraId="2825D4D2">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1、大气环境影响分析</w:t>
            </w:r>
          </w:p>
          <w:p w14:paraId="67669668">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运营期废气主要为汽车尾气、道路扬尘。</w:t>
            </w:r>
          </w:p>
          <w:p w14:paraId="4DBB1376">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（1）汽车尾气</w:t>
            </w:r>
          </w:p>
          <w:p w14:paraId="310CEB8B">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汽车尾气污染物主要集中在交通道路沿线，随着道路边线距离的增加，环境空气中污染物的扩散预测浓度逐渐降低。根据类比得到在距离道路路面中心线200m处CO浓度约为0.27～1.21mg/m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、NO</w:t>
            </w:r>
            <w:r>
              <w:rPr>
                <w:rFonts w:hint="default" w:ascii="Times New Roman" w:hAnsi="Times New Roman" w:cs="Times New Roman"/>
                <w:color w:val="auto"/>
                <w:sz w:val="24"/>
                <w:szCs w:val="24"/>
                <w:vertAlign w:val="subscript"/>
              </w:rPr>
              <w:t>x</w:t>
            </w:r>
            <w:r>
              <w:rPr>
                <w:rFonts w:hint="default" w:ascii="Times New Roman" w:hAnsi="Times New Roman" w:cs="Times New Roman"/>
                <w:color w:val="auto"/>
                <w:sz w:val="24"/>
                <w:szCs w:val="24"/>
              </w:rPr>
              <w:t>浓度为0.032～0.078mg/m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，满足《</w:t>
            </w:r>
            <w:r>
              <w:rPr>
                <w:rFonts w:hint="default" w:ascii="Times New Roman" w:hAnsi="Times New Roman" w:cs="Times New Roman"/>
                <w:color w:val="auto"/>
                <w:sz w:val="24"/>
                <w:szCs w:val="24"/>
                <w:lang w:val="en-US" w:eastAsia="zh-CN"/>
              </w:rPr>
              <w:t>大气污染物综合排放标准</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GB16297-1996</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标准限值要求</w:t>
            </w:r>
            <w:r>
              <w:rPr>
                <w:rFonts w:hint="default" w:ascii="Times New Roman" w:hAnsi="Times New Roman" w:cs="Times New Roman"/>
                <w:color w:val="auto"/>
                <w:sz w:val="24"/>
                <w:szCs w:val="24"/>
              </w:rPr>
              <w:t>。日后随着道路交通量的不断增大，汽车尾气排放量也呈增加趋势，因此，建议有关部门加强管理，严格执行国家规定的汽车尾气排放标准，减少汽车尾气污染物的排放量；并加强交通管理，限制汽车尾气超标车辆上路。</w:t>
            </w:r>
          </w:p>
          <w:p w14:paraId="7EEB2935">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（2）道路扬尘</w:t>
            </w:r>
          </w:p>
          <w:p w14:paraId="44315830">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道路上行驶汽车的轮胎接触路面而使路面积尘扬起，从而产生二次扬尘污染；在运送散装含尘物料时，由于洒落、风吹等原因，使物料产生扬尘污染。</w:t>
            </w:r>
          </w:p>
          <w:p w14:paraId="7AFB7F6B">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本项目路面为沥青混凝土路面，有专人清扫，道路扬尘产生量小。通过车辆限速、装载车辆物料遮盖等方式减少道路扬尘产生量。</w:t>
            </w:r>
          </w:p>
          <w:p w14:paraId="154F4F06">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综上，本项目沿线周边空旷有利于大气扩散，只要运营期加强管理，保持路面清洁，评价认为运营期汽车尾气和扬尘对区域大气环境质量影响不大。</w:t>
            </w:r>
          </w:p>
          <w:p w14:paraId="4F4FBAF9">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2、地表水环境影响分析</w:t>
            </w:r>
          </w:p>
          <w:p w14:paraId="19BF5C80">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本项目运营期不产生生产废水和生活污水，仅有道路路面雨水径流产生。</w:t>
            </w:r>
          </w:p>
          <w:p w14:paraId="794A6361">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道路路面雨水径流污染物主要为悬浮物、石油类，形成初期污染物浓度较高，但持续时间较短，大部分时间污染物浓度很低。一般情况下50mm左右的降雨</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大雨到暴雨</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就能把路面冲洗干净。</w:t>
            </w:r>
          </w:p>
          <w:p w14:paraId="0C33E4D5">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国家环保总局华南环科所对南方地区路面径流污染情况的试验，结果表明从降雨初期到形成径流的30min内，雨水中的悬浮物和石油类物质的浓度比较高，30min之后，其浓度随着降雨历时的延长下降较快，降雨历时40min之后，路面基本被冲洗干净，路面径流污染物的浓度相对稳定在较低水平，对水质影响较小。</w:t>
            </w:r>
          </w:p>
          <w:p w14:paraId="54BE29E9">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道路两侧有排水沟，能够有效收集地面径流，排入附近河沟，在加强交通管理的基础上，路面径流污水基本可接近国家规定的排放标准，根据文献资料及类比分析，路面初期雨水引起的污染物浓度的增量较小，汇入水体后对水质不会产生明显的影响。</w:t>
            </w:r>
          </w:p>
          <w:p w14:paraId="2F26AC7F">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3、声环境影响分析</w:t>
            </w:r>
          </w:p>
          <w:p w14:paraId="1AE10858">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本项目运营期噪声主要为公路交通噪声。根据预测可知，本项目沿线各声环境保护目标噪声预测值均能满足相应标准要求。建设单位应加强运营期环境管理，包括交通运输管理、设置警示牌和减速带等措施。</w:t>
            </w:r>
          </w:p>
          <w:p w14:paraId="478B2499">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综上，本项目运行期会对沿线声环境质量有一定影响，在严格落实本评价提出的噪声污染防治措施后，本项目运行期对周围声环境保护目标影响较小，可满足环境管理要求。</w:t>
            </w:r>
          </w:p>
          <w:p w14:paraId="0A6F8207">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详见“声环境影响专项”。</w:t>
            </w:r>
          </w:p>
          <w:p w14:paraId="7831CFF0">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rPr>
              <w:t>4、固体废弃物环境影响分析</w:t>
            </w:r>
          </w:p>
          <w:p w14:paraId="6AABDFFF">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运营期公路本身不产生固废，固体废弃物主要为行人产生的固废和车辆运输过程中沿途洒落的少量路面垃圾。运营期路面垃圾由公路养护部门定期进行清理。</w:t>
            </w:r>
          </w:p>
          <w:p w14:paraId="75CABAE2">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本项目运营期所产生的固体废弃物能够得到合理有效的处理和处置，不会对外环境造成不利影响。</w:t>
            </w:r>
          </w:p>
          <w:p w14:paraId="11799311">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5、生态环境影响分析</w:t>
            </w:r>
          </w:p>
          <w:p w14:paraId="08252AE0">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建成后，通过硬化工程，控制水土流失，对施工期间临时占地区域进行迹地恢复，并美化环境，一定程度上提高周边的环境质量。同时，对边坡实施拱形骨架、挡土墙、护肩、路堑墙、菱形骨架、喷播植草、挂铁丝网喷有机基材植草等防护工程，并种植灌木、植草、播撒草籽等绿化，可有效控制道路两侧水土流失。</w:t>
            </w:r>
          </w:p>
          <w:p w14:paraId="637EA859">
            <w:pPr>
              <w:keepNext w:val="0"/>
              <w:keepLines w:val="0"/>
              <w:pageBreakBefore w:val="0"/>
              <w:kinsoku/>
              <w:wordWrap/>
              <w:overflowPunct/>
              <w:topLinePunct w:val="0"/>
              <w:autoSpaceDE/>
              <w:autoSpaceDN/>
              <w:bidi w:val="0"/>
              <w:adjustRightInd/>
              <w:spacing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6、环境风险分析</w:t>
            </w:r>
          </w:p>
          <w:p w14:paraId="49C2586F">
            <w:pPr>
              <w:keepNext w:val="0"/>
              <w:keepLines w:val="0"/>
              <w:pageBreakBefore w:val="0"/>
              <w:kinsoku/>
              <w:wordWrap/>
              <w:overflowPunct/>
              <w:topLinePunct w:val="0"/>
              <w:autoSpaceDE/>
              <w:autoSpaceDN/>
              <w:bidi w:val="0"/>
              <w:adjustRightInd/>
              <w:spacing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本项目环境风险主要为运输车辆发生事故漏油，造成</w:t>
            </w:r>
            <w:r>
              <w:rPr>
                <w:rFonts w:hint="default" w:ascii="Times New Roman" w:hAnsi="Times New Roman" w:cs="Times New Roman"/>
                <w:color w:val="auto"/>
                <w:sz w:val="24"/>
                <w:szCs w:val="24"/>
                <w:lang w:val="en-US" w:eastAsia="zh-CN"/>
              </w:rPr>
              <w:t>土壤和地下水</w:t>
            </w:r>
            <w:r>
              <w:rPr>
                <w:rFonts w:hint="default" w:ascii="Times New Roman" w:hAnsi="Times New Roman" w:cs="Times New Roman"/>
                <w:color w:val="auto"/>
                <w:sz w:val="24"/>
                <w:szCs w:val="24"/>
              </w:rPr>
              <w:t>污染。因此，在运营期应积极采取措施减少交通事故发生的概率，通过限制车速</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rPr>
              <w:t>两侧设置防撞护栏并设置限速、禁止超车标志设置“安全驾驶、减速慢行”的警示牌、报警电话等风险减缓措施及应急措施。</w:t>
            </w:r>
          </w:p>
          <w:p w14:paraId="067406F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施工过程导致输气管道泄漏、火灾、爆炸：</w:t>
            </w:r>
          </w:p>
          <w:p w14:paraId="31C9258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施工前若没有对输气管道周边地理位置、地质、埋深进行勘探，没有收集了管道的相关资料，盲目编制施工组织方案，可能造成管道的移位、涌管、破裂等，致使天然气泄漏，发生火灾爆炸事故。</w:t>
            </w:r>
          </w:p>
          <w:p w14:paraId="2C8E83A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施工前若没有和管道管理单位进行沟通协商，管理单位未派专人现场指导，一旦施工造成天然气管道移位、涌管、破裂等，有可能致使天然气泄漏，易发生火灾、爆炸事故。</w:t>
            </w:r>
          </w:p>
          <w:p w14:paraId="0242D4F2">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施工前施工单位若没有编制施工专项方案和管道保护方案，方案没有组织相关单位和专家进行可行性论证，施工时可能因施工组织方案的不合理、不可行、无可控性而引发天然气泄漏和天然气管道使用寿命减小。</w:t>
            </w:r>
          </w:p>
          <w:p w14:paraId="23DF30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施工中擅自拆除或破坏管道标志桩、安全警示标志牌等安全设施，会造成管道中心两侧5m范围内的保护带不清。</w:t>
            </w:r>
          </w:p>
          <w:p w14:paraId="45A3647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对施工人员缺乏安全管理，施工人员在施工现场野蛮作业，会破坏管道安全设施，对管道正常运行埋下安全隐患。</w:t>
            </w:r>
          </w:p>
          <w:p w14:paraId="077AF73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如对天然气埋地管道提供的线路不准确。施工机械碰及管道，造成管道损坏泄漏，从而导致火灾事故发生。</w:t>
            </w:r>
          </w:p>
          <w:p w14:paraId="701BD44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该工程位于输气管道上方，在施工工程中涉及材料堆放、工程车辆出入等，若未对输气管道与施工作业区域采取硬质隔离措施，工程车辆在管线上方碾压，可能造成管线破裂，引发火灾爆炸事故。</w:t>
            </w:r>
          </w:p>
          <w:p w14:paraId="19F2789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采取的防范措施如下：</w:t>
            </w:r>
          </w:p>
          <w:p w14:paraId="30B70BBF">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w:t>
            </w:r>
            <w:r>
              <w:rPr>
                <w:rFonts w:hint="default" w:ascii="Times New Roman" w:hAnsi="Times New Roman" w:eastAsia="宋体" w:cs="Times New Roman"/>
                <w:color w:val="auto"/>
                <w:sz w:val="24"/>
                <w:szCs w:val="22"/>
              </w:rPr>
              <w:t>）管道中心线五米范围内禁止机械作业动土；应采用人工开挖，并应有管道企业现场管理人员监督。</w:t>
            </w:r>
          </w:p>
          <w:p w14:paraId="25B58253">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2</w:t>
            </w:r>
            <w:r>
              <w:rPr>
                <w:rFonts w:hint="default" w:ascii="Times New Roman" w:hAnsi="Times New Roman" w:eastAsia="宋体" w:cs="Times New Roman"/>
                <w:color w:val="auto"/>
                <w:sz w:val="24"/>
                <w:szCs w:val="22"/>
              </w:rPr>
              <w:t>）管道附近的桩基成桩方式应协调使用钻孔灌注桩基础，避免锤击桩形式。管道保护周围不得震动作业（爆破、冲击钻）。</w:t>
            </w:r>
          </w:p>
          <w:p w14:paraId="60F3B155">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3</w:t>
            </w:r>
            <w:r>
              <w:rPr>
                <w:rFonts w:hint="default" w:ascii="Times New Roman" w:hAnsi="Times New Roman" w:eastAsia="宋体" w:cs="Times New Roman"/>
                <w:color w:val="auto"/>
                <w:sz w:val="24"/>
                <w:szCs w:val="22"/>
              </w:rPr>
              <w:t>）禁止在管道保护带内堆土和堆放重物，禁止重车碾压管道；</w:t>
            </w:r>
          </w:p>
          <w:p w14:paraId="6D193610">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4</w:t>
            </w:r>
            <w:r>
              <w:rPr>
                <w:rFonts w:hint="default" w:ascii="Times New Roman" w:hAnsi="Times New Roman" w:eastAsia="宋体" w:cs="Times New Roman"/>
                <w:color w:val="auto"/>
                <w:sz w:val="24"/>
                <w:szCs w:val="22"/>
              </w:rPr>
              <w:t>）施工区域应安装摄像头、断缆报警系统，保护带内采用彩钢板等将管道区域与施工区进行硬隔离。在施工区域设置摄像头等监控设备，实现对施工过程的全方位监控。建立预警机制，一旦发现异常情况或潜在风险，立即启动预警程序，通知相关人员采取紧急措施。对监控和预警数据进行收集和分析，为施工安全管理和决策提供有力支持。</w:t>
            </w:r>
          </w:p>
          <w:p w14:paraId="5912A5D4">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5</w:t>
            </w:r>
            <w:r>
              <w:rPr>
                <w:rFonts w:hint="default" w:ascii="Times New Roman" w:hAnsi="Times New Roman" w:eastAsia="宋体" w:cs="Times New Roman"/>
                <w:color w:val="auto"/>
                <w:sz w:val="24"/>
                <w:szCs w:val="22"/>
              </w:rPr>
              <w:t>）吊装作业前，应协调起重吊臂回转范围不处于管道上方。必须经过时，需提前对管道采取盖板涵、盖板、铺设沙袋等必要的防护措施，吊装作业中，速度要均匀，禁止忽快和忽慢和突然制动。注意防范可能会出现对吊机操作不当或其它不可预知因素导致吊装重物从高空坠落，误伤管道。</w:t>
            </w:r>
          </w:p>
          <w:p w14:paraId="290734FC">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6</w:t>
            </w:r>
            <w:r>
              <w:rPr>
                <w:rFonts w:hint="default" w:ascii="Times New Roman" w:hAnsi="Times New Roman" w:eastAsia="宋体" w:cs="Times New Roman"/>
                <w:color w:val="auto"/>
                <w:sz w:val="24"/>
                <w:szCs w:val="22"/>
              </w:rPr>
              <w:t>）施工过程不得破坏天然气管道标志桩和警示标志。管道穿越公路两端增设标识。</w:t>
            </w:r>
          </w:p>
          <w:p w14:paraId="773FC18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7</w:t>
            </w:r>
            <w:r>
              <w:rPr>
                <w:rFonts w:hint="default" w:ascii="Times New Roman" w:hAnsi="Times New Roman" w:eastAsia="宋体" w:cs="Times New Roman"/>
                <w:color w:val="auto"/>
                <w:sz w:val="24"/>
                <w:szCs w:val="22"/>
              </w:rPr>
              <w:t>）施工单位编制保护方案报管道保护主管部门审批取得同意后与管道企业签订保护协议。施工作业，施工应当在开工七日前书面通知管道企业。管道企业应当指派专门人员到现场进行管道保护安全指导。</w:t>
            </w:r>
          </w:p>
          <w:p w14:paraId="6E19ABC0">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8</w:t>
            </w:r>
            <w:r>
              <w:rPr>
                <w:rFonts w:hint="default" w:ascii="Times New Roman" w:hAnsi="Times New Roman" w:eastAsia="宋体" w:cs="Times New Roman"/>
                <w:color w:val="auto"/>
                <w:sz w:val="24"/>
                <w:szCs w:val="22"/>
              </w:rPr>
              <w:t>）施工前对交叉段管道防腐层进行检测并修复。</w:t>
            </w:r>
          </w:p>
          <w:p w14:paraId="3AB5221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9</w:t>
            </w:r>
            <w:r>
              <w:rPr>
                <w:rFonts w:hint="default" w:ascii="Times New Roman" w:hAnsi="Times New Roman" w:eastAsia="宋体" w:cs="Times New Roman"/>
                <w:color w:val="auto"/>
                <w:sz w:val="24"/>
                <w:szCs w:val="22"/>
              </w:rPr>
              <w:t>）管道企业派专人到现场监护施工并参与安全技术交底与验收。</w:t>
            </w:r>
          </w:p>
          <w:p w14:paraId="174351E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10</w:t>
            </w:r>
            <w:r>
              <w:rPr>
                <w:rFonts w:hint="default" w:ascii="Times New Roman" w:hAnsi="Times New Roman" w:eastAsia="宋体" w:cs="Times New Roman"/>
                <w:color w:val="auto"/>
                <w:sz w:val="24"/>
                <w:szCs w:val="22"/>
              </w:rPr>
              <w:t>）施工前应编制应急预案，并与管道单位进行联动应急演练。</w:t>
            </w:r>
          </w:p>
          <w:p w14:paraId="7B63A35C">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11</w:t>
            </w:r>
            <w:r>
              <w:rPr>
                <w:rFonts w:hint="default" w:ascii="Times New Roman" w:hAnsi="Times New Roman" w:eastAsia="宋体" w:cs="Times New Roman"/>
                <w:color w:val="auto"/>
                <w:sz w:val="24"/>
                <w:szCs w:val="22"/>
              </w:rPr>
              <w:t>）作业前，涉及管道周边动土、受限空间、动火、临时用电等作业时，应办理相关作业票。</w:t>
            </w:r>
          </w:p>
          <w:p w14:paraId="768FAB16">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12</w:t>
            </w:r>
            <w:r>
              <w:rPr>
                <w:rFonts w:hint="default" w:ascii="Times New Roman" w:hAnsi="Times New Roman" w:eastAsia="宋体" w:cs="Times New Roman"/>
                <w:color w:val="auto"/>
                <w:sz w:val="24"/>
                <w:szCs w:val="22"/>
              </w:rPr>
              <w:t>）钻孔灌注桩施工时，做好管道沉降位移监测工作，实时监测管道的沉降及水平位移情况。应注意软土层的缩径，粉土、粉砂层的踏空及漏浆问题。施工钻孔时应做好地质层面记录，如发现地质情况与钻孔资料不符，位移变化等异常情况，应立即停止施工。</w:t>
            </w:r>
          </w:p>
          <w:p w14:paraId="1D601E8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13</w:t>
            </w:r>
            <w:r>
              <w:rPr>
                <w:rFonts w:hint="default" w:ascii="Times New Roman" w:hAnsi="Times New Roman" w:eastAsia="宋体" w:cs="Times New Roman"/>
                <w:color w:val="auto"/>
                <w:sz w:val="24"/>
                <w:szCs w:val="22"/>
              </w:rPr>
              <w:t>）在工程施工前，加强对施工区域管线的调查工作，对施工区域的天然气管道进行标注，注明管道名称、走向、埋深等。</w:t>
            </w:r>
          </w:p>
          <w:p w14:paraId="400E235A">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14</w:t>
            </w:r>
            <w:r>
              <w:rPr>
                <w:rFonts w:hint="default" w:ascii="Times New Roman" w:hAnsi="Times New Roman" w:eastAsia="宋体" w:cs="Times New Roman"/>
                <w:color w:val="auto"/>
                <w:sz w:val="24"/>
                <w:szCs w:val="22"/>
              </w:rPr>
              <w:t>）施工时，机械设备、运输车辆进场应禁止直接经过管道上方，以免对管道可能产生的损害。管道防护带距离内不得加载，包括堆土及重型机械进入。管道周边严禁停放重车，重型设备。</w:t>
            </w:r>
          </w:p>
          <w:p w14:paraId="77CF50A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15</w:t>
            </w:r>
            <w:r>
              <w:rPr>
                <w:rFonts w:hint="default" w:ascii="Times New Roman" w:hAnsi="Times New Roman" w:eastAsia="宋体" w:cs="Times New Roman"/>
                <w:color w:val="auto"/>
                <w:sz w:val="24"/>
                <w:szCs w:val="22"/>
              </w:rPr>
              <w:t>）施工前和施工期间要加强对施工人员的安全教育，不得盲目、野蛮施工。</w:t>
            </w:r>
          </w:p>
          <w:p w14:paraId="31885DB1">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16</w:t>
            </w:r>
            <w:r>
              <w:rPr>
                <w:rFonts w:hint="default" w:ascii="Times New Roman" w:hAnsi="Times New Roman" w:eastAsia="宋体" w:cs="Times New Roman"/>
                <w:color w:val="auto"/>
                <w:sz w:val="24"/>
                <w:szCs w:val="22"/>
              </w:rPr>
              <w:t>）施工前应根据设计文件复查地下、管道的埋设位置及走向，并采取保护措施；必要时进行地质超前探测预报，进一步了解顶管区域地层构造、地下水以及埋地设施状况。</w:t>
            </w:r>
          </w:p>
          <w:p w14:paraId="197BD50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17</w:t>
            </w:r>
            <w:r>
              <w:rPr>
                <w:rFonts w:hint="default" w:ascii="Times New Roman" w:hAnsi="Times New Roman" w:eastAsia="宋体" w:cs="Times New Roman"/>
                <w:color w:val="auto"/>
                <w:sz w:val="24"/>
                <w:szCs w:val="22"/>
              </w:rPr>
              <w:t>）施工作业时，应做好防止管道沉降、位移的相关监测措施，出现相关情况时应立即停止作业，并通知管道产权单位，协商确定处理措施。</w:t>
            </w:r>
          </w:p>
          <w:p w14:paraId="4D623EA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18</w:t>
            </w:r>
            <w:r>
              <w:rPr>
                <w:rFonts w:hint="default" w:ascii="Times New Roman" w:hAnsi="Times New Roman" w:eastAsia="宋体" w:cs="Times New Roman"/>
                <w:color w:val="auto"/>
                <w:sz w:val="24"/>
                <w:szCs w:val="22"/>
              </w:rPr>
              <w:t>）基坑开挖过程应设置完善的排水设施，防止基坑积水。基坑边坡设置支护措施，进行分段开挖分段施工，防止基坑坍塌。</w:t>
            </w:r>
          </w:p>
          <w:p w14:paraId="0233EB1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19</w:t>
            </w:r>
            <w:r>
              <w:rPr>
                <w:rFonts w:hint="default" w:ascii="Times New Roman" w:hAnsi="Times New Roman" w:eastAsia="宋体" w:cs="Times New Roman"/>
                <w:color w:val="auto"/>
                <w:sz w:val="24"/>
                <w:szCs w:val="22"/>
              </w:rPr>
              <w:t>）施工过程对对裸露及悬空管道、光缆进行保护。</w:t>
            </w:r>
          </w:p>
          <w:p w14:paraId="6F554DB0">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eastAsia="TimesNewRomanPSMT" w:cs="Times New Roman"/>
                <w:color w:val="auto"/>
                <w:sz w:val="24"/>
                <w:szCs w:val="22"/>
              </w:rPr>
              <w:t>20</w:t>
            </w:r>
            <w:r>
              <w:rPr>
                <w:rFonts w:hint="default" w:ascii="Times New Roman" w:hAnsi="Times New Roman" w:eastAsia="宋体" w:cs="Times New Roman"/>
                <w:color w:val="auto"/>
                <w:sz w:val="24"/>
                <w:szCs w:val="22"/>
              </w:rPr>
              <w:t>）涵洞内进行填实，涵洞两端进行封堵，防止水流入涵洞引起管道悬空冲走填充物。</w:t>
            </w:r>
          </w:p>
        </w:tc>
      </w:tr>
      <w:tr w14:paraId="38F94F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188" w:hRule="atLeast"/>
          <w:jc w:val="center"/>
        </w:trPr>
        <w:tc>
          <w:tcPr>
            <w:tcW w:w="746" w:type="dxa"/>
            <w:tcMar>
              <w:left w:w="28" w:type="dxa"/>
              <w:right w:w="28" w:type="dxa"/>
            </w:tcMar>
            <w:vAlign w:val="center"/>
          </w:tcPr>
          <w:p w14:paraId="2C5E5495">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color w:val="auto"/>
              </w:rPr>
              <w:t>选址选线环境合理性分析</w:t>
            </w:r>
          </w:p>
        </w:tc>
        <w:tc>
          <w:tcPr>
            <w:tcW w:w="8162" w:type="dxa"/>
          </w:tcPr>
          <w:p w14:paraId="5701A8EA">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（1）路线选线合理性分析</w:t>
            </w:r>
          </w:p>
          <w:p w14:paraId="72D5B74C">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本项目道路起点为普光镇杏树村5社，与横一路和纵一路平交相接，路线途径基本农田、油气管线、韩家岩隧道及普光铁路专用线。基本农田主要采用绕避方案，油气管线采用上跨方案，普光铁路专用线采用下穿铁路方案，韩家岩隧道进行适当的展线、尽量缩短隧道长度。终点附近下穿既有普光铁路专用线后接入拟建的铁路运转站场坪道路。设计范围内无客运铁路，有一条既有的铁路专用线和拟建的铁路专用线。线路全长2962.59m。</w:t>
            </w:r>
          </w:p>
          <w:p w14:paraId="42EB8ADD">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项目的工程地质一次性勘察报告，项目区域内无深大断裂或全新活动断裂，无发震断裂，区域构造属基本稳定地块。项目区附近的构造主要有黄金口背斜、王家沟断层；场区属侵蚀剥蚀低山丘陵地貌，地形起伏较大；场区上覆第四系全新统人工填土、坡洪积粉质黏土、坡残积粉质黏土，场地土在平面上成因、状态不均匀，沟槽中多分布有软土；场区内不良地质为滑坡、岩堆，特殊岩土为人工填土、软土、石膏，不良地质对工程影响较小，地质构造与特殊岩土及其他工程地质问题对工程一定影响，采取合适的工程措施后，较适宜工程建设。</w:t>
            </w:r>
          </w:p>
          <w:p w14:paraId="75BD6650">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综上，本项目推荐路线选址合理。</w:t>
            </w:r>
          </w:p>
          <w:p w14:paraId="128530F2">
            <w:pPr>
              <w:pStyle w:val="7"/>
              <w:keepNext w:val="0"/>
              <w:keepLines w:val="0"/>
              <w:pageBreakBefore w:val="0"/>
              <w:kinsoku/>
              <w:wordWrap/>
              <w:overflowPunct/>
              <w:topLinePunct w:val="0"/>
              <w:autoSpaceDE/>
              <w:autoSpaceDN/>
              <w:bidi w:val="0"/>
              <w:adjustRightInd/>
              <w:spacing w:before="0" w:after="0" w:line="360" w:lineRule="auto"/>
              <w:ind w:right="0"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（2）临时工程选址合理性分析</w:t>
            </w:r>
          </w:p>
          <w:p w14:paraId="5B4ECE37">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施工场地：根据施工需要，本项目沿线共布置</w:t>
            </w:r>
            <w:r>
              <w:rPr>
                <w:rFonts w:hint="default"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rPr>
              <w:t>处施工场地，位于K0+000</w:t>
            </w:r>
            <w:r>
              <w:rPr>
                <w:rFonts w:hint="default" w:ascii="Times New Roman" w:hAnsi="Times New Roman" w:cs="Times New Roman"/>
                <w:color w:val="auto"/>
                <w:sz w:val="24"/>
                <w:szCs w:val="24"/>
                <w:lang w:val="en-US" w:eastAsia="zh-CN"/>
              </w:rPr>
              <w:t>左侧175</w:t>
            </w:r>
            <w:r>
              <w:rPr>
                <w:rFonts w:hint="default" w:ascii="Times New Roman" w:hAnsi="Times New Roman" w:cs="Times New Roman"/>
                <w:color w:val="auto"/>
                <w:sz w:val="24"/>
                <w:szCs w:val="24"/>
              </w:rPr>
              <w:t>m，占地面积</w:t>
            </w:r>
            <w:r>
              <w:rPr>
                <w:rFonts w:hint="default" w:ascii="Times New Roman" w:hAnsi="Times New Roman" w:cs="Times New Roman"/>
                <w:color w:val="auto"/>
                <w:sz w:val="24"/>
                <w:szCs w:val="24"/>
                <w:lang w:val="en-US" w:eastAsia="zh-CN"/>
              </w:rPr>
              <w:t>3627.1</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2</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val="en-US" w:eastAsia="zh-CN"/>
              </w:rPr>
              <w:t>1处材料堆场，紧邻</w:t>
            </w:r>
            <w:r>
              <w:rPr>
                <w:rFonts w:hint="default" w:ascii="Times New Roman" w:hAnsi="Times New Roman" w:cs="Times New Roman"/>
                <w:color w:val="auto"/>
                <w:sz w:val="24"/>
                <w:szCs w:val="24"/>
              </w:rPr>
              <w:t>K0+000</w:t>
            </w:r>
            <w:r>
              <w:rPr>
                <w:rFonts w:hint="default" w:ascii="Times New Roman" w:hAnsi="Times New Roman" w:cs="Times New Roman"/>
                <w:color w:val="auto"/>
                <w:sz w:val="24"/>
                <w:szCs w:val="24"/>
                <w:lang w:val="en-US" w:eastAsia="zh-CN"/>
              </w:rPr>
              <w:t>左侧，占地面积1928.2m</w:t>
            </w:r>
            <w:r>
              <w:rPr>
                <w:rFonts w:hint="default" w:ascii="Times New Roman" w:hAnsi="Times New Roman" w:cs="Times New Roman"/>
                <w:color w:val="auto"/>
                <w:sz w:val="24"/>
                <w:szCs w:val="24"/>
                <w:vertAlign w:val="superscript"/>
                <w:lang w:val="en-US" w:eastAsia="zh-CN"/>
              </w:rPr>
              <w:t>2</w:t>
            </w:r>
            <w:r>
              <w:rPr>
                <w:rFonts w:hint="default" w:ascii="Times New Roman" w:hAnsi="Times New Roman" w:cs="Times New Roman"/>
                <w:color w:val="auto"/>
                <w:sz w:val="24"/>
                <w:szCs w:val="24"/>
                <w:lang w:val="en-US" w:eastAsia="zh-CN"/>
              </w:rPr>
              <w:t>。</w:t>
            </w:r>
            <w:r>
              <w:rPr>
                <w:rFonts w:hint="default" w:ascii="Times New Roman" w:hAnsi="Times New Roman" w:cs="Times New Roman"/>
                <w:color w:val="auto"/>
                <w:sz w:val="24"/>
                <w:szCs w:val="24"/>
              </w:rPr>
              <w:t>主要用于布置工棚、材料机具房、堆料场、施工机械停放场、预制场</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水稳拌合站</w:t>
            </w:r>
            <w:r>
              <w:rPr>
                <w:rFonts w:hint="default" w:ascii="Times New Roman" w:hAnsi="Times New Roman" w:cs="Times New Roman"/>
                <w:color w:val="auto"/>
                <w:sz w:val="24"/>
                <w:szCs w:val="24"/>
              </w:rPr>
              <w:t>等。根据外环境关系分析，施工场地周边500m范围内无医院、学校等环境保护目标，选址尽量远离居民</w:t>
            </w:r>
            <w:r>
              <w:rPr>
                <w:rFonts w:hint="eastAsia" w:cs="Times New Roman"/>
                <w:color w:val="auto"/>
                <w:sz w:val="24"/>
                <w:szCs w:val="24"/>
                <w:lang w:eastAsia="zh-CN"/>
              </w:rPr>
              <w:t>集聚区</w:t>
            </w:r>
            <w:r>
              <w:rPr>
                <w:rFonts w:hint="default" w:ascii="Times New Roman" w:hAnsi="Times New Roman" w:cs="Times New Roman"/>
                <w:color w:val="auto"/>
                <w:sz w:val="24"/>
                <w:szCs w:val="24"/>
              </w:rPr>
              <w:t>，但选址周边分布有散居农户，建设单位在施工期应加强环保意识，合理安排施工时间，不在居民休息时间开展高噪声作业，可将施工期噪声影响降到最低，施工结束后尽快将临时设施拆除，进行迹地恢复，随着施工期的结束，对周边住户的影响也会随之消除。故施工场地选址合理。</w:t>
            </w:r>
          </w:p>
          <w:p w14:paraId="4B97340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施工便道：本项目运输条件较好，但是由于有规划的弃土场，需修建工程区至弃土场的施工便道，连接</w:t>
            </w:r>
            <w:r>
              <w:rPr>
                <w:rFonts w:hint="default" w:ascii="Times New Roman" w:hAnsi="Times New Roman" w:cs="Times New Roman"/>
                <w:color w:val="auto"/>
                <w:sz w:val="24"/>
                <w:szCs w:val="32"/>
              </w:rPr>
              <w:t>K0+258～+300左侧115m</w:t>
            </w:r>
            <w:r>
              <w:rPr>
                <w:rFonts w:hint="default" w:ascii="Times New Roman" w:hAnsi="Times New Roman" w:cs="Times New Roman"/>
                <w:color w:val="auto"/>
                <w:sz w:val="24"/>
                <w:szCs w:val="32"/>
                <w:lang w:val="en-US" w:eastAsia="zh-CN"/>
              </w:rPr>
              <w:t>弃土场施工便道长度537米，平均宽度7米，临时占地3880.3m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。连接</w:t>
            </w:r>
            <w:r>
              <w:rPr>
                <w:rFonts w:hint="default" w:ascii="Times New Roman" w:hAnsi="Times New Roman" w:cs="Times New Roman"/>
                <w:color w:val="auto"/>
                <w:sz w:val="24"/>
                <w:szCs w:val="32"/>
              </w:rPr>
              <w:t>K1+743～+797左侧200m</w:t>
            </w:r>
            <w:r>
              <w:rPr>
                <w:rFonts w:hint="default" w:ascii="Times New Roman" w:hAnsi="Times New Roman" w:cs="Times New Roman"/>
                <w:color w:val="auto"/>
                <w:sz w:val="24"/>
                <w:szCs w:val="32"/>
                <w:lang w:val="en-US" w:eastAsia="zh-CN"/>
              </w:rPr>
              <w:t>弃土场施工便道445米，平均宽度7米，临时占地6385.6m</w:t>
            </w:r>
            <w:r>
              <w:rPr>
                <w:rFonts w:hint="default" w:ascii="Times New Roman" w:hAnsi="Times New Roman" w:cs="Times New Roman"/>
                <w:color w:val="auto"/>
                <w:sz w:val="24"/>
                <w:szCs w:val="32"/>
                <w:vertAlign w:val="superscript"/>
                <w:lang w:val="en-US" w:eastAsia="zh-CN"/>
              </w:rPr>
              <w:t>2</w:t>
            </w:r>
            <w:r>
              <w:rPr>
                <w:rFonts w:hint="default" w:ascii="Times New Roman" w:hAnsi="Times New Roman" w:cs="Times New Roman"/>
                <w:color w:val="auto"/>
                <w:sz w:val="24"/>
                <w:szCs w:val="32"/>
                <w:lang w:val="en-US" w:eastAsia="zh-CN"/>
              </w:rPr>
              <w:t>。</w:t>
            </w:r>
            <w:r>
              <w:rPr>
                <w:rFonts w:hint="default" w:ascii="Times New Roman" w:hAnsi="Times New Roman" w:cs="Times New Roman"/>
                <w:color w:val="auto"/>
                <w:sz w:val="24"/>
                <w:szCs w:val="24"/>
                <w:lang w:val="en-US" w:eastAsia="zh-CN"/>
              </w:rPr>
              <w:t>泥结碎石路面，反铲式挖掘机开挖路基，压路机碾压夯实成型。</w:t>
            </w:r>
          </w:p>
          <w:p w14:paraId="741C0D5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24"/>
              </w:rPr>
              <w:t>弃土场：</w:t>
            </w:r>
            <w:r>
              <w:rPr>
                <w:rFonts w:hint="default" w:ascii="Times New Roman" w:hAnsi="Times New Roman" w:cs="Times New Roman"/>
                <w:color w:val="auto"/>
                <w:sz w:val="24"/>
                <w:szCs w:val="32"/>
              </w:rPr>
              <w:t>本项目规划2处弃土场。</w:t>
            </w:r>
          </w:p>
          <w:p w14:paraId="07AD6B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1#弃土场：位于K1+743～+797左侧200m，占地面积8407.09m</w:t>
            </w:r>
            <w:r>
              <w:rPr>
                <w:rFonts w:hint="default" w:ascii="Times New Roman" w:hAnsi="Times New Roman" w:cs="Times New Roman"/>
                <w:color w:val="auto"/>
                <w:sz w:val="24"/>
                <w:szCs w:val="32"/>
                <w:vertAlign w:val="superscript"/>
              </w:rPr>
              <w:t>2</w:t>
            </w:r>
            <w:r>
              <w:rPr>
                <w:rFonts w:hint="default" w:ascii="Times New Roman" w:hAnsi="Times New Roman" w:cs="Times New Roman"/>
                <w:color w:val="auto"/>
                <w:sz w:val="24"/>
                <w:szCs w:val="32"/>
              </w:rPr>
              <w:t>。</w:t>
            </w:r>
          </w:p>
          <w:p w14:paraId="02CAC2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2#弃土场：位于K0+258～+300左侧115m，占地面积2586.796m</w:t>
            </w:r>
            <w:r>
              <w:rPr>
                <w:rFonts w:hint="default" w:ascii="Times New Roman" w:hAnsi="Times New Roman" w:cs="Times New Roman"/>
                <w:color w:val="auto"/>
                <w:sz w:val="24"/>
                <w:szCs w:val="32"/>
                <w:vertAlign w:val="superscript"/>
              </w:rPr>
              <w:t>2</w:t>
            </w:r>
            <w:r>
              <w:rPr>
                <w:rFonts w:hint="default" w:ascii="Times New Roman" w:hAnsi="Times New Roman" w:cs="Times New Roman"/>
                <w:color w:val="auto"/>
                <w:sz w:val="24"/>
                <w:szCs w:val="32"/>
              </w:rPr>
              <w:t>。</w:t>
            </w:r>
          </w:p>
          <w:p w14:paraId="157E6DD9">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设计总容量</w:t>
            </w:r>
            <w:r>
              <w:rPr>
                <w:rFonts w:hint="default" w:ascii="Times New Roman" w:hAnsi="Times New Roman" w:cs="Times New Roman"/>
                <w:color w:val="auto"/>
                <w:sz w:val="24"/>
                <w:szCs w:val="32"/>
                <w:lang w:val="en-US" w:eastAsia="zh-CN"/>
              </w:rPr>
              <w:t>16</w:t>
            </w:r>
            <w:r>
              <w:rPr>
                <w:rFonts w:hint="default" w:ascii="Times New Roman" w:hAnsi="Times New Roman" w:cs="Times New Roman"/>
                <w:color w:val="auto"/>
                <w:sz w:val="24"/>
                <w:szCs w:val="32"/>
              </w:rPr>
              <w:t>万m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，实际弃土总量</w:t>
            </w:r>
            <w:r>
              <w:rPr>
                <w:rFonts w:hint="default" w:ascii="Times New Roman" w:hAnsi="Times New Roman" w:cs="Times New Roman"/>
                <w:color w:val="auto"/>
                <w:sz w:val="24"/>
                <w:szCs w:val="32"/>
                <w:lang w:val="en-US" w:eastAsia="zh-CN"/>
              </w:rPr>
              <w:t>80500</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w:t>
            </w:r>
          </w:p>
          <w:p w14:paraId="6E770E09">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1#弃土场占地类型为林地，位于山坳（沟槽或冲沟尽头坡地），容量基本满足项目弃土需要；弃土场设计环形截水沟和坡脚处挡碴墙，坡面采用撒草籽绿化，符合水保要求，周边200m范围以内无学校、医院等，200m范围内有无散居农户。</w:t>
            </w:r>
          </w:p>
          <w:p w14:paraId="1875215F">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2#弃土场占地类型为林地+耕地，位于山坳（沟槽或冲沟尽头坡地），容量基本满足项目弃土需要；弃土场设计环形截水沟和坡脚处挡碴墙，坡面采用撒草籽绿化，符合水保要求，周边200m范围以内无学校、医院等，200m范围内有6户散居农户。</w:t>
            </w:r>
          </w:p>
          <w:p w14:paraId="5959F8A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经项目周边调查无商弃倒土场，弃土场选址决定不可避免需征用林地，按就近原则，两处弃土场（K0+258～+300左侧115m弃土场、K1+743～+797左侧200m弃土场）作为本项目弃土场；依据对环境影响较小、容量较为匹配、运距较为适中等条件。</w:t>
            </w:r>
          </w:p>
          <w:p w14:paraId="30E5B418">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项目综合考虑沿线自然环境条件和土地利用情况选择了凹地</w:t>
            </w:r>
            <w:r>
              <w:rPr>
                <w:rFonts w:hint="default" w:ascii="Times New Roman" w:hAnsi="Times New Roman" w:cs="Times New Roman"/>
                <w:color w:val="auto"/>
                <w:sz w:val="24"/>
                <w:szCs w:val="24"/>
                <w:lang w:eastAsia="zh-CN"/>
              </w:rPr>
              <w:t>、</w:t>
            </w:r>
            <w:r>
              <w:rPr>
                <w:rFonts w:hint="default" w:ascii="Times New Roman" w:hAnsi="Times New Roman" w:cs="Times New Roman"/>
                <w:color w:val="auto"/>
                <w:sz w:val="24"/>
                <w:szCs w:val="24"/>
                <w:lang w:val="en-US" w:eastAsia="zh-CN"/>
              </w:rPr>
              <w:t>冲沟</w:t>
            </w:r>
            <w:r>
              <w:rPr>
                <w:rFonts w:hint="default" w:ascii="Times New Roman" w:hAnsi="Times New Roman" w:cs="Times New Roman"/>
                <w:color w:val="auto"/>
                <w:sz w:val="24"/>
                <w:szCs w:val="24"/>
              </w:rPr>
              <w:t>等设置弃土场，在施工期做好排水沟、挡土墙、护脚等相关防护措施，后期做好弃土场复垦工作的基础上，总体而言，本项目弃土场选址合理。</w:t>
            </w:r>
          </w:p>
          <w:p w14:paraId="181C323E">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根据达州市宣汉生态环境局、宣汉县林业局、宣汉县自然资源局出具的说明，</w:t>
            </w:r>
            <w:r>
              <w:rPr>
                <w:rFonts w:hint="default" w:ascii="Times New Roman" w:hAnsi="Times New Roman" w:cs="Times New Roman"/>
                <w:color w:val="auto"/>
                <w:sz w:val="24"/>
                <w:szCs w:val="24"/>
              </w:rPr>
              <w:t>本项目</w:t>
            </w:r>
            <w:r>
              <w:rPr>
                <w:rFonts w:hint="default" w:ascii="Times New Roman" w:hAnsi="Times New Roman" w:cs="Times New Roman"/>
                <w:color w:val="auto"/>
                <w:sz w:val="24"/>
                <w:szCs w:val="24"/>
                <w:lang w:val="en-US" w:eastAsia="zh-CN"/>
              </w:rPr>
              <w:t>临时占地及永久占地</w:t>
            </w:r>
            <w:r>
              <w:rPr>
                <w:rFonts w:hint="default" w:ascii="Times New Roman" w:hAnsi="Times New Roman" w:cs="Times New Roman"/>
                <w:color w:val="auto"/>
                <w:sz w:val="24"/>
                <w:szCs w:val="24"/>
              </w:rPr>
              <w:t>不涉及古树名木、自然保护区、风景名胜区、天然林、公益林</w:t>
            </w:r>
            <w:r>
              <w:rPr>
                <w:rFonts w:hint="default" w:ascii="Times New Roman" w:hAnsi="Times New Roman" w:cs="Times New Roman"/>
                <w:color w:val="auto"/>
                <w:sz w:val="24"/>
                <w:szCs w:val="24"/>
                <w:lang w:eastAsia="zh-CN"/>
              </w:rPr>
              <w:t>、生态红线、基本农田、饮用水水源保护地</w:t>
            </w:r>
            <w:r>
              <w:rPr>
                <w:rFonts w:hint="default" w:ascii="Times New Roman" w:hAnsi="Times New Roman" w:cs="Times New Roman"/>
                <w:color w:val="auto"/>
                <w:sz w:val="24"/>
                <w:szCs w:val="24"/>
              </w:rPr>
              <w:t>等其他重大环境制约因素。</w:t>
            </w:r>
          </w:p>
          <w:p w14:paraId="038D2A98">
            <w:pPr>
              <w:pStyle w:val="7"/>
              <w:keepNext w:val="0"/>
              <w:keepLines w:val="0"/>
              <w:pageBreakBefore w:val="0"/>
              <w:kinsoku/>
              <w:wordWrap/>
              <w:overflowPunct/>
              <w:topLinePunct w:val="0"/>
              <w:autoSpaceDE/>
              <w:autoSpaceDN/>
              <w:bidi w:val="0"/>
              <w:adjustRightInd/>
              <w:spacing w:before="0" w:after="0" w:line="360" w:lineRule="auto"/>
              <w:ind w:right="0" w:firstLine="480" w:firstLineChars="200"/>
              <w:textAlignment w:val="auto"/>
              <w:rPr>
                <w:rFonts w:hint="default" w:ascii="Times New Roman" w:hAnsi="Times New Roman" w:cs="Times New Roman"/>
                <w:color w:val="auto"/>
              </w:rPr>
            </w:pPr>
            <w:r>
              <w:rPr>
                <w:rFonts w:hint="default" w:ascii="Times New Roman" w:hAnsi="Times New Roman" w:cs="Times New Roman"/>
                <w:color w:val="auto"/>
                <w:sz w:val="24"/>
                <w:szCs w:val="24"/>
              </w:rPr>
              <w:t>综上所述，本项目在采取一系列环境保护措施并做到污染物达标排放后，从环保角度出发，项目的建设不会改变周边环境质量功能，与外环境相容，选址选线合理。</w:t>
            </w:r>
          </w:p>
        </w:tc>
      </w:tr>
    </w:tbl>
    <w:p w14:paraId="02520F20">
      <w:pPr>
        <w:adjustRightInd w:val="0"/>
        <w:snapToGrid w:val="0"/>
        <w:spacing w:line="360" w:lineRule="auto"/>
        <w:rPr>
          <w:rFonts w:hint="default" w:ascii="Times New Roman" w:hAnsi="Times New Roman" w:cs="Times New Roman"/>
          <w:b/>
          <w:color w:val="auto"/>
          <w:kern w:val="0"/>
          <w:sz w:val="28"/>
          <w:szCs w:val="28"/>
        </w:rPr>
        <w:sectPr>
          <w:pgSz w:w="11907" w:h="16840"/>
          <w:pgMar w:top="1440" w:right="1531" w:bottom="1440" w:left="1531" w:header="851" w:footer="851" w:gutter="0"/>
          <w:pgNumType w:fmt="decimal"/>
          <w:cols w:space="720" w:num="1"/>
          <w:docGrid w:linePitch="312" w:charSpace="0"/>
        </w:sectPr>
      </w:pPr>
    </w:p>
    <w:p w14:paraId="07CFC28B">
      <w:pPr>
        <w:pStyle w:val="20"/>
        <w:jc w:val="center"/>
        <w:outlineLvl w:val="0"/>
        <w:rPr>
          <w:rFonts w:hint="default" w:ascii="Times New Roman" w:hAnsi="Times New Roman" w:eastAsia="黑体" w:cs="Times New Roman"/>
          <w:snapToGrid w:val="0"/>
          <w:color w:val="auto"/>
          <w:sz w:val="30"/>
          <w:szCs w:val="30"/>
        </w:rPr>
      </w:pPr>
      <w:bookmarkStart w:id="13" w:name="_Toc11310"/>
      <w:r>
        <w:rPr>
          <w:rFonts w:hint="default" w:ascii="Times New Roman" w:hAnsi="Times New Roman" w:eastAsia="黑体" w:cs="Times New Roman"/>
          <w:snapToGrid w:val="0"/>
          <w:color w:val="auto"/>
          <w:sz w:val="30"/>
          <w:szCs w:val="30"/>
        </w:rPr>
        <w:t>五、主要生态环境保护措施</w:t>
      </w:r>
      <w:bookmarkEnd w:id="13"/>
    </w:p>
    <w:tbl>
      <w:tblPr>
        <w:tblStyle w:val="23"/>
        <w:tblW w:w="899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35"/>
        <w:gridCol w:w="8264"/>
      </w:tblGrid>
      <w:tr w14:paraId="7E97DE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48" w:hRule="atLeast"/>
          <w:jc w:val="center"/>
        </w:trPr>
        <w:tc>
          <w:tcPr>
            <w:tcW w:w="735" w:type="dxa"/>
            <w:tcMar>
              <w:left w:w="28" w:type="dxa"/>
              <w:right w:w="28" w:type="dxa"/>
            </w:tcMar>
            <w:vAlign w:val="center"/>
          </w:tcPr>
          <w:p w14:paraId="6EC6E9A4">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pacing w:val="10"/>
                <w:szCs w:val="21"/>
              </w:rPr>
              <w:t>施工期生态环境保护措施</w:t>
            </w:r>
          </w:p>
        </w:tc>
        <w:tc>
          <w:tcPr>
            <w:tcW w:w="8264" w:type="dxa"/>
          </w:tcPr>
          <w:p w14:paraId="3B219F2F">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textAlignment w:val="auto"/>
              <w:rPr>
                <w:rFonts w:hint="default" w:ascii="Times New Roman" w:hAnsi="Times New Roman" w:cs="Times New Roman"/>
                <w:b/>
                <w:color w:val="auto"/>
                <w:spacing w:val="10"/>
                <w:sz w:val="24"/>
                <w:szCs w:val="24"/>
              </w:rPr>
            </w:pPr>
            <w:r>
              <w:rPr>
                <w:rFonts w:hint="default" w:ascii="Times New Roman" w:hAnsi="Times New Roman" w:cs="Times New Roman"/>
                <w:b/>
                <w:color w:val="auto"/>
                <w:spacing w:val="10"/>
                <w:sz w:val="24"/>
                <w:szCs w:val="24"/>
              </w:rPr>
              <w:t>1、废气污染防治措施</w:t>
            </w:r>
          </w:p>
          <w:p w14:paraId="783DB63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本项目施工期废气主要为施工扬尘、施工机械和运输车辆燃油废气、沥青烟及焊接废气。</w:t>
            </w:r>
          </w:p>
          <w:p w14:paraId="48B522B1">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（1）施工扬尘</w:t>
            </w:r>
          </w:p>
          <w:p w14:paraId="7FC790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施工扬尘主要产生于施工车辆行驶产生的扬尘及路基开挖产生的风力扬尘等。施工段和汽车行驶产生的扬尘源强大小与施工强度、路面状况和天气状况有关，扬尘浓度随距离的增加逐渐减小。针对施工期大气污染物产生情况，应制定严格的污染防治措施控制扬尘，施工单位参照《防治城市扬尘污染技术规范》（HJ/T-2007）、《四川省人民政府办公厅关于加强灰霾污染防治的通知》（川办发[2013]32号）、《四川省施工场地扬尘排放标准》（DB51/2682-2020）的相关要求，做好扬尘的污染防治，本项目采取以下施工扬尘防治措施：</w:t>
            </w:r>
          </w:p>
          <w:p w14:paraId="39AB893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①洒水抑尘</w:t>
            </w:r>
          </w:p>
          <w:p w14:paraId="4550BD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本项目配备洒水车，在路面作业区域、施工场地进行每天1~2次洒水增湿，以防明显扬尘；物料、土石方运输车辆进行遮盖减少途中撒落，对施工现场抛洒的砂石、水泥等物料应及时清扫；施工道路定时洒水抑尘。</w:t>
            </w:r>
          </w:p>
          <w:p w14:paraId="235ACD9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②围挡、遮盖</w:t>
            </w:r>
          </w:p>
          <w:p w14:paraId="4F0A70A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施工现场距离环境保护目标（主要为沿线居民）的路段应设置围栏进行施工，缩小施工现场扬尘和尾气扩散范围。施工期间的临时堆放场所应加强防起尘、遮盖措施。</w:t>
            </w:r>
          </w:p>
          <w:p w14:paraId="76B78A3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③设置车辆冲洗平台</w:t>
            </w:r>
          </w:p>
          <w:p w14:paraId="08F0BB6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对施工场地进出口区域进行水泥硬化，并在进出口设置车辆冲洗平台等。</w:t>
            </w:r>
          </w:p>
          <w:p w14:paraId="4A93482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④限制车速</w:t>
            </w:r>
          </w:p>
          <w:p w14:paraId="7DEC185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的扬尘大部分来自施工车辆。在同样清洁程度的条件下，车速越慢，扬尘量越小。本场地施工车辆在进入施工场地后，需减速行驶，以减少施工场地扬尘，建议行驶车速不大于5km/h。在经过居民集中点施工路段，运输车辆控制车速，设置警示牌。</w:t>
            </w:r>
          </w:p>
          <w:p w14:paraId="634CB98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⑤保持施工场地路面清洁</w:t>
            </w:r>
          </w:p>
          <w:p w14:paraId="1386828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为了减少施工扬尘，需保持施工场地、进出道路以及施工车辆的清洁，可通过及时清扫，对施工车辆及时清洗，禁止超载，清运车辆覆盖帆布，防止洒落等，采取有效措施来保持场地路面的清洁，减少施工扬尘。</w:t>
            </w:r>
          </w:p>
          <w:p w14:paraId="69550F5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⑥避免大风天气作业</w:t>
            </w:r>
          </w:p>
          <w:p w14:paraId="5E94F0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应避免在大风天气进行水泥、黄沙等的装卸作业，当风力达到4级时，应暂停施工；使用商品混凝土时不应露天堆放，即使必须露天堆放，也要注意加盖防雨布，减少大风造成的施工扬尘。</w:t>
            </w:r>
          </w:p>
          <w:p w14:paraId="7B89748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⑦做好施工表土的保护措施</w:t>
            </w:r>
          </w:p>
          <w:p w14:paraId="54FB9DF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施工表土临时堆放于施工场地、弃土场内，做好防起尘、遮盖措施，在堆场周边修建截、排水沟。施工结束后，表土用作施工场地和弃土场后期绿化的耕植土。</w:t>
            </w:r>
          </w:p>
          <w:p w14:paraId="2DDFABAC">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⑧设置环保公示牌</w:t>
            </w:r>
          </w:p>
          <w:p w14:paraId="2E8B1FC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根据《中华人民共和国大气污染防治法》第六十九条规定，施工单位应当挂环保公示牌，在施工工地公示扬尘污染防治措施、负责人、扬尘监督管理主管部门等信息。</w:t>
            </w:r>
          </w:p>
          <w:p w14:paraId="7439753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采取上述措施后，可以最大限度减少扬尘对周围环境的污染。</w:t>
            </w:r>
          </w:p>
          <w:p w14:paraId="46FEADA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（2）施工机械和运输车辆燃油废气</w:t>
            </w:r>
          </w:p>
          <w:p w14:paraId="2415B57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种燃油施工机械和运输车辆在施工及运输过程中均排放一定数量的废气，主要污染物以NOx、CO为主。由于本项目施工大部分为运送土石方及原材料、施工机械，施工机械排放的废气和运输车辆尾气的污染源较分散，且是流动性的，其影响也较分散和暂时的。另一方面，只要通过加强管理，控制车速，可有效减少施工机械和车辆的大气污染。</w:t>
            </w:r>
          </w:p>
          <w:p w14:paraId="3C31059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采用商品沥青，不设置沥青搅拌站，因此仅在铺路时有少量沥青烟挥发，产生量远远低于沥青拌合设备。路面沥青的摊铺过程产生的沥青烟气，属于无组织间歇排放，本项目施工全部采用优质改性沥青，沥青全部由专业工厂提供，不在施工现场制备，沥青烟气产生量很小。</w:t>
            </w:r>
          </w:p>
          <w:p w14:paraId="41E5108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施工期沥青烟的防治措施主要有以下几点：</w:t>
            </w:r>
          </w:p>
          <w:p w14:paraId="08EB4E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①沥青在专业企业熬制好以后运至施工现场铺设；</w:t>
            </w:r>
          </w:p>
          <w:p w14:paraId="366A2F2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②运输车辆应全密封，避免沥青运输过程中逸散或洒落；</w:t>
            </w:r>
          </w:p>
          <w:p w14:paraId="20B3638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③尽量集中铺设，缩短作业时间，避免受影响范围过大、时间过长；</w:t>
            </w:r>
          </w:p>
          <w:p w14:paraId="6203B16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④合理安排沥青混合料的进场时间，来料及时使用，不在施工场地囤积，剩余沥青混合料及时运走，禁止在施工场地露天堆放；</w:t>
            </w:r>
          </w:p>
          <w:p w14:paraId="4F05515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⑤加强施工人员的职业卫生防护措施及安全防护措施；</w:t>
            </w:r>
          </w:p>
          <w:p w14:paraId="4AE981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⑥临近道路的居民点采取关闭门窗等措施减少沥青烟的影响。</w:t>
            </w:r>
          </w:p>
          <w:p w14:paraId="686A156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（3）焊接烟气</w:t>
            </w:r>
          </w:p>
          <w:p w14:paraId="1154132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在加工棚内设置移动式焊接烟气净化设施进行处理后排放；桥梁工程施工区焊接作业相对较少，且周边区域空旷，烟气通过自然扩散方式排放。</w:t>
            </w:r>
          </w:p>
          <w:p w14:paraId="2FF67135">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cs="Times New Roman"/>
                <w:b/>
                <w:bCs/>
                <w:color w:val="auto"/>
                <w:sz w:val="24"/>
                <w:szCs w:val="24"/>
                <w:lang w:val="en-US" w:eastAsia="zh-CN"/>
              </w:rPr>
            </w:pPr>
            <w:r>
              <w:rPr>
                <w:rFonts w:hint="eastAsia" w:cs="Times New Roman"/>
                <w:b/>
                <w:bCs/>
                <w:color w:val="auto"/>
                <w:sz w:val="24"/>
                <w:szCs w:val="24"/>
                <w:lang w:eastAsia="zh-CN"/>
              </w:rPr>
              <w:t>（</w:t>
            </w:r>
            <w:r>
              <w:rPr>
                <w:rFonts w:hint="eastAsia" w:cs="Times New Roman"/>
                <w:b/>
                <w:bCs/>
                <w:color w:val="auto"/>
                <w:sz w:val="24"/>
                <w:szCs w:val="24"/>
                <w:lang w:val="en-US" w:eastAsia="zh-CN"/>
              </w:rPr>
              <w:t>4</w:t>
            </w:r>
            <w:r>
              <w:rPr>
                <w:rFonts w:hint="eastAsia" w:cs="Times New Roman"/>
                <w:b/>
                <w:bCs/>
                <w:color w:val="auto"/>
                <w:sz w:val="24"/>
                <w:szCs w:val="24"/>
                <w:lang w:eastAsia="zh-CN"/>
              </w:rPr>
              <w:t>）</w:t>
            </w:r>
            <w:r>
              <w:rPr>
                <w:rFonts w:hint="eastAsia" w:cs="Times New Roman"/>
                <w:b/>
                <w:bCs/>
                <w:color w:val="auto"/>
                <w:sz w:val="24"/>
                <w:szCs w:val="24"/>
                <w:lang w:val="en-US" w:eastAsia="zh-CN"/>
              </w:rPr>
              <w:t>拌和站废气</w:t>
            </w:r>
          </w:p>
          <w:p w14:paraId="5D83EC8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拌和设备须具有密封除尘装置。类比同类混凝土搅拌站，粉尘产生量为骨料的0.1%。要求配备布袋除尘器或同类其他高效除尘器，除尘效率要求达到99.9%以上，粉尘可以得到有效去除。骨料棚和车辆运输产生的无组织粉尘可通过定时洒水降尘予以控制和去除。对周围零散居民点的环境影响可得到控制或减缓。</w:t>
            </w:r>
          </w:p>
          <w:p w14:paraId="4F023B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根据《四川省住房和城乡建设厅关于推进预拌混凝土、预拌砂浆绿色生产的通知》（川建散水〔2017〕559 号）、《预拌混凝土绿色生产及管理技术规程》以及《四川省绿色环保搅拌站建设、管理和评价标准》等相关要求：搅拌站的布局建设不应在风景名胜区、生态保护区、饮用水源保护区内，生产区应布置在当地常年主导风向的下风侧，站区周边应采用造型与整体环境相协调的维护结构进行封闭维护。站区道路及生产作业区地面应硬化处理，并对未硬化处理的空地进行绿化，站区道路配置喷淋降尘设施。易散发粉尘的仓库或堆场（如砂石堆场）应布置在封闭区域，并安装喷淋抑尘装置。搅拌站生产工艺中的上料、配料、搅拌等环节应实施封闭或除尘措施，以减少粉尘排放，且应安装实时监控系统。搅拌主机、粉料筒仓、干混砂浆移动筒仓应配备高效除尘装置。混凝土、砂浆运输车辆配备防撒漏和清洗装置。针对生产性粉尘应定期组织第三方监测和自我监测，并有完整的监测记录。除尘等环保措施应定期检查和维护，并应适时记录运行情况。</w:t>
            </w:r>
          </w:p>
          <w:p w14:paraId="5F01ABE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lang w:val="en-US" w:eastAsia="zh-CN"/>
              </w:rPr>
            </w:pPr>
            <w:r>
              <w:rPr>
                <w:rFonts w:hint="eastAsia" w:cs="Times New Roman"/>
                <w:color w:val="auto"/>
                <w:sz w:val="24"/>
                <w:szCs w:val="24"/>
                <w:lang w:val="en-US" w:eastAsia="zh-CN"/>
              </w:rPr>
              <w:t>根据拌和站布设情况，本项目拌和站的布设位置均不涉及风景名胜区、生态保护区和饮用水水源保护区，确保预制场及拌和站位于区域常年主导风下风向且远离居民点的位置。并及时对拌和站地面进行硬化，对未硬化的空地进行绿化。采用先进的密闭的冷拌设备，确保灰土的拌和在密闭装置中进行。冷拌设备应具有密封除尘装置，灰土的拌和经配套的除尘装置收集处理，以减小对周围居民点的影响。同时，针对生产性粉尘应定期组织第三方监测和自我监测，并有完整的监测记录。除尘等环保措施应定期检查和维护，并应适时记录运行情况。</w:t>
            </w:r>
          </w:p>
          <w:p w14:paraId="44E0C31E">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textAlignment w:val="auto"/>
              <w:rPr>
                <w:rFonts w:hint="default" w:ascii="Times New Roman" w:hAnsi="Times New Roman" w:cs="Times New Roman"/>
                <w:b/>
                <w:color w:val="auto"/>
                <w:spacing w:val="10"/>
                <w:sz w:val="24"/>
                <w:szCs w:val="24"/>
              </w:rPr>
            </w:pPr>
            <w:r>
              <w:rPr>
                <w:rFonts w:hint="default" w:ascii="Times New Roman" w:hAnsi="Times New Roman" w:cs="Times New Roman"/>
                <w:b/>
                <w:color w:val="auto"/>
                <w:spacing w:val="10"/>
                <w:sz w:val="24"/>
                <w:szCs w:val="24"/>
              </w:rPr>
              <w:t>2、水污染防治措施</w:t>
            </w:r>
          </w:p>
          <w:p w14:paraId="167F333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施工期对水环境的影响主要包括施工废水对水环境的影响、施工人员生活污水对水体的影响等。本项目采取以下水环境污染防治措施：</w:t>
            </w:r>
          </w:p>
          <w:p w14:paraId="3BE1FBF8">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（1）施工废水</w:t>
            </w:r>
          </w:p>
          <w:p w14:paraId="0B197BB8">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施工期做好施工场地排水体系设计。施工场地内设置截水沟（截面尺寸0.4m×0.4m）、隔油池（4m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）、沉淀池（4m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截留收集施工场地内的冲洗废水、养护废水并进行隔油沉淀处理后回用；施工材料堆放场地上部设置遮雨顶棚、四周设置围挡、底部采用防渗混凝土硬化处理或铺设防渗膜处理，其他堆场配备防雨篷布等遮盖物品，防止雨水冲刷，径流污水流入水体。</w:t>
            </w:r>
          </w:p>
          <w:p w14:paraId="3D0B6BC9">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w:t>
            </w:r>
            <w:r>
              <w:rPr>
                <w:rFonts w:hint="default" w:ascii="Times New Roman" w:hAnsi="Times New Roman" w:cs="Times New Roman"/>
                <w:b/>
                <w:bCs/>
                <w:color w:val="auto"/>
                <w:sz w:val="24"/>
                <w:szCs w:val="32"/>
                <w:lang w:val="en-US" w:eastAsia="zh-CN"/>
              </w:rPr>
              <w:t>2</w:t>
            </w:r>
            <w:r>
              <w:rPr>
                <w:rFonts w:hint="default" w:ascii="Times New Roman" w:hAnsi="Times New Roman" w:cs="Times New Roman"/>
                <w:b/>
                <w:bCs/>
                <w:color w:val="auto"/>
                <w:sz w:val="24"/>
                <w:szCs w:val="32"/>
              </w:rPr>
              <w:t>）生活污水</w:t>
            </w:r>
          </w:p>
          <w:p w14:paraId="76C3CDB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根据本项目的性质和规模，类比同类工程，预计该项目施工高峰期施工人员大约</w:t>
            </w:r>
            <w:r>
              <w:rPr>
                <w:rFonts w:hint="default" w:ascii="Times New Roman" w:hAnsi="Times New Roman" w:cs="Times New Roman"/>
                <w:color w:val="auto"/>
                <w:sz w:val="24"/>
                <w:szCs w:val="32"/>
                <w:lang w:val="en-US" w:eastAsia="zh-CN"/>
              </w:rPr>
              <w:t>50</w:t>
            </w:r>
            <w:r>
              <w:rPr>
                <w:rFonts w:hint="default" w:ascii="Times New Roman" w:hAnsi="Times New Roman" w:cs="Times New Roman"/>
                <w:color w:val="auto"/>
                <w:sz w:val="24"/>
                <w:szCs w:val="32"/>
              </w:rPr>
              <w:t>人/d，用水量按100L/人·d计，生活用水量</w:t>
            </w:r>
            <w:r>
              <w:rPr>
                <w:rFonts w:hint="default" w:ascii="Times New Roman" w:hAnsi="Times New Roman" w:cs="Times New Roman"/>
                <w:color w:val="auto"/>
                <w:sz w:val="24"/>
                <w:szCs w:val="32"/>
                <w:lang w:val="en-US" w:eastAsia="zh-CN"/>
              </w:rPr>
              <w:t>5</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/d，产污系数以0.8计，则生活污水产生量为</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m</w:t>
            </w:r>
            <w:r>
              <w:rPr>
                <w:rFonts w:hint="default" w:ascii="Times New Roman" w:hAnsi="Times New Roman" w:cs="Times New Roman"/>
                <w:color w:val="auto"/>
                <w:sz w:val="24"/>
                <w:szCs w:val="32"/>
                <w:vertAlign w:val="superscript"/>
              </w:rPr>
              <w:t>3</w:t>
            </w:r>
            <w:r>
              <w:rPr>
                <w:rFonts w:hint="default" w:ascii="Times New Roman" w:hAnsi="Times New Roman" w:cs="Times New Roman"/>
                <w:color w:val="auto"/>
                <w:sz w:val="24"/>
                <w:szCs w:val="32"/>
              </w:rPr>
              <w:t>/d。生活污水中的主要污染物及其浓度一般为COD：500mg/L、BOD5：300mg/L、NH3-N：25mg/L、SS：400mg/L。</w:t>
            </w:r>
          </w:p>
          <w:p w14:paraId="4A704F1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本项目施工人员租住周边民房，施工人员生活污水由预处理池收集后，定期拉运至周边污水处理厂，不外排。</w:t>
            </w:r>
          </w:p>
          <w:p w14:paraId="78F04A56">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（4）初期雨水</w:t>
            </w:r>
          </w:p>
          <w:p w14:paraId="3BE803EC">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各施工场地四周修建雨水沟对初期雨水进行导排后汇入沉淀池内，经沉淀处理后回用于场地洒水。</w:t>
            </w:r>
          </w:p>
          <w:p w14:paraId="444F20CB">
            <w:pPr>
              <w:keepNext w:val="0"/>
              <w:keepLines w:val="0"/>
              <w:pageBreakBefore w:val="0"/>
              <w:widowControl w:val="0"/>
              <w:kinsoku/>
              <w:wordWrap/>
              <w:overflowPunct/>
              <w:topLinePunct w:val="0"/>
              <w:autoSpaceDE/>
              <w:autoSpaceDN/>
              <w:bidi w:val="0"/>
              <w:spacing w:line="360" w:lineRule="auto"/>
              <w:ind w:firstLine="482" w:firstLineChars="200"/>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w:t>
            </w:r>
            <w:r>
              <w:rPr>
                <w:rFonts w:hint="default" w:ascii="Times New Roman" w:hAnsi="Times New Roman" w:cs="Times New Roman"/>
                <w:b/>
                <w:bCs/>
                <w:color w:val="auto"/>
                <w:sz w:val="24"/>
                <w:szCs w:val="32"/>
                <w:lang w:val="en-US" w:eastAsia="zh-CN"/>
              </w:rPr>
              <w:t>5</w:t>
            </w:r>
            <w:r>
              <w:rPr>
                <w:rFonts w:hint="default" w:ascii="Times New Roman" w:hAnsi="Times New Roman" w:cs="Times New Roman"/>
                <w:b/>
                <w:bCs/>
                <w:color w:val="auto"/>
                <w:sz w:val="24"/>
                <w:szCs w:val="32"/>
              </w:rPr>
              <w:t>）其他</w:t>
            </w:r>
          </w:p>
          <w:p w14:paraId="59054E90">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制定严格的施工管理制度：设置生活垃圾临时堆放点，施工过程中产生的生活垃圾应定点存放，定期由环卫部门清运，严禁乱丢乱弃；严禁向沿线倾倒残余燃油、机油、施工废水和生活污水。</w:t>
            </w:r>
          </w:p>
          <w:p w14:paraId="6BC4D65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综上所述，本项目施工期废水水质较简单，采取的措施为较广泛且成熟，从技术、经济上均可行。</w:t>
            </w:r>
          </w:p>
          <w:p w14:paraId="73D90A88">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3、噪声</w:t>
            </w:r>
          </w:p>
          <w:p w14:paraId="475E614A">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本项目施工期噪声主要包括设备机械运行噪声和运输交通噪声，采取以下噪声污染防治措施：</w:t>
            </w:r>
          </w:p>
          <w:p w14:paraId="62FBFD1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（1）施工单位必须在进场施工十五日前向工程所在地生态环境行政主管部门申报工程的项目名称、施工场所、期限和使用的主要机具、可能产生的环境噪声值以及所采取的环境噪声污染防治措施等情况。</w:t>
            </w:r>
          </w:p>
          <w:p w14:paraId="5957230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（2）尽量采用低噪声机械设备，施工过程中应经常对设备进行维修保养，避免由于设备故障而导致噪声增强现象的发生。</w:t>
            </w:r>
          </w:p>
          <w:p w14:paraId="602920A6">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3）施工区域与沿线居民点之间设置2m高度的实心围挡遮挡施工噪声，夜间（22:00-6:00）避免施工。项目如因工程需要确需在夜间施工的，需向生态环境行政主管部门提出夜间施工申请，在获得夜间施工许可后，方可开展规定时间和区域内的夜间施工作业，并在施工前向附近居民公告施工时间。</w:t>
            </w:r>
          </w:p>
          <w:p w14:paraId="3811E0D4">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w:t>
            </w:r>
            <w:r>
              <w:rPr>
                <w:rFonts w:hint="default" w:ascii="Times New Roman" w:hAnsi="Times New Roman" w:cs="Times New Roman"/>
                <w:color w:val="auto"/>
                <w:sz w:val="24"/>
                <w:szCs w:val="32"/>
                <w:lang w:val="en-US" w:eastAsia="zh-CN"/>
              </w:rPr>
              <w:t>4</w:t>
            </w:r>
            <w:r>
              <w:rPr>
                <w:rFonts w:hint="default" w:ascii="Times New Roman" w:hAnsi="Times New Roman" w:cs="Times New Roman"/>
                <w:color w:val="auto"/>
                <w:sz w:val="24"/>
                <w:szCs w:val="32"/>
              </w:rPr>
              <w:t>）加强施工期噪声监测，发现施工噪声超标并对附近居民点产生影响应及时采取有效的噪声污染防治措施。</w:t>
            </w:r>
          </w:p>
          <w:p w14:paraId="75BA6CE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sz w:val="24"/>
                <w:szCs w:val="32"/>
                <w:lang w:eastAsia="zh-CN"/>
              </w:rPr>
            </w:pPr>
            <w:r>
              <w:rPr>
                <w:rFonts w:hint="eastAsia" w:cs="Times New Roman"/>
                <w:color w:val="auto"/>
                <w:sz w:val="24"/>
                <w:szCs w:val="32"/>
                <w:lang w:eastAsia="zh-CN"/>
              </w:rPr>
              <w:t>（</w:t>
            </w:r>
            <w:r>
              <w:rPr>
                <w:rFonts w:hint="eastAsia" w:cs="Times New Roman"/>
                <w:color w:val="auto"/>
                <w:sz w:val="24"/>
                <w:szCs w:val="32"/>
                <w:lang w:val="en-US" w:eastAsia="zh-CN"/>
              </w:rPr>
              <w:t>5</w:t>
            </w:r>
            <w:r>
              <w:rPr>
                <w:rFonts w:hint="eastAsia" w:cs="Times New Roman"/>
                <w:color w:val="auto"/>
                <w:sz w:val="24"/>
                <w:szCs w:val="32"/>
                <w:lang w:eastAsia="zh-CN"/>
              </w:rPr>
              <w:t>）施工材料拌和场、构件制备场地应远离环境保护目标，距居民点、学校等敏感点距离应大于300m。若周围居民较为分散，且户数较多，则需要合理布置施工生产生活区内的各功能区，尽量将强噪声设备远离住户布置，并尽量采用低噪声设备。在路线近距内有集中村镇居民区的路段，应合理安排施工时序。</w:t>
            </w:r>
          </w:p>
          <w:p w14:paraId="175146F5">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sz w:val="24"/>
                <w:szCs w:val="32"/>
                <w:lang w:eastAsia="zh-CN"/>
              </w:rPr>
            </w:pPr>
            <w:r>
              <w:rPr>
                <w:rFonts w:hint="eastAsia" w:cs="Times New Roman"/>
                <w:color w:val="auto"/>
                <w:sz w:val="24"/>
                <w:szCs w:val="32"/>
                <w:lang w:eastAsia="zh-CN"/>
              </w:rPr>
              <w:t>（</w:t>
            </w:r>
            <w:r>
              <w:rPr>
                <w:rFonts w:hint="eastAsia" w:cs="Times New Roman"/>
                <w:color w:val="auto"/>
                <w:sz w:val="24"/>
                <w:szCs w:val="32"/>
                <w:lang w:val="en-US" w:eastAsia="zh-CN"/>
              </w:rPr>
              <w:t>6</w:t>
            </w:r>
            <w:r>
              <w:rPr>
                <w:rFonts w:hint="eastAsia" w:cs="Times New Roman"/>
                <w:color w:val="auto"/>
                <w:sz w:val="24"/>
                <w:szCs w:val="32"/>
                <w:lang w:eastAsia="zh-CN"/>
              </w:rPr>
              <w:t>）施工便道应远离居民区、学校、医院、行政机关等敏感目标。在施工便道50 m 以内有成片的民居时，夜间应禁止在该便道上运输建筑材料。对必须进行夜间运输的便道，应设禁鸣和限速标志，车辆夜间通过时速度应小于30 km/h。</w:t>
            </w:r>
          </w:p>
          <w:p w14:paraId="392A96A7">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ascii="Times New Roman" w:hAnsi="Times New Roman" w:eastAsia="宋体" w:cs="Times New Roman"/>
                <w:color w:val="auto"/>
                <w:sz w:val="24"/>
                <w:szCs w:val="32"/>
                <w:lang w:eastAsia="zh-CN"/>
              </w:rPr>
            </w:pPr>
            <w:r>
              <w:rPr>
                <w:rFonts w:hint="eastAsia" w:cs="Times New Roman"/>
                <w:color w:val="auto"/>
                <w:sz w:val="24"/>
                <w:szCs w:val="32"/>
                <w:lang w:eastAsia="zh-CN"/>
              </w:rPr>
              <w:t>（</w:t>
            </w:r>
            <w:r>
              <w:rPr>
                <w:rFonts w:hint="eastAsia" w:cs="Times New Roman"/>
                <w:color w:val="auto"/>
                <w:sz w:val="24"/>
                <w:szCs w:val="32"/>
                <w:lang w:val="en-US" w:eastAsia="zh-CN"/>
              </w:rPr>
              <w:t>7</w:t>
            </w:r>
            <w:r>
              <w:rPr>
                <w:rFonts w:hint="eastAsia" w:cs="Times New Roman"/>
                <w:color w:val="auto"/>
                <w:sz w:val="24"/>
                <w:szCs w:val="32"/>
                <w:lang w:eastAsia="zh-CN"/>
              </w:rPr>
              <w:t>）强振动施工时（如振动式压路机操作等），对临近施工现场的居民点应进行监控，防止事故发生。</w:t>
            </w:r>
          </w:p>
          <w:p w14:paraId="08B2F6EF">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auto"/>
                <w:sz w:val="24"/>
                <w:szCs w:val="32"/>
                <w:lang w:eastAsia="zh-CN"/>
              </w:rPr>
            </w:pPr>
            <w:r>
              <w:rPr>
                <w:rFonts w:hint="eastAsia" w:cs="Times New Roman"/>
                <w:color w:val="auto"/>
                <w:sz w:val="24"/>
                <w:szCs w:val="32"/>
                <w:lang w:eastAsia="zh-CN"/>
              </w:rPr>
              <w:t>（</w:t>
            </w:r>
            <w:r>
              <w:rPr>
                <w:rFonts w:hint="eastAsia" w:cs="Times New Roman"/>
                <w:color w:val="auto"/>
                <w:sz w:val="24"/>
                <w:szCs w:val="32"/>
                <w:lang w:val="en-US" w:eastAsia="zh-CN"/>
              </w:rPr>
              <w:t>8</w:t>
            </w:r>
            <w:r>
              <w:rPr>
                <w:rFonts w:hint="eastAsia" w:cs="Times New Roman"/>
                <w:color w:val="auto"/>
                <w:sz w:val="24"/>
                <w:szCs w:val="32"/>
                <w:lang w:eastAsia="zh-CN"/>
              </w:rPr>
              <w:t>）本项目设置1座隧道，且距隧道口较近，建议隧道爆破尽量采用“小药量、光面爆破”的爆破方式，禁止夜间爆破。</w:t>
            </w:r>
          </w:p>
          <w:p w14:paraId="2B5D5051">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eastAsia" w:cs="Times New Roman"/>
                <w:color w:val="auto"/>
                <w:sz w:val="24"/>
                <w:szCs w:val="32"/>
                <w:lang w:eastAsia="zh-CN"/>
              </w:rPr>
            </w:pPr>
            <w:r>
              <w:rPr>
                <w:rFonts w:hint="eastAsia" w:cs="Times New Roman"/>
                <w:color w:val="auto"/>
                <w:sz w:val="24"/>
                <w:szCs w:val="32"/>
                <w:lang w:eastAsia="zh-CN"/>
              </w:rPr>
              <w:t>（</w:t>
            </w:r>
            <w:r>
              <w:rPr>
                <w:rFonts w:hint="eastAsia" w:cs="Times New Roman"/>
                <w:color w:val="auto"/>
                <w:sz w:val="24"/>
                <w:szCs w:val="32"/>
                <w:lang w:val="en-US" w:eastAsia="zh-CN"/>
              </w:rPr>
              <w:t>9</w:t>
            </w:r>
            <w:r>
              <w:rPr>
                <w:rFonts w:hint="eastAsia" w:cs="Times New Roman"/>
                <w:color w:val="auto"/>
                <w:sz w:val="24"/>
                <w:szCs w:val="32"/>
                <w:lang w:eastAsia="zh-CN"/>
              </w:rPr>
              <w:t>）根据《公路环境保护设计规范》（JTG B04-2010）相关要求：拌和站厂界周围200m范围内不得有噪声敏感建筑物集中分布区或学校、医院等特殊敏感目标。本项目拌和站、桥梁预制场等大临工程周围声环境保护目标均为农村居民点。因生产周期长、噪声影响较为持续，本次评价要求尽量采用低噪声设备，将强噪声设备远离住户布置，施工场界距离居民点小于100m 且中间无遮挡的一侧设置围挡。</w:t>
            </w:r>
          </w:p>
          <w:p w14:paraId="55941A9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因此，施工期拟采取的各种降噪措施可降低建设期间对沿线环境及声环境保护目标的影响，技术可行。</w:t>
            </w:r>
          </w:p>
          <w:p w14:paraId="442653F3">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详见“声环境影响专项评价”。</w:t>
            </w:r>
          </w:p>
          <w:p w14:paraId="68EF74F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4、固体废物</w:t>
            </w:r>
          </w:p>
          <w:p w14:paraId="0856B5B9">
            <w:pPr>
              <w:keepNext w:val="0"/>
              <w:keepLines w:val="0"/>
              <w:pageBreakBefore w:val="0"/>
              <w:widowControl w:val="0"/>
              <w:kinsoku/>
              <w:wordWrap/>
              <w:overflowPunct/>
              <w:topLinePunct w:val="0"/>
              <w:autoSpaceDE/>
              <w:autoSpaceDN/>
              <w:bidi w:val="0"/>
              <w:spacing w:line="360" w:lineRule="auto"/>
              <w:ind w:firstLine="480" w:firstLineChars="200"/>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24"/>
              </w:rPr>
              <w:t>施工期产生的固体废物主要包括建筑垃圾、弃方、生活垃圾、钻渣、污泥、钢筋加工产生的废机油、废焊条、焊渣。</w:t>
            </w:r>
          </w:p>
          <w:p w14:paraId="7D88EFB7">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（1）建筑垃圾</w:t>
            </w:r>
          </w:p>
          <w:p w14:paraId="301AA7E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项目建筑垃圾主要来自施工作业，包括砂石、石块、水泥、废木料、废钢筋等杂物，在遇大风及干燥天气时将产生扬尘。施工生产的废料首先应考虑废料的回收利用，对钢筋、钢板、木材等下角料可分类回收，交废物收购站处理；对不能回收的建筑垃圾，如混凝土废料、含砖、砂石等及时清运到</w:t>
            </w:r>
            <w:r>
              <w:rPr>
                <w:rFonts w:hint="default" w:ascii="Times New Roman" w:hAnsi="Times New Roman" w:cs="Times New Roman"/>
                <w:color w:val="auto"/>
                <w:sz w:val="24"/>
                <w:szCs w:val="32"/>
              </w:rPr>
              <w:t>项目规划的</w:t>
            </w:r>
            <w:r>
              <w:rPr>
                <w:rFonts w:hint="default" w:ascii="Times New Roman" w:hAnsi="Times New Roman" w:cs="Times New Roman"/>
                <w:color w:val="auto"/>
                <w:sz w:val="24"/>
                <w:szCs w:val="32"/>
                <w:lang w:val="en-US" w:eastAsia="zh-CN"/>
              </w:rPr>
              <w:t>2</w:t>
            </w:r>
            <w:r>
              <w:rPr>
                <w:rFonts w:hint="default" w:ascii="Times New Roman" w:hAnsi="Times New Roman" w:cs="Times New Roman"/>
                <w:color w:val="auto"/>
                <w:sz w:val="24"/>
                <w:szCs w:val="32"/>
              </w:rPr>
              <w:t>处弃土场集中堆放</w:t>
            </w:r>
            <w:r>
              <w:rPr>
                <w:rFonts w:hint="default" w:ascii="Times New Roman" w:hAnsi="Times New Roman" w:cs="Times New Roman"/>
                <w:color w:val="auto"/>
                <w:sz w:val="24"/>
                <w:szCs w:val="24"/>
              </w:rPr>
              <w:t>。</w:t>
            </w:r>
            <w:r>
              <w:rPr>
                <w:rFonts w:hint="eastAsia" w:cs="Times New Roman"/>
                <w:color w:val="auto"/>
                <w:sz w:val="24"/>
                <w:szCs w:val="24"/>
                <w:lang w:val="en-US" w:eastAsia="zh-CN"/>
              </w:rPr>
              <w:t>根据《</w:t>
            </w:r>
            <w:r>
              <w:rPr>
                <w:rFonts w:ascii="宋体" w:hAnsi="宋体" w:eastAsia="宋体" w:cs="宋体"/>
                <w:sz w:val="24"/>
                <w:szCs w:val="24"/>
              </w:rPr>
              <w:t>宣汉县城市建筑垃圾管理办法</w:t>
            </w:r>
            <w:r>
              <w:rPr>
                <w:rFonts w:hint="eastAsia" w:cs="Times New Roman"/>
                <w:color w:val="auto"/>
                <w:sz w:val="24"/>
                <w:szCs w:val="24"/>
                <w:lang w:val="en-US" w:eastAsia="zh-CN"/>
              </w:rPr>
              <w:t>》要求，本项目应将《建筑垃圾运输处置方案》报宣汉县行政审批局综合行政执法窗口进行核准，县综合执法局在收到申请后15个工作日内作出是否同意的决定。不能满足运输条件的，应当向建设单位、施工单位说明理由，建设单位、施工单位应当修改方案。</w:t>
            </w:r>
          </w:p>
          <w:p w14:paraId="55F17309">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（2）弃方</w:t>
            </w:r>
          </w:p>
          <w:p w14:paraId="163D703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color w:val="auto"/>
                <w:sz w:val="24"/>
                <w:szCs w:val="24"/>
              </w:rPr>
              <w:t>本项目总弃方量为</w:t>
            </w:r>
            <w:r>
              <w:rPr>
                <w:rFonts w:hint="default" w:ascii="Times New Roman" w:hAnsi="Times New Roman" w:cs="Times New Roman"/>
                <w:color w:val="auto"/>
                <w:sz w:val="24"/>
                <w:szCs w:val="24"/>
                <w:lang w:val="en-US" w:eastAsia="zh-CN"/>
              </w:rPr>
              <w:t>80500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，运至规划的</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处弃土场集中堆放。</w:t>
            </w:r>
          </w:p>
          <w:p w14:paraId="0F310A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弃土场需做好渣土的防流失措施：严格执行“先拦后弃”的原则，弃土堆放前必须在弃土场坡脚修建挡墙，并在弃土场的周边修建截、排水沟。为保证弃土场的安全，应严格控制弃土场的堆土高度和坡面坡率。施工结束后，必须对土体顶面进行土地整治，并对土体坡面和顶部进行复耕。</w:t>
            </w:r>
          </w:p>
          <w:p w14:paraId="644EC00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（3）生活垃圾</w:t>
            </w:r>
          </w:p>
          <w:p w14:paraId="15CE242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本项目施工高峰期人数约</w:t>
            </w:r>
            <w:r>
              <w:rPr>
                <w:rFonts w:hint="default" w:ascii="Times New Roman" w:hAnsi="Times New Roman" w:cs="Times New Roman"/>
                <w:bCs/>
                <w:color w:val="auto"/>
                <w:sz w:val="24"/>
                <w:szCs w:val="24"/>
                <w:lang w:val="en-US" w:eastAsia="zh-CN"/>
              </w:rPr>
              <w:t>50</w:t>
            </w:r>
            <w:r>
              <w:rPr>
                <w:rFonts w:hint="default" w:ascii="Times New Roman" w:hAnsi="Times New Roman" w:cs="Times New Roman"/>
                <w:bCs/>
                <w:color w:val="auto"/>
                <w:sz w:val="24"/>
                <w:szCs w:val="24"/>
              </w:rPr>
              <w:t>人，生活垃圾以0.7kg/人.d计，产生量约</w:t>
            </w:r>
            <w:r>
              <w:rPr>
                <w:rFonts w:hint="default" w:ascii="Times New Roman" w:hAnsi="Times New Roman" w:cs="Times New Roman"/>
                <w:bCs/>
                <w:color w:val="auto"/>
                <w:sz w:val="24"/>
                <w:szCs w:val="24"/>
                <w:lang w:val="en-US" w:eastAsia="zh-CN"/>
              </w:rPr>
              <w:t>35</w:t>
            </w:r>
            <w:r>
              <w:rPr>
                <w:rFonts w:hint="default" w:ascii="Times New Roman" w:hAnsi="Times New Roman" w:cs="Times New Roman"/>
                <w:bCs/>
                <w:color w:val="auto"/>
                <w:sz w:val="24"/>
                <w:szCs w:val="24"/>
              </w:rPr>
              <w:t>kg/d。生活垃圾集中收集后委托当地环卫部门定期清运处理</w:t>
            </w:r>
            <w:r>
              <w:rPr>
                <w:rFonts w:hint="default" w:ascii="Times New Roman" w:hAnsi="Times New Roman" w:cs="Times New Roman"/>
                <w:color w:val="auto"/>
                <w:sz w:val="24"/>
                <w:szCs w:val="24"/>
              </w:rPr>
              <w:t>。</w:t>
            </w:r>
          </w:p>
          <w:p w14:paraId="2A5E714B">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（4）污泥</w:t>
            </w:r>
          </w:p>
          <w:p w14:paraId="175FA9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桥梁基础施工围堰和钻孔工序产生的泥浆废水采用泥浆池、沉淀池沉淀晾干后与施工场地废水沉淀池产生的污泥，均定期清掏沥干后运至项目规划的弃土场</w:t>
            </w:r>
            <w:r>
              <w:rPr>
                <w:rFonts w:hint="default" w:ascii="Times New Roman" w:hAnsi="Times New Roman" w:cs="Times New Roman"/>
                <w:color w:val="auto"/>
                <w:sz w:val="24"/>
                <w:szCs w:val="24"/>
              </w:rPr>
              <w:t>。</w:t>
            </w:r>
          </w:p>
          <w:p w14:paraId="0D1A0D0F">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（5）废机油</w:t>
            </w:r>
          </w:p>
          <w:p w14:paraId="76C8DEA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rPr>
              <w:t>施工场地钢筋加工会产生废机油，</w:t>
            </w:r>
            <w:r>
              <w:rPr>
                <w:rFonts w:hint="default" w:ascii="Times New Roman" w:hAnsi="Times New Roman" w:cs="Times New Roman"/>
                <w:color w:val="auto"/>
                <w:sz w:val="24"/>
                <w:szCs w:val="24"/>
                <w:lang w:val="en-US" w:eastAsia="zh-CN"/>
              </w:rPr>
              <w:t>根据《国家危险废物名录》（2025年本）属于HW08 900-214-08 车辆、轮船及其它机械维修过程中产生的废发动机油、制动器油、自动变速器油、齿轮油等废润滑油，定期交由有危险废物处置资质的单位处置。</w:t>
            </w:r>
          </w:p>
          <w:p w14:paraId="39DB6A89">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（6）废焊条、焊渣</w:t>
            </w:r>
          </w:p>
          <w:p w14:paraId="37BA519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施工场地钢筋加工会产生废焊条、焊渣，经收集后卖至废品回收站。</w:t>
            </w:r>
          </w:p>
          <w:p w14:paraId="3B24C9D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采取上述措施后，本项目各项固废均得到合理处置，不会造成二次污染。</w:t>
            </w:r>
          </w:p>
          <w:p w14:paraId="11BA43B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5、生态环境</w:t>
            </w:r>
          </w:p>
          <w:p w14:paraId="745A54A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本项目施工期对生态环境的影响主要是施工期间的水土流失。</w:t>
            </w:r>
          </w:p>
          <w:p w14:paraId="3DDB408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为了减少施工期间的水土流失，根据项目区自然条件及工程特点，采取以下防护措施：</w:t>
            </w:r>
          </w:p>
          <w:p w14:paraId="7835BA0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（1）各种施工活动应严格控制在施工作业区域内，以免造成土壤的不必要破坏，将项目建设对现有土壤的影响控制在最低限度。</w:t>
            </w:r>
          </w:p>
          <w:p w14:paraId="1A1346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（2）有计划的逐步开挖，不得随意扩大土石方开挖等施工区，减少开挖面。</w:t>
            </w:r>
          </w:p>
          <w:p w14:paraId="66F8765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（3）各种防护措施与主体工程同步实施，以预防雨季路面径流直接冲刷开挖面而造成水土流失。对裸土进行及时覆盖，可用沙袋或草席压住坡面进行暂时防护，以减少水土流失。</w:t>
            </w:r>
          </w:p>
          <w:p w14:paraId="201BF9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（4）施工场地和临时堆放场内设置专门的雨水导流渠，将雨水引导到沉淀池经过沉淀后回用，防止因雨水冲刷造成水土流失。</w:t>
            </w:r>
          </w:p>
          <w:p w14:paraId="7F73122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（5）表土清理、开挖作业、土方回填尽量避免在多雨季节进行施工，防止形成二次水土流失。</w:t>
            </w:r>
          </w:p>
          <w:p w14:paraId="15FD3F4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（6）建筑垃圾及时清运。</w:t>
            </w:r>
          </w:p>
          <w:p w14:paraId="32C3B04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（7）本项目路基开挖表土、弃土场和施工场地剥离的表土分别临时集中堆放于施工场地内</w:t>
            </w:r>
            <w:r>
              <w:rPr>
                <w:rFonts w:hint="default" w:ascii="Times New Roman" w:hAnsi="Times New Roman" w:cs="Times New Roman"/>
                <w:color w:val="auto"/>
                <w:sz w:val="24"/>
                <w:szCs w:val="24"/>
              </w:rPr>
              <w:t>、弃土场内，做好防起尘、遮盖措施，在堆场周边修建截、排水沟。施工结束后，表土用作施工场地和弃土场后期绿化的耕植土。</w:t>
            </w:r>
          </w:p>
          <w:p w14:paraId="0F14230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（8）工程结束后及时对临时工程开挖面进行覆土整地。</w:t>
            </w:r>
          </w:p>
          <w:p w14:paraId="79FC0BC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（9）施工临时占地在竣工后尽快采取迹地恢复和绿化措施，防止遭受降雨侵蚀。</w:t>
            </w:r>
          </w:p>
          <w:p w14:paraId="734DF4D2">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6、施工期环境风险防范措施</w:t>
            </w:r>
          </w:p>
          <w:p w14:paraId="53EAB5F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（1）施工场地内不进行润滑油、柴油等油品的储存，要求施工机械设备用油现用现购。</w:t>
            </w:r>
          </w:p>
          <w:p w14:paraId="6896054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（2）施工期间加强施工机械设备的日常管理和保养，加强施工人员培训，避免施工设备发生油品泄漏事故。</w:t>
            </w:r>
          </w:p>
          <w:p w14:paraId="09FB3C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（3）施工废水和泥浆处理设施均采取多级沉淀池结构，且池体进行加固防渗，应加强日常环保设施的巡检和保养，确保设备运行良好、废水能够有效处理并循环回用、不外排。</w:t>
            </w:r>
          </w:p>
          <w:p w14:paraId="32A16E6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（4）</w:t>
            </w:r>
            <w:r>
              <w:rPr>
                <w:rFonts w:hint="default" w:ascii="Times New Roman" w:hAnsi="Times New Roman" w:cs="Times New Roman"/>
                <w:color w:val="auto"/>
                <w:sz w:val="24"/>
                <w:szCs w:val="24"/>
              </w:rPr>
              <w:t>弃土场区严格执行“先拦后弃”的原则，弃土堆放前必须在弃土场坡脚修建挡墙，并在弃土场的周边修建截、排水沟。为保证弃土场的安全，应严格控制弃土场的堆土高度和坡面坡率。施工结束后，必须对土体顶面进行土地整治，并对土体坡面和顶部进行复耕。</w:t>
            </w:r>
          </w:p>
          <w:p w14:paraId="44D042D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（5）施工期间应建立环境风险管理制度，场地内预备防渗、截留、截污等</w:t>
            </w:r>
            <w:r>
              <w:rPr>
                <w:rFonts w:hint="eastAsia" w:cs="Times New Roman"/>
                <w:bCs/>
                <w:color w:val="auto"/>
                <w:sz w:val="24"/>
                <w:szCs w:val="24"/>
                <w:lang w:eastAsia="zh-CN"/>
              </w:rPr>
              <w:t>应急物资</w:t>
            </w:r>
            <w:r>
              <w:rPr>
                <w:rFonts w:hint="default" w:ascii="Times New Roman" w:hAnsi="Times New Roman" w:cs="Times New Roman"/>
                <w:bCs/>
                <w:color w:val="auto"/>
                <w:sz w:val="24"/>
                <w:szCs w:val="24"/>
              </w:rPr>
              <w:t>，（如吸油毡、备用空桶等），便于发生事故情况下及时进行处理。</w:t>
            </w:r>
          </w:p>
          <w:p w14:paraId="4C90911B">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6</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管道中心线五米范围内禁止机械作业动土；应采用人工开挖，并应有管道企业现场管理人员监督。</w:t>
            </w:r>
          </w:p>
          <w:p w14:paraId="32FB40EF">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7</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管道附近的桩基成桩方式应协调使用钻孔灌注桩基础，避免锤击桩形式。管道保护周围不得震动作业（爆破、冲击钻）。</w:t>
            </w:r>
          </w:p>
          <w:p w14:paraId="7FFAFF0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8</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禁止在管道保护带内堆土和堆放重物，禁止重车碾压管道；</w:t>
            </w:r>
          </w:p>
          <w:p w14:paraId="148E32CC">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9</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区域应安装摄像头、断缆报警系统，保护带内采用彩钢板等将管道区域与施工区进行硬隔离。在施工区域设置摄像头等监控设备，实现对施工过程的全方位监控。建立预警机制，一旦发现异常情况或潜在风险，立即启动预警程序，通知相关人员采取紧急措施。对监控和预警数据进行收集和分析，为施工安全管理和决策提供有力支持。</w:t>
            </w:r>
          </w:p>
          <w:p w14:paraId="25EF2C2C">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10</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吊装作业前，应协调起重吊臂回转范围不处于管道上方。必须经过时，需提前对管道采取盖板涵、盖板、铺设沙袋等必要的防护措施，吊装作业中，速度要均匀，禁止忽快和忽慢和突然制动。注意防范可能会出现对吊机操作不当或其它不可预知因素导致吊装重物从高空坠落，误伤管道。</w:t>
            </w:r>
          </w:p>
          <w:p w14:paraId="26FCFAB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11</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施工过程不得破坏天然气管道标志桩和警示标志。管道穿越公路两端增设标识。</w:t>
            </w:r>
          </w:p>
          <w:p w14:paraId="02C4000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12</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施工单位编制保护方案报管道保护主管部门审批取得同意后与管道企业签订保护协议。施工作业，施工应当在开工七日前书面通知管道企业。管道企业应当指派专门人员到现场进行管道保护安全指导。</w:t>
            </w:r>
          </w:p>
          <w:p w14:paraId="68439CF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13</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施工前对交叉段管道防腐层进行检测并修复。</w:t>
            </w:r>
          </w:p>
          <w:p w14:paraId="4C06324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14</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管道企业派专人到现场监护施工并参与安全技术交底与验收。</w:t>
            </w:r>
          </w:p>
          <w:p w14:paraId="1DFFC90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15</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施工前应编制应急预案，并与管道单位进行联动应急演练。</w:t>
            </w:r>
          </w:p>
          <w:p w14:paraId="091ED1C3">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16</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作业前，涉及管道周边动土、受限空间、动火、临时用电等作业时，应办理相关作业票。</w:t>
            </w:r>
          </w:p>
          <w:p w14:paraId="0BDE51E3">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17</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钻孔灌注桩施工时，做好管道沉降位移监测工作，实时监测管道的沉降及水平位移情况。应注意软土层的缩径，粉土、粉砂层的踏空及漏浆问题。施工钻孔时应做好地质层面记录，如发现地质情况与钻孔资料不符，位移变化等异常情况，应立即停止施工。</w:t>
            </w:r>
          </w:p>
          <w:p w14:paraId="7B56AB9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18</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在工程施工前，加强对施工区域管线的调查工作，对施工区域的天然气管道进行标注，注明管道名称、走向、埋深等。</w:t>
            </w:r>
          </w:p>
          <w:p w14:paraId="4D25F9DF">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19</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施工时，机械设备、运输车辆进场应禁止直接经过管道上方，以免对管道可能产生的损害。管道防护带距离内不得加载，包括堆土及重型机械进入。管道周边严禁停放重车，重型设备。</w:t>
            </w:r>
          </w:p>
          <w:p w14:paraId="776E5C71">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20</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施工前和施工期间要加强对施工人员的安全教育，不得盲目、野蛮施工。</w:t>
            </w:r>
          </w:p>
          <w:p w14:paraId="0DA298A4">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21</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施工前应根据设计文件复查地下、管道的埋设位置及走向，并采取保护措施；必要时进行地质超前探测预报，进一步了解顶管区域地层构造、地下水以及埋地设施状况。</w:t>
            </w:r>
          </w:p>
          <w:p w14:paraId="7D75AF2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22</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施工作业时，应做好防止管道沉降、位移的相关监测措施，出现相关情况时应立即停止作业，并通知管道产权单位，协商确定处理措施。</w:t>
            </w:r>
          </w:p>
          <w:p w14:paraId="5D70D38F">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23</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基坑开挖过程应设置完善的排水设施，防止基坑积水。基坑边坡设置支护措施，进行分段开挖分段施工，防止基坑坍塌。</w:t>
            </w:r>
          </w:p>
          <w:p w14:paraId="302A643A">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24</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施工过程对对裸露及悬空管道、光缆进行保护。</w:t>
            </w:r>
          </w:p>
          <w:p w14:paraId="219BD77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lang w:eastAsia="zh-CN"/>
              </w:rPr>
            </w:pP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lang w:val="en-US" w:eastAsia="zh-CN"/>
              </w:rPr>
              <w:t>25</w:t>
            </w:r>
            <w:r>
              <w:rPr>
                <w:rFonts w:hint="default" w:ascii="Times New Roman" w:hAnsi="Times New Roman" w:eastAsia="宋体" w:cs="Times New Roman"/>
                <w:color w:val="auto"/>
                <w:sz w:val="24"/>
                <w:szCs w:val="22"/>
                <w:lang w:eastAsia="zh-CN"/>
              </w:rPr>
              <w:t>）</w:t>
            </w:r>
            <w:r>
              <w:rPr>
                <w:rFonts w:hint="default" w:ascii="Times New Roman" w:hAnsi="Times New Roman" w:eastAsia="宋体" w:cs="Times New Roman"/>
                <w:color w:val="auto"/>
                <w:sz w:val="24"/>
                <w:szCs w:val="22"/>
              </w:rPr>
              <w:t>涵洞内进行填实，涵洞两端进行封堵，防止水流入涵洞引起管道悬空冲走填充物。</w:t>
            </w:r>
          </w:p>
          <w:p w14:paraId="7EE04E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综上所述，本项目施工期环境风险防范措施从经济技术上可行有效，采取上述措施后对周边环境的影响不大。</w:t>
            </w:r>
          </w:p>
          <w:p w14:paraId="46339A6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lang w:val="en-US" w:eastAsia="zh-CN"/>
              </w:rPr>
            </w:pPr>
            <w:r>
              <w:rPr>
                <w:rFonts w:hint="default" w:ascii="Times New Roman" w:hAnsi="Times New Roman" w:cs="Times New Roman"/>
                <w:b/>
                <w:color w:val="auto"/>
                <w:sz w:val="24"/>
                <w:szCs w:val="24"/>
                <w:lang w:val="en-US" w:eastAsia="zh-CN"/>
              </w:rPr>
              <w:t>7、水土保持措施</w:t>
            </w:r>
          </w:p>
          <w:p w14:paraId="1F8160F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（1）布设原则</w:t>
            </w:r>
          </w:p>
          <w:p w14:paraId="2251D2B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1）根据工程所处土壤侵蚀类型区，结合工程实际和工程区水土流失现状，因地制宜，因害设防、防治结合、科学配置、优化布局；</w:t>
            </w:r>
          </w:p>
          <w:p w14:paraId="3104642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2）注重项目施工过程中造成人为扰动区及产生的弃土、废弃物，设计临时性防护措施，尽量减少新增水土流失；</w:t>
            </w:r>
          </w:p>
          <w:p w14:paraId="10DAFE9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3）注重吸收当地和同类项目水土保持防治经验，借鉴国内外先进技术，尽量做到高科技、低投入、高效益，有效地防治项目建设、生产过程中新增和原有的水土流失；</w:t>
            </w:r>
          </w:p>
          <w:p w14:paraId="1BAFA1B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4）防治措施体系布设要与主体工程密切结合，相互协调，形成整体；</w:t>
            </w:r>
          </w:p>
          <w:p w14:paraId="4AD6B91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5）工程措施要尽量选用当地材料，做到技术上可行，经济上合理；</w:t>
            </w:r>
          </w:p>
          <w:p w14:paraId="5879281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6）植物措施要尽量选用适合当地的品种，并考虑绿化、美化效果。</w:t>
            </w:r>
          </w:p>
          <w:p w14:paraId="40E8A8C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在防治时段方面，对施工期产生的水土流失进行重点防治。在防治区域方面对主体工程区产生的水土流失进行重点防治，同时兼顾对其他临时工程区的水土流失防治，做到全局和局部相统一，重点和一般相协调的原则，进行全面防治。</w:t>
            </w:r>
          </w:p>
          <w:p w14:paraId="759BA71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（2）水土保持措施布设</w:t>
            </w:r>
          </w:p>
          <w:p w14:paraId="2FAB589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本项目共划分了路基工程区、弃渣场区共2个水土流失防治分区，以下分别对各防治分区进行水土保持防治措施布设。</w:t>
            </w:r>
          </w:p>
          <w:p w14:paraId="2C4B89D1">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路基工程区：</w:t>
            </w:r>
          </w:p>
          <w:p w14:paraId="6067C94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1）工程措施</w:t>
            </w:r>
          </w:p>
          <w:p w14:paraId="30078E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主体已有：主体工程在陡坡区域填方边坡坡脚设截水沟432m，挖方边坡坡脚设排截水沟1250m，挖方边坡坡顶及填方边坡坡脚设截水沟550 m，路肩外侧设边沟600m。</w:t>
            </w:r>
          </w:p>
          <w:p w14:paraId="5425F4D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2）植物措施</w:t>
            </w:r>
          </w:p>
          <w:p w14:paraId="29F380E2">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主体已有：三维网植草护坡3350m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，砼骨架普通植草护坡12500m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。本方案无补充植物措施。草种选用当地草种，如狗牙根、马尼拉草、麦冬等。</w:t>
            </w:r>
          </w:p>
          <w:p w14:paraId="6ED06C4C">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3）临时措施</w:t>
            </w:r>
          </w:p>
          <w:p w14:paraId="34FE27D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方案新增：</w:t>
            </w:r>
          </w:p>
          <w:p w14:paraId="1085FE9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土质排水沟：</w:t>
            </w:r>
          </w:p>
          <w:p w14:paraId="108264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为防止路基基础开挖期间受到雨水的冲刷，在周围汇水较大的区域设置土质排水沟，截住上游来水以及排除场地内的雨水。排水沟断面形式采用矩形断面，断面尺寸b×h=0.3×0.3m，沟底厚0.2m。本项目排水沟总长约1500 m。</w:t>
            </w:r>
          </w:p>
          <w:p w14:paraId="67CF725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土质沉沙池：</w:t>
            </w:r>
          </w:p>
          <w:p w14:paraId="50313AC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根据项目区地形地貌和地势情况，在路基坡度较大区域设置临时沉沙池，沉砂池断面为：长×宽×高＝1.0m×1.0m×1.0m，侧墙采用素土夯实。在接入周围沟渠处设置10座临时沉沙池，沟道采用人工开挖，挖成后拍实，沉沙池中的水就近排至附近天然排水沟中。</w:t>
            </w:r>
          </w:p>
          <w:p w14:paraId="669BA76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防雨布遮盖：</w:t>
            </w:r>
          </w:p>
          <w:p w14:paraId="53E994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根据现场情况，路基开挖过程会形成很多裸露区域，且无法及时硬化，因此需要采用防雨布进行临时遮盖，经统计，共需新增约5000m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防雨布可满足施工的临时遮盖需要。</w:t>
            </w:r>
          </w:p>
          <w:p w14:paraId="5969034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弃渣场区：</w:t>
            </w:r>
          </w:p>
          <w:p w14:paraId="1F05CC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1）工程措施</w:t>
            </w:r>
          </w:p>
          <w:p w14:paraId="04DA641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主体已有：</w:t>
            </w:r>
          </w:p>
          <w:p w14:paraId="17FE728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护脚、排水沟：</w:t>
            </w:r>
          </w:p>
          <w:p w14:paraId="31CF4F8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根据主体设计资料，1#弃渣场设置浆砌石护脚123m，M10 浆砌石排水沟133m（0.8m×0.4m）；2#弃渣场设置浆砌石护脚92m，M10 浆砌石排水沟282m（0.8m×0.4m）。</w:t>
            </w:r>
          </w:p>
          <w:p w14:paraId="4D1C644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土地整治：</w:t>
            </w:r>
          </w:p>
          <w:p w14:paraId="6307B4E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主体工程考虑了对所占地区域的土地整治措施，土地整治面积为11300m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w:t>
            </w:r>
          </w:p>
          <w:p w14:paraId="546127E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方案新增：</w:t>
            </w:r>
          </w:p>
          <w:p w14:paraId="07C2732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浆砌石沉沙池：主体工程未考虑弃渣场的沉沙措施，本方案补充排水沟末端的沉沙池，沉沙池为矩形断面，长1.0m，宽1.0m，深1.5m。共布设4个，每个弃渣场设2个。沉沙池为浆砌石沉沙池，底部采用C10混凝土浇筑，浇筑厚度约10cm，四周浆砌石砌筑厚度为0.25m。排水沟内汇水经沉沙池处理后接入附近的自然冲沟或排洪系统。</w:t>
            </w:r>
          </w:p>
          <w:p w14:paraId="10D24719">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表土剥离、绿化覆土</w:t>
            </w:r>
          </w:p>
          <w:p w14:paraId="5AE49A3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由于项目场地在对堆土前需对场地内挖填微地形改造，改造后将重塑地貌，地表无表层营养土，不利于绿化植被的生长，在场地平整后需对弃渣场区进行撒草籽绿化，防治新的水土流失问题。因此对弃渣场区采取剥离表土和表土回覆措施，绿化覆土来源为前期剥离的表土。按照按需剥离和应剥尽剥的原则，因此对待绿化的绿地面积进行表土剥离。经统计，本工程区剥离表土量为0.34万m</w:t>
            </w:r>
            <w:r>
              <w:rPr>
                <w:rFonts w:hint="default" w:ascii="Times New Roman" w:hAnsi="Times New Roman" w:cs="Times New Roman"/>
                <w:bCs/>
                <w:color w:val="auto"/>
                <w:sz w:val="24"/>
                <w:szCs w:val="24"/>
                <w:vertAlign w:val="superscript"/>
                <w:lang w:val="en-US" w:eastAsia="zh-CN"/>
              </w:rPr>
              <w:t>3</w:t>
            </w:r>
            <w:r>
              <w:rPr>
                <w:rFonts w:hint="default" w:ascii="Times New Roman" w:hAnsi="Times New Roman" w:cs="Times New Roman"/>
                <w:bCs/>
                <w:color w:val="auto"/>
                <w:sz w:val="24"/>
                <w:szCs w:val="24"/>
                <w:lang w:val="en-US" w:eastAsia="zh-CN"/>
              </w:rPr>
              <w:t>，表土回覆厚度0.30m，回覆表土量为0.34万m</w:t>
            </w:r>
            <w:r>
              <w:rPr>
                <w:rFonts w:hint="default" w:ascii="Times New Roman" w:hAnsi="Times New Roman" w:cs="Times New Roman"/>
                <w:bCs/>
                <w:color w:val="auto"/>
                <w:sz w:val="24"/>
                <w:szCs w:val="24"/>
                <w:vertAlign w:val="superscript"/>
                <w:lang w:val="en-US" w:eastAsia="zh-CN"/>
              </w:rPr>
              <w:t>3</w:t>
            </w:r>
            <w:r>
              <w:rPr>
                <w:rFonts w:hint="default" w:ascii="Times New Roman" w:hAnsi="Times New Roman" w:cs="Times New Roman"/>
                <w:bCs/>
                <w:color w:val="auto"/>
                <w:sz w:val="24"/>
                <w:szCs w:val="24"/>
                <w:lang w:val="en-US" w:eastAsia="zh-CN"/>
              </w:rPr>
              <w:t>，弃渣场区绿化覆土面积为1.13hm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w:t>
            </w:r>
          </w:p>
          <w:p w14:paraId="05EE890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2）植物措施</w:t>
            </w:r>
          </w:p>
          <w:p w14:paraId="5DF9282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方案新增：本方案补充对占压其他土地区域进行撒播草籽，经统计约需要撒播灌草面积为1.13hm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，撒播密度60kg/hm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，草籽撒播量67.8kg，草种选用当地草种，如狗牙根、马尼拉草、麦冬等。</w:t>
            </w:r>
          </w:p>
          <w:p w14:paraId="12D095E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3）临时措施：</w:t>
            </w:r>
          </w:p>
          <w:p w14:paraId="7A3D2EFA">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临时排水、沉沙措施：</w:t>
            </w:r>
          </w:p>
          <w:p w14:paraId="242317A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本项目布设弃渣场2座，本方案计划在弃渣场堆渣处新增临时排水措施，新增的临时排水沟汇集外来雨水，就近接入附近沟渠中，接入布设一个沉沙池。排水沟断面形式采用矩形断面，断面尺寸b×h=0.3×0.3m，沟底厚0.2m。本项目弃渣场区新增临时排水沟总长约1850m。</w:t>
            </w:r>
          </w:p>
          <w:p w14:paraId="4571854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根据项目区地势，在坡度较大区域设置一个临时沉沙池，沉砂池断面为：长×宽×高＝1.0m×1.0m×1.0m，侧墙采用素土夯实。在接入周围沟渠处设置4 座临时沉沙池，沟道采用人工开挖，挖成后拍实，沉沙池中的水就近排至附近天然排水沟中。</w:t>
            </w:r>
          </w:p>
          <w:p w14:paraId="16D2BF40">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防雨布遮盖：</w:t>
            </w:r>
          </w:p>
          <w:p w14:paraId="1297EB15">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color w:val="auto"/>
                <w:sz w:val="24"/>
                <w:szCs w:val="24"/>
                <w:lang w:val="en-US" w:eastAsia="zh-CN"/>
              </w:rPr>
            </w:pPr>
            <w:r>
              <w:rPr>
                <w:rFonts w:hint="default" w:ascii="Times New Roman" w:hAnsi="Times New Roman" w:cs="Times New Roman"/>
                <w:bCs/>
                <w:color w:val="auto"/>
                <w:sz w:val="24"/>
                <w:szCs w:val="24"/>
                <w:lang w:val="en-US" w:eastAsia="zh-CN"/>
              </w:rPr>
              <w:t>在材料堆放区域和表土堆放区域补充防雨布遮盖措施，经初步估算，约需要防雨布2000m</w:t>
            </w:r>
            <w:r>
              <w:rPr>
                <w:rFonts w:hint="default" w:ascii="Times New Roman" w:hAnsi="Times New Roman" w:cs="Times New Roman"/>
                <w:bCs/>
                <w:color w:val="auto"/>
                <w:sz w:val="24"/>
                <w:szCs w:val="24"/>
                <w:vertAlign w:val="superscript"/>
                <w:lang w:val="en-US" w:eastAsia="zh-CN"/>
              </w:rPr>
              <w:t>2</w:t>
            </w:r>
            <w:r>
              <w:rPr>
                <w:rFonts w:hint="default" w:ascii="Times New Roman" w:hAnsi="Times New Roman" w:cs="Times New Roman"/>
                <w:bCs/>
                <w:color w:val="auto"/>
                <w:sz w:val="24"/>
                <w:szCs w:val="24"/>
                <w:lang w:val="en-US" w:eastAsia="zh-CN"/>
              </w:rPr>
              <w:t>。</w:t>
            </w:r>
          </w:p>
        </w:tc>
      </w:tr>
      <w:tr w14:paraId="45A12D0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50" w:hRule="atLeast"/>
          <w:jc w:val="center"/>
        </w:trPr>
        <w:tc>
          <w:tcPr>
            <w:tcW w:w="735" w:type="dxa"/>
            <w:tcMar>
              <w:left w:w="28" w:type="dxa"/>
              <w:right w:w="28" w:type="dxa"/>
            </w:tcMar>
            <w:vAlign w:val="center"/>
          </w:tcPr>
          <w:p w14:paraId="3199894B">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pacing w:val="10"/>
                <w:szCs w:val="21"/>
              </w:rPr>
              <w:t>运营期生态环境保护措施</w:t>
            </w:r>
          </w:p>
        </w:tc>
        <w:tc>
          <w:tcPr>
            <w:tcW w:w="8264" w:type="dxa"/>
          </w:tcPr>
          <w:p w14:paraId="20832103">
            <w:pPr>
              <w:keepNext w:val="0"/>
              <w:keepLines w:val="0"/>
              <w:pageBreakBefore w:val="0"/>
              <w:widowControl w:val="0"/>
              <w:numPr>
                <w:ilvl w:val="0"/>
                <w:numId w:val="2"/>
              </w:numPr>
              <w:kinsoku/>
              <w:wordWrap/>
              <w:overflowPunct/>
              <w:topLinePunct w:val="0"/>
              <w:autoSpaceDE/>
              <w:autoSpaceDN/>
              <w:bidi w:val="0"/>
              <w:adjustRightInd w:val="0"/>
              <w:snapToGrid w:val="0"/>
              <w:spacing w:line="360" w:lineRule="auto"/>
              <w:ind w:firstLine="522" w:firstLineChars="200"/>
              <w:textAlignment w:val="auto"/>
              <w:rPr>
                <w:rFonts w:hint="default" w:ascii="Times New Roman" w:hAnsi="Times New Roman" w:cs="Times New Roman"/>
                <w:b/>
                <w:color w:val="auto"/>
                <w:spacing w:val="10"/>
                <w:sz w:val="24"/>
                <w:szCs w:val="24"/>
              </w:rPr>
            </w:pPr>
            <w:r>
              <w:rPr>
                <w:rFonts w:hint="default" w:ascii="Times New Roman" w:hAnsi="Times New Roman" w:cs="Times New Roman"/>
                <w:b/>
                <w:color w:val="auto"/>
                <w:spacing w:val="10"/>
                <w:sz w:val="24"/>
                <w:szCs w:val="24"/>
              </w:rPr>
              <w:t>废气</w:t>
            </w:r>
          </w:p>
          <w:p w14:paraId="6D65F81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运营期废气主要为汽车尾气、道路扬尘。</w:t>
            </w:r>
          </w:p>
          <w:p w14:paraId="6AD962C7">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（1）汽车尾气</w:t>
            </w:r>
          </w:p>
          <w:p w14:paraId="3C3A8ED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汽车尾气主要污染物为主要有CO、NOx、THC。CO是燃料在发动机内不完全燃烧的产物，主要取决于空燃比和各种汽缸燃料分配的均匀性；NOx是汽缸内过量空气中的氧气和氮气在高温下形成的产物；THC产生于汽缸壁面淬效应和混合缸不完全燃烧。机动车尾气排放量的大小不仅与汽车车型有关，而且与行车状态（如车速）、燃料种类、行车里程、环境状况（如温度）等诸多因素有关。</w:t>
            </w:r>
          </w:p>
          <w:p w14:paraId="61A0D60E">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本项目采取对行驶车辆进行速度限制、严禁车况不良的车辆入区、尾气排放要求符合有关汽车尾气排放标准、使用无铅汽油、加强管理等措施。</w:t>
            </w:r>
          </w:p>
          <w:p w14:paraId="46C6C3D3">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（2）道路扬尘</w:t>
            </w:r>
          </w:p>
          <w:p w14:paraId="4220EE9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道路上行驶汽车的轮胎接触路面而使路面积尘扬起，从而产生二次扬尘污染；在运送散装含尘物料时，由于洒落、风吹等原因，使物料产生扬尘污染。本项目路面为沥青混凝土路面，有专人清扫，道路扬尘产生量小。通过车辆限速、装载车辆物料遮盖等方式减少道路扬尘产生量。</w:t>
            </w:r>
          </w:p>
          <w:p w14:paraId="748522ED">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2、废水</w:t>
            </w:r>
          </w:p>
          <w:p w14:paraId="4E2E2A9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（1）路面径流</w:t>
            </w:r>
          </w:p>
          <w:p w14:paraId="46758A3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本项目运营期不产生生产废水和生活污水，仅有道路路面雨水径流产生。</w:t>
            </w:r>
          </w:p>
          <w:p w14:paraId="0494C4B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道路路面雨水径流污染物主要为悬浮物、石油类，其污染物浓度受降雨强度、车流量、车辆类型、灰尘沉降量和前期干旱时间等因素影响，因此具有一定程度的不确定性。类比参考国内对某地区路面径流污染情况试验有关资料，在车流量和降雨量已知的情况下，降雨历时一小时，降雨强度为81.6mm，在一小时内按不同时间采集水样，测定结果见下表。降雨初期到形成路面径流的30分钟内，雨水中的悬浮物和石油类物质的浓度比较高，30min以后其浓度随降雨历时的延长下降较快，雨水中BOD5随降雨历时的延长下降速度稍慢，pH值相对较稳定，降雨历时40min后，路面基本被冲洗干净。</w:t>
            </w:r>
          </w:p>
          <w:p w14:paraId="19138A3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本项目道路两侧有排水沟，能够有效收集地面径流，排入附近河沟。</w:t>
            </w:r>
          </w:p>
          <w:p w14:paraId="4C65DC79">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3、噪声</w:t>
            </w:r>
          </w:p>
          <w:p w14:paraId="41E7D99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本项目运营期声环境影响为交通噪声，结合本项目的实际情况，噪声污染防治措施如下：</w:t>
            </w:r>
          </w:p>
          <w:p w14:paraId="6742E21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（1）建议路面采用降噪沥青材料。</w:t>
            </w:r>
          </w:p>
          <w:p w14:paraId="67EDFD2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（2）加强交通管理，严格执行限速和禁止超载等交通管制，在通过人口密度较大的路段设置禁鸣标志，以减少交通噪声扰民问题。</w:t>
            </w:r>
          </w:p>
          <w:p w14:paraId="1914E71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（3）加强路面养护，保证路面处于良好状态。</w:t>
            </w:r>
          </w:p>
          <w:p w14:paraId="4C7EAB0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（4）本项目两侧今后如新建小区住宅、医院、学校、养老院等声环境保护目标，</w:t>
            </w:r>
            <w:bookmarkStart w:id="14" w:name="_Hlk136353120"/>
            <w:r>
              <w:rPr>
                <w:rFonts w:hint="default" w:ascii="Times New Roman" w:hAnsi="Times New Roman" w:cs="Times New Roman"/>
                <w:color w:val="auto"/>
                <w:sz w:val="24"/>
                <w:szCs w:val="24"/>
              </w:rPr>
              <w:t>需位于噪声预测达标范围内。</w:t>
            </w:r>
            <w:bookmarkEnd w:id="14"/>
          </w:p>
          <w:p w14:paraId="69ACCDB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因此，通过采取上述措施可使得运营期噪声达标排放，有效减轻运营期噪声对周围环境和声环境保护目标的影响。上述措施环境合理，经济可行，从环保、技术、经济角度是可行的。详见“声环境影响专项评价”。</w:t>
            </w:r>
          </w:p>
          <w:p w14:paraId="30B2CA01">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4、固体废弃物</w:t>
            </w:r>
          </w:p>
          <w:p w14:paraId="01F8708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运营期公路本身不产生固废，固体废弃物主要为行人产生的固废和车辆运输过程中沿途洒落的少量路面垃圾。路面垃圾由公路养护部门定期进行清理。</w:t>
            </w:r>
          </w:p>
          <w:p w14:paraId="0546ADA0">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5、生态治理措施</w:t>
            </w:r>
          </w:p>
          <w:p w14:paraId="11A7D176">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生态治理措施主要为对路基边坡的防护，防止路基边坡水土流失。本项目全线路基分为路堤、路堑，根据边坡形式，采用拱形骨架、挡土墙、护肩、路堑墙、菱形骨架、喷播植草、挂铁丝网喷有机基材植草等边坡防护工程。</w:t>
            </w:r>
          </w:p>
          <w:p w14:paraId="109536D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同时，对不同类型边坡分别采用不同绿化植被：路堤路堑边坡种植灌木、植草、播撒草籽等；路侧播撒草籽。</w:t>
            </w:r>
          </w:p>
          <w:p w14:paraId="7358FBAD">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6、环境风险措施</w:t>
            </w:r>
          </w:p>
          <w:p w14:paraId="15D42DA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本项目施工期环境风险来自施工过程导致输气管道泄漏、火灾、爆炸。</w:t>
            </w:r>
          </w:p>
          <w:p w14:paraId="3E318EB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施工前若没有对输气管道周边地理位置、地质、埋深进行勘探，没有收集了管道的相关资料，盲目编制施工组织方案，可能造成管道的移位、涌管、破裂等，致使天然气泄漏，发生火灾爆炸事故。</w:t>
            </w:r>
          </w:p>
          <w:p w14:paraId="029F377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施工前若没有和管道管理单位进行沟通协商，管理单位未派专人现场指导，一旦施工造成天然气管道移位、涌管、破裂等，有可能致使天然气泄漏，易发生火灾、爆炸事故。</w:t>
            </w:r>
          </w:p>
          <w:p w14:paraId="738CDAA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施工前施工单位若没有编制施工专项方案和管道保护方案，方案没有组织相关单位和专家进行可行性论证，施工时可能因施工组织方案的不合理、不可行、无可控性而引发天然气泄漏和天然气管道使用寿命减小。</w:t>
            </w:r>
          </w:p>
          <w:p w14:paraId="35A1F9D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施工中擅自拆除或破坏管道标志桩、安全警示标志牌等安全设施，会造成管道中心两侧5m范围内的保护带不清。</w:t>
            </w:r>
          </w:p>
          <w:p w14:paraId="6166643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对施工人员缺乏安全管理，施工人员在施工现场野蛮作业，会破坏管道安全设施，对管道正常运行埋下安全隐患。</w:t>
            </w:r>
          </w:p>
          <w:p w14:paraId="2EFF957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如对天然气埋地管道提供的线路不准确。施工机械碰及管道，造成管道损坏泄漏，从而导致火灾事故发生。</w:t>
            </w:r>
          </w:p>
          <w:p w14:paraId="0B19D7D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该工程位于输气管道上方，在施工工程中涉及材料堆放、工程车辆出入等，若未对输气管道与施工作业区域采取硬质隔离措施，工程车辆在管线上方碾压，可能造成管线破裂，引发火灾爆炸事故。</w:t>
            </w:r>
          </w:p>
          <w:p w14:paraId="643082B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采取的防范措施如下：</w:t>
            </w:r>
          </w:p>
          <w:p w14:paraId="3365DD0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w:t>
            </w:r>
            <w:r>
              <w:rPr>
                <w:rFonts w:hint="default" w:ascii="Times New Roman" w:hAnsi="Times New Roman" w:eastAsia="宋体" w:cs="Times New Roman"/>
                <w:color w:val="auto"/>
                <w:sz w:val="24"/>
                <w:szCs w:val="22"/>
              </w:rPr>
              <w:t>）管道中心线五米范围内禁止机械作业动土；应采用人工开挖，并应有管道企业现场管理人员监督。</w:t>
            </w:r>
          </w:p>
          <w:p w14:paraId="7F91E1A1">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2</w:t>
            </w:r>
            <w:r>
              <w:rPr>
                <w:rFonts w:hint="default" w:ascii="Times New Roman" w:hAnsi="Times New Roman" w:eastAsia="宋体" w:cs="Times New Roman"/>
                <w:color w:val="auto"/>
                <w:sz w:val="24"/>
                <w:szCs w:val="22"/>
              </w:rPr>
              <w:t>）管道附近的桩基成桩方式应协调使用钻孔灌注桩基础，避免锤击桩形式。管道保护周围不得震动作业（爆破、冲击钻）。</w:t>
            </w:r>
          </w:p>
          <w:p w14:paraId="42B6903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3</w:t>
            </w:r>
            <w:r>
              <w:rPr>
                <w:rFonts w:hint="default" w:ascii="Times New Roman" w:hAnsi="Times New Roman" w:eastAsia="宋体" w:cs="Times New Roman"/>
                <w:color w:val="auto"/>
                <w:sz w:val="24"/>
                <w:szCs w:val="22"/>
              </w:rPr>
              <w:t>）禁止在管道保护带内堆土和堆放重物，禁止重车碾压管道；</w:t>
            </w:r>
          </w:p>
          <w:p w14:paraId="01A1A2BF">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4</w:t>
            </w:r>
            <w:r>
              <w:rPr>
                <w:rFonts w:hint="default" w:ascii="Times New Roman" w:hAnsi="Times New Roman" w:eastAsia="宋体" w:cs="Times New Roman"/>
                <w:color w:val="auto"/>
                <w:sz w:val="24"/>
                <w:szCs w:val="22"/>
              </w:rPr>
              <w:t>）施工区域应安装摄像头、断缆报警系统，保护带内采用彩钢板等将管道区域与施工区进行硬隔离。在施工区域设置摄像头等监控设备，实现对施工过程的全方位监控。建立预警机制，一旦发现异常情况或潜在风险，立即启动预警程序，通知相关人员采取紧急措施。对监控和预警数据进行收集和分析，为施工安全管理和决策提供有力支持。</w:t>
            </w:r>
          </w:p>
          <w:p w14:paraId="7F3CF346">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5</w:t>
            </w:r>
            <w:r>
              <w:rPr>
                <w:rFonts w:hint="default" w:ascii="Times New Roman" w:hAnsi="Times New Roman" w:eastAsia="宋体" w:cs="Times New Roman"/>
                <w:color w:val="auto"/>
                <w:sz w:val="24"/>
                <w:szCs w:val="22"/>
              </w:rPr>
              <w:t>）吊装作业前，应协调起重吊臂回转范围不处于管道上方。必须经过时，需提前对管道采取盖板涵、盖板、铺设沙袋等必要的防护措施，吊装作业中，速度要均匀，禁止忽快和忽慢和突然制动。注意防范可能会出现对吊机操作不当或其它不可预知因素导致吊装重物从高空坠落，误伤管道。</w:t>
            </w:r>
          </w:p>
          <w:p w14:paraId="54FB0BC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6</w:t>
            </w:r>
            <w:r>
              <w:rPr>
                <w:rFonts w:hint="default" w:ascii="Times New Roman" w:hAnsi="Times New Roman" w:eastAsia="宋体" w:cs="Times New Roman"/>
                <w:color w:val="auto"/>
                <w:sz w:val="24"/>
                <w:szCs w:val="22"/>
              </w:rPr>
              <w:t>）施工过程不得破坏天然气管道标志桩和警示标志。管道穿越公路两端增设标识。</w:t>
            </w:r>
          </w:p>
          <w:p w14:paraId="18F8B2A3">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7</w:t>
            </w:r>
            <w:r>
              <w:rPr>
                <w:rFonts w:hint="default" w:ascii="Times New Roman" w:hAnsi="Times New Roman" w:eastAsia="宋体" w:cs="Times New Roman"/>
                <w:color w:val="auto"/>
                <w:sz w:val="24"/>
                <w:szCs w:val="22"/>
              </w:rPr>
              <w:t>）施工单位编制保护方案报管道保护主管部门审批取得同意后与管道企业签订保护协议。施工作业，施工应当在开工七日前书面通知管道企业。管道企业应当指派专门人员到现场进行管道保护安全指导。</w:t>
            </w:r>
          </w:p>
          <w:p w14:paraId="6428EC9D">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8</w:t>
            </w:r>
            <w:r>
              <w:rPr>
                <w:rFonts w:hint="default" w:ascii="Times New Roman" w:hAnsi="Times New Roman" w:eastAsia="宋体" w:cs="Times New Roman"/>
                <w:color w:val="auto"/>
                <w:sz w:val="24"/>
                <w:szCs w:val="22"/>
              </w:rPr>
              <w:t>）施工前对交叉段管道防腐层进行检测并修复。</w:t>
            </w:r>
          </w:p>
          <w:p w14:paraId="74434EA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9</w:t>
            </w:r>
            <w:r>
              <w:rPr>
                <w:rFonts w:hint="default" w:ascii="Times New Roman" w:hAnsi="Times New Roman" w:eastAsia="宋体" w:cs="Times New Roman"/>
                <w:color w:val="auto"/>
                <w:sz w:val="24"/>
                <w:szCs w:val="22"/>
              </w:rPr>
              <w:t>）管道企业派专人到现场监护施工并参与安全技术交底与验收。</w:t>
            </w:r>
          </w:p>
          <w:p w14:paraId="2E6E5FCE">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10</w:t>
            </w:r>
            <w:r>
              <w:rPr>
                <w:rFonts w:hint="default" w:ascii="Times New Roman" w:hAnsi="Times New Roman" w:eastAsia="宋体" w:cs="Times New Roman"/>
                <w:color w:val="auto"/>
                <w:sz w:val="24"/>
                <w:szCs w:val="22"/>
              </w:rPr>
              <w:t>）施工前应编制应急预案，并与管道单位进行联动应急演练。</w:t>
            </w:r>
          </w:p>
          <w:p w14:paraId="010943D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11</w:t>
            </w:r>
            <w:r>
              <w:rPr>
                <w:rFonts w:hint="default" w:ascii="Times New Roman" w:hAnsi="Times New Roman" w:eastAsia="宋体" w:cs="Times New Roman"/>
                <w:color w:val="auto"/>
                <w:sz w:val="24"/>
                <w:szCs w:val="22"/>
              </w:rPr>
              <w:t>）作业前，涉及管道周边动土、受限空间、动火、临时用电等作业时，应办理相关作业票。</w:t>
            </w:r>
          </w:p>
          <w:p w14:paraId="5DC6EA03">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12</w:t>
            </w:r>
            <w:r>
              <w:rPr>
                <w:rFonts w:hint="default" w:ascii="Times New Roman" w:hAnsi="Times New Roman" w:eastAsia="宋体" w:cs="Times New Roman"/>
                <w:color w:val="auto"/>
                <w:sz w:val="24"/>
                <w:szCs w:val="22"/>
              </w:rPr>
              <w:t>）钻孔灌注桩施工时，做好管道沉降位移监测工作，实时监测管道的沉降及水平位移情况。应注意软土层的缩径，粉土、粉砂层的踏空及漏浆问题。施工钻孔时应做好地质层面记录，如发现地质情况与钻孔资料不符，位移变化等异常情况，应立即停止施工。</w:t>
            </w:r>
          </w:p>
          <w:p w14:paraId="1D76D97A">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13</w:t>
            </w:r>
            <w:r>
              <w:rPr>
                <w:rFonts w:hint="default" w:ascii="Times New Roman" w:hAnsi="Times New Roman" w:eastAsia="宋体" w:cs="Times New Roman"/>
                <w:color w:val="auto"/>
                <w:sz w:val="24"/>
                <w:szCs w:val="22"/>
              </w:rPr>
              <w:t>）在工程施工前，加强对施工区域管线的调查工作，对施工区域的天然气管道进行标注，注明管道名称、走向、埋深等。</w:t>
            </w:r>
          </w:p>
          <w:p w14:paraId="243810C5">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14</w:t>
            </w:r>
            <w:r>
              <w:rPr>
                <w:rFonts w:hint="default" w:ascii="Times New Roman" w:hAnsi="Times New Roman" w:eastAsia="宋体" w:cs="Times New Roman"/>
                <w:color w:val="auto"/>
                <w:sz w:val="24"/>
                <w:szCs w:val="22"/>
              </w:rPr>
              <w:t>）施工时，机械设备、运输车辆进场应禁止直接经过管道上方，以免对管道可能产生的损害。管道防护带距离内不得加载，包括堆土及重型机械进入。管道周边严禁停放重车，重型设备。</w:t>
            </w:r>
          </w:p>
          <w:p w14:paraId="0EA7A9D8">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15</w:t>
            </w:r>
            <w:r>
              <w:rPr>
                <w:rFonts w:hint="default" w:ascii="Times New Roman" w:hAnsi="Times New Roman" w:eastAsia="宋体" w:cs="Times New Roman"/>
                <w:color w:val="auto"/>
                <w:sz w:val="24"/>
                <w:szCs w:val="22"/>
              </w:rPr>
              <w:t>）施工前和施工期间要加强对施工人员的安全教育，不得盲目、野蛮施工。</w:t>
            </w:r>
          </w:p>
          <w:p w14:paraId="6EBFCD4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16</w:t>
            </w:r>
            <w:r>
              <w:rPr>
                <w:rFonts w:hint="default" w:ascii="Times New Roman" w:hAnsi="Times New Roman" w:eastAsia="宋体" w:cs="Times New Roman"/>
                <w:color w:val="auto"/>
                <w:sz w:val="24"/>
                <w:szCs w:val="22"/>
              </w:rPr>
              <w:t>）施工前应根据设计文件复查地下、管道的埋设位置及走向，并采取保护措施；必要时进行地质超前探测预报，进一步了解顶管区域地层构造、地下水以及埋地设施状况。</w:t>
            </w:r>
          </w:p>
          <w:p w14:paraId="40C3EF4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17</w:t>
            </w:r>
            <w:r>
              <w:rPr>
                <w:rFonts w:hint="default" w:ascii="Times New Roman" w:hAnsi="Times New Roman" w:eastAsia="宋体" w:cs="Times New Roman"/>
                <w:color w:val="auto"/>
                <w:sz w:val="24"/>
                <w:szCs w:val="22"/>
              </w:rPr>
              <w:t>）施工作业时，应做好防止管道沉降、位移的相关监测措施，出现相关情况时应立即停止作业，并通知管道产权单位，协商确定处理措施。</w:t>
            </w:r>
          </w:p>
          <w:p w14:paraId="4D200069">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18</w:t>
            </w:r>
            <w:r>
              <w:rPr>
                <w:rFonts w:hint="default" w:ascii="Times New Roman" w:hAnsi="Times New Roman" w:eastAsia="宋体" w:cs="Times New Roman"/>
                <w:color w:val="auto"/>
                <w:sz w:val="24"/>
                <w:szCs w:val="22"/>
              </w:rPr>
              <w:t>）基坑开挖过程应设置完善的排水设施，防止基坑积水。基坑边坡设置支护措施，进行分段开挖分段施工，防止基坑坍塌。</w:t>
            </w:r>
          </w:p>
          <w:p w14:paraId="03DEE9C2">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rPr>
            </w:pPr>
            <w:r>
              <w:rPr>
                <w:rFonts w:hint="default" w:ascii="Times New Roman" w:hAnsi="Times New Roman" w:eastAsia="TimesNewRomanPSMT" w:cs="Times New Roman"/>
                <w:color w:val="auto"/>
                <w:sz w:val="24"/>
                <w:szCs w:val="22"/>
              </w:rPr>
              <w:t>19</w:t>
            </w:r>
            <w:r>
              <w:rPr>
                <w:rFonts w:hint="default" w:ascii="Times New Roman" w:hAnsi="Times New Roman" w:eastAsia="宋体" w:cs="Times New Roman"/>
                <w:color w:val="auto"/>
                <w:sz w:val="24"/>
                <w:szCs w:val="22"/>
              </w:rPr>
              <w:t>）施工过程对对裸露及悬空管道、光缆进行保护。</w:t>
            </w:r>
          </w:p>
          <w:p w14:paraId="5B3F2ED8">
            <w:pPr>
              <w:keepNext w:val="0"/>
              <w:keepLines w:val="0"/>
              <w:pageBreakBefore w:val="0"/>
              <w:widowControl/>
              <w:kinsoku/>
              <w:wordWrap/>
              <w:overflowPunct/>
              <w:topLinePunct w:val="0"/>
              <w:autoSpaceDE/>
              <w:autoSpaceDN/>
              <w:bidi w:val="0"/>
              <w:adjustRightInd/>
              <w:snapToGrid/>
              <w:spacing w:beforeLines="0" w:afterLines="0" w:line="360" w:lineRule="auto"/>
              <w:ind w:firstLine="480" w:firstLineChars="200"/>
              <w:jc w:val="left"/>
              <w:textAlignment w:val="auto"/>
              <w:rPr>
                <w:rFonts w:hint="default" w:ascii="Times New Roman" w:hAnsi="Times New Roman" w:eastAsia="宋体" w:cs="Times New Roman"/>
                <w:color w:val="auto"/>
                <w:sz w:val="24"/>
                <w:szCs w:val="22"/>
                <w:lang w:eastAsia="zh-CN"/>
              </w:rPr>
            </w:pPr>
            <w:r>
              <w:rPr>
                <w:rFonts w:hint="default" w:ascii="Times New Roman" w:hAnsi="Times New Roman" w:eastAsia="TimesNewRomanPSMT" w:cs="Times New Roman"/>
                <w:color w:val="auto"/>
                <w:sz w:val="24"/>
                <w:szCs w:val="22"/>
              </w:rPr>
              <w:t>20</w:t>
            </w:r>
            <w:r>
              <w:rPr>
                <w:rFonts w:hint="default" w:ascii="Times New Roman" w:hAnsi="Times New Roman" w:eastAsia="宋体" w:cs="Times New Roman"/>
                <w:color w:val="auto"/>
                <w:sz w:val="24"/>
                <w:szCs w:val="22"/>
              </w:rPr>
              <w:t>）涵洞内进行填实，涵洞两端进行封堵，防止水流入涵洞引起管道悬空冲走填充物。</w:t>
            </w:r>
          </w:p>
          <w:p w14:paraId="69A04DAD">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本项目运营期环境风险来自事故车辆发生漏油。本项目采取以下环境风险防范措施：</w:t>
            </w:r>
          </w:p>
          <w:p w14:paraId="7BFB7D79">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①行驶车辆按规定车速行驶，禁止超速驾驶。</w:t>
            </w:r>
          </w:p>
          <w:p w14:paraId="77B4CD2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val="en-US" w:eastAsia="zh-CN"/>
              </w:rPr>
              <w:t>②</w:t>
            </w:r>
            <w:r>
              <w:rPr>
                <w:rFonts w:hint="default" w:ascii="Times New Roman" w:hAnsi="Times New Roman" w:cs="Times New Roman"/>
                <w:color w:val="auto"/>
                <w:sz w:val="24"/>
                <w:szCs w:val="24"/>
              </w:rPr>
              <w:t>在桥梁前设置“安全驾驶、减速慢行”的警示牌，并标注醒目的事故报警电话。</w:t>
            </w:r>
          </w:p>
          <w:p w14:paraId="79F555B8">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综上所述，本项目发生事故车辆漏油的概率较小，从环境风险角度分析，本项目环境风险可控，各项防范措施从经济技术上可行。</w:t>
            </w:r>
          </w:p>
          <w:p w14:paraId="6CFEBEDB">
            <w:pPr>
              <w:keepNext w:val="0"/>
              <w:keepLines w:val="0"/>
              <w:pageBreakBefore w:val="0"/>
              <w:widowControl w:val="0"/>
              <w:kinsoku/>
              <w:wordWrap/>
              <w:overflowPunct/>
              <w:topLinePunct w:val="0"/>
              <w:autoSpaceDE/>
              <w:autoSpaceDN/>
              <w:bidi w:val="0"/>
              <w:adjustRightInd w:val="0"/>
              <w:snapToGrid w:val="0"/>
              <w:spacing w:line="360" w:lineRule="auto"/>
              <w:ind w:firstLine="522" w:firstLineChars="200"/>
              <w:textAlignment w:val="auto"/>
              <w:rPr>
                <w:rFonts w:hint="default" w:ascii="Times New Roman" w:hAnsi="Times New Roman" w:cs="Times New Roman"/>
                <w:b/>
                <w:color w:val="auto"/>
                <w:spacing w:val="10"/>
                <w:sz w:val="24"/>
                <w:szCs w:val="24"/>
              </w:rPr>
            </w:pPr>
            <w:r>
              <w:rPr>
                <w:rFonts w:hint="default" w:ascii="Times New Roman" w:hAnsi="Times New Roman" w:cs="Times New Roman"/>
                <w:b/>
                <w:color w:val="auto"/>
                <w:spacing w:val="10"/>
                <w:sz w:val="24"/>
                <w:szCs w:val="24"/>
              </w:rPr>
              <w:t>7、环境保护管理</w:t>
            </w:r>
          </w:p>
          <w:p w14:paraId="1BB56EC9">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（1）环境管理机构与责任</w:t>
            </w:r>
          </w:p>
          <w:p w14:paraId="69543BB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明确负责本项目环境保护工作的机构与人员，及早介入并承担起协调解决该项目建设和以后运营所出现的环境问题。施工期建议实施环保监理制度，引入专业的第三方“生态监测（监理）机构”，负责办理和监督由建设单位委任的环保监理事宜，发现问题及时向业主请示处理方案。</w:t>
            </w:r>
          </w:p>
          <w:p w14:paraId="503696C1">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环保管理机构具体职责为：负责制定项目环保工作计划，协调各主管部门及建设单位之间的环境管理工作，负责施工期和运营期环保措施的实施和管理。</w:t>
            </w:r>
          </w:p>
          <w:p w14:paraId="3170AF43">
            <w:pPr>
              <w:keepNext w:val="0"/>
              <w:keepLines w:val="0"/>
              <w:pageBreakBefore w:val="0"/>
              <w:widowControl w:val="0"/>
              <w:kinsoku/>
              <w:wordWrap/>
              <w:overflowPunct/>
              <w:topLinePunct w:val="0"/>
              <w:autoSpaceDE/>
              <w:autoSpaceDN/>
              <w:bidi w:val="0"/>
              <w:spacing w:line="360" w:lineRule="auto"/>
              <w:ind w:firstLine="482" w:firstLineChars="200"/>
              <w:jc w:val="left"/>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（2）施工期环境保护管理措施</w:t>
            </w:r>
          </w:p>
          <w:p w14:paraId="2D053B60">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①监督并执行施工期环境保护措施，保证其有效实施；</w:t>
            </w:r>
          </w:p>
          <w:p w14:paraId="7CDB0D2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②严格落实施工组织计划中的工程防护措施、环保设计和处理设施的建议以及本报告所提出的生态环境保护等措施，一旦出现污染问题和扰民事件，应及时与受影响公众协调解决；</w:t>
            </w:r>
          </w:p>
          <w:p w14:paraId="7EC768E5">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③严格监督施工场地废水收集、处理和回用，确保优先使用沉淀后废水进行洒水抑尘，减少废水排放量；</w:t>
            </w:r>
          </w:p>
          <w:p w14:paraId="5C07CE92">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④加强现场弃方、建筑垃圾堆放和处置管理，防止砂石、水泥等废料</w:t>
            </w:r>
            <w:r>
              <w:rPr>
                <w:rFonts w:hint="default" w:ascii="Times New Roman" w:hAnsi="Times New Roman" w:cs="Times New Roman"/>
                <w:color w:val="auto"/>
                <w:sz w:val="24"/>
                <w:szCs w:val="24"/>
                <w:lang w:val="en-US" w:eastAsia="zh-CN"/>
              </w:rPr>
              <w:t>乱</w:t>
            </w:r>
            <w:r>
              <w:rPr>
                <w:rFonts w:hint="default" w:ascii="Times New Roman" w:hAnsi="Times New Roman" w:cs="Times New Roman"/>
                <w:color w:val="auto"/>
                <w:sz w:val="24"/>
                <w:szCs w:val="24"/>
              </w:rPr>
              <w:t>堆放，确保生活垃圾集中堆放在垃圾点，做到日清日运；</w:t>
            </w:r>
          </w:p>
          <w:p w14:paraId="5F54BC2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⑤控制施工开挖面，以及施工机械的作业范围，保护地表植被和树木，严禁乱占乱堆；</w:t>
            </w:r>
          </w:p>
          <w:p w14:paraId="628B6EAB">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⑥工程施工前必须落实临时排水边沟、沉淀池的修建，监察现场施工机械和车辆是否正常运转；</w:t>
            </w:r>
          </w:p>
          <w:p w14:paraId="2425BA6C">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⑦监督施工车辆运输和装卸过程，杜绝沿途洒落弃方，随意堆弃垃圾，不按指定路线和地点进行弃方和垃圾处置，造成路面污染和扬尘污染。</w:t>
            </w:r>
          </w:p>
          <w:p w14:paraId="2DC10C30">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auto"/>
                <w:sz w:val="24"/>
                <w:szCs w:val="24"/>
              </w:rPr>
            </w:pPr>
            <w:r>
              <w:rPr>
                <w:rFonts w:hint="default" w:ascii="Times New Roman" w:hAnsi="Times New Roman" w:cs="Times New Roman"/>
                <w:b/>
                <w:color w:val="auto"/>
                <w:sz w:val="24"/>
                <w:szCs w:val="24"/>
              </w:rPr>
              <w:t>4、竣工环境保护验收</w:t>
            </w:r>
          </w:p>
          <w:p w14:paraId="7592B2F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按照《建设项目环境保护管理条例》（中华人民共和国国务院令第682号）提出以下竣工验收规定和要求：</w:t>
            </w:r>
          </w:p>
          <w:p w14:paraId="722DD7F4">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①本项目需配套建设的环境保护设施，必须与主体工程同时设计、同时施工、同时投产使用。</w:t>
            </w:r>
          </w:p>
          <w:p w14:paraId="6247E8B7">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②本项目竣工后，建设单位应当按照国务院生态环境行政主管部门规定的标准和程序，对配套建设的环境保护设施进行验收，编制验收报告。建设单位在环境保护设施验收过程中，应当如实查验、监测、记载建设项目环境保护设施的建设和调试情况，不得弄虚作假。</w:t>
            </w:r>
          </w:p>
          <w:p w14:paraId="75175A4A">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③除按照国家规定需要保密的情形外，建设单位应当依法向社会公开验收报告。</w:t>
            </w:r>
          </w:p>
          <w:p w14:paraId="4DC06043">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④本项目及配套建设的环境保护设施经验收合格后，方可投入使用；未经验收或者验收不合格的，不得投入使用。</w:t>
            </w:r>
          </w:p>
          <w:p w14:paraId="699A187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⑤生态环境行政主管部门应当对本项目环境保护设施设计、施工、验收、投入使用情况，以及有关环境影响评价文件确定的其他环境保护措施的落实情况，进行监督检查。</w:t>
            </w:r>
          </w:p>
          <w:p w14:paraId="28B5779F">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rFonts w:hint="default" w:ascii="Times New Roman" w:hAnsi="Times New Roman" w:cs="Times New Roman"/>
                <w:bCs/>
                <w:color w:val="auto"/>
                <w:spacing w:val="10"/>
                <w:szCs w:val="21"/>
              </w:rPr>
            </w:pPr>
            <w:r>
              <w:rPr>
                <w:rFonts w:hint="default" w:ascii="Times New Roman" w:hAnsi="Times New Roman" w:cs="Times New Roman"/>
                <w:color w:val="auto"/>
                <w:sz w:val="24"/>
                <w:szCs w:val="24"/>
              </w:rPr>
              <w:t>工程竣工后，建设单位应自主或委托相关的单位对工程采取的环境保护措施和工程投入运行后造成的新的环境影响问题进行调查，并编制竣工环境保护验收监测表。竣工验收内容可参照后文：六、生态环境保护措施监督检查清单。</w:t>
            </w:r>
          </w:p>
        </w:tc>
      </w:tr>
      <w:tr w14:paraId="7D7ED4F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4" w:hRule="atLeast"/>
          <w:jc w:val="center"/>
        </w:trPr>
        <w:tc>
          <w:tcPr>
            <w:tcW w:w="735" w:type="dxa"/>
            <w:vAlign w:val="center"/>
          </w:tcPr>
          <w:p w14:paraId="61B965D7">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zCs w:val="21"/>
              </w:rPr>
              <w:t>其他</w:t>
            </w:r>
          </w:p>
        </w:tc>
        <w:tc>
          <w:tcPr>
            <w:tcW w:w="8264" w:type="dxa"/>
            <w:vAlign w:val="center"/>
          </w:tcPr>
          <w:p w14:paraId="5E8B6CC4">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1、社会环境影响分析</w:t>
            </w:r>
          </w:p>
          <w:p w14:paraId="704AE6D8">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（1）施工期</w:t>
            </w:r>
          </w:p>
          <w:p w14:paraId="3F03DF0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本项目施工期的社会影响主要表现在对区域经济发展的影响、交通影响等几个方面。</w:t>
            </w:r>
          </w:p>
          <w:p w14:paraId="76B3150B">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①</w:t>
            </w:r>
            <w:r>
              <w:rPr>
                <w:rFonts w:hint="default" w:ascii="Times New Roman" w:hAnsi="Times New Roman" w:cs="Times New Roman"/>
                <w:b/>
                <w:bCs/>
                <w:color w:val="auto"/>
                <w:sz w:val="24"/>
                <w:szCs w:val="32"/>
              </w:rPr>
              <w:t>对区域经济发展的影响</w:t>
            </w:r>
          </w:p>
          <w:p w14:paraId="173F0FB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本项目对区域经济的影响主要表现为有利影响：</w:t>
            </w:r>
          </w:p>
          <w:p w14:paraId="08C8215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该道路的建设需要大量的劳动者，可吸收当地农村富余劳动力，增加当地的就业机会，从而在一定程度上增加当地居民的收入；</w:t>
            </w:r>
          </w:p>
          <w:p w14:paraId="6740E05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施工期间所需物料将就近采购，这有利于利用道路投资采购拉动当地工业经济的发展。</w:t>
            </w:r>
          </w:p>
          <w:p w14:paraId="1C03AA2F">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lang w:val="en-US" w:eastAsia="zh-CN"/>
              </w:rPr>
              <w:t>②</w:t>
            </w:r>
            <w:r>
              <w:rPr>
                <w:rFonts w:hint="default" w:ascii="Times New Roman" w:hAnsi="Times New Roman" w:cs="Times New Roman"/>
                <w:b/>
                <w:bCs/>
                <w:color w:val="auto"/>
                <w:sz w:val="24"/>
                <w:szCs w:val="32"/>
              </w:rPr>
              <w:t>交通影响</w:t>
            </w:r>
          </w:p>
          <w:p w14:paraId="66D6B1A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由于道路的施工，增加了其它道路的交通压力，过往行人的安全系数将降低。本项目在施工期间为避免道路交通堵塞，拟采取如下措施：</w:t>
            </w:r>
          </w:p>
          <w:p w14:paraId="43D69B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施工前通过媒体等发布通告，建议途径此段的社会车辆尽量考虑其他通过方案，并提供路线长度、路况及相关的信息；做好醒目的警示警告标志及防护设施等安保工程。</w:t>
            </w:r>
          </w:p>
          <w:p w14:paraId="2807DB39">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eastAsia="zh-CN"/>
              </w:rPr>
            </w:pPr>
            <w:r>
              <w:rPr>
                <w:rFonts w:hint="default" w:ascii="Times New Roman" w:hAnsi="Times New Roman" w:cs="Times New Roman"/>
                <w:b/>
                <w:bCs/>
                <w:color w:val="auto"/>
                <w:sz w:val="24"/>
                <w:szCs w:val="32"/>
              </w:rPr>
              <w:t>（2）营运期</w:t>
            </w:r>
          </w:p>
          <w:p w14:paraId="6723DDEC">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①对交通运输和社会经济的影响</w:t>
            </w:r>
          </w:p>
          <w:p w14:paraId="1B53746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lang w:eastAsia="zh-CN"/>
              </w:rPr>
            </w:pPr>
            <w:r>
              <w:rPr>
                <w:rFonts w:hint="default" w:ascii="Times New Roman" w:hAnsi="Times New Roman" w:cs="Times New Roman"/>
                <w:color w:val="auto"/>
                <w:sz w:val="24"/>
                <w:szCs w:val="32"/>
              </w:rPr>
              <w:t>本项目位于宣汉县境内，途径</w:t>
            </w:r>
            <w:r>
              <w:rPr>
                <w:rFonts w:hint="default" w:ascii="Times New Roman" w:hAnsi="Times New Roman" w:cs="Times New Roman"/>
                <w:color w:val="auto"/>
                <w:sz w:val="24"/>
                <w:szCs w:val="32"/>
                <w:lang w:val="en-US" w:eastAsia="zh-CN"/>
              </w:rPr>
              <w:t>杏树村</w:t>
            </w:r>
            <w:r>
              <w:rPr>
                <w:rFonts w:hint="default" w:ascii="Times New Roman" w:hAnsi="Times New Roman" w:cs="Times New Roman"/>
                <w:color w:val="auto"/>
                <w:sz w:val="24"/>
                <w:szCs w:val="32"/>
              </w:rPr>
              <w:t>，实施本项目可以提高区域交通能力，交通安全性；加强与外界的交通联系，促进地区经济发展，提高当地人民的生活水平。</w:t>
            </w:r>
          </w:p>
          <w:p w14:paraId="358E6F42">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cs="Times New Roman"/>
                <w:b/>
                <w:bCs/>
                <w:color w:val="auto"/>
                <w:sz w:val="24"/>
                <w:szCs w:val="32"/>
              </w:rPr>
            </w:pPr>
            <w:r>
              <w:rPr>
                <w:rFonts w:hint="default" w:ascii="Times New Roman" w:hAnsi="Times New Roman" w:cs="Times New Roman"/>
                <w:b/>
                <w:bCs/>
                <w:color w:val="auto"/>
                <w:sz w:val="24"/>
                <w:szCs w:val="32"/>
              </w:rPr>
              <w:t>②对居民生活质量的影响</w:t>
            </w:r>
          </w:p>
          <w:p w14:paraId="15331E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公路的建设和投入营运，将使得区域内的交通更加便捷，加快了贸易流通，将带动沿线诸多行业的兴起和发展，不仅会吸收当地剩余劳动力，也将有力地促进当地人民收入水平的显著提高。完善的交通网络还使得当地居民的出行更加方便。</w:t>
            </w:r>
          </w:p>
          <w:p w14:paraId="1A6D1590">
            <w:pPr>
              <w:keepNext w:val="0"/>
              <w:keepLines w:val="0"/>
              <w:pageBreakBefore w:val="0"/>
              <w:widowControl w:val="0"/>
              <w:kinsoku/>
              <w:wordWrap/>
              <w:overflowPunct/>
              <w:topLinePunct w:val="0"/>
              <w:autoSpaceDE/>
              <w:autoSpaceDN/>
              <w:bidi w:val="0"/>
              <w:adjustRightInd/>
              <w:snapToGrid/>
              <w:spacing w:line="360" w:lineRule="auto"/>
              <w:ind w:firstLine="482" w:firstLineChars="200"/>
              <w:jc w:val="left"/>
              <w:textAlignment w:val="auto"/>
              <w:rPr>
                <w:rFonts w:hint="default" w:ascii="Times New Roman" w:hAnsi="Times New Roman" w:eastAsia="宋体" w:cs="Times New Roman"/>
                <w:b/>
                <w:bCs/>
                <w:color w:val="auto"/>
                <w:sz w:val="24"/>
                <w:szCs w:val="32"/>
                <w:lang w:eastAsia="zh-CN"/>
              </w:rPr>
            </w:pPr>
            <w:r>
              <w:rPr>
                <w:rFonts w:hint="default" w:ascii="Times New Roman" w:hAnsi="Times New Roman" w:cs="Times New Roman"/>
                <w:b/>
                <w:bCs/>
                <w:color w:val="auto"/>
                <w:sz w:val="24"/>
                <w:szCs w:val="32"/>
              </w:rPr>
              <w:t>2、施工期人群健康影响及措施</w:t>
            </w:r>
          </w:p>
          <w:p w14:paraId="78461E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32"/>
              </w:rPr>
            </w:pPr>
            <w:r>
              <w:rPr>
                <w:rFonts w:hint="default" w:ascii="Times New Roman" w:hAnsi="Times New Roman" w:cs="Times New Roman"/>
                <w:color w:val="auto"/>
                <w:sz w:val="24"/>
                <w:szCs w:val="32"/>
              </w:rPr>
              <w:t>①对施工场地进行了全面的清理和消毒。</w:t>
            </w:r>
          </w:p>
          <w:p w14:paraId="0DF87EC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Cs/>
                <w:color w:val="auto"/>
                <w:spacing w:val="10"/>
                <w:szCs w:val="21"/>
              </w:rPr>
            </w:pPr>
            <w:r>
              <w:rPr>
                <w:rFonts w:hint="default" w:ascii="Times New Roman" w:hAnsi="Times New Roman" w:cs="Times New Roman"/>
                <w:color w:val="auto"/>
                <w:sz w:val="24"/>
                <w:szCs w:val="32"/>
              </w:rPr>
              <w:t>②要求施工人员佩戴安全帽、佩戴口罩，噪声强度大的施工作业佩戴耳塞等劳保设施。</w:t>
            </w:r>
          </w:p>
        </w:tc>
      </w:tr>
      <w:tr w14:paraId="3B4801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233" w:hRule="atLeast"/>
          <w:jc w:val="center"/>
        </w:trPr>
        <w:tc>
          <w:tcPr>
            <w:tcW w:w="735" w:type="dxa"/>
            <w:vAlign w:val="center"/>
          </w:tcPr>
          <w:p w14:paraId="27CE6397">
            <w:pPr>
              <w:adjustRightInd w:val="0"/>
              <w:snapToGrid w:val="0"/>
              <w:jc w:val="center"/>
              <w:rPr>
                <w:rFonts w:hint="default" w:ascii="Times New Roman" w:hAnsi="Times New Roman" w:cs="Times New Roman"/>
                <w:bCs/>
                <w:color w:val="auto"/>
                <w:spacing w:val="10"/>
                <w:szCs w:val="21"/>
              </w:rPr>
            </w:pPr>
            <w:r>
              <w:rPr>
                <w:rFonts w:hint="default" w:ascii="Times New Roman" w:hAnsi="Times New Roman" w:cs="Times New Roman"/>
                <w:bCs/>
                <w:color w:val="auto"/>
                <w:szCs w:val="21"/>
              </w:rPr>
              <w:t>环保投资</w:t>
            </w:r>
          </w:p>
        </w:tc>
        <w:tc>
          <w:tcPr>
            <w:tcW w:w="8264" w:type="dxa"/>
          </w:tcPr>
          <w:p w14:paraId="3E444C47">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sz w:val="24"/>
                <w:szCs w:val="32"/>
              </w:rPr>
            </w:pPr>
            <w:r>
              <w:rPr>
                <w:rFonts w:hint="default" w:ascii="Times New Roman" w:hAnsi="Times New Roman" w:eastAsia="宋体" w:cs="Times New Roman"/>
                <w:color w:val="auto"/>
                <w:sz w:val="24"/>
                <w:szCs w:val="32"/>
              </w:rPr>
              <w:t>本项目总投资14712.3万元，其中环保投资为</w:t>
            </w:r>
            <w:r>
              <w:rPr>
                <w:rFonts w:hint="default" w:ascii="Times New Roman" w:hAnsi="Times New Roman" w:cs="Times New Roman"/>
                <w:color w:val="auto"/>
                <w:sz w:val="24"/>
                <w:szCs w:val="32"/>
                <w:lang w:val="en-US" w:eastAsia="zh-CN"/>
              </w:rPr>
              <w:t>194</w:t>
            </w:r>
            <w:r>
              <w:rPr>
                <w:rFonts w:hint="default" w:ascii="Times New Roman" w:hAnsi="Times New Roman" w:eastAsia="宋体" w:cs="Times New Roman"/>
                <w:color w:val="auto"/>
                <w:sz w:val="24"/>
                <w:szCs w:val="32"/>
              </w:rPr>
              <w:t>万元，占总投资的</w:t>
            </w:r>
            <w:r>
              <w:rPr>
                <w:rFonts w:hint="default" w:ascii="Times New Roman" w:hAnsi="Times New Roman" w:eastAsia="宋体" w:cs="Times New Roman"/>
                <w:color w:val="auto"/>
                <w:sz w:val="24"/>
                <w:szCs w:val="32"/>
                <w:lang w:val="en-US" w:eastAsia="zh-CN"/>
              </w:rPr>
              <w:t>1.3</w:t>
            </w:r>
            <w:r>
              <w:rPr>
                <w:rFonts w:hint="default" w:ascii="Times New Roman" w:hAnsi="Times New Roman" w:cs="Times New Roman"/>
                <w:color w:val="auto"/>
                <w:sz w:val="24"/>
                <w:szCs w:val="32"/>
                <w:lang w:val="en-US" w:eastAsia="zh-CN"/>
              </w:rPr>
              <w:t>2</w:t>
            </w:r>
            <w:r>
              <w:rPr>
                <w:rFonts w:hint="default" w:ascii="Times New Roman" w:hAnsi="Times New Roman" w:eastAsia="宋体" w:cs="Times New Roman"/>
                <w:color w:val="auto"/>
                <w:sz w:val="24"/>
                <w:szCs w:val="32"/>
              </w:rPr>
              <w:t>%。具体环保措施及投资见下表。</w:t>
            </w:r>
          </w:p>
          <w:p w14:paraId="02B00C96">
            <w:pPr>
              <w:adjustRightInd w:val="0"/>
              <w:snapToGrid w:val="0"/>
              <w:spacing w:line="460" w:lineRule="exact"/>
              <w:jc w:val="center"/>
              <w:rPr>
                <w:rFonts w:hint="default" w:ascii="Times New Roman" w:hAnsi="Times New Roman" w:cs="Times New Roman"/>
                <w:b/>
                <w:color w:val="auto"/>
                <w:spacing w:val="10"/>
                <w:szCs w:val="21"/>
              </w:rPr>
            </w:pPr>
            <w:r>
              <w:rPr>
                <w:rFonts w:hint="default" w:ascii="Times New Roman" w:hAnsi="Times New Roman" w:cs="Times New Roman"/>
                <w:b/>
                <w:color w:val="auto"/>
                <w:spacing w:val="10"/>
                <w:szCs w:val="21"/>
              </w:rPr>
              <w:t>表5-1</w:t>
            </w:r>
            <w:r>
              <w:rPr>
                <w:rFonts w:hint="default" w:ascii="Times New Roman" w:hAnsi="Times New Roman" w:cs="Times New Roman"/>
                <w:b/>
                <w:color w:val="auto"/>
                <w:spacing w:val="10"/>
                <w:szCs w:val="21"/>
                <w:lang w:val="en-US" w:eastAsia="zh-CN"/>
              </w:rPr>
              <w:t xml:space="preserve"> </w:t>
            </w:r>
            <w:r>
              <w:rPr>
                <w:rFonts w:hint="default" w:ascii="Times New Roman" w:hAnsi="Times New Roman" w:cs="Times New Roman"/>
                <w:b/>
                <w:color w:val="auto"/>
                <w:spacing w:val="10"/>
                <w:szCs w:val="21"/>
              </w:rPr>
              <w:t>环境保护投资估算表</w:t>
            </w:r>
          </w:p>
          <w:tbl>
            <w:tblPr>
              <w:tblStyle w:val="24"/>
              <w:tblW w:w="5000" w:type="pct"/>
              <w:tblInd w:w="1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23"/>
              <w:gridCol w:w="749"/>
              <w:gridCol w:w="5744"/>
              <w:gridCol w:w="1022"/>
            </w:tblGrid>
            <w:tr w14:paraId="4769B6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Align w:val="center"/>
                </w:tcPr>
                <w:p w14:paraId="577A6AB5">
                  <w:pPr>
                    <w:adjustRightInd w:val="0"/>
                    <w:snapToGrid w:val="0"/>
                    <w:jc w:val="center"/>
                    <w:rPr>
                      <w:rFonts w:hint="default" w:ascii="Times New Roman" w:hAnsi="Times New Roman" w:cs="Times New Roman"/>
                      <w:b/>
                      <w:color w:val="auto"/>
                      <w:spacing w:val="10"/>
                      <w:sz w:val="21"/>
                      <w:szCs w:val="21"/>
                    </w:rPr>
                  </w:pPr>
                  <w:r>
                    <w:rPr>
                      <w:rFonts w:hint="default" w:ascii="Times New Roman" w:hAnsi="Times New Roman" w:cs="Times New Roman"/>
                      <w:b/>
                      <w:color w:val="auto"/>
                      <w:spacing w:val="10"/>
                      <w:sz w:val="21"/>
                      <w:szCs w:val="21"/>
                    </w:rPr>
                    <w:t>项目</w:t>
                  </w:r>
                </w:p>
              </w:tc>
              <w:tc>
                <w:tcPr>
                  <w:tcW w:w="6493" w:type="dxa"/>
                  <w:gridSpan w:val="2"/>
                  <w:vAlign w:val="center"/>
                </w:tcPr>
                <w:p w14:paraId="375AA4AA">
                  <w:pPr>
                    <w:adjustRightInd w:val="0"/>
                    <w:snapToGrid w:val="0"/>
                    <w:jc w:val="center"/>
                    <w:rPr>
                      <w:rFonts w:hint="default" w:ascii="Times New Roman" w:hAnsi="Times New Roman" w:cs="Times New Roman"/>
                      <w:b/>
                      <w:color w:val="auto"/>
                      <w:spacing w:val="10"/>
                      <w:sz w:val="21"/>
                      <w:szCs w:val="21"/>
                    </w:rPr>
                  </w:pPr>
                  <w:r>
                    <w:rPr>
                      <w:rFonts w:hint="default" w:ascii="Times New Roman" w:hAnsi="Times New Roman" w:cs="Times New Roman"/>
                      <w:b/>
                      <w:color w:val="auto"/>
                      <w:spacing w:val="10"/>
                      <w:sz w:val="21"/>
                      <w:szCs w:val="21"/>
                    </w:rPr>
                    <w:t>措施内容</w:t>
                  </w:r>
                </w:p>
              </w:tc>
              <w:tc>
                <w:tcPr>
                  <w:tcW w:w="1022" w:type="dxa"/>
                  <w:vAlign w:val="center"/>
                </w:tcPr>
                <w:p w14:paraId="5F9A4926">
                  <w:pPr>
                    <w:adjustRightInd w:val="0"/>
                    <w:snapToGrid w:val="0"/>
                    <w:jc w:val="center"/>
                    <w:rPr>
                      <w:rFonts w:hint="default" w:ascii="Times New Roman" w:hAnsi="Times New Roman" w:cs="Times New Roman"/>
                      <w:b/>
                      <w:color w:val="auto"/>
                      <w:spacing w:val="10"/>
                      <w:sz w:val="21"/>
                      <w:szCs w:val="21"/>
                    </w:rPr>
                  </w:pPr>
                  <w:r>
                    <w:rPr>
                      <w:rFonts w:hint="default" w:ascii="Times New Roman" w:hAnsi="Times New Roman" w:cs="Times New Roman"/>
                      <w:b/>
                      <w:color w:val="auto"/>
                      <w:spacing w:val="10"/>
                      <w:sz w:val="21"/>
                      <w:szCs w:val="21"/>
                    </w:rPr>
                    <w:t>投资</w:t>
                  </w:r>
                </w:p>
                <w:p w14:paraId="0AB54044">
                  <w:pPr>
                    <w:adjustRightInd w:val="0"/>
                    <w:snapToGrid w:val="0"/>
                    <w:jc w:val="center"/>
                    <w:rPr>
                      <w:rFonts w:hint="default" w:ascii="Times New Roman" w:hAnsi="Times New Roman" w:cs="Times New Roman"/>
                      <w:b/>
                      <w:color w:val="auto"/>
                      <w:spacing w:val="10"/>
                      <w:sz w:val="21"/>
                      <w:szCs w:val="21"/>
                    </w:rPr>
                  </w:pPr>
                  <w:r>
                    <w:rPr>
                      <w:rFonts w:hint="default" w:ascii="Times New Roman" w:hAnsi="Times New Roman" w:cs="Times New Roman"/>
                      <w:b/>
                      <w:color w:val="auto"/>
                      <w:spacing w:val="10"/>
                      <w:sz w:val="21"/>
                      <w:szCs w:val="21"/>
                    </w:rPr>
                    <w:t>（万元）</w:t>
                  </w:r>
                </w:p>
              </w:tc>
            </w:tr>
            <w:tr w14:paraId="701D5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0937E487">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废气治理</w:t>
                  </w:r>
                </w:p>
              </w:tc>
              <w:tc>
                <w:tcPr>
                  <w:tcW w:w="749" w:type="dxa"/>
                  <w:vMerge w:val="restart"/>
                  <w:vAlign w:val="center"/>
                </w:tcPr>
                <w:p w14:paraId="23FCF03D">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52F69884">
                  <w:pPr>
                    <w:widowControl/>
                    <w:jc w:val="left"/>
                    <w:rPr>
                      <w:rFonts w:hint="default" w:ascii="Times New Roman" w:hAnsi="Times New Roman" w:cs="Times New Roman"/>
                      <w:bCs/>
                      <w:color w:val="auto"/>
                      <w:spacing w:val="10"/>
                      <w:sz w:val="21"/>
                      <w:szCs w:val="21"/>
                    </w:rPr>
                  </w:pPr>
                  <w:r>
                    <w:rPr>
                      <w:rFonts w:hint="default" w:ascii="Times New Roman" w:hAnsi="Times New Roman" w:cs="Times New Roman"/>
                      <w:color w:val="auto"/>
                      <w:kern w:val="0"/>
                      <w:sz w:val="21"/>
                      <w:szCs w:val="21"/>
                      <w:lang w:bidi="ar"/>
                    </w:rPr>
                    <w:t>施工现场经过居民</w:t>
                  </w:r>
                  <w:r>
                    <w:rPr>
                      <w:rFonts w:hint="eastAsia" w:cs="Times New Roman"/>
                      <w:color w:val="auto"/>
                      <w:kern w:val="0"/>
                      <w:sz w:val="21"/>
                      <w:szCs w:val="21"/>
                      <w:lang w:eastAsia="zh-CN" w:bidi="ar"/>
                    </w:rPr>
                    <w:t>集聚区</w:t>
                  </w:r>
                  <w:r>
                    <w:rPr>
                      <w:rFonts w:hint="default" w:ascii="Times New Roman" w:hAnsi="Times New Roman" w:cs="Times New Roman"/>
                      <w:color w:val="auto"/>
                      <w:kern w:val="0"/>
                      <w:sz w:val="21"/>
                      <w:szCs w:val="21"/>
                      <w:lang w:bidi="ar"/>
                    </w:rPr>
                    <w:t>时采取必要的遮挡、围护等措施，施工场地进出口硬化、设置冲洗平台等措施</w:t>
                  </w:r>
                </w:p>
              </w:tc>
              <w:tc>
                <w:tcPr>
                  <w:tcW w:w="1022" w:type="dxa"/>
                  <w:vAlign w:val="center"/>
                </w:tcPr>
                <w:p w14:paraId="189F7AE8">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lang w:val="en-US" w:eastAsia="zh-CN"/>
                    </w:rPr>
                    <w:t>20</w:t>
                  </w:r>
                </w:p>
              </w:tc>
            </w:tr>
            <w:tr w14:paraId="3C3798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748271BF">
                  <w:pPr>
                    <w:adjustRightInd w:val="0"/>
                    <w:snapToGrid w:val="0"/>
                    <w:jc w:val="center"/>
                    <w:rPr>
                      <w:rFonts w:hint="default" w:ascii="Times New Roman" w:hAnsi="Times New Roman" w:cs="Times New Roman"/>
                      <w:bCs/>
                      <w:color w:val="auto"/>
                      <w:spacing w:val="10"/>
                      <w:sz w:val="21"/>
                      <w:szCs w:val="21"/>
                    </w:rPr>
                  </w:pPr>
                </w:p>
              </w:tc>
              <w:tc>
                <w:tcPr>
                  <w:tcW w:w="749" w:type="dxa"/>
                  <w:vMerge w:val="continue"/>
                  <w:vAlign w:val="center"/>
                </w:tcPr>
                <w:p w14:paraId="04ACCD9C">
                  <w:pPr>
                    <w:adjustRightInd w:val="0"/>
                    <w:snapToGrid w:val="0"/>
                    <w:jc w:val="center"/>
                    <w:rPr>
                      <w:rFonts w:hint="default" w:ascii="Times New Roman" w:hAnsi="Times New Roman" w:cs="Times New Roman"/>
                      <w:bCs/>
                      <w:color w:val="auto"/>
                      <w:spacing w:val="10"/>
                      <w:sz w:val="21"/>
                      <w:szCs w:val="21"/>
                    </w:rPr>
                  </w:pPr>
                </w:p>
              </w:tc>
              <w:tc>
                <w:tcPr>
                  <w:tcW w:w="5744" w:type="dxa"/>
                  <w:vAlign w:val="center"/>
                </w:tcPr>
                <w:p w14:paraId="72EF23B0">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施工现场、施工场地每天1~2次洒水降尘；建筑垃圾、弃方运输禁止冒顶装载和洒漏；对临时堆场采取防起尘、遮盖措施</w:t>
                  </w:r>
                </w:p>
              </w:tc>
              <w:tc>
                <w:tcPr>
                  <w:tcW w:w="1022" w:type="dxa"/>
                  <w:vAlign w:val="center"/>
                </w:tcPr>
                <w:p w14:paraId="1A58A372">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10</w:t>
                  </w:r>
                </w:p>
              </w:tc>
            </w:tr>
            <w:tr w14:paraId="1B6250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2CD55514">
                  <w:pPr>
                    <w:adjustRightInd w:val="0"/>
                    <w:snapToGrid w:val="0"/>
                    <w:jc w:val="center"/>
                    <w:rPr>
                      <w:rFonts w:hint="default" w:ascii="Times New Roman" w:hAnsi="Times New Roman" w:cs="Times New Roman"/>
                      <w:bCs/>
                      <w:color w:val="auto"/>
                      <w:spacing w:val="10"/>
                      <w:sz w:val="21"/>
                      <w:szCs w:val="21"/>
                    </w:rPr>
                  </w:pPr>
                </w:p>
              </w:tc>
              <w:tc>
                <w:tcPr>
                  <w:tcW w:w="749" w:type="dxa"/>
                  <w:vMerge w:val="continue"/>
                  <w:vAlign w:val="center"/>
                </w:tcPr>
                <w:p w14:paraId="64B47B9A">
                  <w:pPr>
                    <w:adjustRightInd w:val="0"/>
                    <w:snapToGrid w:val="0"/>
                    <w:jc w:val="center"/>
                    <w:rPr>
                      <w:rFonts w:hint="default" w:ascii="Times New Roman" w:hAnsi="Times New Roman" w:cs="Times New Roman"/>
                      <w:bCs/>
                      <w:color w:val="auto"/>
                      <w:spacing w:val="10"/>
                      <w:sz w:val="21"/>
                      <w:szCs w:val="21"/>
                    </w:rPr>
                  </w:pPr>
                </w:p>
              </w:tc>
              <w:tc>
                <w:tcPr>
                  <w:tcW w:w="5744" w:type="dxa"/>
                  <w:vAlign w:val="center"/>
                </w:tcPr>
                <w:p w14:paraId="5C08F416">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采用商品沥青，密封运输，集中铺设，缩短作业时间，施工人员佩戴劳保防护设施</w:t>
                  </w:r>
                </w:p>
              </w:tc>
              <w:tc>
                <w:tcPr>
                  <w:tcW w:w="1022" w:type="dxa"/>
                  <w:vAlign w:val="center"/>
                </w:tcPr>
                <w:p w14:paraId="60B92C16">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5</w:t>
                  </w:r>
                </w:p>
              </w:tc>
            </w:tr>
            <w:tr w14:paraId="14A2AC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2E96BCE6">
                  <w:pPr>
                    <w:adjustRightInd w:val="0"/>
                    <w:snapToGrid w:val="0"/>
                    <w:jc w:val="center"/>
                    <w:rPr>
                      <w:rFonts w:hint="default" w:ascii="Times New Roman" w:hAnsi="Times New Roman" w:cs="Times New Roman"/>
                      <w:bCs/>
                      <w:color w:val="auto"/>
                      <w:spacing w:val="10"/>
                      <w:sz w:val="21"/>
                      <w:szCs w:val="21"/>
                    </w:rPr>
                  </w:pPr>
                </w:p>
              </w:tc>
              <w:tc>
                <w:tcPr>
                  <w:tcW w:w="749" w:type="dxa"/>
                  <w:vMerge w:val="continue"/>
                  <w:vAlign w:val="center"/>
                </w:tcPr>
                <w:p w14:paraId="63A905E3">
                  <w:pPr>
                    <w:adjustRightInd w:val="0"/>
                    <w:snapToGrid w:val="0"/>
                    <w:jc w:val="center"/>
                    <w:rPr>
                      <w:rFonts w:hint="default" w:ascii="Times New Roman" w:hAnsi="Times New Roman" w:cs="Times New Roman"/>
                      <w:bCs/>
                      <w:color w:val="auto"/>
                      <w:spacing w:val="10"/>
                      <w:sz w:val="21"/>
                      <w:szCs w:val="21"/>
                    </w:rPr>
                  </w:pPr>
                </w:p>
              </w:tc>
              <w:tc>
                <w:tcPr>
                  <w:tcW w:w="5744" w:type="dxa"/>
                  <w:vAlign w:val="center"/>
                </w:tcPr>
                <w:p w14:paraId="01EE7470">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钢筋加工棚内焊接废气配套移动式烟气净化设施后排放</w:t>
                  </w:r>
                </w:p>
              </w:tc>
              <w:tc>
                <w:tcPr>
                  <w:tcW w:w="1022" w:type="dxa"/>
                  <w:vAlign w:val="center"/>
                </w:tcPr>
                <w:p w14:paraId="445256AB">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5</w:t>
                  </w:r>
                </w:p>
              </w:tc>
            </w:tr>
            <w:tr w14:paraId="3BD12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115FDFB4">
                  <w:pPr>
                    <w:adjustRightInd w:val="0"/>
                    <w:snapToGrid w:val="0"/>
                    <w:jc w:val="center"/>
                    <w:rPr>
                      <w:rFonts w:hint="default" w:ascii="Times New Roman" w:hAnsi="Times New Roman" w:cs="Times New Roman"/>
                      <w:bCs/>
                      <w:color w:val="auto"/>
                      <w:spacing w:val="10"/>
                      <w:sz w:val="21"/>
                      <w:szCs w:val="21"/>
                    </w:rPr>
                  </w:pPr>
                </w:p>
              </w:tc>
              <w:tc>
                <w:tcPr>
                  <w:tcW w:w="749" w:type="dxa"/>
                  <w:vAlign w:val="center"/>
                </w:tcPr>
                <w:p w14:paraId="5D6E61CB">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50134B83">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加强交通管理，限制汽车尾气超标车辆上路，定期洒水、清扫</w:t>
                  </w:r>
                </w:p>
              </w:tc>
              <w:tc>
                <w:tcPr>
                  <w:tcW w:w="1022" w:type="dxa"/>
                  <w:vAlign w:val="center"/>
                </w:tcPr>
                <w:p w14:paraId="594D2C82">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5</w:t>
                  </w:r>
                </w:p>
              </w:tc>
            </w:tr>
            <w:tr w14:paraId="7E011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71B47315">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废水治理</w:t>
                  </w:r>
                </w:p>
              </w:tc>
              <w:tc>
                <w:tcPr>
                  <w:tcW w:w="749" w:type="dxa"/>
                  <w:vMerge w:val="restart"/>
                  <w:vAlign w:val="center"/>
                </w:tcPr>
                <w:p w14:paraId="496A7F11">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7E8174C0">
                  <w:pPr>
                    <w:widowControl/>
                    <w:jc w:val="left"/>
                    <w:rPr>
                      <w:rFonts w:hint="default" w:ascii="Times New Roman" w:hAnsi="Times New Roman" w:cs="Times New Roman"/>
                      <w:bCs/>
                      <w:color w:val="auto"/>
                      <w:spacing w:val="10"/>
                      <w:sz w:val="21"/>
                      <w:szCs w:val="21"/>
                    </w:rPr>
                  </w:pPr>
                  <w:r>
                    <w:rPr>
                      <w:rFonts w:hint="default" w:ascii="Times New Roman" w:hAnsi="Times New Roman" w:cs="Times New Roman"/>
                      <w:color w:val="auto"/>
                      <w:kern w:val="0"/>
                      <w:sz w:val="21"/>
                      <w:szCs w:val="21"/>
                      <w:lang w:bidi="ar"/>
                    </w:rPr>
                    <w:t>施工废水经隔油、沉淀池预处理后回用</w:t>
                  </w:r>
                </w:p>
              </w:tc>
              <w:tc>
                <w:tcPr>
                  <w:tcW w:w="1022" w:type="dxa"/>
                  <w:vAlign w:val="center"/>
                </w:tcPr>
                <w:p w14:paraId="6B8F135D">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15</w:t>
                  </w:r>
                </w:p>
              </w:tc>
            </w:tr>
            <w:tr w14:paraId="2C500F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2C8206EC">
                  <w:pPr>
                    <w:adjustRightInd w:val="0"/>
                    <w:snapToGrid w:val="0"/>
                    <w:jc w:val="center"/>
                    <w:rPr>
                      <w:rFonts w:hint="default" w:ascii="Times New Roman" w:hAnsi="Times New Roman" w:cs="Times New Roman"/>
                      <w:bCs/>
                      <w:color w:val="auto"/>
                      <w:spacing w:val="10"/>
                      <w:sz w:val="21"/>
                      <w:szCs w:val="21"/>
                    </w:rPr>
                  </w:pPr>
                </w:p>
              </w:tc>
              <w:tc>
                <w:tcPr>
                  <w:tcW w:w="749" w:type="dxa"/>
                  <w:vMerge w:val="continue"/>
                  <w:vAlign w:val="center"/>
                </w:tcPr>
                <w:p w14:paraId="720CB51E">
                  <w:pPr>
                    <w:adjustRightInd w:val="0"/>
                    <w:snapToGrid w:val="0"/>
                    <w:jc w:val="center"/>
                    <w:rPr>
                      <w:rFonts w:hint="default" w:ascii="Times New Roman" w:hAnsi="Times New Roman" w:cs="Times New Roman"/>
                      <w:bCs/>
                      <w:color w:val="auto"/>
                      <w:spacing w:val="10"/>
                      <w:sz w:val="21"/>
                      <w:szCs w:val="21"/>
                    </w:rPr>
                  </w:pPr>
                </w:p>
              </w:tc>
              <w:tc>
                <w:tcPr>
                  <w:tcW w:w="5744" w:type="dxa"/>
                  <w:vAlign w:val="center"/>
                </w:tcPr>
                <w:p w14:paraId="0FCDBA6A">
                  <w:pPr>
                    <w:adjustRightInd w:val="0"/>
                    <w:snapToGrid w:val="0"/>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生活污水由预处理池收集后，定期拉运至周边污水处理厂，不外排</w:t>
                  </w:r>
                </w:p>
              </w:tc>
              <w:tc>
                <w:tcPr>
                  <w:tcW w:w="1022" w:type="dxa"/>
                  <w:vAlign w:val="center"/>
                </w:tcPr>
                <w:p w14:paraId="0988B458">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2</w:t>
                  </w:r>
                </w:p>
              </w:tc>
            </w:tr>
            <w:tr w14:paraId="16BC84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09D53930">
                  <w:pPr>
                    <w:adjustRightInd w:val="0"/>
                    <w:snapToGrid w:val="0"/>
                    <w:jc w:val="center"/>
                    <w:rPr>
                      <w:rFonts w:hint="default" w:ascii="Times New Roman" w:hAnsi="Times New Roman" w:cs="Times New Roman"/>
                      <w:bCs/>
                      <w:color w:val="auto"/>
                      <w:spacing w:val="10"/>
                      <w:sz w:val="21"/>
                      <w:szCs w:val="21"/>
                    </w:rPr>
                  </w:pPr>
                </w:p>
              </w:tc>
              <w:tc>
                <w:tcPr>
                  <w:tcW w:w="749" w:type="dxa"/>
                  <w:vMerge w:val="continue"/>
                  <w:vAlign w:val="center"/>
                </w:tcPr>
                <w:p w14:paraId="7DA96A91">
                  <w:pPr>
                    <w:adjustRightInd w:val="0"/>
                    <w:snapToGrid w:val="0"/>
                    <w:jc w:val="center"/>
                    <w:rPr>
                      <w:rFonts w:hint="default" w:ascii="Times New Roman" w:hAnsi="Times New Roman" w:cs="Times New Roman"/>
                      <w:bCs/>
                      <w:color w:val="auto"/>
                      <w:spacing w:val="10"/>
                      <w:sz w:val="21"/>
                      <w:szCs w:val="21"/>
                    </w:rPr>
                  </w:pPr>
                </w:p>
              </w:tc>
              <w:tc>
                <w:tcPr>
                  <w:tcW w:w="5744" w:type="dxa"/>
                  <w:vAlign w:val="center"/>
                </w:tcPr>
                <w:p w14:paraId="7B3F6BCE">
                  <w:pPr>
                    <w:adjustRightInd w:val="0"/>
                    <w:snapToGrid w:val="0"/>
                    <w:rPr>
                      <w:rFonts w:hint="default" w:ascii="Times New Roman" w:hAnsi="Times New Roman" w:cs="Times New Roman"/>
                      <w:bCs/>
                      <w:color w:val="auto"/>
                      <w:spacing w:val="10"/>
                      <w:sz w:val="21"/>
                      <w:szCs w:val="21"/>
                      <w:highlight w:val="yellow"/>
                    </w:rPr>
                  </w:pPr>
                  <w:r>
                    <w:rPr>
                      <w:rFonts w:hint="default" w:ascii="Times New Roman" w:hAnsi="Times New Roman" w:cs="Times New Roman"/>
                      <w:color w:val="auto"/>
                      <w:sz w:val="21"/>
                      <w:szCs w:val="21"/>
                    </w:rPr>
                    <w:t>初期雨水经沉淀处理后回用于场地洒水</w:t>
                  </w:r>
                </w:p>
              </w:tc>
              <w:tc>
                <w:tcPr>
                  <w:tcW w:w="1022" w:type="dxa"/>
                  <w:vAlign w:val="center"/>
                </w:tcPr>
                <w:p w14:paraId="6B5125F5">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10</w:t>
                  </w:r>
                </w:p>
              </w:tc>
            </w:tr>
            <w:tr w14:paraId="6331D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011EC86D">
                  <w:pPr>
                    <w:adjustRightInd w:val="0"/>
                    <w:snapToGrid w:val="0"/>
                    <w:jc w:val="center"/>
                    <w:rPr>
                      <w:rFonts w:hint="default" w:ascii="Times New Roman" w:hAnsi="Times New Roman" w:cs="Times New Roman"/>
                      <w:bCs/>
                      <w:color w:val="auto"/>
                      <w:spacing w:val="10"/>
                      <w:sz w:val="21"/>
                      <w:szCs w:val="21"/>
                    </w:rPr>
                  </w:pPr>
                </w:p>
              </w:tc>
              <w:tc>
                <w:tcPr>
                  <w:tcW w:w="749" w:type="dxa"/>
                  <w:vAlign w:val="center"/>
                </w:tcPr>
                <w:p w14:paraId="4DD4E585">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0C3B5F9A">
                  <w:pPr>
                    <w:adjustRightInd w:val="0"/>
                    <w:snapToGrid w:val="0"/>
                    <w:rPr>
                      <w:rFonts w:hint="default" w:ascii="Times New Roman" w:hAnsi="Times New Roman" w:cs="Times New Roman"/>
                      <w:bCs/>
                      <w:color w:val="auto"/>
                      <w:spacing w:val="10"/>
                      <w:sz w:val="21"/>
                      <w:szCs w:val="21"/>
                    </w:rPr>
                  </w:pPr>
                  <w:r>
                    <w:rPr>
                      <w:rFonts w:hint="default" w:ascii="Times New Roman" w:hAnsi="Times New Roman" w:cs="Times New Roman"/>
                      <w:color w:val="auto"/>
                      <w:sz w:val="21"/>
                      <w:szCs w:val="21"/>
                    </w:rPr>
                    <w:t>路面雨水通过公路两侧排水沟收集后排放至周边河沟</w:t>
                  </w:r>
                </w:p>
              </w:tc>
              <w:tc>
                <w:tcPr>
                  <w:tcW w:w="1022" w:type="dxa"/>
                  <w:vAlign w:val="center"/>
                </w:tcPr>
                <w:p w14:paraId="77F3CC61">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计入主体投资</w:t>
                  </w:r>
                </w:p>
              </w:tc>
            </w:tr>
            <w:tr w14:paraId="62AB0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4F4DA5E6">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噪声防治</w:t>
                  </w:r>
                </w:p>
              </w:tc>
              <w:tc>
                <w:tcPr>
                  <w:tcW w:w="749" w:type="dxa"/>
                  <w:vAlign w:val="center"/>
                </w:tcPr>
                <w:p w14:paraId="124D5DEE">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638B3E62">
                  <w:pPr>
                    <w:adjustRightInd w:val="0"/>
                    <w:snapToGrid w:val="0"/>
                    <w:rPr>
                      <w:rFonts w:hint="default" w:ascii="Times New Roman" w:hAnsi="Times New Roman" w:cs="Times New Roman"/>
                      <w:bCs/>
                      <w:color w:val="auto"/>
                      <w:spacing w:val="10"/>
                      <w:sz w:val="21"/>
                      <w:szCs w:val="21"/>
                    </w:rPr>
                  </w:pPr>
                  <w:r>
                    <w:rPr>
                      <w:rFonts w:hint="default" w:ascii="Times New Roman" w:hAnsi="Times New Roman" w:cs="Times New Roman"/>
                      <w:color w:val="auto"/>
                      <w:sz w:val="21"/>
                      <w:szCs w:val="21"/>
                    </w:rPr>
                    <w:t>采用低噪声机具、合理布局、设置围挡、交通警示牌、减速带等；施工人员配备防护用具（耳塞等）</w:t>
                  </w:r>
                </w:p>
              </w:tc>
              <w:tc>
                <w:tcPr>
                  <w:tcW w:w="1022" w:type="dxa"/>
                  <w:vAlign w:val="center"/>
                </w:tcPr>
                <w:p w14:paraId="478B235C">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20</w:t>
                  </w:r>
                </w:p>
              </w:tc>
            </w:tr>
            <w:tr w14:paraId="7047A0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0F2CE13E">
                  <w:pPr>
                    <w:adjustRightInd w:val="0"/>
                    <w:snapToGrid w:val="0"/>
                    <w:jc w:val="center"/>
                    <w:rPr>
                      <w:rFonts w:hint="default" w:ascii="Times New Roman" w:hAnsi="Times New Roman" w:cs="Times New Roman"/>
                      <w:bCs/>
                      <w:color w:val="auto"/>
                      <w:spacing w:val="10"/>
                      <w:sz w:val="21"/>
                      <w:szCs w:val="21"/>
                    </w:rPr>
                  </w:pPr>
                </w:p>
              </w:tc>
              <w:tc>
                <w:tcPr>
                  <w:tcW w:w="749" w:type="dxa"/>
                  <w:vAlign w:val="center"/>
                </w:tcPr>
                <w:p w14:paraId="200E7422">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058DBFD0">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建议采用降噪沥青材料、限制车速、设置减速带、警示牌等措施降噪</w:t>
                  </w:r>
                </w:p>
              </w:tc>
              <w:tc>
                <w:tcPr>
                  <w:tcW w:w="1022" w:type="dxa"/>
                  <w:vAlign w:val="center"/>
                </w:tcPr>
                <w:p w14:paraId="5ACD4A97">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计入主体投资</w:t>
                  </w:r>
                </w:p>
              </w:tc>
            </w:tr>
            <w:tr w14:paraId="30787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428AAB2D">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固体废物</w:t>
                  </w:r>
                </w:p>
              </w:tc>
              <w:tc>
                <w:tcPr>
                  <w:tcW w:w="749" w:type="dxa"/>
                  <w:vAlign w:val="center"/>
                </w:tcPr>
                <w:p w14:paraId="71C5350D">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20280614">
                  <w:pPr>
                    <w:adjustRightInd w:val="0"/>
                    <w:snapToGrid w:val="0"/>
                    <w:rPr>
                      <w:rFonts w:hint="default" w:ascii="Times New Roman" w:hAnsi="Times New Roman" w:cs="Times New Roman"/>
                      <w:bCs/>
                      <w:color w:val="auto"/>
                      <w:spacing w:val="10"/>
                      <w:sz w:val="21"/>
                      <w:szCs w:val="21"/>
                    </w:rPr>
                  </w:pPr>
                  <w:r>
                    <w:rPr>
                      <w:rFonts w:hint="default" w:ascii="Times New Roman" w:hAnsi="Times New Roman" w:cs="Times New Roman"/>
                      <w:color w:val="auto"/>
                      <w:sz w:val="21"/>
                      <w:szCs w:val="21"/>
                    </w:rPr>
                    <w:t>建筑垃圾（破损混凝土）运至</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处弃土场集中堆放；本项目弃方运至规划的</w:t>
                  </w:r>
                  <w:r>
                    <w:rPr>
                      <w:rFonts w:hint="default"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rPr>
                    <w:t>处弃土场集中堆放；生活垃圾由环卫部门定期清运；桥梁基础施工产生的钻渣和污泥、废水处理产生的污泥晾干后运至弃土场；废机油交由有资质单位妥善处置；废焊条、焊渣经收集后卖至废品回收站</w:t>
                  </w:r>
                </w:p>
              </w:tc>
              <w:tc>
                <w:tcPr>
                  <w:tcW w:w="1022" w:type="dxa"/>
                  <w:vAlign w:val="center"/>
                </w:tcPr>
                <w:p w14:paraId="4F6BAF75">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20</w:t>
                  </w:r>
                </w:p>
              </w:tc>
            </w:tr>
            <w:tr w14:paraId="136A7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2C30A445">
                  <w:pPr>
                    <w:adjustRightInd w:val="0"/>
                    <w:snapToGrid w:val="0"/>
                    <w:jc w:val="center"/>
                    <w:rPr>
                      <w:rFonts w:hint="default" w:ascii="Times New Roman" w:hAnsi="Times New Roman" w:cs="Times New Roman"/>
                      <w:bCs/>
                      <w:color w:val="auto"/>
                      <w:spacing w:val="10"/>
                      <w:sz w:val="21"/>
                      <w:szCs w:val="21"/>
                    </w:rPr>
                  </w:pPr>
                </w:p>
              </w:tc>
              <w:tc>
                <w:tcPr>
                  <w:tcW w:w="749" w:type="dxa"/>
                  <w:vAlign w:val="center"/>
                </w:tcPr>
                <w:p w14:paraId="255D8CA0">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2A455684">
                  <w:pPr>
                    <w:adjustRightInd w:val="0"/>
                    <w:snapToGrid w:val="0"/>
                    <w:rPr>
                      <w:rFonts w:hint="default" w:ascii="Times New Roman" w:hAnsi="Times New Roman" w:cs="Times New Roman"/>
                      <w:bCs/>
                      <w:color w:val="auto"/>
                      <w:spacing w:val="10"/>
                      <w:sz w:val="21"/>
                      <w:szCs w:val="21"/>
                    </w:rPr>
                  </w:pPr>
                  <w:r>
                    <w:rPr>
                      <w:rFonts w:hint="default" w:ascii="Times New Roman" w:hAnsi="Times New Roman" w:cs="Times New Roman"/>
                      <w:color w:val="auto"/>
                      <w:sz w:val="21"/>
                      <w:szCs w:val="21"/>
                    </w:rPr>
                    <w:t>路面垃圾由公路养护部门定期进行清理</w:t>
                  </w:r>
                </w:p>
              </w:tc>
              <w:tc>
                <w:tcPr>
                  <w:tcW w:w="1022" w:type="dxa"/>
                  <w:vAlign w:val="center"/>
                </w:tcPr>
                <w:p w14:paraId="10469CE2">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5</w:t>
                  </w:r>
                </w:p>
              </w:tc>
            </w:tr>
            <w:tr w14:paraId="01E08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34E1EB51">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生态环境保护</w:t>
                  </w:r>
                </w:p>
              </w:tc>
              <w:tc>
                <w:tcPr>
                  <w:tcW w:w="749" w:type="dxa"/>
                  <w:vAlign w:val="center"/>
                </w:tcPr>
                <w:p w14:paraId="046FE3BA">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0F68D3E3">
                  <w:pPr>
                    <w:widowControl/>
                    <w:jc w:val="left"/>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尽可能少占用耕地、林地等，临时工程施工结束后及时复垦、植被恢复；加强施工管理，严格控制施工范围，对施工人员进行教育培训；加强弃土场等临时工程水土流失防治等；</w:t>
                  </w:r>
                </w:p>
              </w:tc>
              <w:tc>
                <w:tcPr>
                  <w:tcW w:w="1022" w:type="dxa"/>
                  <w:vAlign w:val="center"/>
                </w:tcPr>
                <w:p w14:paraId="71F46629">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50</w:t>
                  </w:r>
                </w:p>
              </w:tc>
            </w:tr>
            <w:tr w14:paraId="7B634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42A16CDD">
                  <w:pPr>
                    <w:adjustRightInd w:val="0"/>
                    <w:snapToGrid w:val="0"/>
                    <w:jc w:val="center"/>
                    <w:rPr>
                      <w:rFonts w:hint="default" w:ascii="Times New Roman" w:hAnsi="Times New Roman" w:cs="Times New Roman"/>
                      <w:bCs/>
                      <w:color w:val="auto"/>
                      <w:spacing w:val="10"/>
                      <w:sz w:val="21"/>
                      <w:szCs w:val="21"/>
                    </w:rPr>
                  </w:pPr>
                </w:p>
              </w:tc>
              <w:tc>
                <w:tcPr>
                  <w:tcW w:w="749" w:type="dxa"/>
                  <w:vAlign w:val="center"/>
                </w:tcPr>
                <w:p w14:paraId="5410CC5A">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3C63602B">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路堤、路堑设置拱形骨架、挡土墙、护肩、路堑墙、菱形骨架、喷播植草、挂铁丝网喷有机基材植草等边坡防护工程，边坡种植灌木、植草、播撒草籽等绿化</w:t>
                  </w:r>
                </w:p>
              </w:tc>
              <w:tc>
                <w:tcPr>
                  <w:tcW w:w="1022" w:type="dxa"/>
                  <w:vAlign w:val="center"/>
                </w:tcPr>
                <w:p w14:paraId="0CBC3530">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计入主体投资</w:t>
                  </w:r>
                </w:p>
              </w:tc>
            </w:tr>
            <w:tr w14:paraId="0706E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11F9FE24">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环境风险</w:t>
                  </w:r>
                </w:p>
              </w:tc>
              <w:tc>
                <w:tcPr>
                  <w:tcW w:w="749" w:type="dxa"/>
                  <w:vAlign w:val="center"/>
                </w:tcPr>
                <w:p w14:paraId="7D01ABDD">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14407F4B">
                  <w:pPr>
                    <w:adjustRightInd w:val="0"/>
                    <w:snapToGrid w:val="0"/>
                    <w:rPr>
                      <w:rFonts w:hint="eastAsia"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rPr>
                    <w:t>油品现用现购；施工机械设备日常管理和保养；施工废水和泥浆处理设施设备日常巡检和保养；弃土场坍塌风险：严格执行“先拦后弃”的原则，弃土堆放前必须在弃土场坡脚修建挡墙，并在弃土场的周边修建截、排水沟，严格控制弃土场的堆土高度和坡面坡率；弃土场迹地恢复：施工结束后，对土体顶面进行土地整治，并对土体坡面和顶部进行复耕；建立环境风险管理制度，场地内预备</w:t>
                  </w:r>
                  <w:r>
                    <w:rPr>
                      <w:rFonts w:hint="eastAsia" w:cs="Times New Roman"/>
                      <w:color w:val="auto"/>
                      <w:sz w:val="21"/>
                      <w:szCs w:val="21"/>
                      <w:lang w:eastAsia="zh-CN"/>
                    </w:rPr>
                    <w:t>应急物资</w:t>
                  </w:r>
                </w:p>
              </w:tc>
              <w:tc>
                <w:tcPr>
                  <w:tcW w:w="1022" w:type="dxa"/>
                  <w:vAlign w:val="center"/>
                </w:tcPr>
                <w:p w14:paraId="7B131F84">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15</w:t>
                  </w:r>
                </w:p>
              </w:tc>
            </w:tr>
            <w:tr w14:paraId="1A2F21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5C436EC8">
                  <w:pPr>
                    <w:adjustRightInd w:val="0"/>
                    <w:snapToGrid w:val="0"/>
                    <w:jc w:val="center"/>
                    <w:rPr>
                      <w:rFonts w:hint="default" w:ascii="Times New Roman" w:hAnsi="Times New Roman" w:cs="Times New Roman"/>
                      <w:color w:val="auto"/>
                      <w:sz w:val="21"/>
                      <w:szCs w:val="21"/>
                    </w:rPr>
                  </w:pPr>
                </w:p>
              </w:tc>
              <w:tc>
                <w:tcPr>
                  <w:tcW w:w="749" w:type="dxa"/>
                  <w:vAlign w:val="center"/>
                </w:tcPr>
                <w:p w14:paraId="3DE2D67E">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3A1FC982">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严禁超速；桥梁设置防撞墩、桥头设置警示牌；制定应急预案</w:t>
                  </w:r>
                </w:p>
              </w:tc>
              <w:tc>
                <w:tcPr>
                  <w:tcW w:w="1022" w:type="dxa"/>
                  <w:vAlign w:val="center"/>
                </w:tcPr>
                <w:p w14:paraId="707B35E7">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计入主体投资</w:t>
                  </w:r>
                </w:p>
              </w:tc>
            </w:tr>
            <w:tr w14:paraId="07268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restart"/>
                  <w:vAlign w:val="center"/>
                </w:tcPr>
                <w:p w14:paraId="61E7B459">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环境管理</w:t>
                  </w:r>
                </w:p>
              </w:tc>
              <w:tc>
                <w:tcPr>
                  <w:tcW w:w="749" w:type="dxa"/>
                  <w:vAlign w:val="center"/>
                </w:tcPr>
                <w:p w14:paraId="5C7A7387">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施工期</w:t>
                  </w:r>
                </w:p>
              </w:tc>
              <w:tc>
                <w:tcPr>
                  <w:tcW w:w="5744" w:type="dxa"/>
                  <w:vAlign w:val="center"/>
                </w:tcPr>
                <w:p w14:paraId="41FF0C36">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环境监理、环境管理等</w:t>
                  </w:r>
                </w:p>
              </w:tc>
              <w:tc>
                <w:tcPr>
                  <w:tcW w:w="1022" w:type="dxa"/>
                  <w:vAlign w:val="center"/>
                </w:tcPr>
                <w:p w14:paraId="5FA804CA">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10</w:t>
                  </w:r>
                </w:p>
              </w:tc>
            </w:tr>
            <w:tr w14:paraId="126703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523" w:type="dxa"/>
                  <w:vMerge w:val="continue"/>
                  <w:vAlign w:val="center"/>
                </w:tcPr>
                <w:p w14:paraId="48744AAB">
                  <w:pPr>
                    <w:adjustRightInd w:val="0"/>
                    <w:snapToGrid w:val="0"/>
                    <w:jc w:val="center"/>
                    <w:rPr>
                      <w:rFonts w:hint="default" w:ascii="Times New Roman" w:hAnsi="Times New Roman" w:cs="Times New Roman"/>
                      <w:color w:val="auto"/>
                      <w:sz w:val="21"/>
                      <w:szCs w:val="21"/>
                    </w:rPr>
                  </w:pPr>
                </w:p>
              </w:tc>
              <w:tc>
                <w:tcPr>
                  <w:tcW w:w="749" w:type="dxa"/>
                  <w:vAlign w:val="center"/>
                </w:tcPr>
                <w:p w14:paraId="1E0FEA49">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运营期</w:t>
                  </w:r>
                </w:p>
              </w:tc>
              <w:tc>
                <w:tcPr>
                  <w:tcW w:w="5744" w:type="dxa"/>
                  <w:vAlign w:val="center"/>
                </w:tcPr>
                <w:p w14:paraId="08EAFCF7">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制定相关管理制度等</w:t>
                  </w:r>
                </w:p>
              </w:tc>
              <w:tc>
                <w:tcPr>
                  <w:tcW w:w="1022" w:type="dxa"/>
                  <w:vAlign w:val="center"/>
                </w:tcPr>
                <w:p w14:paraId="1AC11ADE">
                  <w:pPr>
                    <w:adjustRightInd w:val="0"/>
                    <w:snapToGrid w:val="0"/>
                    <w:jc w:val="center"/>
                    <w:rPr>
                      <w:rFonts w:hint="default" w:ascii="Times New Roman" w:hAnsi="Times New Roman" w:eastAsia="宋体" w:cs="Times New Roman"/>
                      <w:bCs/>
                      <w:color w:val="auto"/>
                      <w:spacing w:val="10"/>
                      <w:sz w:val="21"/>
                      <w:szCs w:val="21"/>
                      <w:lang w:eastAsia="zh-CN"/>
                    </w:rPr>
                  </w:pPr>
                  <w:r>
                    <w:rPr>
                      <w:rFonts w:hint="default" w:ascii="Times New Roman" w:hAnsi="Times New Roman" w:cs="Times New Roman"/>
                      <w:bCs/>
                      <w:color w:val="auto"/>
                      <w:spacing w:val="10"/>
                      <w:sz w:val="21"/>
                      <w:szCs w:val="21"/>
                      <w:lang w:val="en-US" w:eastAsia="zh-CN"/>
                    </w:rPr>
                    <w:t>2</w:t>
                  </w:r>
                </w:p>
              </w:tc>
            </w:tr>
            <w:tr w14:paraId="195C6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7016" w:type="dxa"/>
                  <w:gridSpan w:val="3"/>
                  <w:vAlign w:val="center"/>
                </w:tcPr>
                <w:p w14:paraId="6FFF3279">
                  <w:pPr>
                    <w:adjustRightInd w:val="0"/>
                    <w:snapToGrid w:val="0"/>
                    <w:jc w:val="center"/>
                    <w:rPr>
                      <w:rFonts w:hint="default" w:ascii="Times New Roman" w:hAnsi="Times New Roman" w:cs="Times New Roman"/>
                      <w:bCs/>
                      <w:color w:val="auto"/>
                      <w:spacing w:val="10"/>
                      <w:sz w:val="21"/>
                      <w:szCs w:val="21"/>
                    </w:rPr>
                  </w:pPr>
                  <w:r>
                    <w:rPr>
                      <w:rFonts w:hint="default" w:ascii="Times New Roman" w:hAnsi="Times New Roman" w:cs="Times New Roman"/>
                      <w:bCs/>
                      <w:color w:val="auto"/>
                      <w:spacing w:val="10"/>
                      <w:sz w:val="21"/>
                      <w:szCs w:val="21"/>
                    </w:rPr>
                    <w:t>合计</w:t>
                  </w:r>
                </w:p>
              </w:tc>
              <w:tc>
                <w:tcPr>
                  <w:tcW w:w="1022" w:type="dxa"/>
                  <w:vAlign w:val="center"/>
                </w:tcPr>
                <w:p w14:paraId="538E92A9">
                  <w:pPr>
                    <w:adjustRightInd w:val="0"/>
                    <w:snapToGrid w:val="0"/>
                    <w:jc w:val="center"/>
                    <w:rPr>
                      <w:rFonts w:hint="default" w:ascii="Times New Roman" w:hAnsi="Times New Roman" w:eastAsia="宋体" w:cs="Times New Roman"/>
                      <w:bCs/>
                      <w:color w:val="auto"/>
                      <w:spacing w:val="10"/>
                      <w:sz w:val="21"/>
                      <w:szCs w:val="21"/>
                      <w:lang w:val="en-US" w:eastAsia="zh-CN"/>
                    </w:rPr>
                  </w:pPr>
                  <w:r>
                    <w:rPr>
                      <w:rFonts w:hint="default" w:ascii="Times New Roman" w:hAnsi="Times New Roman" w:cs="Times New Roman"/>
                      <w:bCs/>
                      <w:color w:val="auto"/>
                      <w:spacing w:val="10"/>
                      <w:sz w:val="21"/>
                      <w:szCs w:val="21"/>
                      <w:lang w:val="en-US" w:eastAsia="zh-CN"/>
                    </w:rPr>
                    <w:t>194</w:t>
                  </w:r>
                </w:p>
              </w:tc>
            </w:tr>
          </w:tbl>
          <w:p w14:paraId="2356CB6C">
            <w:pPr>
              <w:pStyle w:val="7"/>
              <w:rPr>
                <w:rFonts w:hint="default" w:ascii="Times New Roman" w:hAnsi="Times New Roman" w:cs="Times New Roman"/>
                <w:color w:val="auto"/>
              </w:rPr>
            </w:pPr>
          </w:p>
        </w:tc>
      </w:tr>
    </w:tbl>
    <w:p w14:paraId="319CFEFA">
      <w:pPr>
        <w:rPr>
          <w:rFonts w:hint="default" w:ascii="Times New Roman" w:hAnsi="Times New Roman" w:cs="Times New Roman"/>
          <w:color w:val="auto"/>
        </w:rPr>
        <w:sectPr>
          <w:pgSz w:w="11907" w:h="16840"/>
          <w:pgMar w:top="1440" w:right="1797" w:bottom="1440" w:left="1797" w:header="851" w:footer="1077" w:gutter="0"/>
          <w:pgNumType w:fmt="decimal"/>
          <w:cols w:space="720" w:num="1"/>
          <w:docGrid w:linePitch="312" w:charSpace="0"/>
        </w:sectPr>
      </w:pPr>
    </w:p>
    <w:p w14:paraId="7D28D4CB">
      <w:pPr>
        <w:pStyle w:val="20"/>
        <w:jc w:val="center"/>
        <w:outlineLvl w:val="0"/>
        <w:rPr>
          <w:rFonts w:hint="default" w:ascii="Times New Roman" w:hAnsi="Times New Roman" w:eastAsia="黑体" w:cs="Times New Roman"/>
          <w:snapToGrid w:val="0"/>
          <w:color w:val="auto"/>
          <w:sz w:val="30"/>
          <w:szCs w:val="30"/>
        </w:rPr>
      </w:pPr>
      <w:bookmarkStart w:id="15" w:name="_Toc31531"/>
      <w:r>
        <w:rPr>
          <w:rFonts w:hint="default" w:ascii="Times New Roman" w:hAnsi="Times New Roman" w:eastAsia="黑体" w:cs="Times New Roman"/>
          <w:snapToGrid w:val="0"/>
          <w:color w:val="auto"/>
          <w:sz w:val="30"/>
          <w:szCs w:val="30"/>
        </w:rPr>
        <w:t>六、</w:t>
      </w:r>
      <w:bookmarkStart w:id="16" w:name="_Hlk54167917"/>
      <w:r>
        <w:rPr>
          <w:rFonts w:hint="default" w:ascii="Times New Roman" w:hAnsi="Times New Roman" w:eastAsia="黑体" w:cs="Times New Roman"/>
          <w:snapToGrid w:val="0"/>
          <w:color w:val="auto"/>
          <w:sz w:val="30"/>
          <w:szCs w:val="30"/>
        </w:rPr>
        <w:t>生态环境保护措施监督检查清单</w:t>
      </w:r>
      <w:bookmarkEnd w:id="15"/>
      <w:bookmarkEnd w:id="16"/>
    </w:p>
    <w:tbl>
      <w:tblPr>
        <w:tblStyle w:val="23"/>
        <w:tblW w:w="907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48"/>
        <w:gridCol w:w="3417"/>
        <w:gridCol w:w="1237"/>
        <w:gridCol w:w="2304"/>
        <w:gridCol w:w="1265"/>
      </w:tblGrid>
      <w:tr w14:paraId="7A1FF4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454" w:hRule="atLeast"/>
          <w:tblHeader/>
          <w:jc w:val="center"/>
        </w:trPr>
        <w:tc>
          <w:tcPr>
            <w:tcW w:w="823" w:type="dxa"/>
            <w:vMerge w:val="restart"/>
            <w:tcBorders>
              <w:tl2br w:val="single" w:color="auto" w:sz="4" w:space="0"/>
            </w:tcBorders>
          </w:tcPr>
          <w:p w14:paraId="7F5F1995">
            <w:pPr>
              <w:keepNext w:val="0"/>
              <w:keepLines w:val="0"/>
              <w:pageBreakBefore w:val="0"/>
              <w:kinsoku/>
              <w:wordWrap/>
              <w:overflowPunct/>
              <w:topLinePunct w:val="0"/>
              <w:autoSpaceDE/>
              <w:autoSpaceDN/>
              <w:bidi w:val="0"/>
              <w:adjustRightInd w:val="0"/>
              <w:snapToGrid w:val="0"/>
              <w:ind w:firstLine="241" w:firstLineChars="10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内容</w:t>
            </w:r>
          </w:p>
          <w:p w14:paraId="56EA7694">
            <w:pPr>
              <w:keepNext w:val="0"/>
              <w:keepLines w:val="0"/>
              <w:pageBreakBefore w:val="0"/>
              <w:kinsoku/>
              <w:wordWrap/>
              <w:overflowPunct/>
              <w:topLinePunct w:val="0"/>
              <w:autoSpaceDE/>
              <w:autoSpaceDN/>
              <w:bidi w:val="0"/>
              <w:adjustRightInd w:val="0"/>
              <w:snapToGrid w:val="0"/>
              <w:ind w:firstLine="241" w:firstLineChars="100"/>
              <w:textAlignment w:val="auto"/>
              <w:rPr>
                <w:rFonts w:hint="default" w:ascii="Times New Roman" w:hAnsi="Times New Roman" w:cs="Times New Roman"/>
                <w:b/>
                <w:bCs/>
                <w:color w:val="auto"/>
                <w:sz w:val="24"/>
                <w:szCs w:val="24"/>
              </w:rPr>
            </w:pPr>
          </w:p>
          <w:p w14:paraId="2DFE0E62">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要素</w:t>
            </w:r>
          </w:p>
        </w:tc>
        <w:tc>
          <w:tcPr>
            <w:tcW w:w="4515" w:type="dxa"/>
            <w:gridSpan w:val="2"/>
            <w:vAlign w:val="center"/>
          </w:tcPr>
          <w:p w14:paraId="386D1C0B">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施工期</w:t>
            </w:r>
          </w:p>
        </w:tc>
        <w:tc>
          <w:tcPr>
            <w:tcW w:w="3462" w:type="dxa"/>
            <w:gridSpan w:val="2"/>
            <w:vAlign w:val="center"/>
          </w:tcPr>
          <w:p w14:paraId="7AB5470F">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运营期</w:t>
            </w:r>
          </w:p>
        </w:tc>
      </w:tr>
      <w:tr w14:paraId="0FF709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tblHeader/>
          <w:jc w:val="center"/>
        </w:trPr>
        <w:tc>
          <w:tcPr>
            <w:tcW w:w="823" w:type="dxa"/>
            <w:vMerge w:val="continue"/>
            <w:vAlign w:val="center"/>
          </w:tcPr>
          <w:p w14:paraId="6CABC6C3">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p>
        </w:tc>
        <w:tc>
          <w:tcPr>
            <w:tcW w:w="3315" w:type="dxa"/>
            <w:vAlign w:val="center"/>
          </w:tcPr>
          <w:p w14:paraId="23095FD3">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环境保护措施</w:t>
            </w:r>
          </w:p>
        </w:tc>
        <w:tc>
          <w:tcPr>
            <w:tcW w:w="1200" w:type="dxa"/>
            <w:vAlign w:val="center"/>
          </w:tcPr>
          <w:p w14:paraId="217FA28F">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验收要求</w:t>
            </w:r>
          </w:p>
        </w:tc>
        <w:tc>
          <w:tcPr>
            <w:tcW w:w="2235" w:type="dxa"/>
            <w:vAlign w:val="center"/>
          </w:tcPr>
          <w:p w14:paraId="0E138413">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环境保护措施</w:t>
            </w:r>
          </w:p>
        </w:tc>
        <w:tc>
          <w:tcPr>
            <w:tcW w:w="1227" w:type="dxa"/>
            <w:vAlign w:val="center"/>
          </w:tcPr>
          <w:p w14:paraId="000AD026">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验收要求</w:t>
            </w:r>
          </w:p>
        </w:tc>
      </w:tr>
      <w:tr w14:paraId="77B068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0DD74CBD">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陆生</w:t>
            </w:r>
          </w:p>
          <w:p w14:paraId="5B7D17C6">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生态</w:t>
            </w:r>
          </w:p>
        </w:tc>
        <w:tc>
          <w:tcPr>
            <w:tcW w:w="3315" w:type="dxa"/>
            <w:vAlign w:val="center"/>
          </w:tcPr>
          <w:p w14:paraId="3A2BC5EA">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种施工活动严格控制在施工作业区域内；弃土场严格执行“先拦后弃”的原则，弃土堆放前必须在弃土场坡脚修建挡墙，并在弃土场的周边修建截、排水沟，严格控制弃土场的堆土高度和坡面坡率，施工结束后，对土体顶面进行土地整治，并对土体坡面和顶部进行复耕；施工临时占地在竣工后尽快采取迹地恢复和绿化措施；路堤、路堑设置拱形骨架、挡土墙、护肩、路堑墙、菱形骨架、喷播植草、挂铁丝网喷有机基材植草等边坡防护工程，边坡种植灌木、植草、播撒草籽等绿化</w:t>
            </w:r>
          </w:p>
        </w:tc>
        <w:tc>
          <w:tcPr>
            <w:tcW w:w="1200" w:type="dxa"/>
            <w:vAlign w:val="center"/>
          </w:tcPr>
          <w:p w14:paraId="09BAF4D1">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生态保护措施落实情况；场地及周边占地恢复情况</w:t>
            </w:r>
          </w:p>
        </w:tc>
        <w:tc>
          <w:tcPr>
            <w:tcW w:w="2235" w:type="dxa"/>
            <w:vAlign w:val="center"/>
          </w:tcPr>
          <w:p w14:paraId="4A5AC679">
            <w:pPr>
              <w:keepNext w:val="0"/>
              <w:keepLines w:val="0"/>
              <w:pageBreakBefore w:val="0"/>
              <w:kinsoku/>
              <w:wordWrap/>
              <w:overflowPunct/>
              <w:topLinePunct w:val="0"/>
              <w:autoSpaceDE/>
              <w:autoSpaceDN/>
              <w:bidi w:val="0"/>
              <w:ind w:firstLine="0" w:firstLineChars="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路堤、路堑设置拱形骨架、挡土墙、护肩、路堑墙、菱形骨架、喷播植草、挂铁丝网喷有机基材植草等边坡防护工程</w:t>
            </w:r>
          </w:p>
        </w:tc>
        <w:tc>
          <w:tcPr>
            <w:tcW w:w="1227" w:type="dxa"/>
            <w:vAlign w:val="center"/>
          </w:tcPr>
          <w:p w14:paraId="61F111C7">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保证边坡防护工程有效实施</w:t>
            </w:r>
          </w:p>
        </w:tc>
      </w:tr>
      <w:tr w14:paraId="26ACF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33C7763D">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水生</w:t>
            </w:r>
          </w:p>
          <w:p w14:paraId="01269447">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生态</w:t>
            </w:r>
          </w:p>
        </w:tc>
        <w:tc>
          <w:tcPr>
            <w:tcW w:w="3315" w:type="dxa"/>
            <w:vAlign w:val="center"/>
          </w:tcPr>
          <w:p w14:paraId="241ABC70">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val="en-US" w:eastAsia="zh-CN"/>
              </w:rPr>
              <w:t>/</w:t>
            </w:r>
          </w:p>
        </w:tc>
        <w:tc>
          <w:tcPr>
            <w:tcW w:w="1200" w:type="dxa"/>
            <w:vAlign w:val="center"/>
          </w:tcPr>
          <w:p w14:paraId="5DBAD0C7">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val="en-US" w:eastAsia="zh-CN"/>
              </w:rPr>
              <w:t>/</w:t>
            </w:r>
          </w:p>
        </w:tc>
        <w:tc>
          <w:tcPr>
            <w:tcW w:w="2235" w:type="dxa"/>
            <w:vAlign w:val="center"/>
          </w:tcPr>
          <w:p w14:paraId="0143A127">
            <w:pPr>
              <w:keepNext w:val="0"/>
              <w:keepLines w:val="0"/>
              <w:pageBreakBefore w:val="0"/>
              <w:kinsoku/>
              <w:wordWrap/>
              <w:overflowPunct/>
              <w:topLinePunct w:val="0"/>
              <w:autoSpaceDE/>
              <w:autoSpaceDN/>
              <w:bidi w:val="0"/>
              <w:ind w:firstLine="0" w:firstLineChars="0"/>
              <w:textAlignment w:val="auto"/>
              <w:rPr>
                <w:rFonts w:hint="default" w:ascii="Times New Roman" w:hAnsi="Times New Roman" w:eastAsia="宋体" w:cs="Times New Roman"/>
                <w:color w:val="auto"/>
                <w:kern w:val="0"/>
                <w:sz w:val="24"/>
                <w:szCs w:val="24"/>
                <w:lang w:eastAsia="zh-CN"/>
              </w:rPr>
            </w:pPr>
            <w:r>
              <w:rPr>
                <w:rFonts w:hint="default" w:ascii="Times New Roman" w:hAnsi="Times New Roman" w:cs="Times New Roman"/>
                <w:color w:val="auto"/>
                <w:kern w:val="0"/>
                <w:sz w:val="24"/>
                <w:szCs w:val="24"/>
                <w:lang w:val="en-US" w:eastAsia="zh-CN"/>
              </w:rPr>
              <w:t>/</w:t>
            </w:r>
          </w:p>
        </w:tc>
        <w:tc>
          <w:tcPr>
            <w:tcW w:w="1227" w:type="dxa"/>
            <w:vAlign w:val="center"/>
          </w:tcPr>
          <w:p w14:paraId="65874580">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snapToGrid w:val="0"/>
                <w:color w:val="auto"/>
                <w:kern w:val="0"/>
                <w:sz w:val="24"/>
                <w:szCs w:val="24"/>
              </w:rPr>
            </w:pPr>
            <w:r>
              <w:rPr>
                <w:rFonts w:hint="default" w:ascii="Times New Roman" w:hAnsi="Times New Roman" w:cs="Times New Roman"/>
                <w:color w:val="auto"/>
                <w:sz w:val="24"/>
                <w:szCs w:val="24"/>
              </w:rPr>
              <w:t>/</w:t>
            </w:r>
          </w:p>
        </w:tc>
      </w:tr>
      <w:tr w14:paraId="6D5A66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78349C4D">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地表水环境</w:t>
            </w:r>
          </w:p>
        </w:tc>
        <w:tc>
          <w:tcPr>
            <w:tcW w:w="3315" w:type="dxa"/>
            <w:vAlign w:val="center"/>
          </w:tcPr>
          <w:p w14:paraId="0A892FBA">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施工废水经隔油、沉淀池处理后回用；生活污水由预处理池收集后，定期拉运至周边污水处理厂，不外排；初期雨水经沉淀处理后回用于场地洒水</w:t>
            </w:r>
          </w:p>
        </w:tc>
        <w:tc>
          <w:tcPr>
            <w:tcW w:w="1200" w:type="dxa"/>
            <w:vAlign w:val="center"/>
          </w:tcPr>
          <w:p w14:paraId="0CBB7864">
            <w:pPr>
              <w:keepNext w:val="0"/>
              <w:keepLines w:val="0"/>
              <w:pageBreakBefore w:val="0"/>
              <w:kinsoku/>
              <w:wordWrap/>
              <w:overflowPunct/>
              <w:topLinePunct w:val="0"/>
              <w:autoSpaceDE/>
              <w:autoSpaceDN/>
              <w:bidi w:val="0"/>
              <w:adjustRightInd w:val="0"/>
              <w:snapToGrid w:val="0"/>
              <w:ind w:firstLine="0" w:firstLineChars="0"/>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废水处理设施运行良好，污水不外排</w:t>
            </w:r>
          </w:p>
        </w:tc>
        <w:tc>
          <w:tcPr>
            <w:tcW w:w="2235" w:type="dxa"/>
            <w:vAlign w:val="center"/>
          </w:tcPr>
          <w:p w14:paraId="7DFDFAF0">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路面雨水通过公路两侧排水沟收集后排放至周边河沟</w:t>
            </w:r>
          </w:p>
        </w:tc>
        <w:tc>
          <w:tcPr>
            <w:tcW w:w="1227" w:type="dxa"/>
            <w:vAlign w:val="center"/>
          </w:tcPr>
          <w:p w14:paraId="5491576B">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排水系统经济有效</w:t>
            </w:r>
          </w:p>
        </w:tc>
      </w:tr>
      <w:tr w14:paraId="1D2FF9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22F8A1A3">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地下水及土壤环境</w:t>
            </w:r>
          </w:p>
        </w:tc>
        <w:tc>
          <w:tcPr>
            <w:tcW w:w="3315" w:type="dxa"/>
            <w:vAlign w:val="center"/>
          </w:tcPr>
          <w:p w14:paraId="68313BC5">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修建截水沟、排水沟，加强管理防治油污泄漏</w:t>
            </w:r>
          </w:p>
        </w:tc>
        <w:tc>
          <w:tcPr>
            <w:tcW w:w="1200" w:type="dxa"/>
            <w:vAlign w:val="center"/>
          </w:tcPr>
          <w:p w14:paraId="0A698353">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对地下水及土壤影响较小</w:t>
            </w:r>
          </w:p>
        </w:tc>
        <w:tc>
          <w:tcPr>
            <w:tcW w:w="2235" w:type="dxa"/>
            <w:vAlign w:val="center"/>
          </w:tcPr>
          <w:p w14:paraId="72226D04">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加强交通管理；加强管网日常检查和维护</w:t>
            </w:r>
          </w:p>
        </w:tc>
        <w:tc>
          <w:tcPr>
            <w:tcW w:w="1227" w:type="dxa"/>
            <w:vAlign w:val="center"/>
          </w:tcPr>
          <w:p w14:paraId="30E3DBEE">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lang w:val="en-US" w:eastAsia="zh-CN"/>
              </w:rPr>
              <w:t>管网现行有效</w:t>
            </w:r>
          </w:p>
        </w:tc>
      </w:tr>
      <w:tr w14:paraId="70B9D9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540EB567">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声环境</w:t>
            </w:r>
          </w:p>
        </w:tc>
        <w:tc>
          <w:tcPr>
            <w:tcW w:w="3315" w:type="dxa"/>
            <w:vAlign w:val="center"/>
          </w:tcPr>
          <w:p w14:paraId="37DCB362">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尽量采用低噪声机具；在施工道路分布有声环境保护目标路段采取相应隔离措施；禁止夜间施工；施工人员配套安全帽及口罩、耳塞等劳保设施</w:t>
            </w:r>
          </w:p>
        </w:tc>
        <w:tc>
          <w:tcPr>
            <w:tcW w:w="1200" w:type="dxa"/>
            <w:vAlign w:val="center"/>
          </w:tcPr>
          <w:p w14:paraId="39689CB2">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《建筑施工场界环境噪声排放限值》（GB12523-2011）</w:t>
            </w:r>
          </w:p>
        </w:tc>
        <w:tc>
          <w:tcPr>
            <w:tcW w:w="2235" w:type="dxa"/>
            <w:vAlign w:val="center"/>
          </w:tcPr>
          <w:p w14:paraId="2534800D">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建议采用降噪沥青材料、限制车速、设置减速带、警示牌等措施降噪</w:t>
            </w:r>
          </w:p>
        </w:tc>
        <w:tc>
          <w:tcPr>
            <w:tcW w:w="1227" w:type="dxa"/>
            <w:vAlign w:val="center"/>
          </w:tcPr>
          <w:p w14:paraId="596698E7">
            <w:pPr>
              <w:keepNext w:val="0"/>
              <w:keepLines w:val="0"/>
              <w:pageBreakBefore w:val="0"/>
              <w:widowControl/>
              <w:kinsoku/>
              <w:wordWrap/>
              <w:overflowPunct/>
              <w:topLinePunct w:val="0"/>
              <w:autoSpaceDE/>
              <w:autoSpaceDN/>
              <w:bidi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《声环境质量标准》（GB3096-2008）中2类标准</w:t>
            </w:r>
          </w:p>
        </w:tc>
      </w:tr>
      <w:tr w14:paraId="4E8607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2FEA533D">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振动</w:t>
            </w:r>
          </w:p>
        </w:tc>
        <w:tc>
          <w:tcPr>
            <w:tcW w:w="3315" w:type="dxa"/>
            <w:vAlign w:val="center"/>
          </w:tcPr>
          <w:p w14:paraId="150D84B1">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00" w:type="dxa"/>
            <w:vAlign w:val="center"/>
          </w:tcPr>
          <w:p w14:paraId="497B2664">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235" w:type="dxa"/>
            <w:vAlign w:val="center"/>
          </w:tcPr>
          <w:p w14:paraId="13084A59">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27" w:type="dxa"/>
            <w:vAlign w:val="center"/>
          </w:tcPr>
          <w:p w14:paraId="76683E52">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0008163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4D6754C2">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大气</w:t>
            </w:r>
          </w:p>
          <w:p w14:paraId="01408329">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w:t>
            </w:r>
          </w:p>
        </w:tc>
        <w:tc>
          <w:tcPr>
            <w:tcW w:w="3315" w:type="dxa"/>
            <w:vAlign w:val="center"/>
          </w:tcPr>
          <w:p w14:paraId="78C8768B">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lang w:bidi="ar"/>
              </w:rPr>
              <w:t>施工现场经过居民</w:t>
            </w:r>
            <w:r>
              <w:rPr>
                <w:rFonts w:hint="eastAsia" w:cs="Times New Roman"/>
                <w:color w:val="auto"/>
                <w:kern w:val="0"/>
                <w:sz w:val="24"/>
                <w:szCs w:val="24"/>
                <w:lang w:eastAsia="zh-CN" w:bidi="ar"/>
              </w:rPr>
              <w:t>集聚区</w:t>
            </w:r>
            <w:r>
              <w:rPr>
                <w:rFonts w:hint="default" w:ascii="Times New Roman" w:hAnsi="Times New Roman" w:cs="Times New Roman"/>
                <w:color w:val="auto"/>
                <w:kern w:val="0"/>
                <w:sz w:val="24"/>
                <w:szCs w:val="24"/>
                <w:lang w:bidi="ar"/>
              </w:rPr>
              <w:t>时采取必要的遮挡、围护等措施</w:t>
            </w:r>
            <w:r>
              <w:rPr>
                <w:rFonts w:hint="default" w:ascii="Times New Roman" w:hAnsi="Times New Roman" w:cs="Times New Roman"/>
                <w:color w:val="auto"/>
                <w:sz w:val="24"/>
                <w:szCs w:val="24"/>
              </w:rPr>
              <w:t>；施工现场、施工场地每天1~2次洒水降尘；</w:t>
            </w:r>
            <w:r>
              <w:rPr>
                <w:rFonts w:hint="default" w:ascii="Times New Roman" w:hAnsi="Times New Roman" w:cs="Times New Roman"/>
                <w:color w:val="auto"/>
                <w:kern w:val="0"/>
                <w:sz w:val="24"/>
                <w:szCs w:val="24"/>
                <w:lang w:bidi="ar"/>
              </w:rPr>
              <w:t>施工场地进出口硬化、设置冲洗平台等措施；</w:t>
            </w:r>
            <w:r>
              <w:rPr>
                <w:rFonts w:hint="default" w:ascii="Times New Roman" w:hAnsi="Times New Roman" w:cs="Times New Roman"/>
                <w:color w:val="auto"/>
                <w:sz w:val="24"/>
                <w:szCs w:val="24"/>
              </w:rPr>
              <w:t>建筑垃圾、弃方运输禁止冒顶装载和洒漏；对临时堆场采取防起尘、遮盖措施；采用商品沥青，密封运输，集中铺设，缩短作业时间，施工人员佩戴劳保防护设施；钢筋加工棚焊接废气安装移动净化设施</w:t>
            </w:r>
          </w:p>
        </w:tc>
        <w:tc>
          <w:tcPr>
            <w:tcW w:w="1200" w:type="dxa"/>
            <w:vAlign w:val="center"/>
          </w:tcPr>
          <w:p w14:paraId="7FD1A9F7">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rPr>
              <w:t>《四川省施工场地扬尘排放标准》（DB512682</w:t>
            </w:r>
          </w:p>
          <w:p w14:paraId="22698A3C">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-2020）</w:t>
            </w:r>
          </w:p>
        </w:tc>
        <w:tc>
          <w:tcPr>
            <w:tcW w:w="2235" w:type="dxa"/>
            <w:vAlign w:val="center"/>
          </w:tcPr>
          <w:p w14:paraId="6A887574">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加强交通管理，限制汽车尾气超标车辆上路，定期洒水、清扫</w:t>
            </w:r>
          </w:p>
        </w:tc>
        <w:tc>
          <w:tcPr>
            <w:tcW w:w="1227" w:type="dxa"/>
            <w:vAlign w:val="center"/>
          </w:tcPr>
          <w:p w14:paraId="542A2F9D">
            <w:pPr>
              <w:keepNext w:val="0"/>
              <w:keepLines w:val="0"/>
              <w:pageBreakBefore w:val="0"/>
              <w:widowControl/>
              <w:kinsoku/>
              <w:wordWrap/>
              <w:overflowPunct/>
              <w:topLinePunct w:val="0"/>
              <w:autoSpaceDE/>
              <w:autoSpaceDN/>
              <w:bidi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《环境空气质量标准》（GB3095-2012）二级标准</w:t>
            </w:r>
          </w:p>
        </w:tc>
      </w:tr>
      <w:tr w14:paraId="0799D95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0364CA5B">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固体</w:t>
            </w:r>
          </w:p>
          <w:p w14:paraId="0CA320F2">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废物</w:t>
            </w:r>
          </w:p>
        </w:tc>
        <w:tc>
          <w:tcPr>
            <w:tcW w:w="3315" w:type="dxa"/>
            <w:vAlign w:val="center"/>
          </w:tcPr>
          <w:p w14:paraId="732FE38D">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建筑垃圾（破损混凝土）运至</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处弃土场集中堆放；本项目弃方运至规划的</w:t>
            </w:r>
            <w:r>
              <w:rPr>
                <w:rFonts w:hint="default" w:ascii="Times New Roman" w:hAnsi="Times New Roman" w:cs="Times New Roman"/>
                <w:color w:val="auto"/>
                <w:sz w:val="24"/>
                <w:szCs w:val="24"/>
                <w:lang w:val="en-US" w:eastAsia="zh-CN"/>
              </w:rPr>
              <w:t>2</w:t>
            </w:r>
            <w:r>
              <w:rPr>
                <w:rFonts w:hint="default" w:ascii="Times New Roman" w:hAnsi="Times New Roman" w:cs="Times New Roman"/>
                <w:color w:val="auto"/>
                <w:sz w:val="24"/>
                <w:szCs w:val="24"/>
              </w:rPr>
              <w:t>处弃土场集中堆放；生活垃圾由环卫部门定期清运；桥梁基础施工产生的钻渣和污泥、废水处理产生的污泥晾干后运至弃土场；废机油交由有资质单位妥善处置；废焊条、焊渣经收集后卖至废品回收站</w:t>
            </w:r>
          </w:p>
        </w:tc>
        <w:tc>
          <w:tcPr>
            <w:tcW w:w="1200" w:type="dxa"/>
            <w:vAlign w:val="center"/>
          </w:tcPr>
          <w:p w14:paraId="09EE4B7F">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各类固废处理措施合理、去向明确，不造成二次污染</w:t>
            </w:r>
          </w:p>
        </w:tc>
        <w:tc>
          <w:tcPr>
            <w:tcW w:w="2235" w:type="dxa"/>
            <w:vAlign w:val="center"/>
          </w:tcPr>
          <w:p w14:paraId="1005D9DA">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路面垃圾由公路养护部门定期进行清理</w:t>
            </w:r>
          </w:p>
        </w:tc>
        <w:tc>
          <w:tcPr>
            <w:tcW w:w="1227" w:type="dxa"/>
            <w:vAlign w:val="center"/>
          </w:tcPr>
          <w:p w14:paraId="7EDFAEFD">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479C8E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6F1D8670">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电磁</w:t>
            </w:r>
          </w:p>
          <w:p w14:paraId="78ED1C22">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w:t>
            </w:r>
          </w:p>
        </w:tc>
        <w:tc>
          <w:tcPr>
            <w:tcW w:w="3315" w:type="dxa"/>
            <w:vAlign w:val="center"/>
          </w:tcPr>
          <w:p w14:paraId="52DAD957">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00" w:type="dxa"/>
            <w:vAlign w:val="center"/>
          </w:tcPr>
          <w:p w14:paraId="12257E19">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235" w:type="dxa"/>
            <w:vAlign w:val="center"/>
          </w:tcPr>
          <w:p w14:paraId="2E827471">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27" w:type="dxa"/>
            <w:vAlign w:val="center"/>
          </w:tcPr>
          <w:p w14:paraId="0980E3AF">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0943EF7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54121602">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w:t>
            </w:r>
          </w:p>
          <w:p w14:paraId="6F6D28B8">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风险</w:t>
            </w:r>
          </w:p>
        </w:tc>
        <w:tc>
          <w:tcPr>
            <w:tcW w:w="3315" w:type="dxa"/>
            <w:vAlign w:val="center"/>
          </w:tcPr>
          <w:p w14:paraId="57D13F2B">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eastAsia="宋体" w:cs="Times New Roman"/>
                <w:color w:val="auto"/>
                <w:sz w:val="24"/>
                <w:szCs w:val="24"/>
                <w:lang w:val="en-US" w:eastAsia="zh-CN"/>
              </w:rPr>
            </w:pPr>
            <w:r>
              <w:rPr>
                <w:rFonts w:hint="default" w:ascii="Times New Roman" w:hAnsi="Times New Roman" w:cs="Times New Roman"/>
                <w:color w:val="auto"/>
                <w:sz w:val="24"/>
                <w:szCs w:val="24"/>
              </w:rPr>
              <w:t>油品现用现购；施工废水和泥浆处理设施设备日常巡检和保养；弃土场坍塌风险：严格执行“先拦后弃”的原则，弃土堆放前必须在弃土场坡脚修建挡墙，并在弃土场的周边修建截、排水沟，严格控制弃土场的堆土高度和坡面坡率；弃土场迹地恢复：施工结束后，对土体顶面进行土地整治，并对土体坡面和顶部进行复耕；建立环境风险管理制度，场地内预备应急</w:t>
            </w:r>
            <w:r>
              <w:rPr>
                <w:rFonts w:hint="default" w:ascii="Times New Roman" w:hAnsi="Times New Roman" w:cs="Times New Roman"/>
                <w:color w:val="auto"/>
                <w:sz w:val="24"/>
                <w:szCs w:val="24"/>
                <w:lang w:val="en-US" w:eastAsia="zh-CN"/>
              </w:rPr>
              <w:t>物资</w:t>
            </w:r>
          </w:p>
        </w:tc>
        <w:tc>
          <w:tcPr>
            <w:tcW w:w="1200" w:type="dxa"/>
            <w:vAlign w:val="center"/>
          </w:tcPr>
          <w:p w14:paraId="57E48553">
            <w:pPr>
              <w:keepNext w:val="0"/>
              <w:keepLines w:val="0"/>
              <w:pageBreakBefore w:val="0"/>
              <w:widowControl/>
              <w:kinsoku/>
              <w:wordWrap/>
              <w:overflowPunct/>
              <w:topLinePunct w:val="0"/>
              <w:autoSpaceDE/>
              <w:autoSpaceDN/>
              <w:bidi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防止运输车辆及机械漏油事故；避免施工废水事故排放；防止弃土场坍塌环境风险</w:t>
            </w:r>
          </w:p>
        </w:tc>
        <w:tc>
          <w:tcPr>
            <w:tcW w:w="2235" w:type="dxa"/>
            <w:vAlign w:val="center"/>
          </w:tcPr>
          <w:p w14:paraId="2E71EB9C">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严禁超速；桥梁设置防撞墩、桥头设置警示牌；制定应急预案</w:t>
            </w:r>
          </w:p>
        </w:tc>
        <w:tc>
          <w:tcPr>
            <w:tcW w:w="1227" w:type="dxa"/>
            <w:vAlign w:val="center"/>
          </w:tcPr>
          <w:p w14:paraId="47BDE9DF">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各类措施和设施落实情况，杜绝事故发生污染附近河流水质</w:t>
            </w:r>
          </w:p>
        </w:tc>
      </w:tr>
      <w:tr w14:paraId="5CCAFC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3F71D4CE">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w:t>
            </w:r>
          </w:p>
          <w:p w14:paraId="5B1B2B7A">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监测</w:t>
            </w:r>
          </w:p>
        </w:tc>
        <w:tc>
          <w:tcPr>
            <w:tcW w:w="3315" w:type="dxa"/>
            <w:vAlign w:val="center"/>
          </w:tcPr>
          <w:p w14:paraId="55AE1EE7">
            <w:pPr>
              <w:pStyle w:val="22"/>
              <w:keepNext w:val="0"/>
              <w:keepLines w:val="0"/>
              <w:pageBreakBefore w:val="0"/>
              <w:kinsoku/>
              <w:wordWrap/>
              <w:overflowPunct/>
              <w:topLinePunct w:val="0"/>
              <w:autoSpaceDE/>
              <w:autoSpaceDN/>
              <w:bidi w:val="0"/>
              <w:spacing w:after="0"/>
              <w:ind w:left="0" w:leftChars="0"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00" w:type="dxa"/>
            <w:vAlign w:val="center"/>
          </w:tcPr>
          <w:p w14:paraId="26200B29">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2235" w:type="dxa"/>
            <w:vAlign w:val="center"/>
          </w:tcPr>
          <w:p w14:paraId="2421A1FF">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对代表性声环境保护目标进行噪声跟踪监测</w:t>
            </w:r>
          </w:p>
        </w:tc>
        <w:tc>
          <w:tcPr>
            <w:tcW w:w="1227" w:type="dxa"/>
            <w:vAlign w:val="center"/>
          </w:tcPr>
          <w:p w14:paraId="411E23B5">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r w14:paraId="427009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54" w:hRule="atLeast"/>
          <w:jc w:val="center"/>
        </w:trPr>
        <w:tc>
          <w:tcPr>
            <w:tcW w:w="823" w:type="dxa"/>
            <w:vAlign w:val="center"/>
          </w:tcPr>
          <w:p w14:paraId="428720EC">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其他</w:t>
            </w:r>
          </w:p>
        </w:tc>
        <w:tc>
          <w:tcPr>
            <w:tcW w:w="3315" w:type="dxa"/>
            <w:vAlign w:val="center"/>
          </w:tcPr>
          <w:p w14:paraId="46CF2D56">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单位应建立环境保护档案，保存施工前后项目区的影像资料，使施工全过程各类污染物产生、去向和各污染措施实施情况均建立台账。建设单位对其进行日常检查并做好记录；完工交接前，建设单位主管部门现场验收合格后方可记录为完工，做到工完料净场地清，并做好记录</w:t>
            </w:r>
          </w:p>
        </w:tc>
        <w:tc>
          <w:tcPr>
            <w:tcW w:w="1200" w:type="dxa"/>
            <w:vAlign w:val="center"/>
          </w:tcPr>
          <w:p w14:paraId="762F3ABA">
            <w:pPr>
              <w:keepNext w:val="0"/>
              <w:keepLines w:val="0"/>
              <w:pageBreakBefore w:val="0"/>
              <w:kinsoku/>
              <w:wordWrap/>
              <w:overflowPunct/>
              <w:topLinePunct w:val="0"/>
              <w:autoSpaceDE/>
              <w:autoSpaceDN/>
              <w:bidi w:val="0"/>
              <w:adjustRightInd w:val="0"/>
              <w:snapToGrid w:val="0"/>
              <w:ind w:firstLine="0" w:firstLineChars="0"/>
              <w:jc w:val="left"/>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环境管理制度是否建立并完善，环保机构及人员是否设置到位；是否保留必要的影像资料</w:t>
            </w:r>
          </w:p>
        </w:tc>
        <w:tc>
          <w:tcPr>
            <w:tcW w:w="2235" w:type="dxa"/>
            <w:vAlign w:val="center"/>
          </w:tcPr>
          <w:p w14:paraId="71B51CAB">
            <w:pPr>
              <w:keepNext w:val="0"/>
              <w:keepLines w:val="0"/>
              <w:pageBreakBefore w:val="0"/>
              <w:kinsoku/>
              <w:wordWrap/>
              <w:overflowPunct/>
              <w:topLinePunct w:val="0"/>
              <w:autoSpaceDE/>
              <w:autoSpaceDN/>
              <w:bidi w:val="0"/>
              <w:adjustRightInd w:val="0"/>
              <w:snapToGrid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c>
          <w:tcPr>
            <w:tcW w:w="1227" w:type="dxa"/>
            <w:vAlign w:val="center"/>
          </w:tcPr>
          <w:p w14:paraId="6DE350EB">
            <w:pPr>
              <w:keepNext w:val="0"/>
              <w:keepLines w:val="0"/>
              <w:pageBreakBefore w:val="0"/>
              <w:widowControl/>
              <w:kinsoku/>
              <w:wordWrap/>
              <w:overflowPunct/>
              <w:topLinePunct w:val="0"/>
              <w:autoSpaceDE/>
              <w:autoSpaceDN/>
              <w:bidi w:val="0"/>
              <w:ind w:firstLine="0" w:firstLineChars="0"/>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t>/</w:t>
            </w:r>
          </w:p>
        </w:tc>
      </w:tr>
    </w:tbl>
    <w:p w14:paraId="63F93CA3">
      <w:pPr>
        <w:pStyle w:val="20"/>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cs="Times New Roman"/>
          <w:snapToGrid w:val="0"/>
          <w:color w:val="auto"/>
        </w:rPr>
        <w:br w:type="page"/>
      </w:r>
      <w:bookmarkStart w:id="17" w:name="_Toc6187"/>
      <w:r>
        <w:rPr>
          <w:rFonts w:hint="default" w:ascii="Times New Roman" w:hAnsi="Times New Roman" w:eastAsia="黑体" w:cs="Times New Roman"/>
          <w:snapToGrid w:val="0"/>
          <w:color w:val="auto"/>
          <w:sz w:val="30"/>
          <w:szCs w:val="30"/>
        </w:rPr>
        <w:t>七、结论</w:t>
      </w:r>
      <w:bookmarkEnd w:id="17"/>
    </w:p>
    <w:tbl>
      <w:tblPr>
        <w:tblStyle w:val="2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B087D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03" w:hRule="atLeast"/>
          <w:jc w:val="center"/>
        </w:trPr>
        <w:tc>
          <w:tcPr>
            <w:tcW w:w="8865" w:type="dxa"/>
          </w:tcPr>
          <w:p w14:paraId="18846C0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rPr>
            </w:pPr>
            <w:r>
              <w:rPr>
                <w:rFonts w:hint="default" w:ascii="Times New Roman" w:hAnsi="Times New Roman" w:cs="Times New Roman"/>
                <w:color w:val="auto"/>
                <w:kern w:val="0"/>
                <w:sz w:val="24"/>
                <w:szCs w:val="24"/>
                <w:lang w:bidi="ar"/>
              </w:rPr>
              <w:t>宣汉县中部片区乡村振兴</w:t>
            </w:r>
            <w:r>
              <w:rPr>
                <w:rFonts w:hint="default" w:ascii="Times New Roman" w:hAnsi="Times New Roman" w:cs="Times New Roman"/>
                <w:color w:val="auto"/>
                <w:kern w:val="0"/>
                <w:sz w:val="24"/>
                <w:szCs w:val="24"/>
                <w:lang w:val="en-US" w:eastAsia="zh-CN" w:bidi="ar"/>
              </w:rPr>
              <w:t>·</w:t>
            </w:r>
            <w:r>
              <w:rPr>
                <w:rFonts w:hint="default" w:ascii="Times New Roman" w:hAnsi="Times New Roman" w:cs="Times New Roman"/>
                <w:color w:val="auto"/>
                <w:kern w:val="0"/>
                <w:sz w:val="24"/>
                <w:szCs w:val="24"/>
                <w:lang w:bidi="ar"/>
              </w:rPr>
              <w:t>千万工程示范带建设项目一标段符合当地交通规划，选址选线符合环保要求，项目建设对保护当地居民生命、财产安全，加速当地经济发展，促进和谐社会的构造，是十分有益的。施工期对环境产生的影响主要表现为施工活动对当地环境空气、声环境和生态环境的破坏，运营期基本不会对当地生态环境造成太大影响。在落实本报告表提出的各项生态环境保护措施后，本项目的建设从环境保护角度而言是可行的。</w:t>
            </w:r>
          </w:p>
        </w:tc>
      </w:tr>
    </w:tbl>
    <w:p w14:paraId="11AA5004">
      <w:pPr>
        <w:spacing w:line="360" w:lineRule="auto"/>
        <w:rPr>
          <w:rFonts w:hint="default" w:ascii="Times New Roman" w:hAnsi="Times New Roman" w:cs="Times New Roman"/>
          <w:color w:val="auto"/>
        </w:rPr>
      </w:pPr>
    </w:p>
    <w:sectPr>
      <w:footerReference r:id="rId13" w:type="default"/>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方正小标宋_GBK">
    <w:panose1 w:val="02000000000000000000"/>
    <w:charset w:val="86"/>
    <w:family w:val="script"/>
    <w:pitch w:val="default"/>
    <w:sig w:usb0="A00002BF" w:usb1="38CF7CFA" w:usb2="00082016" w:usb3="00000000" w:csb0="00040001" w:csb1="00000000"/>
  </w:font>
  <w:font w:name="楷体_GB2312">
    <w:panose1 w:val="02010609030101010101"/>
    <w:charset w:val="86"/>
    <w:family w:val="modern"/>
    <w:pitch w:val="default"/>
    <w:sig w:usb0="00000001" w:usb1="080E0000" w:usb2="00000000" w:usb3="00000000" w:csb0="00040000" w:csb1="00000000"/>
  </w:font>
  <w:font w:name="楷体">
    <w:panose1 w:val="02010609060101010101"/>
    <w:charset w:val="86"/>
    <w:family w:val="auto"/>
    <w:pitch w:val="default"/>
    <w:sig w:usb0="800002BF" w:usb1="38CF7CFA" w:usb2="00000016" w:usb3="00000000" w:csb0="00040001" w:csb1="00000000"/>
  </w:font>
  <w:font w:name="Helvetica">
    <w:altName w:val="Arial"/>
    <w:panose1 w:val="00000000000000000000"/>
    <w:charset w:val="00"/>
    <w:family w:val="roman"/>
    <w:pitch w:val="default"/>
    <w:sig w:usb0="00000000" w:usb1="00000000" w:usb2="00000000" w:usb3="00000000" w:csb0="00000001" w:csb1="00000000"/>
  </w:font>
  <w:font w:name="TimesNewRomanPSMT">
    <w:altName w:val="Times New Roman"/>
    <w:panose1 w:val="00000000000000000000"/>
    <w:charset w:val="80"/>
    <w:family w:val="auto"/>
    <w:pitch w:val="default"/>
    <w:sig w:usb0="00000000" w:usb1="00000000" w:usb2="00000000" w:usb3="00000000" w:csb0="00020000"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C736D4">
    <w:pPr>
      <w:pStyle w:val="14"/>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A4E56A">
    <w:pPr>
      <w:pStyle w:val="14"/>
      <w:framePr w:wrap="auto" w:vAnchor="text" w:hAnchor="margin" w:xAlign="center" w:y="1"/>
      <w:rPr>
        <w:rStyle w:val="26"/>
      </w:rPr>
    </w:pPr>
    <w:r>
      <w:fldChar w:fldCharType="begin"/>
    </w:r>
    <w:r>
      <w:rPr>
        <w:rStyle w:val="26"/>
      </w:rPr>
      <w:instrText xml:space="preserve">PAGE  </w:instrText>
    </w:r>
    <w:r>
      <w:fldChar w:fldCharType="separate"/>
    </w:r>
    <w:r>
      <w:rPr>
        <w:rStyle w:val="26"/>
      </w:rPr>
      <w:t>27</w:t>
    </w:r>
    <w:r>
      <w:fldChar w:fldCharType="end"/>
    </w:r>
  </w:p>
  <w:p w14:paraId="5A931C0D">
    <w:pPr>
      <w:pStyle w:val="14"/>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C750F">
    <w:pPr>
      <w:pStyle w:val="1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E48669">
    <w:pPr>
      <w:pStyle w:val="14"/>
      <w:ind w:right="360"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44DFC8">
    <w:pPr>
      <w:pStyle w:val="14"/>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678EF0">
    <w:pPr>
      <w:pStyle w:val="14"/>
      <w:ind w:right="360" w:firstLine="360"/>
      <w:jc w:val="center"/>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rStyle w:val="26"/>
                            </w:rPr>
                            <w:id w:val="147467003"/>
                            <w:docPartObj>
                              <w:docPartGallery w:val="autotext"/>
                            </w:docPartObj>
                          </w:sdtPr>
                          <w:sdtEndPr>
                            <w:rPr>
                              <w:rStyle w:val="26"/>
                            </w:rPr>
                          </w:sdtEndPr>
                          <w:sdtContent>
                            <w:p w14:paraId="113DF4A4">
                              <w:pPr>
                                <w:pStyle w:val="14"/>
                                <w:rPr>
                                  <w:rStyle w:val="26"/>
                                </w:rPr>
                              </w:pPr>
                              <w:r>
                                <w:rPr>
                                  <w:rStyle w:val="26"/>
                                </w:rPr>
                                <w:fldChar w:fldCharType="begin"/>
                              </w:r>
                              <w:r>
                                <w:rPr>
                                  <w:rStyle w:val="26"/>
                                </w:rPr>
                                <w:instrText xml:space="preserve"> PAGE </w:instrText>
                              </w:r>
                              <w:r>
                                <w:rPr>
                                  <w:rStyle w:val="26"/>
                                </w:rPr>
                                <w:fldChar w:fldCharType="separate"/>
                              </w:r>
                              <w:r>
                                <w:rPr>
                                  <w:rStyle w:val="26"/>
                                </w:rPr>
                                <w:t>42</w:t>
                              </w:r>
                              <w:r>
                                <w:rPr>
                                  <w:rStyle w:val="26"/>
                                </w:rPr>
                                <w:fldChar w:fldCharType="end"/>
                              </w:r>
                            </w:p>
                          </w:sdtContent>
                        </w:sdt>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z+8ZEx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gt0wpQSwzQqfvn+7fLj&#10;1+XnV4IzCFS7MEfcziEyNm9tg+DhPOAw8W5Kr9MXjAj8kPd8lVc0kfB0aTadzcZwcfiGDfCzx+vO&#10;h/hOWE2SkVOP+rWystM2xC50CEnZjN1IpdoaKkPqnN68fjNuL1w9AFcGORKJ7rHJis2+6ZntbXEG&#10;MW+73giObySSb1mID8yjGfBgjEu8x1IqiyS2tyiprP/yr/MUjxrBS0mN5sqpwSxRot4b1A6AcTD8&#10;YOwHwxz1nUW3TjCGjrcmLvioBrP0Vn/GDK1SDriY4ciU0ziYd7FrcMwgF6tVG3R0Xh6q7gI6z7G4&#10;NTvHU5okZHCrY4SYrcZJoE6VXjf0Xlulfk5Sc/+5b6Me/w3L3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s/vGRMQIAAGMEAAAOAAAAAAAAAAEAIAAAAB8BAABkcnMvZTJvRG9jLnhtbFBLBQYA&#10;AAAABgAGAFkBAADCBQAAAAA=&#10;">
              <v:fill on="f" focussize="0,0"/>
              <v:stroke on="f" weight="0.5pt"/>
              <v:imagedata o:title=""/>
              <o:lock v:ext="edit" aspectratio="f"/>
              <v:textbox inset="0mm,0mm,0mm,0mm" style="mso-fit-shape-to-text:t;">
                <w:txbxContent>
                  <w:sdt>
                    <w:sdtPr>
                      <w:rPr>
                        <w:rStyle w:val="26"/>
                      </w:rPr>
                      <w:id w:val="147467003"/>
                      <w:docPartObj>
                        <w:docPartGallery w:val="autotext"/>
                      </w:docPartObj>
                    </w:sdtPr>
                    <w:sdtEndPr>
                      <w:rPr>
                        <w:rStyle w:val="26"/>
                      </w:rPr>
                    </w:sdtEndPr>
                    <w:sdtContent>
                      <w:p w14:paraId="113DF4A4">
                        <w:pPr>
                          <w:pStyle w:val="14"/>
                          <w:rPr>
                            <w:rStyle w:val="26"/>
                          </w:rPr>
                        </w:pPr>
                        <w:r>
                          <w:rPr>
                            <w:rStyle w:val="26"/>
                          </w:rPr>
                          <w:fldChar w:fldCharType="begin"/>
                        </w:r>
                        <w:r>
                          <w:rPr>
                            <w:rStyle w:val="26"/>
                          </w:rPr>
                          <w:instrText xml:space="preserve"> PAGE </w:instrText>
                        </w:r>
                        <w:r>
                          <w:rPr>
                            <w:rStyle w:val="26"/>
                          </w:rPr>
                          <w:fldChar w:fldCharType="separate"/>
                        </w:r>
                        <w:r>
                          <w:rPr>
                            <w:rStyle w:val="26"/>
                          </w:rPr>
                          <w:t>42</w:t>
                        </w:r>
                        <w:r>
                          <w:rPr>
                            <w:rStyle w:val="26"/>
                          </w:rPr>
                          <w:fldChar w:fldCharType="end"/>
                        </w:r>
                      </w:p>
                    </w:sdtContent>
                  </w:sdt>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F7167F">
    <w:pPr>
      <w:pStyle w:val="14"/>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1" name="文本框 3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rPr>
                              <w:rStyle w:val="26"/>
                            </w:rPr>
                            <w:id w:val="147472022"/>
                            <w:docPartObj>
                              <w:docPartGallery w:val="autotext"/>
                            </w:docPartObj>
                          </w:sdtPr>
                          <w:sdtEndPr>
                            <w:rPr>
                              <w:rStyle w:val="26"/>
                            </w:rPr>
                          </w:sdtEndPr>
                          <w:sdtContent>
                            <w:p w14:paraId="3474AA48">
                              <w:pPr>
                                <w:pStyle w:val="14"/>
                                <w:rPr>
                                  <w:rStyle w:val="26"/>
                                </w:rPr>
                              </w:pPr>
                              <w:r>
                                <w:rPr>
                                  <w:rStyle w:val="26"/>
                                </w:rPr>
                                <w:fldChar w:fldCharType="begin"/>
                              </w:r>
                              <w:r>
                                <w:rPr>
                                  <w:rStyle w:val="26"/>
                                </w:rPr>
                                <w:instrText xml:space="preserve"> PAGE </w:instrText>
                              </w:r>
                              <w:r>
                                <w:rPr>
                                  <w:rStyle w:val="26"/>
                                </w:rPr>
                                <w:fldChar w:fldCharType="separate"/>
                              </w:r>
                              <w:r>
                                <w:rPr>
                                  <w:rStyle w:val="26"/>
                                </w:rPr>
                                <w:t>42</w:t>
                              </w:r>
                              <w:r>
                                <w:rPr>
                                  <w:rStyle w:val="26"/>
                                </w:rPr>
                                <w:fldChar w:fldCharType="end"/>
                              </w:r>
                            </w:p>
                          </w:sdtContent>
                        </w:sdt>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JoMpEzAgAAYwQAAA4AAABkcnMvZTJvRG9jLnhtbK1US44TMRDdI3EH&#10;y3vSSUaMoiidUZgoCCliRhoQa8ftTlvyT7aT7nAAuAErNuw5V84xz/3JoIHFLNi4y67yq3qvyr24&#10;abQiR+GDtCank9GYEmG4LaTZ5/Tzp82bGSUhMlMwZY3I6UkEerN8/WpRu7mY2sqqQngCEBPmtctp&#10;FaObZ1ngldAsjKwTBs7Ses0itn6fFZ7VQNcqm47H11ltfeG85SIEnK47J+0R/UsAbVlKLtaWH7Qw&#10;sUP1QrEISqGSLtBlW21ZCh7vyjKISFROwTS2K5LA3qU1Wy7YfO+ZqyTvS2AvKeEZJ82kQdIL1JpF&#10;Rg5e/gWlJfc22DKOuNVZR6RVBCwm42faPFTMiZYLpA7uInr4f7D84/HeE1nk9GpCiWEaHT//+H7+&#10;+fv86xvBGQSqXZgj7sEhMjbvbIOxGc4DDhPvpvQ6fcGIwA95Txd5RRMJT5dm09lsDBeHb9gAP3u6&#10;7nyI74XVJBk59ehfKys7bkPsQoeQlM3YjVSq7aEypM7p9dXbcXvh4gG4MsiRSHTFJis2u6ZntrPF&#10;CcS87WYjOL6RSL5lId4zj2FAwXgu8Q5LqSyS2N6ipLL+67/OUzx6BC8lNYYrpwZviRL1waB3AIyD&#10;4QdjNxjmoG8tphXtQC2tiQs+qsEsvdVf8IZWKQdczHBkymkczNvYDTjeIBerVRt0cF7uq+4CJs+x&#10;uDUPjqc0ScjgVocIMVuNk0CdKr1umL22S/07ScP9576Nevo3LB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JoMpEzAgAAYwQAAA4AAAAAAAAAAQAgAAAAHwEAAGRycy9lMm9Eb2MueG1sUEsF&#10;BgAAAAAGAAYAWQEAAMQFAAAAAA==&#10;">
              <v:fill on="f" focussize="0,0"/>
              <v:stroke on="f" weight="0.5pt"/>
              <v:imagedata o:title=""/>
              <o:lock v:ext="edit" aspectratio="f"/>
              <v:textbox inset="0mm,0mm,0mm,0mm" style="mso-fit-shape-to-text:t;">
                <w:txbxContent>
                  <w:sdt>
                    <w:sdtPr>
                      <w:rPr>
                        <w:rStyle w:val="26"/>
                      </w:rPr>
                      <w:id w:val="147472022"/>
                      <w:docPartObj>
                        <w:docPartGallery w:val="autotext"/>
                      </w:docPartObj>
                    </w:sdtPr>
                    <w:sdtEndPr>
                      <w:rPr>
                        <w:rStyle w:val="26"/>
                      </w:rPr>
                    </w:sdtEndPr>
                    <w:sdtContent>
                      <w:p w14:paraId="3474AA48">
                        <w:pPr>
                          <w:pStyle w:val="14"/>
                          <w:rPr>
                            <w:rStyle w:val="26"/>
                          </w:rPr>
                        </w:pPr>
                        <w:r>
                          <w:rPr>
                            <w:rStyle w:val="26"/>
                          </w:rPr>
                          <w:fldChar w:fldCharType="begin"/>
                        </w:r>
                        <w:r>
                          <w:rPr>
                            <w:rStyle w:val="26"/>
                          </w:rPr>
                          <w:instrText xml:space="preserve"> PAGE </w:instrText>
                        </w:r>
                        <w:r>
                          <w:rPr>
                            <w:rStyle w:val="26"/>
                          </w:rPr>
                          <w:fldChar w:fldCharType="separate"/>
                        </w:r>
                        <w:r>
                          <w:rPr>
                            <w:rStyle w:val="26"/>
                          </w:rPr>
                          <w:t>42</w:t>
                        </w:r>
                        <w:r>
                          <w:rPr>
                            <w:rStyle w:val="26"/>
                          </w:rPr>
                          <w:fldChar w:fldCharType="end"/>
                        </w:r>
                      </w:p>
                    </w:sdtContent>
                  </w:sdt>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8FA379">
    <w:pPr>
      <w:pStyle w:val="14"/>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138C23">
                          <w:pPr>
                            <w:pStyle w:val="14"/>
                          </w:pPr>
                          <w:r>
                            <w:fldChar w:fldCharType="begin"/>
                          </w:r>
                          <w:r>
                            <w:instrText xml:space="preserve"> PAGE  \* MERGEFORMAT </w:instrText>
                          </w:r>
                          <w:r>
                            <w:fldChar w:fldCharType="separate"/>
                          </w:r>
                          <w:r>
                            <w:t>74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WW+3o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1dT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WW+3ozAgAAYwQAAA4AAAAAAAAAAQAgAAAAHwEAAGRycy9lMm9Eb2MueG1sUEsF&#10;BgAAAAAGAAYAWQEAAMQFAAAAAA==&#10;">
              <v:fill on="f" focussize="0,0"/>
              <v:stroke on="f" weight="0.5pt"/>
              <v:imagedata o:title=""/>
              <o:lock v:ext="edit" aspectratio="f"/>
              <v:textbox inset="0mm,0mm,0mm,0mm" style="mso-fit-shape-to-text:t;">
                <w:txbxContent>
                  <w:p w14:paraId="7F138C23">
                    <w:pPr>
                      <w:pStyle w:val="14"/>
                    </w:pPr>
                    <w:r>
                      <w:fldChar w:fldCharType="begin"/>
                    </w:r>
                    <w:r>
                      <w:instrText xml:space="preserve"> PAGE  \* MERGEFORMAT </w:instrText>
                    </w:r>
                    <w:r>
                      <w:fldChar w:fldCharType="separate"/>
                    </w:r>
                    <w:r>
                      <w:t>74</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ED4214">
    <w:pPr>
      <w:pStyle w:val="1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2162A3">
    <w:pPr>
      <w:pStyle w:val="1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515D8B">
    <w:pPr>
      <w:pStyle w:val="1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8CAFAD6"/>
    <w:multiLevelType w:val="singleLevel"/>
    <w:tmpl w:val="88CAFAD6"/>
    <w:lvl w:ilvl="0" w:tentative="0">
      <w:start w:val="3"/>
      <w:numFmt w:val="decimal"/>
      <w:suff w:val="nothing"/>
      <w:lvlText w:val="%1、"/>
      <w:lvlJc w:val="left"/>
    </w:lvl>
  </w:abstractNum>
  <w:abstractNum w:abstractNumId="1">
    <w:nsid w:val="4692A252"/>
    <w:multiLevelType w:val="singleLevel"/>
    <w:tmpl w:val="4692A252"/>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displayBackgroundShape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UyODBkMjJlYTMxODYyMWU3NjQ0ZGZhYWMwN2M2M2MifQ=="/>
    <w:docVar w:name="KSO_WPS_MARK_KEY" w:val="4c055832-77ba-4493-aef2-51f87389a91d"/>
  </w:docVars>
  <w:rsids>
    <w:rsidRoot w:val="00172A27"/>
    <w:rsid w:val="000025C1"/>
    <w:rsid w:val="000060B3"/>
    <w:rsid w:val="00017D9A"/>
    <w:rsid w:val="00033288"/>
    <w:rsid w:val="0004364B"/>
    <w:rsid w:val="00044F9F"/>
    <w:rsid w:val="000453ED"/>
    <w:rsid w:val="00061B1F"/>
    <w:rsid w:val="000733C4"/>
    <w:rsid w:val="00074783"/>
    <w:rsid w:val="0008070B"/>
    <w:rsid w:val="00080B99"/>
    <w:rsid w:val="000810AC"/>
    <w:rsid w:val="00081A02"/>
    <w:rsid w:val="00082231"/>
    <w:rsid w:val="00092D38"/>
    <w:rsid w:val="0009377B"/>
    <w:rsid w:val="000A1599"/>
    <w:rsid w:val="000A20C9"/>
    <w:rsid w:val="000A356C"/>
    <w:rsid w:val="000A4605"/>
    <w:rsid w:val="000B058F"/>
    <w:rsid w:val="000B4467"/>
    <w:rsid w:val="000B4DB9"/>
    <w:rsid w:val="000C09AC"/>
    <w:rsid w:val="000C638E"/>
    <w:rsid w:val="000C767F"/>
    <w:rsid w:val="000D5A44"/>
    <w:rsid w:val="000E3ED2"/>
    <w:rsid w:val="000F0120"/>
    <w:rsid w:val="000F4047"/>
    <w:rsid w:val="00105C65"/>
    <w:rsid w:val="001147E8"/>
    <w:rsid w:val="00122280"/>
    <w:rsid w:val="00131F42"/>
    <w:rsid w:val="0013565E"/>
    <w:rsid w:val="001357F1"/>
    <w:rsid w:val="00140FA8"/>
    <w:rsid w:val="00142FEB"/>
    <w:rsid w:val="00143A2D"/>
    <w:rsid w:val="00145A41"/>
    <w:rsid w:val="001479FE"/>
    <w:rsid w:val="00150F30"/>
    <w:rsid w:val="00151675"/>
    <w:rsid w:val="00155EA2"/>
    <w:rsid w:val="00157435"/>
    <w:rsid w:val="00170DD8"/>
    <w:rsid w:val="00170F28"/>
    <w:rsid w:val="00172A27"/>
    <w:rsid w:val="0017504D"/>
    <w:rsid w:val="0017671A"/>
    <w:rsid w:val="00177422"/>
    <w:rsid w:val="00184590"/>
    <w:rsid w:val="00184C1C"/>
    <w:rsid w:val="00185C7E"/>
    <w:rsid w:val="001870D1"/>
    <w:rsid w:val="0018781E"/>
    <w:rsid w:val="0019262D"/>
    <w:rsid w:val="001A1B35"/>
    <w:rsid w:val="001A48A2"/>
    <w:rsid w:val="001A4E2F"/>
    <w:rsid w:val="001A6F61"/>
    <w:rsid w:val="001B72B8"/>
    <w:rsid w:val="001C0A1E"/>
    <w:rsid w:val="001C69B3"/>
    <w:rsid w:val="001D0F10"/>
    <w:rsid w:val="001D5595"/>
    <w:rsid w:val="001D7874"/>
    <w:rsid w:val="001D7F22"/>
    <w:rsid w:val="001E3373"/>
    <w:rsid w:val="001E6208"/>
    <w:rsid w:val="001F0880"/>
    <w:rsid w:val="001F0F17"/>
    <w:rsid w:val="001F183F"/>
    <w:rsid w:val="001F2E06"/>
    <w:rsid w:val="001F3347"/>
    <w:rsid w:val="001F69E4"/>
    <w:rsid w:val="002125B4"/>
    <w:rsid w:val="00212DDB"/>
    <w:rsid w:val="002155B8"/>
    <w:rsid w:val="00224839"/>
    <w:rsid w:val="002249B2"/>
    <w:rsid w:val="00226574"/>
    <w:rsid w:val="002278EC"/>
    <w:rsid w:val="0023280E"/>
    <w:rsid w:val="002377D1"/>
    <w:rsid w:val="00244B11"/>
    <w:rsid w:val="002506BC"/>
    <w:rsid w:val="00254345"/>
    <w:rsid w:val="00264557"/>
    <w:rsid w:val="0027182E"/>
    <w:rsid w:val="002805AB"/>
    <w:rsid w:val="00284204"/>
    <w:rsid w:val="00291773"/>
    <w:rsid w:val="002A168C"/>
    <w:rsid w:val="002A29C7"/>
    <w:rsid w:val="002A3DC7"/>
    <w:rsid w:val="002A6954"/>
    <w:rsid w:val="002B49E2"/>
    <w:rsid w:val="002B56E1"/>
    <w:rsid w:val="002B7012"/>
    <w:rsid w:val="002B7B00"/>
    <w:rsid w:val="002B7C44"/>
    <w:rsid w:val="002C2B17"/>
    <w:rsid w:val="002C5DF8"/>
    <w:rsid w:val="002D3DD0"/>
    <w:rsid w:val="002D4C37"/>
    <w:rsid w:val="002E1702"/>
    <w:rsid w:val="002E1F3A"/>
    <w:rsid w:val="002E298A"/>
    <w:rsid w:val="002E3810"/>
    <w:rsid w:val="002F0246"/>
    <w:rsid w:val="002F1A4B"/>
    <w:rsid w:val="003004B2"/>
    <w:rsid w:val="00301978"/>
    <w:rsid w:val="0030332C"/>
    <w:rsid w:val="003051C2"/>
    <w:rsid w:val="00311D31"/>
    <w:rsid w:val="00312296"/>
    <w:rsid w:val="003135C3"/>
    <w:rsid w:val="00314F0E"/>
    <w:rsid w:val="00321D8E"/>
    <w:rsid w:val="00325928"/>
    <w:rsid w:val="003264A5"/>
    <w:rsid w:val="00332605"/>
    <w:rsid w:val="00332863"/>
    <w:rsid w:val="0033684D"/>
    <w:rsid w:val="00337B42"/>
    <w:rsid w:val="00341B42"/>
    <w:rsid w:val="0034348F"/>
    <w:rsid w:val="00344771"/>
    <w:rsid w:val="0035180B"/>
    <w:rsid w:val="00356653"/>
    <w:rsid w:val="0035743F"/>
    <w:rsid w:val="00357BE2"/>
    <w:rsid w:val="0036170C"/>
    <w:rsid w:val="00366E0F"/>
    <w:rsid w:val="00381A72"/>
    <w:rsid w:val="00384676"/>
    <w:rsid w:val="00390857"/>
    <w:rsid w:val="00390DE3"/>
    <w:rsid w:val="003A4BF3"/>
    <w:rsid w:val="003B2A6D"/>
    <w:rsid w:val="003B420D"/>
    <w:rsid w:val="003C500F"/>
    <w:rsid w:val="003C6C16"/>
    <w:rsid w:val="003D541C"/>
    <w:rsid w:val="003D794D"/>
    <w:rsid w:val="003E2497"/>
    <w:rsid w:val="003E3058"/>
    <w:rsid w:val="003E759B"/>
    <w:rsid w:val="003E76A9"/>
    <w:rsid w:val="003F0809"/>
    <w:rsid w:val="003F279E"/>
    <w:rsid w:val="003F3F43"/>
    <w:rsid w:val="003F6A8C"/>
    <w:rsid w:val="003F755C"/>
    <w:rsid w:val="0040071A"/>
    <w:rsid w:val="00406F01"/>
    <w:rsid w:val="00416D50"/>
    <w:rsid w:val="00416FD5"/>
    <w:rsid w:val="00417772"/>
    <w:rsid w:val="00420E6A"/>
    <w:rsid w:val="00425A9E"/>
    <w:rsid w:val="00426D6B"/>
    <w:rsid w:val="00431E6C"/>
    <w:rsid w:val="00433CE7"/>
    <w:rsid w:val="00452738"/>
    <w:rsid w:val="00456091"/>
    <w:rsid w:val="00456C12"/>
    <w:rsid w:val="00466321"/>
    <w:rsid w:val="004671CE"/>
    <w:rsid w:val="00467EEC"/>
    <w:rsid w:val="00477AAC"/>
    <w:rsid w:val="0048270D"/>
    <w:rsid w:val="00484B9B"/>
    <w:rsid w:val="004855F6"/>
    <w:rsid w:val="0048661E"/>
    <w:rsid w:val="004878B7"/>
    <w:rsid w:val="00494670"/>
    <w:rsid w:val="004973C8"/>
    <w:rsid w:val="00497F83"/>
    <w:rsid w:val="004A3823"/>
    <w:rsid w:val="004B0867"/>
    <w:rsid w:val="004B2BF8"/>
    <w:rsid w:val="004E485D"/>
    <w:rsid w:val="004E5821"/>
    <w:rsid w:val="004E6946"/>
    <w:rsid w:val="004F0A4F"/>
    <w:rsid w:val="004F1AD8"/>
    <w:rsid w:val="004F6996"/>
    <w:rsid w:val="005039CB"/>
    <w:rsid w:val="0050558F"/>
    <w:rsid w:val="00506286"/>
    <w:rsid w:val="00510813"/>
    <w:rsid w:val="00511990"/>
    <w:rsid w:val="00511DE0"/>
    <w:rsid w:val="00514870"/>
    <w:rsid w:val="00514B9B"/>
    <w:rsid w:val="005151C4"/>
    <w:rsid w:val="0051689A"/>
    <w:rsid w:val="00517F02"/>
    <w:rsid w:val="00517FCA"/>
    <w:rsid w:val="00524303"/>
    <w:rsid w:val="005258A2"/>
    <w:rsid w:val="00530E34"/>
    <w:rsid w:val="00532A4A"/>
    <w:rsid w:val="005401AE"/>
    <w:rsid w:val="00542E07"/>
    <w:rsid w:val="00545424"/>
    <w:rsid w:val="005523D5"/>
    <w:rsid w:val="00554A7B"/>
    <w:rsid w:val="0055572C"/>
    <w:rsid w:val="0056106A"/>
    <w:rsid w:val="005622DC"/>
    <w:rsid w:val="005720AE"/>
    <w:rsid w:val="00575FE4"/>
    <w:rsid w:val="0058069D"/>
    <w:rsid w:val="005858D6"/>
    <w:rsid w:val="00591381"/>
    <w:rsid w:val="00593C0D"/>
    <w:rsid w:val="00594D77"/>
    <w:rsid w:val="00595ABB"/>
    <w:rsid w:val="005969E4"/>
    <w:rsid w:val="00596BFA"/>
    <w:rsid w:val="005A06B7"/>
    <w:rsid w:val="005A1759"/>
    <w:rsid w:val="005A68A7"/>
    <w:rsid w:val="005D0ED3"/>
    <w:rsid w:val="005D36AB"/>
    <w:rsid w:val="00617CC3"/>
    <w:rsid w:val="006377A6"/>
    <w:rsid w:val="00637A3D"/>
    <w:rsid w:val="006411EF"/>
    <w:rsid w:val="00646BF8"/>
    <w:rsid w:val="00662A57"/>
    <w:rsid w:val="00665106"/>
    <w:rsid w:val="00665F45"/>
    <w:rsid w:val="006748B8"/>
    <w:rsid w:val="006775C3"/>
    <w:rsid w:val="0069290A"/>
    <w:rsid w:val="00695975"/>
    <w:rsid w:val="0069775A"/>
    <w:rsid w:val="00697813"/>
    <w:rsid w:val="006A3EE8"/>
    <w:rsid w:val="006A72BF"/>
    <w:rsid w:val="006B03F2"/>
    <w:rsid w:val="006B273A"/>
    <w:rsid w:val="006B37DC"/>
    <w:rsid w:val="006B4F68"/>
    <w:rsid w:val="006B6AB1"/>
    <w:rsid w:val="006C0592"/>
    <w:rsid w:val="006C272E"/>
    <w:rsid w:val="006C5479"/>
    <w:rsid w:val="006D002D"/>
    <w:rsid w:val="006D13B5"/>
    <w:rsid w:val="006E12FF"/>
    <w:rsid w:val="006E39F7"/>
    <w:rsid w:val="006E4462"/>
    <w:rsid w:val="006E607E"/>
    <w:rsid w:val="006F1D57"/>
    <w:rsid w:val="00706C5D"/>
    <w:rsid w:val="00732922"/>
    <w:rsid w:val="00735098"/>
    <w:rsid w:val="007426F7"/>
    <w:rsid w:val="00743643"/>
    <w:rsid w:val="00743E59"/>
    <w:rsid w:val="007447D2"/>
    <w:rsid w:val="00750888"/>
    <w:rsid w:val="0075162E"/>
    <w:rsid w:val="00754034"/>
    <w:rsid w:val="00754667"/>
    <w:rsid w:val="00756556"/>
    <w:rsid w:val="00756D45"/>
    <w:rsid w:val="007618C4"/>
    <w:rsid w:val="007647C7"/>
    <w:rsid w:val="00767980"/>
    <w:rsid w:val="00770B19"/>
    <w:rsid w:val="0077463F"/>
    <w:rsid w:val="0078341D"/>
    <w:rsid w:val="007836EA"/>
    <w:rsid w:val="00784CDA"/>
    <w:rsid w:val="00787AF3"/>
    <w:rsid w:val="007906C4"/>
    <w:rsid w:val="0079077C"/>
    <w:rsid w:val="007940EA"/>
    <w:rsid w:val="007967E8"/>
    <w:rsid w:val="0079778D"/>
    <w:rsid w:val="007A2170"/>
    <w:rsid w:val="007A22BF"/>
    <w:rsid w:val="007A3323"/>
    <w:rsid w:val="007A4FDB"/>
    <w:rsid w:val="007A6454"/>
    <w:rsid w:val="007B0AF6"/>
    <w:rsid w:val="007B2DFB"/>
    <w:rsid w:val="007B72B8"/>
    <w:rsid w:val="007B7A58"/>
    <w:rsid w:val="007C21B5"/>
    <w:rsid w:val="007C4770"/>
    <w:rsid w:val="007E4BD2"/>
    <w:rsid w:val="007E6DFC"/>
    <w:rsid w:val="00800087"/>
    <w:rsid w:val="00801393"/>
    <w:rsid w:val="00802F88"/>
    <w:rsid w:val="008070F8"/>
    <w:rsid w:val="0081293E"/>
    <w:rsid w:val="00814E17"/>
    <w:rsid w:val="00815465"/>
    <w:rsid w:val="00817E9A"/>
    <w:rsid w:val="00822761"/>
    <w:rsid w:val="00823BBC"/>
    <w:rsid w:val="008306BD"/>
    <w:rsid w:val="00831A80"/>
    <w:rsid w:val="00833743"/>
    <w:rsid w:val="008340A4"/>
    <w:rsid w:val="00857312"/>
    <w:rsid w:val="00860EDE"/>
    <w:rsid w:val="0087135F"/>
    <w:rsid w:val="0087206C"/>
    <w:rsid w:val="00872D94"/>
    <w:rsid w:val="0087372D"/>
    <w:rsid w:val="00880364"/>
    <w:rsid w:val="0088679B"/>
    <w:rsid w:val="00891592"/>
    <w:rsid w:val="00891873"/>
    <w:rsid w:val="00891895"/>
    <w:rsid w:val="00891E9E"/>
    <w:rsid w:val="00893052"/>
    <w:rsid w:val="00895046"/>
    <w:rsid w:val="008A0443"/>
    <w:rsid w:val="008A08EA"/>
    <w:rsid w:val="008A0C0A"/>
    <w:rsid w:val="008A2F68"/>
    <w:rsid w:val="008A7B35"/>
    <w:rsid w:val="008B4FA6"/>
    <w:rsid w:val="008B5282"/>
    <w:rsid w:val="008B7C17"/>
    <w:rsid w:val="008C2D01"/>
    <w:rsid w:val="008C40E6"/>
    <w:rsid w:val="008D0F7A"/>
    <w:rsid w:val="008D3893"/>
    <w:rsid w:val="008D68E4"/>
    <w:rsid w:val="008E0506"/>
    <w:rsid w:val="008E0CFF"/>
    <w:rsid w:val="008E5D6B"/>
    <w:rsid w:val="008E76F0"/>
    <w:rsid w:val="008F15FE"/>
    <w:rsid w:val="008F2D29"/>
    <w:rsid w:val="008F5187"/>
    <w:rsid w:val="008F60D8"/>
    <w:rsid w:val="00902727"/>
    <w:rsid w:val="0090312B"/>
    <w:rsid w:val="0091378B"/>
    <w:rsid w:val="0091562B"/>
    <w:rsid w:val="0091736D"/>
    <w:rsid w:val="00917C41"/>
    <w:rsid w:val="00926EAA"/>
    <w:rsid w:val="0093037A"/>
    <w:rsid w:val="00941125"/>
    <w:rsid w:val="0094154D"/>
    <w:rsid w:val="0095155F"/>
    <w:rsid w:val="00954429"/>
    <w:rsid w:val="009563CE"/>
    <w:rsid w:val="009679DE"/>
    <w:rsid w:val="009750C5"/>
    <w:rsid w:val="00976328"/>
    <w:rsid w:val="0097680D"/>
    <w:rsid w:val="00982066"/>
    <w:rsid w:val="00982438"/>
    <w:rsid w:val="0098404C"/>
    <w:rsid w:val="00985283"/>
    <w:rsid w:val="00990B71"/>
    <w:rsid w:val="0099142F"/>
    <w:rsid w:val="00995992"/>
    <w:rsid w:val="00996186"/>
    <w:rsid w:val="00996333"/>
    <w:rsid w:val="009A03E5"/>
    <w:rsid w:val="009A0F3B"/>
    <w:rsid w:val="009A1BB4"/>
    <w:rsid w:val="009A1C85"/>
    <w:rsid w:val="009A2628"/>
    <w:rsid w:val="009A3200"/>
    <w:rsid w:val="009B0897"/>
    <w:rsid w:val="009B7BD9"/>
    <w:rsid w:val="009C7DD5"/>
    <w:rsid w:val="009D1190"/>
    <w:rsid w:val="009D75FE"/>
    <w:rsid w:val="009E227D"/>
    <w:rsid w:val="009E5019"/>
    <w:rsid w:val="009F1C82"/>
    <w:rsid w:val="009F67FF"/>
    <w:rsid w:val="009F7356"/>
    <w:rsid w:val="00A04F1B"/>
    <w:rsid w:val="00A0501B"/>
    <w:rsid w:val="00A10C76"/>
    <w:rsid w:val="00A124CE"/>
    <w:rsid w:val="00A14947"/>
    <w:rsid w:val="00A26AE7"/>
    <w:rsid w:val="00A32A83"/>
    <w:rsid w:val="00A35E96"/>
    <w:rsid w:val="00A368DB"/>
    <w:rsid w:val="00A423AA"/>
    <w:rsid w:val="00A53EC6"/>
    <w:rsid w:val="00A55C0F"/>
    <w:rsid w:val="00A65DF7"/>
    <w:rsid w:val="00A74E2F"/>
    <w:rsid w:val="00A8713F"/>
    <w:rsid w:val="00A90BA1"/>
    <w:rsid w:val="00A924B3"/>
    <w:rsid w:val="00A95F82"/>
    <w:rsid w:val="00A97A9A"/>
    <w:rsid w:val="00AA0671"/>
    <w:rsid w:val="00AA0A59"/>
    <w:rsid w:val="00AA2531"/>
    <w:rsid w:val="00AB0A0E"/>
    <w:rsid w:val="00AB19B5"/>
    <w:rsid w:val="00AB1E09"/>
    <w:rsid w:val="00AB5330"/>
    <w:rsid w:val="00AB7747"/>
    <w:rsid w:val="00AC13EC"/>
    <w:rsid w:val="00AC14CE"/>
    <w:rsid w:val="00AC2A56"/>
    <w:rsid w:val="00AD055E"/>
    <w:rsid w:val="00AD47A7"/>
    <w:rsid w:val="00AD7728"/>
    <w:rsid w:val="00AF0CBF"/>
    <w:rsid w:val="00AF257F"/>
    <w:rsid w:val="00AF33CF"/>
    <w:rsid w:val="00AF4D50"/>
    <w:rsid w:val="00AF6179"/>
    <w:rsid w:val="00B0535B"/>
    <w:rsid w:val="00B06DF3"/>
    <w:rsid w:val="00B1295A"/>
    <w:rsid w:val="00B1482A"/>
    <w:rsid w:val="00B20A45"/>
    <w:rsid w:val="00B22C5C"/>
    <w:rsid w:val="00B233D3"/>
    <w:rsid w:val="00B24F30"/>
    <w:rsid w:val="00B26839"/>
    <w:rsid w:val="00B306B9"/>
    <w:rsid w:val="00B31ABF"/>
    <w:rsid w:val="00B33BE3"/>
    <w:rsid w:val="00B33C0C"/>
    <w:rsid w:val="00B50EBB"/>
    <w:rsid w:val="00B53B5D"/>
    <w:rsid w:val="00B6055E"/>
    <w:rsid w:val="00B6317D"/>
    <w:rsid w:val="00B71137"/>
    <w:rsid w:val="00B73F25"/>
    <w:rsid w:val="00B7723F"/>
    <w:rsid w:val="00B80396"/>
    <w:rsid w:val="00B80534"/>
    <w:rsid w:val="00B8433C"/>
    <w:rsid w:val="00B87491"/>
    <w:rsid w:val="00B91012"/>
    <w:rsid w:val="00B91FD6"/>
    <w:rsid w:val="00BA2077"/>
    <w:rsid w:val="00BA29E9"/>
    <w:rsid w:val="00BA669C"/>
    <w:rsid w:val="00BA7142"/>
    <w:rsid w:val="00BB237C"/>
    <w:rsid w:val="00BB41A3"/>
    <w:rsid w:val="00BB7BCB"/>
    <w:rsid w:val="00BC32DC"/>
    <w:rsid w:val="00BC35B6"/>
    <w:rsid w:val="00BD1B51"/>
    <w:rsid w:val="00BD4596"/>
    <w:rsid w:val="00BD5673"/>
    <w:rsid w:val="00BE1405"/>
    <w:rsid w:val="00BE312D"/>
    <w:rsid w:val="00BF1973"/>
    <w:rsid w:val="00BF1C20"/>
    <w:rsid w:val="00BF25C2"/>
    <w:rsid w:val="00BF6F0C"/>
    <w:rsid w:val="00C10578"/>
    <w:rsid w:val="00C10F02"/>
    <w:rsid w:val="00C135BC"/>
    <w:rsid w:val="00C15C95"/>
    <w:rsid w:val="00C2596A"/>
    <w:rsid w:val="00C27537"/>
    <w:rsid w:val="00C31040"/>
    <w:rsid w:val="00C328FE"/>
    <w:rsid w:val="00C33507"/>
    <w:rsid w:val="00C4409D"/>
    <w:rsid w:val="00C44E72"/>
    <w:rsid w:val="00C45A06"/>
    <w:rsid w:val="00C47E5B"/>
    <w:rsid w:val="00C61E4B"/>
    <w:rsid w:val="00C6220B"/>
    <w:rsid w:val="00C64BFF"/>
    <w:rsid w:val="00C704E9"/>
    <w:rsid w:val="00C763C9"/>
    <w:rsid w:val="00C80057"/>
    <w:rsid w:val="00C802C1"/>
    <w:rsid w:val="00C82232"/>
    <w:rsid w:val="00C82913"/>
    <w:rsid w:val="00C972B1"/>
    <w:rsid w:val="00CA2141"/>
    <w:rsid w:val="00CA2CCE"/>
    <w:rsid w:val="00CA43FD"/>
    <w:rsid w:val="00CA7EF8"/>
    <w:rsid w:val="00CB2100"/>
    <w:rsid w:val="00CB449E"/>
    <w:rsid w:val="00CC2713"/>
    <w:rsid w:val="00CC489B"/>
    <w:rsid w:val="00CC7F19"/>
    <w:rsid w:val="00CD2BCD"/>
    <w:rsid w:val="00CD3A4C"/>
    <w:rsid w:val="00CE10E9"/>
    <w:rsid w:val="00CE1EBA"/>
    <w:rsid w:val="00CE2910"/>
    <w:rsid w:val="00CE5393"/>
    <w:rsid w:val="00CF36BE"/>
    <w:rsid w:val="00CF6000"/>
    <w:rsid w:val="00D00133"/>
    <w:rsid w:val="00D003F3"/>
    <w:rsid w:val="00D0364F"/>
    <w:rsid w:val="00D06834"/>
    <w:rsid w:val="00D15217"/>
    <w:rsid w:val="00D21DF3"/>
    <w:rsid w:val="00D22016"/>
    <w:rsid w:val="00D308ED"/>
    <w:rsid w:val="00D32104"/>
    <w:rsid w:val="00D33FCD"/>
    <w:rsid w:val="00D36D86"/>
    <w:rsid w:val="00D378C9"/>
    <w:rsid w:val="00D428AA"/>
    <w:rsid w:val="00D46486"/>
    <w:rsid w:val="00D46988"/>
    <w:rsid w:val="00D50A34"/>
    <w:rsid w:val="00D50DD2"/>
    <w:rsid w:val="00D53EFA"/>
    <w:rsid w:val="00D63336"/>
    <w:rsid w:val="00D821C2"/>
    <w:rsid w:val="00D94A7C"/>
    <w:rsid w:val="00D95896"/>
    <w:rsid w:val="00DA0BFD"/>
    <w:rsid w:val="00DA6716"/>
    <w:rsid w:val="00DB2983"/>
    <w:rsid w:val="00DC1257"/>
    <w:rsid w:val="00DC3DC0"/>
    <w:rsid w:val="00DC5B2B"/>
    <w:rsid w:val="00DD2428"/>
    <w:rsid w:val="00DD318D"/>
    <w:rsid w:val="00DE3A20"/>
    <w:rsid w:val="00DE4ABB"/>
    <w:rsid w:val="00DE62F5"/>
    <w:rsid w:val="00DF2E12"/>
    <w:rsid w:val="00DF514A"/>
    <w:rsid w:val="00DF6690"/>
    <w:rsid w:val="00DF6804"/>
    <w:rsid w:val="00E00992"/>
    <w:rsid w:val="00E0358D"/>
    <w:rsid w:val="00E04323"/>
    <w:rsid w:val="00E06BCA"/>
    <w:rsid w:val="00E070A2"/>
    <w:rsid w:val="00E11B0C"/>
    <w:rsid w:val="00E24619"/>
    <w:rsid w:val="00E2656A"/>
    <w:rsid w:val="00E35ECF"/>
    <w:rsid w:val="00E410C3"/>
    <w:rsid w:val="00E412D0"/>
    <w:rsid w:val="00E519BB"/>
    <w:rsid w:val="00E52699"/>
    <w:rsid w:val="00E56322"/>
    <w:rsid w:val="00E5757A"/>
    <w:rsid w:val="00E6073E"/>
    <w:rsid w:val="00E60982"/>
    <w:rsid w:val="00E62C62"/>
    <w:rsid w:val="00E654C1"/>
    <w:rsid w:val="00E6597B"/>
    <w:rsid w:val="00E65D97"/>
    <w:rsid w:val="00E67675"/>
    <w:rsid w:val="00E72A5A"/>
    <w:rsid w:val="00E73354"/>
    <w:rsid w:val="00E9242D"/>
    <w:rsid w:val="00EB1E2E"/>
    <w:rsid w:val="00EB5255"/>
    <w:rsid w:val="00EB5C47"/>
    <w:rsid w:val="00EB5E42"/>
    <w:rsid w:val="00ED0639"/>
    <w:rsid w:val="00ED15D0"/>
    <w:rsid w:val="00ED7E62"/>
    <w:rsid w:val="00EE13A0"/>
    <w:rsid w:val="00EE2CE5"/>
    <w:rsid w:val="00EE5464"/>
    <w:rsid w:val="00EF2443"/>
    <w:rsid w:val="00EF4755"/>
    <w:rsid w:val="00EF7135"/>
    <w:rsid w:val="00F012FA"/>
    <w:rsid w:val="00F027DB"/>
    <w:rsid w:val="00F02EA8"/>
    <w:rsid w:val="00F0575E"/>
    <w:rsid w:val="00F06FD9"/>
    <w:rsid w:val="00F07472"/>
    <w:rsid w:val="00F14A7A"/>
    <w:rsid w:val="00F16007"/>
    <w:rsid w:val="00F22985"/>
    <w:rsid w:val="00F31CA8"/>
    <w:rsid w:val="00F3383E"/>
    <w:rsid w:val="00F3663C"/>
    <w:rsid w:val="00F37B1F"/>
    <w:rsid w:val="00F42CC1"/>
    <w:rsid w:val="00F43D49"/>
    <w:rsid w:val="00F465A7"/>
    <w:rsid w:val="00F50B7C"/>
    <w:rsid w:val="00F51605"/>
    <w:rsid w:val="00F53729"/>
    <w:rsid w:val="00F550E6"/>
    <w:rsid w:val="00F74345"/>
    <w:rsid w:val="00F7690F"/>
    <w:rsid w:val="00F80A0A"/>
    <w:rsid w:val="00F82B19"/>
    <w:rsid w:val="00F867A5"/>
    <w:rsid w:val="00F9212D"/>
    <w:rsid w:val="00F965DA"/>
    <w:rsid w:val="00FA3DE1"/>
    <w:rsid w:val="00FA406A"/>
    <w:rsid w:val="00FB503A"/>
    <w:rsid w:val="00FB516C"/>
    <w:rsid w:val="00FC7606"/>
    <w:rsid w:val="00FD0236"/>
    <w:rsid w:val="00FD18F4"/>
    <w:rsid w:val="00FD54DB"/>
    <w:rsid w:val="00FD619F"/>
    <w:rsid w:val="00FD61B1"/>
    <w:rsid w:val="00FE2868"/>
    <w:rsid w:val="00FE428A"/>
    <w:rsid w:val="00FE7C2E"/>
    <w:rsid w:val="00FF1B87"/>
    <w:rsid w:val="01227598"/>
    <w:rsid w:val="01290F7E"/>
    <w:rsid w:val="01564E84"/>
    <w:rsid w:val="015D1E09"/>
    <w:rsid w:val="01DF4AC5"/>
    <w:rsid w:val="01FC2C14"/>
    <w:rsid w:val="02697903"/>
    <w:rsid w:val="02B450B1"/>
    <w:rsid w:val="02B979FB"/>
    <w:rsid w:val="02DC1D6C"/>
    <w:rsid w:val="02F96569"/>
    <w:rsid w:val="030F7085"/>
    <w:rsid w:val="03637979"/>
    <w:rsid w:val="03857AFE"/>
    <w:rsid w:val="03922E78"/>
    <w:rsid w:val="03DB0928"/>
    <w:rsid w:val="03EA7B21"/>
    <w:rsid w:val="041562C5"/>
    <w:rsid w:val="04335626"/>
    <w:rsid w:val="04365896"/>
    <w:rsid w:val="049170BC"/>
    <w:rsid w:val="04A969ED"/>
    <w:rsid w:val="04B645C6"/>
    <w:rsid w:val="04DF66E0"/>
    <w:rsid w:val="051007D6"/>
    <w:rsid w:val="051554AC"/>
    <w:rsid w:val="052553AB"/>
    <w:rsid w:val="05845E60"/>
    <w:rsid w:val="05F83EAE"/>
    <w:rsid w:val="06061352"/>
    <w:rsid w:val="062C0ED5"/>
    <w:rsid w:val="062C37F1"/>
    <w:rsid w:val="063E7D85"/>
    <w:rsid w:val="0692420C"/>
    <w:rsid w:val="07293586"/>
    <w:rsid w:val="07295285"/>
    <w:rsid w:val="07610A28"/>
    <w:rsid w:val="07636392"/>
    <w:rsid w:val="07770C56"/>
    <w:rsid w:val="079D621E"/>
    <w:rsid w:val="07AA5356"/>
    <w:rsid w:val="07C6267E"/>
    <w:rsid w:val="07D37B14"/>
    <w:rsid w:val="07F90F90"/>
    <w:rsid w:val="08205773"/>
    <w:rsid w:val="086A5A93"/>
    <w:rsid w:val="08EB56C2"/>
    <w:rsid w:val="092217DD"/>
    <w:rsid w:val="093A7294"/>
    <w:rsid w:val="094B62FF"/>
    <w:rsid w:val="09623B3D"/>
    <w:rsid w:val="09641EE4"/>
    <w:rsid w:val="09730E28"/>
    <w:rsid w:val="09907084"/>
    <w:rsid w:val="0992752A"/>
    <w:rsid w:val="09C1083F"/>
    <w:rsid w:val="09EB7C1C"/>
    <w:rsid w:val="09EC3CEA"/>
    <w:rsid w:val="09F309CD"/>
    <w:rsid w:val="0A263993"/>
    <w:rsid w:val="0A2D3AC2"/>
    <w:rsid w:val="0A61507D"/>
    <w:rsid w:val="0AA755DF"/>
    <w:rsid w:val="0AA77E1C"/>
    <w:rsid w:val="0B120D44"/>
    <w:rsid w:val="0B35660D"/>
    <w:rsid w:val="0BBB79EF"/>
    <w:rsid w:val="0BD27BF6"/>
    <w:rsid w:val="0BE45167"/>
    <w:rsid w:val="0C26145F"/>
    <w:rsid w:val="0C3B3C7D"/>
    <w:rsid w:val="0C702935"/>
    <w:rsid w:val="0C916F51"/>
    <w:rsid w:val="0C94019B"/>
    <w:rsid w:val="0CA8407A"/>
    <w:rsid w:val="0CAB2EAE"/>
    <w:rsid w:val="0CB01660"/>
    <w:rsid w:val="0CD84F87"/>
    <w:rsid w:val="0CDB3000"/>
    <w:rsid w:val="0CE45ACD"/>
    <w:rsid w:val="0CFC2089"/>
    <w:rsid w:val="0D18237C"/>
    <w:rsid w:val="0D4B211D"/>
    <w:rsid w:val="0D621C7D"/>
    <w:rsid w:val="0DFD26B4"/>
    <w:rsid w:val="0E286250"/>
    <w:rsid w:val="0E4453C0"/>
    <w:rsid w:val="0E73034D"/>
    <w:rsid w:val="0EC817E1"/>
    <w:rsid w:val="0EE859DF"/>
    <w:rsid w:val="0F13775A"/>
    <w:rsid w:val="0F145350"/>
    <w:rsid w:val="0F160BEE"/>
    <w:rsid w:val="0F2712BD"/>
    <w:rsid w:val="0F52539A"/>
    <w:rsid w:val="0F5F45FE"/>
    <w:rsid w:val="0F9A112B"/>
    <w:rsid w:val="0FCC2EAF"/>
    <w:rsid w:val="106D2F64"/>
    <w:rsid w:val="10801075"/>
    <w:rsid w:val="10B227D0"/>
    <w:rsid w:val="10B4201D"/>
    <w:rsid w:val="10B63710"/>
    <w:rsid w:val="10F10820"/>
    <w:rsid w:val="111C2F7A"/>
    <w:rsid w:val="11281EA0"/>
    <w:rsid w:val="112F20DB"/>
    <w:rsid w:val="11665CA1"/>
    <w:rsid w:val="117235D8"/>
    <w:rsid w:val="12294570"/>
    <w:rsid w:val="12405278"/>
    <w:rsid w:val="12DF5EA8"/>
    <w:rsid w:val="13140A8D"/>
    <w:rsid w:val="1377736E"/>
    <w:rsid w:val="13864B47"/>
    <w:rsid w:val="138D4F3E"/>
    <w:rsid w:val="13951726"/>
    <w:rsid w:val="13E6334A"/>
    <w:rsid w:val="14396509"/>
    <w:rsid w:val="145F7272"/>
    <w:rsid w:val="147C1E0E"/>
    <w:rsid w:val="14DD2C3C"/>
    <w:rsid w:val="15EA708F"/>
    <w:rsid w:val="16087E1D"/>
    <w:rsid w:val="16386746"/>
    <w:rsid w:val="16B309BD"/>
    <w:rsid w:val="16C25D4A"/>
    <w:rsid w:val="172A7912"/>
    <w:rsid w:val="17554825"/>
    <w:rsid w:val="17680005"/>
    <w:rsid w:val="17701D14"/>
    <w:rsid w:val="1773343B"/>
    <w:rsid w:val="17735226"/>
    <w:rsid w:val="178501E1"/>
    <w:rsid w:val="17875096"/>
    <w:rsid w:val="17944CC1"/>
    <w:rsid w:val="17983597"/>
    <w:rsid w:val="17B57722"/>
    <w:rsid w:val="18793362"/>
    <w:rsid w:val="189F624C"/>
    <w:rsid w:val="18D73476"/>
    <w:rsid w:val="192454D0"/>
    <w:rsid w:val="193D0846"/>
    <w:rsid w:val="19466FD2"/>
    <w:rsid w:val="1959220D"/>
    <w:rsid w:val="19BC6BE6"/>
    <w:rsid w:val="1A0B5B68"/>
    <w:rsid w:val="1A1C66C0"/>
    <w:rsid w:val="1A31573B"/>
    <w:rsid w:val="1A42393B"/>
    <w:rsid w:val="1A4B6BC8"/>
    <w:rsid w:val="1A5D6DEC"/>
    <w:rsid w:val="1A65054E"/>
    <w:rsid w:val="1A722A72"/>
    <w:rsid w:val="1AAD45DE"/>
    <w:rsid w:val="1AFA362D"/>
    <w:rsid w:val="1B046F80"/>
    <w:rsid w:val="1B1E1836"/>
    <w:rsid w:val="1B3267B5"/>
    <w:rsid w:val="1B40161D"/>
    <w:rsid w:val="1B441859"/>
    <w:rsid w:val="1B445866"/>
    <w:rsid w:val="1B6606B1"/>
    <w:rsid w:val="1B7C42A0"/>
    <w:rsid w:val="1B882F85"/>
    <w:rsid w:val="1B951612"/>
    <w:rsid w:val="1C4701E9"/>
    <w:rsid w:val="1C5E7925"/>
    <w:rsid w:val="1CEE511C"/>
    <w:rsid w:val="1CEF7A29"/>
    <w:rsid w:val="1CFD070F"/>
    <w:rsid w:val="1D1B797B"/>
    <w:rsid w:val="1D420417"/>
    <w:rsid w:val="1D5F6196"/>
    <w:rsid w:val="1D6132A5"/>
    <w:rsid w:val="1D6F3190"/>
    <w:rsid w:val="1D7A385C"/>
    <w:rsid w:val="1D8913CD"/>
    <w:rsid w:val="1D8E56D5"/>
    <w:rsid w:val="1D9D6DE6"/>
    <w:rsid w:val="1DDC1E78"/>
    <w:rsid w:val="1E09602D"/>
    <w:rsid w:val="1E7A43DA"/>
    <w:rsid w:val="1E7D6517"/>
    <w:rsid w:val="1E911BF9"/>
    <w:rsid w:val="1E9A4F48"/>
    <w:rsid w:val="1E9D7C88"/>
    <w:rsid w:val="1EC3265C"/>
    <w:rsid w:val="1EE23AE8"/>
    <w:rsid w:val="1F50748C"/>
    <w:rsid w:val="1F574EAF"/>
    <w:rsid w:val="1FAD76CB"/>
    <w:rsid w:val="1FE7539E"/>
    <w:rsid w:val="20050915"/>
    <w:rsid w:val="2065239E"/>
    <w:rsid w:val="20671BE0"/>
    <w:rsid w:val="20963CB8"/>
    <w:rsid w:val="20A81A1B"/>
    <w:rsid w:val="20AA0D51"/>
    <w:rsid w:val="20B07FB6"/>
    <w:rsid w:val="20B646FB"/>
    <w:rsid w:val="20CD3587"/>
    <w:rsid w:val="213B74B1"/>
    <w:rsid w:val="215A2310"/>
    <w:rsid w:val="21B20B7B"/>
    <w:rsid w:val="21DE318A"/>
    <w:rsid w:val="21EF5B80"/>
    <w:rsid w:val="220E5907"/>
    <w:rsid w:val="221A233F"/>
    <w:rsid w:val="222018DF"/>
    <w:rsid w:val="22435CC1"/>
    <w:rsid w:val="22576990"/>
    <w:rsid w:val="22890241"/>
    <w:rsid w:val="22B12987"/>
    <w:rsid w:val="22D0217D"/>
    <w:rsid w:val="22F47480"/>
    <w:rsid w:val="22F8223D"/>
    <w:rsid w:val="22F85FE7"/>
    <w:rsid w:val="23930741"/>
    <w:rsid w:val="23985163"/>
    <w:rsid w:val="23B400ED"/>
    <w:rsid w:val="23CF7322"/>
    <w:rsid w:val="23DE1C48"/>
    <w:rsid w:val="23DF6AFA"/>
    <w:rsid w:val="23FB0133"/>
    <w:rsid w:val="240210CD"/>
    <w:rsid w:val="24426832"/>
    <w:rsid w:val="2450122B"/>
    <w:rsid w:val="246177EF"/>
    <w:rsid w:val="248F097F"/>
    <w:rsid w:val="24BF09F7"/>
    <w:rsid w:val="24F2155B"/>
    <w:rsid w:val="252D53FE"/>
    <w:rsid w:val="25893A39"/>
    <w:rsid w:val="25EA1B17"/>
    <w:rsid w:val="25EC2D81"/>
    <w:rsid w:val="25F5423F"/>
    <w:rsid w:val="263574E7"/>
    <w:rsid w:val="26AE20DA"/>
    <w:rsid w:val="26EF59CD"/>
    <w:rsid w:val="27133FC2"/>
    <w:rsid w:val="272825D5"/>
    <w:rsid w:val="273F05F2"/>
    <w:rsid w:val="2753659C"/>
    <w:rsid w:val="277057A2"/>
    <w:rsid w:val="2863174C"/>
    <w:rsid w:val="28F22499"/>
    <w:rsid w:val="29206EB8"/>
    <w:rsid w:val="292264BC"/>
    <w:rsid w:val="293C57B9"/>
    <w:rsid w:val="29595666"/>
    <w:rsid w:val="29874881"/>
    <w:rsid w:val="29E325E0"/>
    <w:rsid w:val="29E503D9"/>
    <w:rsid w:val="2A42095B"/>
    <w:rsid w:val="2A452503"/>
    <w:rsid w:val="2A460527"/>
    <w:rsid w:val="2A775107"/>
    <w:rsid w:val="2A86669F"/>
    <w:rsid w:val="2AEB575F"/>
    <w:rsid w:val="2B8272D3"/>
    <w:rsid w:val="2BA936A8"/>
    <w:rsid w:val="2BE708E5"/>
    <w:rsid w:val="2BEE242F"/>
    <w:rsid w:val="2C1D7805"/>
    <w:rsid w:val="2C315A5A"/>
    <w:rsid w:val="2C4B1C25"/>
    <w:rsid w:val="2C6D7701"/>
    <w:rsid w:val="2C8656C3"/>
    <w:rsid w:val="2C8A5DC3"/>
    <w:rsid w:val="2CAC47CF"/>
    <w:rsid w:val="2D0A3299"/>
    <w:rsid w:val="2D0C2B7F"/>
    <w:rsid w:val="2D233BBA"/>
    <w:rsid w:val="2D565A33"/>
    <w:rsid w:val="2D9E56F5"/>
    <w:rsid w:val="2DB50A0E"/>
    <w:rsid w:val="2E214100"/>
    <w:rsid w:val="2E4049E5"/>
    <w:rsid w:val="2E56068A"/>
    <w:rsid w:val="2E667F96"/>
    <w:rsid w:val="2E8226AB"/>
    <w:rsid w:val="2E915826"/>
    <w:rsid w:val="2EBF5FE3"/>
    <w:rsid w:val="2EDC2A13"/>
    <w:rsid w:val="2EEB21C5"/>
    <w:rsid w:val="2F051CFB"/>
    <w:rsid w:val="2F6F6B5F"/>
    <w:rsid w:val="2F967065"/>
    <w:rsid w:val="2FD065E6"/>
    <w:rsid w:val="2FD96870"/>
    <w:rsid w:val="30580BC9"/>
    <w:rsid w:val="306727B0"/>
    <w:rsid w:val="3082422C"/>
    <w:rsid w:val="309A4F36"/>
    <w:rsid w:val="30A31D70"/>
    <w:rsid w:val="30B936BA"/>
    <w:rsid w:val="30E63752"/>
    <w:rsid w:val="311E2ED7"/>
    <w:rsid w:val="31350B00"/>
    <w:rsid w:val="31351CC3"/>
    <w:rsid w:val="31444F51"/>
    <w:rsid w:val="315619EE"/>
    <w:rsid w:val="315C449C"/>
    <w:rsid w:val="31B82709"/>
    <w:rsid w:val="31C24693"/>
    <w:rsid w:val="31D05482"/>
    <w:rsid w:val="32400B34"/>
    <w:rsid w:val="324500FA"/>
    <w:rsid w:val="32557BE0"/>
    <w:rsid w:val="328A39DE"/>
    <w:rsid w:val="328C1C6A"/>
    <w:rsid w:val="329E6876"/>
    <w:rsid w:val="32C744D1"/>
    <w:rsid w:val="32D1365E"/>
    <w:rsid w:val="32EF21DB"/>
    <w:rsid w:val="33166528"/>
    <w:rsid w:val="333015F2"/>
    <w:rsid w:val="334B6320"/>
    <w:rsid w:val="33D152ED"/>
    <w:rsid w:val="33D934D4"/>
    <w:rsid w:val="33FE2F6A"/>
    <w:rsid w:val="340E07E5"/>
    <w:rsid w:val="341D4114"/>
    <w:rsid w:val="34235BF7"/>
    <w:rsid w:val="345B15C3"/>
    <w:rsid w:val="349863DD"/>
    <w:rsid w:val="34A256E6"/>
    <w:rsid w:val="34B851D8"/>
    <w:rsid w:val="350150D9"/>
    <w:rsid w:val="352C0254"/>
    <w:rsid w:val="352F0298"/>
    <w:rsid w:val="355218FD"/>
    <w:rsid w:val="35657234"/>
    <w:rsid w:val="358C5FA8"/>
    <w:rsid w:val="35C15DF1"/>
    <w:rsid w:val="36074A7F"/>
    <w:rsid w:val="3655031B"/>
    <w:rsid w:val="365843BD"/>
    <w:rsid w:val="36655624"/>
    <w:rsid w:val="368D1FE6"/>
    <w:rsid w:val="36923549"/>
    <w:rsid w:val="36B75FBF"/>
    <w:rsid w:val="36BD0C45"/>
    <w:rsid w:val="36DD4A37"/>
    <w:rsid w:val="36E64501"/>
    <w:rsid w:val="37654C21"/>
    <w:rsid w:val="37E00298"/>
    <w:rsid w:val="37EB32A4"/>
    <w:rsid w:val="38252D7A"/>
    <w:rsid w:val="382E5249"/>
    <w:rsid w:val="38560EEA"/>
    <w:rsid w:val="38B302F9"/>
    <w:rsid w:val="38F12CD3"/>
    <w:rsid w:val="38F94775"/>
    <w:rsid w:val="392971ED"/>
    <w:rsid w:val="39325651"/>
    <w:rsid w:val="3952096E"/>
    <w:rsid w:val="39DB6684"/>
    <w:rsid w:val="3A0D3242"/>
    <w:rsid w:val="3A6D2477"/>
    <w:rsid w:val="3A872856"/>
    <w:rsid w:val="3AB05BCC"/>
    <w:rsid w:val="3AB17CA1"/>
    <w:rsid w:val="3AC87503"/>
    <w:rsid w:val="3AD64C7A"/>
    <w:rsid w:val="3B066B81"/>
    <w:rsid w:val="3B3763D1"/>
    <w:rsid w:val="3B5056C1"/>
    <w:rsid w:val="3B8B60F4"/>
    <w:rsid w:val="3C2F6E1E"/>
    <w:rsid w:val="3C487B0C"/>
    <w:rsid w:val="3C4F64BA"/>
    <w:rsid w:val="3C794205"/>
    <w:rsid w:val="3C914FE5"/>
    <w:rsid w:val="3CA0384C"/>
    <w:rsid w:val="3CB9475D"/>
    <w:rsid w:val="3CCA5C42"/>
    <w:rsid w:val="3CDA245A"/>
    <w:rsid w:val="3D09641D"/>
    <w:rsid w:val="3D1E06B7"/>
    <w:rsid w:val="3D574544"/>
    <w:rsid w:val="3D5947CB"/>
    <w:rsid w:val="3DAA1F2D"/>
    <w:rsid w:val="3DBE572B"/>
    <w:rsid w:val="3E0F245F"/>
    <w:rsid w:val="3E43240E"/>
    <w:rsid w:val="3EDA0523"/>
    <w:rsid w:val="3F247597"/>
    <w:rsid w:val="3F6C1585"/>
    <w:rsid w:val="3FAF634B"/>
    <w:rsid w:val="3FB21E51"/>
    <w:rsid w:val="3FB7730E"/>
    <w:rsid w:val="3FF43B4D"/>
    <w:rsid w:val="407A6407"/>
    <w:rsid w:val="407D64BA"/>
    <w:rsid w:val="408E207A"/>
    <w:rsid w:val="40AB77B0"/>
    <w:rsid w:val="40FA2C15"/>
    <w:rsid w:val="40FC55CF"/>
    <w:rsid w:val="41511887"/>
    <w:rsid w:val="416329BB"/>
    <w:rsid w:val="416725F9"/>
    <w:rsid w:val="4172051C"/>
    <w:rsid w:val="418D2FE1"/>
    <w:rsid w:val="41A33A59"/>
    <w:rsid w:val="41A72997"/>
    <w:rsid w:val="41BB0853"/>
    <w:rsid w:val="41FB71FC"/>
    <w:rsid w:val="4200449D"/>
    <w:rsid w:val="42024D96"/>
    <w:rsid w:val="420512D9"/>
    <w:rsid w:val="423328C1"/>
    <w:rsid w:val="423A3BCC"/>
    <w:rsid w:val="42480853"/>
    <w:rsid w:val="424E57D2"/>
    <w:rsid w:val="42B26C49"/>
    <w:rsid w:val="42BE40F3"/>
    <w:rsid w:val="42C37786"/>
    <w:rsid w:val="42F3583F"/>
    <w:rsid w:val="433A6FE6"/>
    <w:rsid w:val="43480868"/>
    <w:rsid w:val="4350713C"/>
    <w:rsid w:val="436653E0"/>
    <w:rsid w:val="43C4431A"/>
    <w:rsid w:val="43F90B71"/>
    <w:rsid w:val="44B951CC"/>
    <w:rsid w:val="44CD14E0"/>
    <w:rsid w:val="44F20B0B"/>
    <w:rsid w:val="450F3336"/>
    <w:rsid w:val="452E5F4C"/>
    <w:rsid w:val="453E6070"/>
    <w:rsid w:val="454E7EAC"/>
    <w:rsid w:val="45612018"/>
    <w:rsid w:val="458946E9"/>
    <w:rsid w:val="45A47C0E"/>
    <w:rsid w:val="461012D0"/>
    <w:rsid w:val="46577FD6"/>
    <w:rsid w:val="465A620E"/>
    <w:rsid w:val="4667014E"/>
    <w:rsid w:val="466B29C2"/>
    <w:rsid w:val="46B3139D"/>
    <w:rsid w:val="46C40504"/>
    <w:rsid w:val="46D955A7"/>
    <w:rsid w:val="46D9754C"/>
    <w:rsid w:val="46E520F3"/>
    <w:rsid w:val="46F10BCE"/>
    <w:rsid w:val="47133957"/>
    <w:rsid w:val="47252890"/>
    <w:rsid w:val="47A07E0C"/>
    <w:rsid w:val="47DD5BC5"/>
    <w:rsid w:val="4854626F"/>
    <w:rsid w:val="4870272E"/>
    <w:rsid w:val="48715372"/>
    <w:rsid w:val="48BB5360"/>
    <w:rsid w:val="48CB1D31"/>
    <w:rsid w:val="48DB67D2"/>
    <w:rsid w:val="494616A5"/>
    <w:rsid w:val="49546B71"/>
    <w:rsid w:val="498830DA"/>
    <w:rsid w:val="498D744A"/>
    <w:rsid w:val="49944B81"/>
    <w:rsid w:val="49DC7715"/>
    <w:rsid w:val="4A023139"/>
    <w:rsid w:val="4A775DC3"/>
    <w:rsid w:val="4A7B576F"/>
    <w:rsid w:val="4A9A5DB6"/>
    <w:rsid w:val="4AE27323"/>
    <w:rsid w:val="4AF561A9"/>
    <w:rsid w:val="4B245A16"/>
    <w:rsid w:val="4B503D6A"/>
    <w:rsid w:val="4B7C3D31"/>
    <w:rsid w:val="4BDD0E52"/>
    <w:rsid w:val="4C3020C8"/>
    <w:rsid w:val="4C3565F6"/>
    <w:rsid w:val="4C4A0649"/>
    <w:rsid w:val="4C4C5F11"/>
    <w:rsid w:val="4C7C6200"/>
    <w:rsid w:val="4C7E5ECA"/>
    <w:rsid w:val="4C876AA5"/>
    <w:rsid w:val="4D0E00FB"/>
    <w:rsid w:val="4D176606"/>
    <w:rsid w:val="4D9E3BB8"/>
    <w:rsid w:val="4DEC4FB0"/>
    <w:rsid w:val="4E075D8A"/>
    <w:rsid w:val="4E102368"/>
    <w:rsid w:val="4EC00FAD"/>
    <w:rsid w:val="4EF303B6"/>
    <w:rsid w:val="4F1C0F1D"/>
    <w:rsid w:val="4F2574EC"/>
    <w:rsid w:val="4F2735BC"/>
    <w:rsid w:val="4F2B19CB"/>
    <w:rsid w:val="4F36608E"/>
    <w:rsid w:val="4F735CA2"/>
    <w:rsid w:val="4F924590"/>
    <w:rsid w:val="4F9843DC"/>
    <w:rsid w:val="4FC62A8C"/>
    <w:rsid w:val="4FE20F0D"/>
    <w:rsid w:val="4FE51552"/>
    <w:rsid w:val="50054A4A"/>
    <w:rsid w:val="500B3F35"/>
    <w:rsid w:val="503F3BEC"/>
    <w:rsid w:val="50504C4B"/>
    <w:rsid w:val="50600491"/>
    <w:rsid w:val="50635CC4"/>
    <w:rsid w:val="507A4180"/>
    <w:rsid w:val="50826C87"/>
    <w:rsid w:val="509C6E7C"/>
    <w:rsid w:val="50A545DB"/>
    <w:rsid w:val="514033EC"/>
    <w:rsid w:val="5162104E"/>
    <w:rsid w:val="5172254B"/>
    <w:rsid w:val="51C82DA2"/>
    <w:rsid w:val="52255114"/>
    <w:rsid w:val="52773995"/>
    <w:rsid w:val="528C45CC"/>
    <w:rsid w:val="53230ED0"/>
    <w:rsid w:val="53514E1F"/>
    <w:rsid w:val="53582700"/>
    <w:rsid w:val="53615ED2"/>
    <w:rsid w:val="53743C1B"/>
    <w:rsid w:val="53A039CC"/>
    <w:rsid w:val="53A1505A"/>
    <w:rsid w:val="53FC14B2"/>
    <w:rsid w:val="54063E08"/>
    <w:rsid w:val="543437E8"/>
    <w:rsid w:val="544951A0"/>
    <w:rsid w:val="54747D6F"/>
    <w:rsid w:val="547A0454"/>
    <w:rsid w:val="54A80430"/>
    <w:rsid w:val="54AF0B66"/>
    <w:rsid w:val="54E76F8B"/>
    <w:rsid w:val="54F73313"/>
    <w:rsid w:val="54F80955"/>
    <w:rsid w:val="55415246"/>
    <w:rsid w:val="555170A7"/>
    <w:rsid w:val="5587536D"/>
    <w:rsid w:val="55985036"/>
    <w:rsid w:val="559B174B"/>
    <w:rsid w:val="55BD502A"/>
    <w:rsid w:val="55C06FA0"/>
    <w:rsid w:val="55C777EF"/>
    <w:rsid w:val="55CE0CF4"/>
    <w:rsid w:val="55DF4019"/>
    <w:rsid w:val="55E3523C"/>
    <w:rsid w:val="562C3D97"/>
    <w:rsid w:val="566A6D41"/>
    <w:rsid w:val="567028EE"/>
    <w:rsid w:val="56830661"/>
    <w:rsid w:val="568526C9"/>
    <w:rsid w:val="56A45695"/>
    <w:rsid w:val="56B22A9C"/>
    <w:rsid w:val="56BB5FBF"/>
    <w:rsid w:val="56D51F74"/>
    <w:rsid w:val="571B486D"/>
    <w:rsid w:val="57B72A76"/>
    <w:rsid w:val="57C3426C"/>
    <w:rsid w:val="57C90339"/>
    <w:rsid w:val="57CE1F93"/>
    <w:rsid w:val="57E87D1D"/>
    <w:rsid w:val="588743D1"/>
    <w:rsid w:val="5887701A"/>
    <w:rsid w:val="58D22B73"/>
    <w:rsid w:val="59367C69"/>
    <w:rsid w:val="59533879"/>
    <w:rsid w:val="598F6E6F"/>
    <w:rsid w:val="59C0439F"/>
    <w:rsid w:val="5A143D4F"/>
    <w:rsid w:val="5A4301EF"/>
    <w:rsid w:val="5AA46C04"/>
    <w:rsid w:val="5ABE2233"/>
    <w:rsid w:val="5ADF657E"/>
    <w:rsid w:val="5AF8134E"/>
    <w:rsid w:val="5B4B7296"/>
    <w:rsid w:val="5BDF5D95"/>
    <w:rsid w:val="5BE52FA3"/>
    <w:rsid w:val="5BED1C69"/>
    <w:rsid w:val="5BFD48C2"/>
    <w:rsid w:val="5BFE7528"/>
    <w:rsid w:val="5C1872E7"/>
    <w:rsid w:val="5C4B6236"/>
    <w:rsid w:val="5C4C12CD"/>
    <w:rsid w:val="5C7605F2"/>
    <w:rsid w:val="5C7A03DE"/>
    <w:rsid w:val="5D0134C1"/>
    <w:rsid w:val="5D346CF1"/>
    <w:rsid w:val="5DBC2107"/>
    <w:rsid w:val="5DC37863"/>
    <w:rsid w:val="5E0E2FFC"/>
    <w:rsid w:val="5E2467F1"/>
    <w:rsid w:val="5EEF66D0"/>
    <w:rsid w:val="5F1A2B43"/>
    <w:rsid w:val="5F7008E1"/>
    <w:rsid w:val="5F9C14C8"/>
    <w:rsid w:val="5FA6034F"/>
    <w:rsid w:val="5FB1052C"/>
    <w:rsid w:val="5FB837BB"/>
    <w:rsid w:val="6057781F"/>
    <w:rsid w:val="60CC405A"/>
    <w:rsid w:val="60E924DD"/>
    <w:rsid w:val="61270134"/>
    <w:rsid w:val="61A05243"/>
    <w:rsid w:val="61AB75CF"/>
    <w:rsid w:val="61C21B51"/>
    <w:rsid w:val="61E215D8"/>
    <w:rsid w:val="620444BD"/>
    <w:rsid w:val="621B3775"/>
    <w:rsid w:val="62364782"/>
    <w:rsid w:val="628F08E1"/>
    <w:rsid w:val="62AD6E23"/>
    <w:rsid w:val="62B165D4"/>
    <w:rsid w:val="62E51FDC"/>
    <w:rsid w:val="62FC33F0"/>
    <w:rsid w:val="630745E3"/>
    <w:rsid w:val="637A3F36"/>
    <w:rsid w:val="6394356A"/>
    <w:rsid w:val="63C61B2C"/>
    <w:rsid w:val="63CB14AD"/>
    <w:rsid w:val="63D40BE9"/>
    <w:rsid w:val="64102431"/>
    <w:rsid w:val="644F162D"/>
    <w:rsid w:val="64A5243A"/>
    <w:rsid w:val="64C2128C"/>
    <w:rsid w:val="64F531DE"/>
    <w:rsid w:val="65257B8A"/>
    <w:rsid w:val="65373578"/>
    <w:rsid w:val="65850382"/>
    <w:rsid w:val="65D62101"/>
    <w:rsid w:val="671F124A"/>
    <w:rsid w:val="67470438"/>
    <w:rsid w:val="674D673A"/>
    <w:rsid w:val="677A33C6"/>
    <w:rsid w:val="680B60A4"/>
    <w:rsid w:val="681B3DBB"/>
    <w:rsid w:val="681F1B70"/>
    <w:rsid w:val="681F6961"/>
    <w:rsid w:val="68280F97"/>
    <w:rsid w:val="68405761"/>
    <w:rsid w:val="68610A2F"/>
    <w:rsid w:val="68805514"/>
    <w:rsid w:val="68AE3738"/>
    <w:rsid w:val="68B93A8F"/>
    <w:rsid w:val="68BC0BE4"/>
    <w:rsid w:val="68D474BC"/>
    <w:rsid w:val="690D0B9E"/>
    <w:rsid w:val="692B0E51"/>
    <w:rsid w:val="69316E2F"/>
    <w:rsid w:val="694E2071"/>
    <w:rsid w:val="69766163"/>
    <w:rsid w:val="697A3B33"/>
    <w:rsid w:val="69B8275B"/>
    <w:rsid w:val="69BB3572"/>
    <w:rsid w:val="69CF230E"/>
    <w:rsid w:val="69D44760"/>
    <w:rsid w:val="6A520EC7"/>
    <w:rsid w:val="6A8B0B92"/>
    <w:rsid w:val="6ADD2D97"/>
    <w:rsid w:val="6AF87E20"/>
    <w:rsid w:val="6B322639"/>
    <w:rsid w:val="6B9645A8"/>
    <w:rsid w:val="6BBD1B7A"/>
    <w:rsid w:val="6C152AE5"/>
    <w:rsid w:val="6C636C38"/>
    <w:rsid w:val="6C774720"/>
    <w:rsid w:val="6C9D0B9E"/>
    <w:rsid w:val="6CCE3F9F"/>
    <w:rsid w:val="6CD95726"/>
    <w:rsid w:val="6CE83243"/>
    <w:rsid w:val="6D16468E"/>
    <w:rsid w:val="6D77332B"/>
    <w:rsid w:val="6DB34098"/>
    <w:rsid w:val="6DB545B6"/>
    <w:rsid w:val="6DD5515C"/>
    <w:rsid w:val="6DE02FB4"/>
    <w:rsid w:val="6DE502B3"/>
    <w:rsid w:val="6E514CED"/>
    <w:rsid w:val="6EB563D5"/>
    <w:rsid w:val="6EC3728D"/>
    <w:rsid w:val="6ED92677"/>
    <w:rsid w:val="6F225983"/>
    <w:rsid w:val="6F3B45BF"/>
    <w:rsid w:val="6F9E1043"/>
    <w:rsid w:val="6FB53032"/>
    <w:rsid w:val="6FFC5590"/>
    <w:rsid w:val="70276C9B"/>
    <w:rsid w:val="705535C6"/>
    <w:rsid w:val="706D1DD0"/>
    <w:rsid w:val="70856B87"/>
    <w:rsid w:val="70D527EE"/>
    <w:rsid w:val="70FF7744"/>
    <w:rsid w:val="7116698D"/>
    <w:rsid w:val="715B5300"/>
    <w:rsid w:val="71D27F8A"/>
    <w:rsid w:val="72331B0C"/>
    <w:rsid w:val="72490D33"/>
    <w:rsid w:val="724E3C00"/>
    <w:rsid w:val="72553024"/>
    <w:rsid w:val="725B5629"/>
    <w:rsid w:val="72C81585"/>
    <w:rsid w:val="72FA4E6A"/>
    <w:rsid w:val="7305599B"/>
    <w:rsid w:val="73122968"/>
    <w:rsid w:val="731F5D5E"/>
    <w:rsid w:val="73C51AD5"/>
    <w:rsid w:val="73D7347E"/>
    <w:rsid w:val="741E793C"/>
    <w:rsid w:val="745E3944"/>
    <w:rsid w:val="74A62E1E"/>
    <w:rsid w:val="74F92AF3"/>
    <w:rsid w:val="751524F5"/>
    <w:rsid w:val="753B3295"/>
    <w:rsid w:val="753B4B9D"/>
    <w:rsid w:val="753D0054"/>
    <w:rsid w:val="756521EE"/>
    <w:rsid w:val="75783B1F"/>
    <w:rsid w:val="75B16F32"/>
    <w:rsid w:val="76202FBB"/>
    <w:rsid w:val="7635099D"/>
    <w:rsid w:val="7694707B"/>
    <w:rsid w:val="76F14984"/>
    <w:rsid w:val="773E56A2"/>
    <w:rsid w:val="77762421"/>
    <w:rsid w:val="77B56B1F"/>
    <w:rsid w:val="77B85703"/>
    <w:rsid w:val="780F09F4"/>
    <w:rsid w:val="780F5747"/>
    <w:rsid w:val="78183DE9"/>
    <w:rsid w:val="78A90480"/>
    <w:rsid w:val="78DF3D31"/>
    <w:rsid w:val="78FC6E6D"/>
    <w:rsid w:val="79312F28"/>
    <w:rsid w:val="79386064"/>
    <w:rsid w:val="79602EE3"/>
    <w:rsid w:val="79607EC1"/>
    <w:rsid w:val="79AA1F6A"/>
    <w:rsid w:val="79E63D12"/>
    <w:rsid w:val="79ED08FA"/>
    <w:rsid w:val="7A364017"/>
    <w:rsid w:val="7A3725E7"/>
    <w:rsid w:val="7A8265E1"/>
    <w:rsid w:val="7A926B2A"/>
    <w:rsid w:val="7AA169FE"/>
    <w:rsid w:val="7B6765E0"/>
    <w:rsid w:val="7B686D42"/>
    <w:rsid w:val="7B841746"/>
    <w:rsid w:val="7C0A6EC4"/>
    <w:rsid w:val="7C110E13"/>
    <w:rsid w:val="7C1C666D"/>
    <w:rsid w:val="7C6C5AC7"/>
    <w:rsid w:val="7C7141CB"/>
    <w:rsid w:val="7CC6544B"/>
    <w:rsid w:val="7CDD34FB"/>
    <w:rsid w:val="7CFF4590"/>
    <w:rsid w:val="7D0239FF"/>
    <w:rsid w:val="7D3D54A4"/>
    <w:rsid w:val="7D4E098B"/>
    <w:rsid w:val="7D5E40CD"/>
    <w:rsid w:val="7D6548CE"/>
    <w:rsid w:val="7D882347"/>
    <w:rsid w:val="7D9461CF"/>
    <w:rsid w:val="7D96571D"/>
    <w:rsid w:val="7DCD56F2"/>
    <w:rsid w:val="7E0A007C"/>
    <w:rsid w:val="7E292299"/>
    <w:rsid w:val="7E626DF1"/>
    <w:rsid w:val="7EB32A83"/>
    <w:rsid w:val="7EB67D44"/>
    <w:rsid w:val="7ED8389B"/>
    <w:rsid w:val="7F001CE7"/>
    <w:rsid w:val="7F331E1B"/>
    <w:rsid w:val="7F914FF0"/>
    <w:rsid w:val="7FBE1A4E"/>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qFormat="1"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qFormat="1" w:uiPriority="0" w:semiHidden="0" w:name="Body Text First Indent 2"/>
    <w:lsdException w:unhideWhenUsed="0" w:uiPriority="0" w:semiHidden="0" w:name="Note Heading"/>
    <w:lsdException w:qFormat="1" w:uiPriority="99"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name="Balloon Text"/>
    <w:lsdException w:qFormat="1" w:unhideWhenUsed="0" w:uiPriority="0" w:semiHidden="0" w:name="Table Grid"/>
    <w:lsdException w:uiPriority="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3"/>
    <w:basedOn w:val="1"/>
    <w:next w:val="1"/>
    <w:unhideWhenUsed/>
    <w:qFormat/>
    <w:uiPriority w:val="9"/>
    <w:pPr>
      <w:keepNext/>
      <w:keepLines/>
      <w:spacing w:before="260" w:after="260" w:line="416" w:lineRule="auto"/>
      <w:outlineLvl w:val="2"/>
    </w:pPr>
    <w:rPr>
      <w:b/>
      <w:bCs/>
      <w:sz w:val="32"/>
      <w:szCs w:val="32"/>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4">
    <w:name w:val="Normal Indent"/>
    <w:basedOn w:val="1"/>
    <w:qFormat/>
    <w:uiPriority w:val="99"/>
    <w:pPr>
      <w:spacing w:line="360" w:lineRule="auto"/>
      <w:ind w:firstLine="420" w:firstLineChars="200"/>
    </w:pPr>
  </w:style>
  <w:style w:type="paragraph" w:styleId="5">
    <w:name w:val="toa heading"/>
    <w:basedOn w:val="1"/>
    <w:next w:val="1"/>
    <w:qFormat/>
    <w:uiPriority w:val="0"/>
    <w:pPr>
      <w:spacing w:before="120"/>
    </w:pPr>
    <w:rPr>
      <w:rFonts w:ascii="Arial" w:hAnsi="Arial" w:cs="Arial"/>
    </w:rPr>
  </w:style>
  <w:style w:type="paragraph" w:styleId="6">
    <w:name w:val="annotation text"/>
    <w:basedOn w:val="1"/>
    <w:link w:val="29"/>
    <w:semiHidden/>
    <w:qFormat/>
    <w:uiPriority w:val="0"/>
    <w:pPr>
      <w:jc w:val="left"/>
    </w:pPr>
    <w:rPr>
      <w:kern w:val="0"/>
      <w:sz w:val="24"/>
      <w:szCs w:val="20"/>
    </w:rPr>
  </w:style>
  <w:style w:type="paragraph" w:styleId="7">
    <w:name w:val="Body Text"/>
    <w:basedOn w:val="1"/>
    <w:next w:val="1"/>
    <w:link w:val="30"/>
    <w:qFormat/>
    <w:uiPriority w:val="0"/>
    <w:pPr>
      <w:widowControl/>
      <w:snapToGrid w:val="0"/>
      <w:spacing w:before="60" w:after="160" w:line="259" w:lineRule="auto"/>
      <w:ind w:right="113"/>
    </w:pPr>
    <w:rPr>
      <w:kern w:val="0"/>
      <w:sz w:val="18"/>
      <w:szCs w:val="20"/>
    </w:rPr>
  </w:style>
  <w:style w:type="paragraph" w:styleId="8">
    <w:name w:val="Body Text Indent"/>
    <w:basedOn w:val="1"/>
    <w:next w:val="1"/>
    <w:link w:val="31"/>
    <w:qFormat/>
    <w:uiPriority w:val="0"/>
    <w:pPr>
      <w:spacing w:after="120"/>
      <w:ind w:left="420" w:leftChars="200"/>
    </w:pPr>
    <w:rPr>
      <w:kern w:val="0"/>
      <w:sz w:val="24"/>
      <w:szCs w:val="20"/>
    </w:rPr>
  </w:style>
  <w:style w:type="paragraph" w:styleId="9">
    <w:name w:val="Plain Text"/>
    <w:basedOn w:val="1"/>
    <w:next w:val="10"/>
    <w:qFormat/>
    <w:uiPriority w:val="0"/>
    <w:rPr>
      <w:rFonts w:ascii="宋体" w:hAnsi="Courier New"/>
      <w:szCs w:val="20"/>
    </w:rPr>
  </w:style>
  <w:style w:type="paragraph" w:customStyle="1" w:styleId="10">
    <w:name w:val="表字"/>
    <w:basedOn w:val="1"/>
    <w:next w:val="11"/>
    <w:qFormat/>
    <w:uiPriority w:val="0"/>
    <w:pPr>
      <w:spacing w:line="240" w:lineRule="auto"/>
      <w:jc w:val="center"/>
    </w:pPr>
    <w:rPr>
      <w:rFonts w:ascii="宋体" w:hAnsi="Calibri" w:cs="Times New Roman"/>
      <w:sz w:val="21"/>
      <w:szCs w:val="20"/>
    </w:rPr>
  </w:style>
  <w:style w:type="paragraph" w:customStyle="1" w:styleId="11">
    <w:name w:val="表"/>
    <w:basedOn w:val="1"/>
    <w:next w:val="1"/>
    <w:qFormat/>
    <w:uiPriority w:val="99"/>
    <w:pPr>
      <w:spacing w:line="320" w:lineRule="atLeast"/>
      <w:jc w:val="center"/>
    </w:pPr>
    <w:rPr>
      <w:rFonts w:cs="Times New Roman"/>
      <w:kern w:val="0"/>
      <w:sz w:val="28"/>
      <w:szCs w:val="20"/>
    </w:rPr>
  </w:style>
  <w:style w:type="paragraph" w:styleId="12">
    <w:name w:val="Date"/>
    <w:basedOn w:val="1"/>
    <w:next w:val="1"/>
    <w:link w:val="32"/>
    <w:qFormat/>
    <w:uiPriority w:val="0"/>
    <w:pPr>
      <w:ind w:left="100" w:leftChars="2500"/>
    </w:pPr>
    <w:rPr>
      <w:kern w:val="0"/>
      <w:sz w:val="24"/>
      <w:szCs w:val="20"/>
    </w:rPr>
  </w:style>
  <w:style w:type="paragraph" w:styleId="13">
    <w:name w:val="Balloon Text"/>
    <w:basedOn w:val="1"/>
    <w:link w:val="33"/>
    <w:semiHidden/>
    <w:qFormat/>
    <w:uiPriority w:val="0"/>
    <w:rPr>
      <w:kern w:val="0"/>
      <w:sz w:val="18"/>
      <w:szCs w:val="20"/>
    </w:rPr>
  </w:style>
  <w:style w:type="paragraph" w:styleId="14">
    <w:name w:val="footer"/>
    <w:basedOn w:val="1"/>
    <w:link w:val="34"/>
    <w:qFormat/>
    <w:uiPriority w:val="99"/>
    <w:pPr>
      <w:tabs>
        <w:tab w:val="center" w:pos="4153"/>
        <w:tab w:val="right" w:pos="8306"/>
      </w:tabs>
      <w:snapToGrid w:val="0"/>
      <w:jc w:val="left"/>
    </w:pPr>
    <w:rPr>
      <w:kern w:val="0"/>
      <w:sz w:val="18"/>
      <w:szCs w:val="20"/>
    </w:rPr>
  </w:style>
  <w:style w:type="paragraph" w:styleId="15">
    <w:name w:val="header"/>
    <w:basedOn w:val="1"/>
    <w:link w:val="35"/>
    <w:qFormat/>
    <w:uiPriority w:val="0"/>
    <w:pPr>
      <w:pBdr>
        <w:bottom w:val="single" w:color="auto" w:sz="6" w:space="1"/>
      </w:pBdr>
      <w:tabs>
        <w:tab w:val="center" w:pos="4153"/>
        <w:tab w:val="right" w:pos="8306"/>
      </w:tabs>
      <w:snapToGrid w:val="0"/>
      <w:jc w:val="center"/>
    </w:pPr>
    <w:rPr>
      <w:kern w:val="0"/>
      <w:sz w:val="18"/>
      <w:szCs w:val="20"/>
    </w:rPr>
  </w:style>
  <w:style w:type="paragraph" w:styleId="16">
    <w:name w:val="List"/>
    <w:basedOn w:val="1"/>
    <w:qFormat/>
    <w:uiPriority w:val="0"/>
    <w:pPr>
      <w:ind w:left="200" w:hanging="200" w:hangingChars="200"/>
    </w:pPr>
    <w:rPr>
      <w:szCs w:val="20"/>
    </w:rPr>
  </w:style>
  <w:style w:type="paragraph" w:styleId="17">
    <w:name w:val="table of figures"/>
    <w:basedOn w:val="1"/>
    <w:next w:val="1"/>
    <w:unhideWhenUsed/>
    <w:qFormat/>
    <w:uiPriority w:val="0"/>
    <w:pPr>
      <w:ind w:left="720" w:hanging="720"/>
      <w:jc w:val="left"/>
    </w:pPr>
    <w:rPr>
      <w:rFonts w:eastAsia="黑体"/>
      <w:smallCaps/>
      <w:sz w:val="20"/>
    </w:rPr>
  </w:style>
  <w:style w:type="paragraph" w:styleId="18">
    <w:name w:val="toc 2"/>
    <w:basedOn w:val="1"/>
    <w:next w:val="1"/>
    <w:qFormat/>
    <w:uiPriority w:val="0"/>
    <w:pPr>
      <w:ind w:left="210"/>
      <w:jc w:val="left"/>
    </w:pPr>
    <w:rPr>
      <w:smallCaps/>
    </w:rPr>
  </w:style>
  <w:style w:type="paragraph" w:styleId="19">
    <w:name w:val="Body Text 2"/>
    <w:basedOn w:val="1"/>
    <w:unhideWhenUsed/>
    <w:qFormat/>
    <w:uiPriority w:val="99"/>
    <w:pPr>
      <w:spacing w:after="120" w:line="480" w:lineRule="auto"/>
    </w:pPr>
  </w:style>
  <w:style w:type="paragraph" w:styleId="20">
    <w:name w:val="Normal (Web)"/>
    <w:basedOn w:val="1"/>
    <w:link w:val="36"/>
    <w:qFormat/>
    <w:uiPriority w:val="0"/>
    <w:pPr>
      <w:widowControl/>
      <w:spacing w:before="100" w:beforeAutospacing="1" w:after="100" w:afterAutospacing="1"/>
      <w:jc w:val="left"/>
    </w:pPr>
    <w:rPr>
      <w:rFonts w:ascii="宋体" w:hAnsi="宋体"/>
      <w:kern w:val="0"/>
      <w:sz w:val="24"/>
      <w:szCs w:val="20"/>
    </w:rPr>
  </w:style>
  <w:style w:type="paragraph" w:styleId="21">
    <w:name w:val="annotation subject"/>
    <w:basedOn w:val="6"/>
    <w:next w:val="6"/>
    <w:link w:val="37"/>
    <w:semiHidden/>
    <w:qFormat/>
    <w:uiPriority w:val="0"/>
    <w:rPr>
      <w:b/>
    </w:rPr>
  </w:style>
  <w:style w:type="paragraph" w:styleId="22">
    <w:name w:val="Body Text First Indent 2"/>
    <w:basedOn w:val="8"/>
    <w:next w:val="1"/>
    <w:unhideWhenUsed/>
    <w:qFormat/>
    <w:uiPriority w:val="0"/>
    <w:pPr>
      <w:ind w:firstLine="420" w:firstLineChars="200"/>
    </w:pPr>
  </w:style>
  <w:style w:type="table" w:styleId="24">
    <w:name w:val="Table Grid"/>
    <w:basedOn w:val="2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page number"/>
    <w:basedOn w:val="25"/>
    <w:qFormat/>
    <w:uiPriority w:val="0"/>
  </w:style>
  <w:style w:type="character" w:styleId="27">
    <w:name w:val="annotation reference"/>
    <w:semiHidden/>
    <w:qFormat/>
    <w:uiPriority w:val="0"/>
    <w:rPr>
      <w:sz w:val="21"/>
    </w:rPr>
  </w:style>
  <w:style w:type="paragraph" w:customStyle="1" w:styleId="28">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character" w:customStyle="1" w:styleId="29">
    <w:name w:val="批注文字 字符"/>
    <w:link w:val="6"/>
    <w:qFormat/>
    <w:uiPriority w:val="0"/>
    <w:rPr>
      <w:rFonts w:ascii="Times New Roman" w:hAnsi="Times New Roman" w:eastAsia="宋体"/>
      <w:sz w:val="24"/>
    </w:rPr>
  </w:style>
  <w:style w:type="character" w:customStyle="1" w:styleId="30">
    <w:name w:val="正文文本 字符"/>
    <w:link w:val="7"/>
    <w:qFormat/>
    <w:uiPriority w:val="0"/>
    <w:rPr>
      <w:sz w:val="18"/>
    </w:rPr>
  </w:style>
  <w:style w:type="character" w:customStyle="1" w:styleId="31">
    <w:name w:val="正文文本缩进 字符"/>
    <w:link w:val="8"/>
    <w:semiHidden/>
    <w:qFormat/>
    <w:uiPriority w:val="0"/>
    <w:rPr>
      <w:rFonts w:ascii="Times New Roman" w:hAnsi="Times New Roman" w:eastAsia="宋体"/>
      <w:sz w:val="24"/>
    </w:rPr>
  </w:style>
  <w:style w:type="character" w:customStyle="1" w:styleId="32">
    <w:name w:val="日期 字符1"/>
    <w:link w:val="12"/>
    <w:qFormat/>
    <w:uiPriority w:val="0"/>
    <w:rPr>
      <w:rFonts w:ascii="Times New Roman" w:hAnsi="Times New Roman" w:eastAsia="宋体"/>
      <w:sz w:val="24"/>
    </w:rPr>
  </w:style>
  <w:style w:type="character" w:customStyle="1" w:styleId="33">
    <w:name w:val="批注框文本 字符"/>
    <w:link w:val="13"/>
    <w:semiHidden/>
    <w:qFormat/>
    <w:uiPriority w:val="0"/>
    <w:rPr>
      <w:rFonts w:ascii="Times New Roman" w:hAnsi="Times New Roman" w:eastAsia="宋体"/>
      <w:sz w:val="18"/>
    </w:rPr>
  </w:style>
  <w:style w:type="character" w:customStyle="1" w:styleId="34">
    <w:name w:val="页脚 字符1"/>
    <w:link w:val="14"/>
    <w:qFormat/>
    <w:uiPriority w:val="99"/>
    <w:rPr>
      <w:sz w:val="18"/>
    </w:rPr>
  </w:style>
  <w:style w:type="character" w:customStyle="1" w:styleId="35">
    <w:name w:val="页眉 字符"/>
    <w:link w:val="15"/>
    <w:qFormat/>
    <w:uiPriority w:val="0"/>
    <w:rPr>
      <w:sz w:val="18"/>
    </w:rPr>
  </w:style>
  <w:style w:type="character" w:customStyle="1" w:styleId="36">
    <w:name w:val="普通(网站) 字符"/>
    <w:link w:val="20"/>
    <w:qFormat/>
    <w:uiPriority w:val="0"/>
    <w:rPr>
      <w:rFonts w:ascii="宋体" w:hAnsi="宋体" w:eastAsia="宋体"/>
      <w:sz w:val="24"/>
    </w:rPr>
  </w:style>
  <w:style w:type="character" w:customStyle="1" w:styleId="37">
    <w:name w:val="批注主题 字符"/>
    <w:link w:val="21"/>
    <w:semiHidden/>
    <w:qFormat/>
    <w:uiPriority w:val="0"/>
    <w:rPr>
      <w:rFonts w:ascii="Times New Roman" w:hAnsi="Times New Roman" w:eastAsia="宋体"/>
      <w:b/>
      <w:kern w:val="2"/>
      <w:sz w:val="24"/>
    </w:rPr>
  </w:style>
  <w:style w:type="character" w:customStyle="1" w:styleId="38">
    <w:name w:val="正文文本 字符1"/>
    <w:semiHidden/>
    <w:qFormat/>
    <w:uiPriority w:val="0"/>
    <w:rPr>
      <w:rFonts w:ascii="Times New Roman" w:hAnsi="Times New Roman" w:eastAsia="宋体"/>
      <w:sz w:val="24"/>
    </w:rPr>
  </w:style>
  <w:style w:type="character" w:customStyle="1" w:styleId="39">
    <w:name w:val="批注文字 字符1"/>
    <w:semiHidden/>
    <w:qFormat/>
    <w:uiPriority w:val="0"/>
    <w:rPr>
      <w:rFonts w:ascii="Times New Roman" w:hAnsi="Times New Roman" w:eastAsia="宋体"/>
      <w:sz w:val="24"/>
    </w:rPr>
  </w:style>
  <w:style w:type="character" w:customStyle="1" w:styleId="40">
    <w:name w:val="日期 字符"/>
    <w:semiHidden/>
    <w:qFormat/>
    <w:uiPriority w:val="0"/>
    <w:rPr>
      <w:rFonts w:ascii="Times New Roman" w:hAnsi="Times New Roman" w:eastAsia="宋体"/>
      <w:sz w:val="24"/>
    </w:rPr>
  </w:style>
  <w:style w:type="character" w:customStyle="1" w:styleId="41">
    <w:name w:val="表格 Char"/>
    <w:link w:val="42"/>
    <w:qFormat/>
    <w:uiPriority w:val="0"/>
    <w:rPr>
      <w:rFonts w:ascii="宋体"/>
      <w:sz w:val="21"/>
    </w:rPr>
  </w:style>
  <w:style w:type="paragraph" w:customStyle="1" w:styleId="42">
    <w:name w:val="表格"/>
    <w:basedOn w:val="1"/>
    <w:link w:val="41"/>
    <w:qFormat/>
    <w:uiPriority w:val="0"/>
    <w:pPr>
      <w:adjustRightInd w:val="0"/>
      <w:snapToGrid w:val="0"/>
      <w:spacing w:beforeLines="10" w:afterLines="10" w:line="259" w:lineRule="auto"/>
      <w:jc w:val="center"/>
    </w:pPr>
    <w:rPr>
      <w:rFonts w:ascii="宋体"/>
      <w:kern w:val="0"/>
      <w:szCs w:val="20"/>
    </w:rPr>
  </w:style>
  <w:style w:type="character" w:customStyle="1" w:styleId="43">
    <w:name w:val="样式 (符号) 宋体 小四 Char"/>
    <w:link w:val="44"/>
    <w:qFormat/>
    <w:uiPriority w:val="0"/>
    <w:rPr>
      <w:rFonts w:hAnsi="宋体" w:eastAsia="Times New Roman"/>
      <w:bCs/>
      <w:kern w:val="0"/>
      <w:sz w:val="24"/>
    </w:rPr>
  </w:style>
  <w:style w:type="paragraph" w:customStyle="1" w:styleId="44">
    <w:name w:val="样式 (符号) 宋体 小四"/>
    <w:basedOn w:val="1"/>
    <w:link w:val="43"/>
    <w:qFormat/>
    <w:uiPriority w:val="0"/>
    <w:pPr>
      <w:spacing w:line="360" w:lineRule="auto"/>
      <w:ind w:firstLine="200" w:firstLineChars="200"/>
    </w:pPr>
    <w:rPr>
      <w:rFonts w:hAnsi="宋体" w:eastAsia="Times New Roman"/>
      <w:bCs/>
      <w:kern w:val="0"/>
      <w:sz w:val="24"/>
    </w:rPr>
  </w:style>
  <w:style w:type="character" w:customStyle="1" w:styleId="45">
    <w:name w:val="页脚 字符"/>
    <w:basedOn w:val="25"/>
    <w:qFormat/>
    <w:uiPriority w:val="99"/>
  </w:style>
  <w:style w:type="character" w:customStyle="1" w:styleId="46">
    <w:name w:val="headline-content2"/>
    <w:basedOn w:val="25"/>
    <w:qFormat/>
    <w:uiPriority w:val="0"/>
  </w:style>
  <w:style w:type="paragraph" w:customStyle="1" w:styleId="47">
    <w:name w:val="CM91"/>
    <w:basedOn w:val="48"/>
    <w:next w:val="48"/>
    <w:unhideWhenUsed/>
    <w:qFormat/>
    <w:uiPriority w:val="99"/>
    <w:pPr>
      <w:spacing w:after="353"/>
    </w:pPr>
  </w:style>
  <w:style w:type="paragraph" w:customStyle="1" w:styleId="48">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49">
    <w:name w:val="报告"/>
    <w:basedOn w:val="1"/>
    <w:qFormat/>
    <w:uiPriority w:val="0"/>
    <w:pPr>
      <w:adjustRightInd w:val="0"/>
      <w:spacing w:line="360" w:lineRule="auto"/>
      <w:ind w:firstLine="505"/>
      <w:jc w:val="left"/>
      <w:textAlignment w:val="baseline"/>
    </w:pPr>
    <w:rPr>
      <w:kern w:val="0"/>
      <w:sz w:val="24"/>
      <w:szCs w:val="20"/>
    </w:rPr>
  </w:style>
  <w:style w:type="paragraph" w:customStyle="1" w:styleId="50">
    <w:name w:val="Normal_44"/>
    <w:qFormat/>
    <w:uiPriority w:val="0"/>
    <w:pPr>
      <w:spacing w:before="120" w:after="240"/>
      <w:jc w:val="both"/>
    </w:pPr>
    <w:rPr>
      <w:rFonts w:ascii="Calibri" w:hAnsi="Calibri" w:eastAsia="Calibri" w:cs="Times New Roman"/>
      <w:sz w:val="22"/>
      <w:szCs w:val="22"/>
      <w:lang w:val="ru-RU" w:eastAsia="en-US" w:bidi="ar-SA"/>
    </w:rPr>
  </w:style>
  <w:style w:type="paragraph" w:customStyle="1" w:styleId="5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52">
    <w:name w:val="1、表名"/>
    <w:basedOn w:val="1"/>
    <w:qFormat/>
    <w:uiPriority w:val="0"/>
    <w:pPr>
      <w:autoSpaceDE w:val="0"/>
      <w:autoSpaceDN w:val="0"/>
      <w:textAlignment w:val="baseline"/>
    </w:pPr>
    <w:rPr>
      <w:b/>
      <w:kern w:val="0"/>
    </w:rPr>
  </w:style>
  <w:style w:type="paragraph" w:customStyle="1" w:styleId="53">
    <w:name w:val="CM46"/>
    <w:basedOn w:val="48"/>
    <w:next w:val="48"/>
    <w:unhideWhenUsed/>
    <w:qFormat/>
    <w:uiPriority w:val="99"/>
  </w:style>
  <w:style w:type="paragraph" w:customStyle="1" w:styleId="54">
    <w:name w:val="列表段落1"/>
    <w:basedOn w:val="1"/>
    <w:qFormat/>
    <w:uiPriority w:val="0"/>
    <w:pPr>
      <w:ind w:firstLine="420" w:firstLineChars="200"/>
    </w:pPr>
    <w:rPr>
      <w:szCs w:val="21"/>
    </w:rPr>
  </w:style>
  <w:style w:type="paragraph" w:customStyle="1" w:styleId="55">
    <w:name w:val="中文报告书样式"/>
    <w:basedOn w:val="1"/>
    <w:qFormat/>
    <w:uiPriority w:val="0"/>
    <w:pPr>
      <w:adjustRightInd w:val="0"/>
      <w:spacing w:line="480" w:lineRule="atLeast"/>
      <w:ind w:firstLine="482"/>
      <w:textAlignment w:val="baseline"/>
    </w:pPr>
    <w:rPr>
      <w:kern w:val="24"/>
      <w:sz w:val="24"/>
      <w:szCs w:val="20"/>
    </w:rPr>
  </w:style>
  <w:style w:type="paragraph" w:customStyle="1" w:styleId="56">
    <w:name w:val="Default1"/>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57">
    <w:name w:val="++++++++正文"/>
    <w:basedOn w:val="1"/>
    <w:unhideWhenUsed/>
    <w:qFormat/>
    <w:uiPriority w:val="0"/>
    <w:pPr>
      <w:autoSpaceDE w:val="0"/>
      <w:autoSpaceDN w:val="0"/>
      <w:adjustRightInd w:val="0"/>
      <w:spacing w:line="360" w:lineRule="auto"/>
      <w:ind w:firstLine="200" w:firstLineChars="200"/>
    </w:pPr>
    <w:rPr>
      <w:rFonts w:hint="eastAsia"/>
      <w:sz w:val="24"/>
    </w:rPr>
  </w:style>
  <w:style w:type="paragraph" w:customStyle="1" w:styleId="58">
    <w:name w:val="CM12"/>
    <w:basedOn w:val="48"/>
    <w:next w:val="48"/>
    <w:unhideWhenUsed/>
    <w:qFormat/>
    <w:uiPriority w:val="99"/>
    <w:pPr>
      <w:spacing w:line="468" w:lineRule="atLeast"/>
    </w:pPr>
  </w:style>
  <w:style w:type="paragraph" w:customStyle="1" w:styleId="59">
    <w:name w:val="报告表正文"/>
    <w:basedOn w:val="1"/>
    <w:qFormat/>
    <w:uiPriority w:val="0"/>
    <w:pPr>
      <w:adjustRightInd w:val="0"/>
      <w:spacing w:line="312" w:lineRule="auto"/>
      <w:ind w:left="113" w:right="113" w:firstLine="482"/>
      <w:jc w:val="left"/>
      <w:textAlignment w:val="baseline"/>
    </w:pPr>
    <w:rPr>
      <w:kern w:val="0"/>
      <w:sz w:val="24"/>
      <w:szCs w:val="20"/>
    </w:rPr>
  </w:style>
  <w:style w:type="paragraph" w:customStyle="1" w:styleId="60">
    <w:name w:val="样式4"/>
    <w:basedOn w:val="1"/>
    <w:qFormat/>
    <w:uiPriority w:val="0"/>
    <w:pPr>
      <w:wordWrap w:val="0"/>
      <w:spacing w:line="360" w:lineRule="auto"/>
      <w:ind w:firstLine="560" w:firstLineChars="200"/>
      <w:jc w:val="left"/>
    </w:pPr>
    <w:rPr>
      <w:kern w:val="0"/>
    </w:rPr>
  </w:style>
  <w:style w:type="paragraph" w:customStyle="1" w:styleId="61">
    <w:name w:val="国表文"/>
    <w:basedOn w:val="1"/>
    <w:qFormat/>
    <w:uiPriority w:val="0"/>
    <w:pPr>
      <w:jc w:val="center"/>
    </w:pPr>
    <w:rPr>
      <w:szCs w:val="21"/>
    </w:rPr>
  </w:style>
  <w:style w:type="paragraph" w:customStyle="1" w:styleId="62">
    <w:name w:val="CM9"/>
    <w:basedOn w:val="48"/>
    <w:next w:val="48"/>
    <w:unhideWhenUsed/>
    <w:qFormat/>
    <w:uiPriority w:val="99"/>
    <w:pPr>
      <w:spacing w:line="468" w:lineRule="atLeast"/>
    </w:pPr>
  </w:style>
  <w:style w:type="paragraph" w:customStyle="1" w:styleId="63">
    <w:name w:val="z-窗体顶端1"/>
    <w:basedOn w:val="1"/>
    <w:next w:val="1"/>
    <w:unhideWhenUsed/>
    <w:qFormat/>
    <w:uiPriority w:val="99"/>
    <w:pPr>
      <w:pBdr>
        <w:bottom w:val="single" w:color="auto" w:sz="6" w:space="1"/>
      </w:pBdr>
      <w:jc w:val="center"/>
    </w:pPr>
    <w:rPr>
      <w:rFonts w:ascii="Arial" w:hAnsi="Arial" w:cs="Arial"/>
      <w:vanish/>
      <w:sz w:val="16"/>
      <w:szCs w:val="16"/>
    </w:rPr>
  </w:style>
  <w:style w:type="paragraph" w:styleId="64">
    <w:name w:val="No Spacing"/>
    <w:basedOn w:val="1"/>
    <w:qFormat/>
    <w:uiPriority w:val="0"/>
    <w:pPr>
      <w:snapToGrid w:val="0"/>
      <w:spacing w:line="340" w:lineRule="exact"/>
      <w:jc w:val="center"/>
    </w:pPr>
    <w:rPr>
      <w:szCs w:val="21"/>
      <w:lang w:val="zh-CN"/>
    </w:rPr>
  </w:style>
  <w:style w:type="paragraph" w:customStyle="1" w:styleId="6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6">
    <w:name w:val="CM18"/>
    <w:basedOn w:val="48"/>
    <w:next w:val="48"/>
    <w:unhideWhenUsed/>
    <w:qFormat/>
    <w:uiPriority w:val="99"/>
    <w:pPr>
      <w:spacing w:line="468" w:lineRule="atLeast"/>
    </w:pPr>
  </w:style>
  <w:style w:type="paragraph" w:customStyle="1" w:styleId="67">
    <w:name w:val="文"/>
    <w:basedOn w:val="1"/>
    <w:qFormat/>
    <w:uiPriority w:val="0"/>
    <w:pPr>
      <w:spacing w:line="360" w:lineRule="auto"/>
      <w:ind w:firstLine="200" w:firstLineChars="200"/>
      <w:jc w:val="left"/>
    </w:pPr>
    <w:rPr>
      <w:sz w:val="24"/>
    </w:rPr>
  </w:style>
  <w:style w:type="paragraph" w:customStyle="1" w:styleId="68">
    <w:name w:val="正文文本 21"/>
    <w:basedOn w:val="1"/>
    <w:qFormat/>
    <w:uiPriority w:val="0"/>
    <w:pPr>
      <w:jc w:val="center"/>
    </w:pPr>
    <w:rPr>
      <w:sz w:val="24"/>
    </w:rPr>
  </w:style>
  <w:style w:type="paragraph" w:customStyle="1" w:styleId="69">
    <w:name w:val="CM54"/>
    <w:basedOn w:val="48"/>
    <w:next w:val="48"/>
    <w:unhideWhenUsed/>
    <w:qFormat/>
    <w:uiPriority w:val="99"/>
    <w:pPr>
      <w:spacing w:line="471" w:lineRule="atLeast"/>
    </w:pPr>
  </w:style>
  <w:style w:type="paragraph" w:customStyle="1" w:styleId="70">
    <w:name w:val="样式 (符号) 宋体 小四 行距: 1.5 倍行距"/>
    <w:basedOn w:val="1"/>
    <w:qFormat/>
    <w:uiPriority w:val="0"/>
    <w:pPr>
      <w:spacing w:line="360" w:lineRule="auto"/>
      <w:ind w:firstLine="480" w:firstLineChars="200"/>
    </w:pPr>
    <w:rPr>
      <w:rFonts w:ascii="Calibri" w:hAnsi="宋体" w:cs="宋体"/>
      <w:sz w:val="24"/>
    </w:rPr>
  </w:style>
  <w:style w:type="paragraph" w:customStyle="1" w:styleId="71">
    <w:name w:val="表头"/>
    <w:basedOn w:val="1"/>
    <w:next w:val="1"/>
    <w:qFormat/>
    <w:uiPriority w:val="0"/>
    <w:pPr>
      <w:jc w:val="center"/>
    </w:pPr>
    <w:rPr>
      <w:b/>
      <w:szCs w:val="21"/>
    </w:rPr>
  </w:style>
  <w:style w:type="paragraph" w:customStyle="1" w:styleId="72">
    <w:name w:val="CM48"/>
    <w:basedOn w:val="48"/>
    <w:next w:val="48"/>
    <w:unhideWhenUsed/>
    <w:qFormat/>
    <w:uiPriority w:val="99"/>
  </w:style>
  <w:style w:type="paragraph" w:customStyle="1" w:styleId="73">
    <w:name w:val="Table Paragraph"/>
    <w:basedOn w:val="1"/>
    <w:qFormat/>
    <w:uiPriority w:val="1"/>
  </w:style>
  <w:style w:type="paragraph" w:customStyle="1" w:styleId="74">
    <w:name w:val="CM6"/>
    <w:basedOn w:val="48"/>
    <w:next w:val="48"/>
    <w:unhideWhenUsed/>
    <w:qFormat/>
    <w:uiPriority w:val="99"/>
    <w:pPr>
      <w:spacing w:line="468" w:lineRule="atLeast"/>
    </w:pPr>
  </w:style>
  <w:style w:type="paragraph" w:customStyle="1" w:styleId="75">
    <w:name w:val="CM5"/>
    <w:basedOn w:val="48"/>
    <w:next w:val="48"/>
    <w:unhideWhenUsed/>
    <w:qFormat/>
    <w:uiPriority w:val="99"/>
    <w:pPr>
      <w:spacing w:line="466" w:lineRule="atLeast"/>
    </w:pPr>
  </w:style>
  <w:style w:type="paragraph" w:customStyle="1" w:styleId="76">
    <w:name w:val="CM31"/>
    <w:basedOn w:val="48"/>
    <w:next w:val="48"/>
    <w:unhideWhenUsed/>
    <w:qFormat/>
    <w:uiPriority w:val="99"/>
  </w:style>
  <w:style w:type="paragraph" w:customStyle="1" w:styleId="77">
    <w:name w:val="样式 加粗 黑色 居中 行距: 1.5 倍行距"/>
    <w:basedOn w:val="1"/>
    <w:qFormat/>
    <w:uiPriority w:val="0"/>
    <w:pPr>
      <w:spacing w:line="360" w:lineRule="auto"/>
      <w:jc w:val="center"/>
    </w:pPr>
    <w:rPr>
      <w:rFonts w:ascii="Calibri" w:hAnsi="Calibri" w:cs="宋体"/>
      <w:b/>
      <w:bCs/>
      <w:color w:val="000000"/>
      <w:sz w:val="22"/>
      <w:szCs w:val="20"/>
    </w:rPr>
  </w:style>
  <w:style w:type="paragraph" w:customStyle="1" w:styleId="78">
    <w:name w:val="CM81"/>
    <w:basedOn w:val="48"/>
    <w:next w:val="48"/>
    <w:unhideWhenUsed/>
    <w:qFormat/>
    <w:uiPriority w:val="99"/>
    <w:pPr>
      <w:spacing w:after="203"/>
    </w:pPr>
  </w:style>
  <w:style w:type="paragraph" w:customStyle="1" w:styleId="79">
    <w:name w:val="CM11"/>
    <w:basedOn w:val="48"/>
    <w:next w:val="48"/>
    <w:unhideWhenUsed/>
    <w:qFormat/>
    <w:uiPriority w:val="99"/>
    <w:pPr>
      <w:spacing w:line="468" w:lineRule="atLeast"/>
    </w:pPr>
  </w:style>
  <w:style w:type="paragraph" w:customStyle="1" w:styleId="80">
    <w:name w:val="格表"/>
    <w:basedOn w:val="1"/>
    <w:qFormat/>
    <w:uiPriority w:val="0"/>
    <w:pPr>
      <w:jc w:val="center"/>
    </w:pPr>
    <w:rPr>
      <w:bCs/>
      <w:szCs w:val="21"/>
    </w:rPr>
  </w:style>
  <w:style w:type="paragraph" w:customStyle="1" w:styleId="81">
    <w:name w:val="_Style 67"/>
    <w:basedOn w:val="1"/>
    <w:next w:val="63"/>
    <w:qFormat/>
    <w:uiPriority w:val="0"/>
    <w:pPr>
      <w:snapToGrid w:val="0"/>
      <w:spacing w:line="340" w:lineRule="exact"/>
      <w:jc w:val="center"/>
    </w:pPr>
    <w:rPr>
      <w:rFonts w:ascii="Calibri" w:hAnsi="Calibri"/>
      <w:snapToGrid w:val="0"/>
      <w:szCs w:val="21"/>
      <w:lang w:val="zh-CN"/>
    </w:rPr>
  </w:style>
  <w:style w:type="paragraph" w:customStyle="1" w:styleId="82">
    <w:name w:val="小四表文左齐"/>
    <w:basedOn w:val="1"/>
    <w:qFormat/>
    <w:uiPriority w:val="0"/>
    <w:pPr>
      <w:jc w:val="center"/>
    </w:pPr>
    <w:rPr>
      <w:rFonts w:ascii="宋体" w:hAnsi="宋体"/>
      <w:szCs w:val="21"/>
    </w:rPr>
  </w:style>
  <w:style w:type="paragraph" w:customStyle="1" w:styleId="83">
    <w:name w:val="表格文字内容"/>
    <w:basedOn w:val="1"/>
    <w:qFormat/>
    <w:uiPriority w:val="0"/>
    <w:pPr>
      <w:jc w:val="center"/>
    </w:pPr>
    <w:rPr>
      <w:rFonts w:cs="宋体"/>
      <w:sz w:val="18"/>
      <w:szCs w:val="20"/>
    </w:rPr>
  </w:style>
  <w:style w:type="paragraph" w:customStyle="1" w:styleId="84">
    <w:name w:val="表格样式"/>
    <w:basedOn w:val="1"/>
    <w:qFormat/>
    <w:uiPriority w:val="0"/>
    <w:pPr>
      <w:adjustRightInd w:val="0"/>
      <w:snapToGrid w:val="0"/>
      <w:jc w:val="center"/>
      <w:textAlignment w:val="center"/>
    </w:pPr>
    <w:rPr>
      <w:sz w:val="28"/>
      <w:szCs w:val="20"/>
    </w:rPr>
  </w:style>
  <w:style w:type="paragraph" w:customStyle="1" w:styleId="85">
    <w:name w:val="+正文"/>
    <w:basedOn w:val="1"/>
    <w:qFormat/>
    <w:uiPriority w:val="0"/>
    <w:pPr>
      <w:spacing w:line="360" w:lineRule="auto"/>
      <w:ind w:firstLine="200" w:firstLineChars="200"/>
    </w:pPr>
    <w:rPr>
      <w:sz w:val="24"/>
    </w:rPr>
  </w:style>
  <w:style w:type="paragraph" w:customStyle="1" w:styleId="86">
    <w:name w:val="正文 首行缩进:  2 字符"/>
    <w:basedOn w:val="1"/>
    <w:qFormat/>
    <w:uiPriority w:val="0"/>
    <w:pPr>
      <w:adjustRightInd w:val="0"/>
      <w:snapToGrid w:val="0"/>
      <w:spacing w:line="500" w:lineRule="exact"/>
      <w:ind w:firstLine="200" w:firstLineChars="200"/>
      <w:jc w:val="left"/>
    </w:pPr>
    <w:rPr>
      <w:rFonts w:cs="宋体"/>
      <w:sz w:val="24"/>
      <w:szCs w:val="20"/>
    </w:rPr>
  </w:style>
  <w:style w:type="paragraph" w:customStyle="1" w:styleId="87">
    <w:name w:val="Normal_0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table" w:customStyle="1" w:styleId="88">
    <w:name w:val="Table Grid_0"/>
    <w:basedOn w:val="23"/>
    <w:qFormat/>
    <w:uiPriority w:val="0"/>
    <w:rPr>
      <w:rFonts w:eastAsia="仿宋"/>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89">
    <w:name w:val="表格文字"/>
    <w:next w:val="1"/>
    <w:qFormat/>
    <w:uiPriority w:val="0"/>
    <w:pPr>
      <w:snapToGrid w:val="0"/>
      <w:jc w:val="center"/>
    </w:pPr>
    <w:rPr>
      <w:rFonts w:ascii="Times New Roman" w:hAnsi="Times New Roman" w:eastAsia="宋体" w:cs="Times New Roman"/>
      <w:sz w:val="18"/>
      <w:lang w:val="en-US" w:eastAsia="zh-CN" w:bidi="ar-SA"/>
    </w:rPr>
  </w:style>
  <w:style w:type="paragraph" w:customStyle="1" w:styleId="90">
    <w:name w:val="1 正文"/>
    <w:basedOn w:val="1"/>
    <w:qFormat/>
    <w:uiPriority w:val="0"/>
    <w:pPr>
      <w:tabs>
        <w:tab w:val="left" w:pos="3514"/>
      </w:tabs>
      <w:adjustRightInd w:val="0"/>
      <w:snapToGrid w:val="0"/>
      <w:spacing w:line="500" w:lineRule="exact"/>
    </w:pPr>
    <w:rPr>
      <w:lang w:val="zh-CN"/>
    </w:rPr>
  </w:style>
  <w:style w:type="paragraph" w:customStyle="1" w:styleId="91">
    <w:name w:val="WPSOffice手动目录 1"/>
    <w:qFormat/>
    <w:uiPriority w:val="0"/>
    <w:rPr>
      <w:rFonts w:ascii="Times New Roman" w:hAnsi="Times New Roman" w:eastAsia="宋体" w:cs="Times New Roman"/>
      <w:lang w:val="en-US" w:eastAsia="zh-CN" w:bidi="ar-SA"/>
    </w:rPr>
  </w:style>
  <w:style w:type="paragraph" w:customStyle="1" w:styleId="92">
    <w:name w:val="Normal_0"/>
    <w:qFormat/>
    <w:uiPriority w:val="0"/>
    <w:pPr>
      <w:widowControl w:val="0"/>
      <w:spacing w:line="360" w:lineRule="auto"/>
      <w:ind w:firstLine="200" w:firstLineChars="200"/>
      <w:jc w:val="both"/>
    </w:pPr>
    <w:rPr>
      <w:rFonts w:ascii="Times New Roman" w:hAnsi="Times New Roman" w:eastAsia="仿宋" w:cs="Times New Roman"/>
      <w:kern w:val="2"/>
      <w:sz w:val="28"/>
      <w:szCs w:val="21"/>
      <w:lang w:val="en-US" w:eastAsia="zh-CN" w:bidi="ar-SA"/>
    </w:rPr>
  </w:style>
  <w:style w:type="paragraph" w:customStyle="1" w:styleId="93">
    <w:name w:val="正文-欣欣"/>
    <w:basedOn w:val="1"/>
    <w:next w:val="1"/>
    <w:qFormat/>
    <w:uiPriority w:val="0"/>
    <w:pPr>
      <w:spacing w:line="360" w:lineRule="auto"/>
      <w:ind w:firstLine="480" w:firstLineChars="200"/>
    </w:pPr>
    <w:rPr>
      <w:bCs/>
      <w:sz w:val="24"/>
    </w:rPr>
  </w:style>
  <w:style w:type="paragraph" w:customStyle="1" w:styleId="94">
    <w:name w:val="++++正文正文正文"/>
    <w:basedOn w:val="1"/>
    <w:qFormat/>
    <w:uiPriority w:val="0"/>
    <w:pPr>
      <w:autoSpaceDE w:val="0"/>
      <w:autoSpaceDN w:val="0"/>
      <w:adjustRightInd w:val="0"/>
      <w:spacing w:line="360" w:lineRule="auto"/>
      <w:ind w:firstLine="200" w:firstLineChars="200"/>
    </w:pPr>
    <w:rPr>
      <w:sz w:val="24"/>
      <w:szCs w:val="20"/>
    </w:rPr>
  </w:style>
  <w:style w:type="paragraph" w:customStyle="1" w:styleId="95">
    <w:name w:val="正 文"/>
    <w:basedOn w:val="1"/>
    <w:qFormat/>
    <w:uiPriority w:val="0"/>
    <w:pPr>
      <w:widowControl/>
      <w:adjustRightInd w:val="0"/>
      <w:snapToGrid w:val="0"/>
      <w:spacing w:before="156" w:beforeLines="50" w:after="156" w:afterLines="50" w:line="360" w:lineRule="auto"/>
      <w:ind w:firstLine="480" w:firstLineChars="200"/>
    </w:pPr>
    <w:rPr>
      <w:rFonts w:ascii="Times New Roman" w:hAnsi="Times New Roman" w:eastAsia="宋体" w:cs="Times New Roman"/>
      <w:snapToGrid w:val="0"/>
      <w:kern w:val="0"/>
      <w:sz w:val="24"/>
      <w:szCs w:val="24"/>
    </w:rPr>
  </w:style>
  <w:style w:type="paragraph" w:customStyle="1" w:styleId="96">
    <w:name w:val="表格111"/>
    <w:basedOn w:val="1"/>
    <w:qFormat/>
    <w:uiPriority w:val="0"/>
    <w:pPr>
      <w:spacing w:line="320" w:lineRule="exact"/>
      <w:jc w:val="center"/>
    </w:pPr>
    <w:rPr>
      <w:rFonts w:asciiTheme="minorHAnsi" w:hAnsiTheme="minorHAnsi" w:cstheme="minorBidi"/>
      <w:sz w:val="21"/>
    </w:rPr>
  </w:style>
  <w:style w:type="paragraph" w:customStyle="1" w:styleId="97">
    <w:name w:val="【正文】"/>
    <w:basedOn w:val="1"/>
    <w:qFormat/>
    <w:uiPriority w:val="0"/>
    <w:pPr>
      <w:spacing w:line="440" w:lineRule="exact"/>
      <w:ind w:firstLine="544" w:firstLineChars="200"/>
    </w:pPr>
  </w:style>
  <w:style w:type="character" w:customStyle="1" w:styleId="98">
    <w:name w:val="++++正文 Char"/>
    <w:link w:val="99"/>
    <w:qFormat/>
    <w:uiPriority w:val="0"/>
    <w:rPr>
      <w:rFonts w:ascii="Times New Roman" w:hAnsi="Times New Roman" w:eastAsia="宋体"/>
      <w:b/>
    </w:rPr>
  </w:style>
  <w:style w:type="paragraph" w:customStyle="1" w:styleId="99">
    <w:name w:val="++++正文"/>
    <w:basedOn w:val="1"/>
    <w:link w:val="98"/>
    <w:qFormat/>
    <w:uiPriority w:val="0"/>
    <w:pPr>
      <w:spacing w:line="360" w:lineRule="auto"/>
      <w:ind w:firstLine="200" w:firstLineChars="200"/>
    </w:pPr>
    <w:rPr>
      <w:rFonts w:ascii="Times New Roman" w:hAnsi="Times New Roman" w:eastAsia="宋体"/>
      <w:b/>
    </w:rPr>
  </w:style>
  <w:style w:type="paragraph" w:customStyle="1" w:styleId="100">
    <w:name w:val="rpt_表项"/>
    <w:basedOn w:val="1"/>
    <w:qFormat/>
    <w:uiPriority w:val="0"/>
    <w:pPr>
      <w:spacing w:before="60" w:after="60"/>
      <w:jc w:val="center"/>
    </w:pPr>
    <w:rPr>
      <w:rFonts w:cs="宋体"/>
      <w:sz w:val="22"/>
      <w:szCs w:val="20"/>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39.png"/><Relationship Id="rId53" Type="http://schemas.openxmlformats.org/officeDocument/2006/relationships/image" Target="media/image38.png"/><Relationship Id="rId52" Type="http://schemas.openxmlformats.org/officeDocument/2006/relationships/image" Target="media/image37.png"/><Relationship Id="rId51" Type="http://schemas.openxmlformats.org/officeDocument/2006/relationships/image" Target="media/image36.png"/><Relationship Id="rId50" Type="http://schemas.openxmlformats.org/officeDocument/2006/relationships/image" Target="media/image35.png"/><Relationship Id="rId5" Type="http://schemas.openxmlformats.org/officeDocument/2006/relationships/header" Target="header3.xml"/><Relationship Id="rId49" Type="http://schemas.openxmlformats.org/officeDocument/2006/relationships/image" Target="media/image34.png"/><Relationship Id="rId48" Type="http://schemas.openxmlformats.org/officeDocument/2006/relationships/image" Target="media/image33.png"/><Relationship Id="rId47" Type="http://schemas.openxmlformats.org/officeDocument/2006/relationships/image" Target="media/image32.png"/><Relationship Id="rId46" Type="http://schemas.openxmlformats.org/officeDocument/2006/relationships/image" Target="media/image31.png"/><Relationship Id="rId45" Type="http://schemas.openxmlformats.org/officeDocument/2006/relationships/image" Target="media/image30.png"/><Relationship Id="rId44" Type="http://schemas.openxmlformats.org/officeDocument/2006/relationships/image" Target="media/image29.png"/><Relationship Id="rId43" Type="http://schemas.openxmlformats.org/officeDocument/2006/relationships/image" Target="media/image28.png"/><Relationship Id="rId42" Type="http://schemas.openxmlformats.org/officeDocument/2006/relationships/image" Target="media/image27.png"/><Relationship Id="rId41" Type="http://schemas.openxmlformats.org/officeDocument/2006/relationships/image" Target="media/image26.png"/><Relationship Id="rId40" Type="http://schemas.openxmlformats.org/officeDocument/2006/relationships/image" Target="media/image25.png"/><Relationship Id="rId4" Type="http://schemas.openxmlformats.org/officeDocument/2006/relationships/header" Target="header2.xml"/><Relationship Id="rId39" Type="http://schemas.openxmlformats.org/officeDocument/2006/relationships/image" Target="media/image24.png"/><Relationship Id="rId38" Type="http://schemas.openxmlformats.org/officeDocument/2006/relationships/image" Target="media/image23.emf"/><Relationship Id="rId37" Type="http://schemas.openxmlformats.org/officeDocument/2006/relationships/oleObject" Target="embeddings/oleObject1.bin"/><Relationship Id="rId36" Type="http://schemas.openxmlformats.org/officeDocument/2006/relationships/image" Target="media/image22.png"/><Relationship Id="rId35" Type="http://schemas.openxmlformats.org/officeDocument/2006/relationships/image" Target="media/image21.png"/><Relationship Id="rId34" Type="http://schemas.openxmlformats.org/officeDocument/2006/relationships/image" Target="media/image20.png"/><Relationship Id="rId33" Type="http://schemas.openxmlformats.org/officeDocument/2006/relationships/image" Target="media/image19.png"/><Relationship Id="rId32" Type="http://schemas.openxmlformats.org/officeDocument/2006/relationships/image" Target="media/image18.png"/><Relationship Id="rId31" Type="http://schemas.openxmlformats.org/officeDocument/2006/relationships/image" Target="media/image17.png"/><Relationship Id="rId30" Type="http://schemas.openxmlformats.org/officeDocument/2006/relationships/image" Target="media/image16.png"/><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jpeg"/><Relationship Id="rId23" Type="http://schemas.openxmlformats.org/officeDocument/2006/relationships/image" Target="media/image9.jpeg"/><Relationship Id="rId22" Type="http://schemas.openxmlformats.org/officeDocument/2006/relationships/image" Target="media/image8.jpe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jpe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image" Target="media/image1.png"/><Relationship Id="rId14" Type="http://schemas.openxmlformats.org/officeDocument/2006/relationships/theme" Target="theme/theme1.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148</Pages>
  <Words>553</Words>
  <Characters>616</Characters>
  <Lines>1</Lines>
  <Paragraphs>1</Paragraphs>
  <TotalTime>24</TotalTime>
  <ScaleCrop>false</ScaleCrop>
  <LinksUpToDate>false</LinksUpToDate>
  <CharactersWithSpaces>708</CharactersWithSpaces>
  <Application>WPS Office_12.1.0.22215_F1E327BC-269C-435d-A152-05C5408002CA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2020-12-24T01:29:00Z</dcterms:created>
  <dc:creator>lhj</dc:creator>
  <cp:lastModifiedBy>Administrator</cp:lastModifiedBy>
  <cp:lastPrinted>2023-07-20T08:42:00Z</cp:lastPrinted>
  <dcterms:modified xsi:type="dcterms:W3CDTF">2025-07-28T02:28:12Z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2052-12.1.0.22215</vt:lpwstr>
  </property>
  <property fmtid="{D5CDD505-2E9C-101B-9397-08002B2CF9AE}" pid="3" name="ICV">
    <vt:lpwstr>C58E6F1F9F474EF8BCD194BB83393C46_13</vt:lpwstr>
  </property>
  <property fmtid="{D5CDD505-2E9C-101B-9397-08002B2CF9AE}" pid="4" name="KSOTemplateDocerSaveRecord">
    <vt:lpwstr>eyJoZGlkIjoiYjQyMjhkYTYyOTE5MzZkNTk3MjI4ZjVjYWI2MzM3NjkifQ==</vt:lpwstr>
  </property>
</Properties>
</file>