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475"/>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598"/>
      <w:bookmarkStart w:id="7" w:name="_Toc15377194"/>
      <w:bookmarkStart w:id="8" w:name="_Toc15396476"/>
      <w:bookmarkStart w:id="9" w:name="_Toc1537742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宣汉县双河中心卫生院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w:t>
      </w: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7"/>
          <w:rFonts w:hint="eastAsia"/>
        </w:rPr>
        <w:t>第二部分</w:t>
      </w:r>
      <w:r>
        <w:rPr>
          <w:rStyle w:val="17"/>
        </w:rPr>
        <w:t xml:space="preserve"> 201</w:t>
      </w:r>
      <w:r>
        <w:rPr>
          <w:rStyle w:val="17"/>
          <w:rFonts w:hint="eastAsia"/>
          <w:lang w:val="en-US" w:eastAsia="zh-CN"/>
        </w:rPr>
        <w:t>9</w:t>
      </w:r>
      <w:r>
        <w:rPr>
          <w:rStyle w:val="17"/>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fldChar w:fldCharType="begin"/>
      </w:r>
      <w:r>
        <w:instrText xml:space="preserve"> PAGEREF _Toc15396614 \h </w:instrText>
      </w:r>
      <w:r>
        <w:fldChar w:fldCharType="separate"/>
      </w:r>
      <w:r>
        <w:t>23</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fldChar w:fldCharType="begin"/>
      </w:r>
      <w:r>
        <w:instrText xml:space="preserve"> PAGEREF _Toc15396618 \h </w:instrText>
      </w:r>
      <w:r>
        <w:fldChar w:fldCharType="separate"/>
      </w:r>
      <w:r>
        <w:t>29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spacing w:line="450" w:lineRule="atLeast"/>
        <w:ind w:firstLine="755" w:firstLineChars="236"/>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spacing w:line="450" w:lineRule="atLeast"/>
        <w:ind w:firstLine="755" w:firstLineChars="236"/>
        <w:rPr>
          <w:rFonts w:hint="eastAsia" w:ascii="仿宋" w:hAnsi="仿宋" w:eastAsia="仿宋" w:cs="仿宋"/>
          <w:bCs/>
          <w:sz w:val="32"/>
          <w:szCs w:val="32"/>
        </w:rPr>
      </w:pPr>
      <w:r>
        <w:rPr>
          <w:rFonts w:hint="eastAsia" w:ascii="仿宋" w:hAnsi="仿宋" w:eastAsia="仿宋" w:cs="仿宋"/>
          <w:bCs/>
          <w:sz w:val="32"/>
          <w:szCs w:val="32"/>
        </w:rPr>
        <w:t>宣汉县双河中心卫生院地处宣汉县双河镇，始建于1966年6月，距离县城21公里。辖13个行政村、18个村卫生站，</w:t>
      </w:r>
      <w:r>
        <w:rPr>
          <w:rFonts w:hint="eastAsia" w:ascii="仿宋" w:hAnsi="仿宋" w:eastAsia="仿宋" w:cs="仿宋"/>
          <w:bCs/>
          <w:color w:val="auto"/>
          <w:sz w:val="32"/>
          <w:szCs w:val="32"/>
          <w:lang w:val="en-US" w:eastAsia="zh-CN"/>
        </w:rPr>
        <w:t>36</w:t>
      </w:r>
      <w:r>
        <w:rPr>
          <w:rFonts w:hint="eastAsia" w:ascii="仿宋" w:hAnsi="仿宋" w:eastAsia="仿宋" w:cs="仿宋"/>
          <w:bCs/>
          <w:sz w:val="32"/>
          <w:szCs w:val="32"/>
        </w:rPr>
        <w:t>个村卫生员。是一所</w:t>
      </w:r>
      <w:r>
        <w:rPr>
          <w:rFonts w:hint="eastAsia" w:ascii="仿宋" w:hAnsi="仿宋" w:eastAsia="仿宋" w:cs="仿宋"/>
          <w:sz w:val="32"/>
          <w:szCs w:val="32"/>
        </w:rPr>
        <w:t>集</w:t>
      </w:r>
      <w:r>
        <w:rPr>
          <w:rFonts w:hint="eastAsia" w:ascii="仿宋" w:hAnsi="仿宋" w:eastAsia="仿宋" w:cs="仿宋"/>
          <w:sz w:val="32"/>
          <w:szCs w:val="32"/>
          <w:lang w:eastAsia="zh-CN"/>
        </w:rPr>
        <w:t>基本</w:t>
      </w:r>
      <w:r>
        <w:rPr>
          <w:rFonts w:hint="eastAsia" w:ascii="仿宋" w:hAnsi="仿宋" w:eastAsia="仿宋" w:cs="仿宋"/>
          <w:sz w:val="32"/>
          <w:szCs w:val="32"/>
        </w:rPr>
        <w:t>医疗、急救、</w:t>
      </w:r>
      <w:r>
        <w:rPr>
          <w:rFonts w:hint="eastAsia" w:ascii="仿宋" w:hAnsi="仿宋" w:eastAsia="仿宋" w:cs="仿宋"/>
          <w:sz w:val="32"/>
          <w:szCs w:val="32"/>
          <w:lang w:eastAsia="zh-CN"/>
        </w:rPr>
        <w:t>基本公共卫生服务</w:t>
      </w:r>
      <w:r>
        <w:rPr>
          <w:rFonts w:hint="eastAsia" w:ascii="仿宋" w:hAnsi="仿宋" w:eastAsia="仿宋" w:cs="仿宋"/>
          <w:sz w:val="32"/>
          <w:szCs w:val="32"/>
        </w:rPr>
        <w:t>、医保为一体的一级甲等综合性卫生院</w:t>
      </w:r>
      <w:r>
        <w:rPr>
          <w:rFonts w:hint="eastAsia" w:ascii="仿宋" w:hAnsi="仿宋" w:eastAsia="仿宋" w:cs="仿宋"/>
          <w:bCs/>
          <w:sz w:val="32"/>
          <w:szCs w:val="32"/>
        </w:rPr>
        <w:t>。担负着辖区11万余人的基本医疗、基本公共卫生服务工作。</w:t>
      </w:r>
    </w:p>
    <w:p>
      <w:pPr>
        <w:spacing w:line="450" w:lineRule="atLeast"/>
        <w:ind w:firstLine="600"/>
        <w:rPr>
          <w:rFonts w:hint="eastAsia" w:ascii="仿宋" w:hAnsi="仿宋" w:eastAsia="仿宋" w:cs="仿宋"/>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01</w:t>
      </w:r>
      <w:r>
        <w:rPr>
          <w:rFonts w:hint="eastAsia" w:ascii="仿宋" w:hAnsi="仿宋" w:eastAsia="仿宋" w:cs="仿宋"/>
          <w:bCs/>
          <w:sz w:val="32"/>
          <w:szCs w:val="32"/>
          <w:lang w:val="en-US" w:eastAsia="zh-CN"/>
        </w:rPr>
        <w:t>9</w:t>
      </w:r>
      <w:r>
        <w:rPr>
          <w:rFonts w:hint="eastAsia" w:ascii="仿宋" w:hAnsi="仿宋" w:eastAsia="仿宋" w:cs="仿宋"/>
          <w:bCs/>
          <w:sz w:val="32"/>
          <w:szCs w:val="32"/>
        </w:rPr>
        <w:t>年度</w:t>
      </w:r>
      <w:r>
        <w:rPr>
          <w:rFonts w:hint="eastAsia" w:ascii="仿宋" w:hAnsi="仿宋" w:eastAsia="仿宋" w:cs="仿宋"/>
          <w:bCs/>
          <w:sz w:val="32"/>
          <w:szCs w:val="32"/>
          <w:lang w:eastAsia="zh-CN"/>
        </w:rPr>
        <w:t>主要做了以下工作：</w:t>
      </w:r>
      <w:r>
        <w:rPr>
          <w:rFonts w:hint="eastAsia" w:ascii="仿宋" w:hAnsi="仿宋" w:eastAsia="仿宋" w:cs="仿宋"/>
          <w:sz w:val="32"/>
          <w:szCs w:val="32"/>
        </w:rPr>
        <w:t>一是按照县卫</w:t>
      </w:r>
      <w:r>
        <w:rPr>
          <w:rFonts w:hint="eastAsia" w:ascii="仿宋" w:hAnsi="仿宋" w:eastAsia="仿宋" w:cs="仿宋"/>
          <w:sz w:val="32"/>
          <w:szCs w:val="32"/>
          <w:lang w:eastAsia="zh-CN"/>
        </w:rPr>
        <w:t>健</w:t>
      </w:r>
      <w:r>
        <w:rPr>
          <w:rFonts w:hint="eastAsia" w:ascii="仿宋" w:hAnsi="仿宋" w:eastAsia="仿宋" w:cs="仿宋"/>
          <w:sz w:val="32"/>
          <w:szCs w:val="32"/>
        </w:rPr>
        <w:t>局要求以“家庭医生”签约服务</w:t>
      </w:r>
      <w:r>
        <w:rPr>
          <w:rFonts w:hint="eastAsia" w:ascii="仿宋" w:hAnsi="仿宋" w:eastAsia="仿宋" w:cs="仿宋"/>
          <w:sz w:val="32"/>
          <w:szCs w:val="32"/>
          <w:lang w:eastAsia="zh-CN"/>
        </w:rPr>
        <w:t>、健康扶贫工作</w:t>
      </w:r>
      <w:r>
        <w:rPr>
          <w:rFonts w:hint="eastAsia" w:ascii="仿宋" w:hAnsi="仿宋" w:eastAsia="仿宋" w:cs="仿宋"/>
          <w:sz w:val="32"/>
          <w:szCs w:val="32"/>
        </w:rPr>
        <w:t>为契机全面推进基本公共卫生服务工作。二是</w:t>
      </w:r>
      <w:r>
        <w:rPr>
          <w:rFonts w:hint="eastAsia" w:ascii="仿宋" w:hAnsi="仿宋" w:eastAsia="仿宋" w:cs="仿宋"/>
          <w:sz w:val="32"/>
          <w:szCs w:val="32"/>
          <w:lang w:eastAsia="zh-CN"/>
        </w:rPr>
        <w:t>以“优质服务基层行”和创“二乙”</w:t>
      </w:r>
      <w:r>
        <w:rPr>
          <w:rFonts w:hint="eastAsia" w:ascii="仿宋" w:hAnsi="仿宋" w:eastAsia="仿宋" w:cs="仿宋"/>
          <w:sz w:val="32"/>
          <w:szCs w:val="32"/>
        </w:rPr>
        <w:t>狠抓医疗服务质量。三是以认真学习领会中央</w:t>
      </w:r>
      <w:bookmarkStart w:id="73" w:name="_GoBack"/>
      <w:bookmarkEnd w:id="73"/>
      <w:r>
        <w:rPr>
          <w:rFonts w:hint="eastAsia" w:ascii="仿宋" w:hAnsi="仿宋" w:eastAsia="仿宋" w:cs="仿宋"/>
          <w:sz w:val="32"/>
          <w:szCs w:val="32"/>
        </w:rPr>
        <w:t>八项规定，规范医疗行为，</w:t>
      </w:r>
      <w:r>
        <w:rPr>
          <w:rFonts w:hint="eastAsia" w:ascii="仿宋" w:hAnsi="仿宋" w:eastAsia="仿宋" w:cs="仿宋"/>
          <w:sz w:val="32"/>
          <w:szCs w:val="32"/>
          <w:lang w:eastAsia="zh-CN"/>
        </w:rPr>
        <w:t>开展“不忘初心、牢记使命”主题教育，</w:t>
      </w:r>
      <w:r>
        <w:rPr>
          <w:rFonts w:hint="eastAsia" w:ascii="仿宋" w:hAnsi="仿宋" w:eastAsia="仿宋" w:cs="仿宋"/>
          <w:sz w:val="32"/>
          <w:szCs w:val="32"/>
        </w:rPr>
        <w:t>提升医疗队伍的业务素质能力，忠实践行“全心全意为人民服务”的宗旨。</w:t>
      </w:r>
    </w:p>
    <w:p>
      <w:pPr>
        <w:spacing w:line="450" w:lineRule="atLeast"/>
        <w:ind w:firstLine="755" w:firstLineChars="236"/>
        <w:rPr>
          <w:rFonts w:hint="default" w:ascii="仿宋_GB2312" w:hAnsi="仿宋" w:eastAsia="仿宋_GB2312" w:cs="仿宋"/>
          <w:bCs/>
          <w:sz w:val="32"/>
          <w:szCs w:val="32"/>
          <w:lang w:val="en-US" w:eastAsia="zh-CN"/>
        </w:rPr>
      </w:pPr>
      <w:r>
        <w:rPr>
          <w:rFonts w:hint="eastAsia" w:ascii="仿宋" w:hAnsi="仿宋" w:eastAsia="仿宋" w:cs="仿宋"/>
          <w:bCs/>
          <w:sz w:val="32"/>
          <w:szCs w:val="32"/>
        </w:rPr>
        <w:t>我院经中共宣汉县很机构编制委员会重新核定财政全额</w:t>
      </w:r>
      <w:r>
        <w:rPr>
          <w:rFonts w:hint="eastAsia" w:ascii="仿宋" w:hAnsi="仿宋" w:eastAsia="仿宋" w:cs="Times New Roman"/>
          <w:kern w:val="2"/>
          <w:sz w:val="32"/>
          <w:szCs w:val="32"/>
          <w:lang w:val="en-US" w:eastAsia="zh-CN" w:bidi="ar"/>
        </w:rPr>
        <w:t>编制人数98人，2019年末在岗职工118人，其中：在编人员76人，聘用人员42人（其中聘用专业技术人员37人，清洁工3人，职工厨房炊事员1人，救护车驾驶员1人），退休职工29人，享受遗嘱补助人员6人。</w:t>
      </w:r>
    </w:p>
    <w:bookmarkEnd w:id="18"/>
    <w:bookmarkEnd w:id="19"/>
    <w:p>
      <w:pPr>
        <w:pStyle w:val="5"/>
        <w:adjustRightInd w:val="0"/>
        <w:snapToGrid w:val="0"/>
        <w:spacing w:before="93" w:line="600" w:lineRule="exact"/>
        <w:ind w:firstLine="672" w:firstLineChars="210"/>
        <w:outlineLvl w:val="2"/>
        <w:rPr>
          <w:rFonts w:hint="eastAsia" w:ascii="仿宋_GB2312" w:hAnsi="仿宋" w:eastAsia="仿宋_GB2312"/>
          <w:sz w:val="32"/>
          <w:szCs w:val="32"/>
        </w:rPr>
      </w:pPr>
      <w:r>
        <w:rPr>
          <w:rFonts w:hint="eastAsia" w:hAnsi="仿宋"/>
          <w:sz w:val="32"/>
          <w:szCs w:val="32"/>
          <w:lang w:eastAsia="zh-CN"/>
        </w:rPr>
        <w:t>（二）重点工作完成情况</w:t>
      </w:r>
      <w:r>
        <w:rPr>
          <w:rFonts w:hint="eastAsia" w:ascii="仿宋_GB2312" w:hAnsi="仿宋" w:eastAsia="仿宋_GB2312"/>
          <w:sz w:val="32"/>
          <w:szCs w:val="32"/>
        </w:rPr>
        <w:t xml:space="preserve"> </w:t>
      </w:r>
    </w:p>
    <w:p>
      <w:pPr>
        <w:pStyle w:val="12"/>
        <w:spacing w:before="0" w:beforeAutospacing="0" w:after="0" w:afterAutospacing="0"/>
        <w:ind w:firstLine="640" w:firstLineChars="200"/>
        <w:rPr>
          <w:rFonts w:hint="eastAsia" w:ascii="仿宋" w:hAnsi="仿宋" w:eastAsia="仿宋"/>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年，本院的卫生工作在上级领导的关心、指导下，以县卫</w:t>
      </w:r>
      <w:r>
        <w:rPr>
          <w:rFonts w:hint="eastAsia" w:hAnsi="仿宋"/>
          <w:sz w:val="32"/>
          <w:szCs w:val="32"/>
          <w:lang w:eastAsia="zh-CN"/>
        </w:rPr>
        <w:t>健</w:t>
      </w:r>
      <w:r>
        <w:rPr>
          <w:rFonts w:hint="eastAsia" w:ascii="仿宋_GB2312" w:hAnsi="仿宋" w:eastAsia="仿宋_GB2312"/>
          <w:sz w:val="32"/>
          <w:szCs w:val="32"/>
        </w:rPr>
        <w:t>局卫生工作要点为重心，</w:t>
      </w:r>
      <w:r>
        <w:rPr>
          <w:rFonts w:hint="eastAsia" w:ascii="仿宋" w:hAnsi="仿宋" w:eastAsia="仿宋"/>
          <w:sz w:val="32"/>
          <w:szCs w:val="32"/>
          <w:lang w:eastAsia="zh-CN"/>
        </w:rPr>
        <w:t>以强力整治“群众最不满意的十件事”为工作重点，提高医疗服务质量，改善医疗服务环境，</w:t>
      </w:r>
      <w:r>
        <w:rPr>
          <w:rFonts w:hint="eastAsia" w:ascii="仿宋_GB2312" w:hAnsi="华文仿宋" w:eastAsia="仿宋_GB2312"/>
          <w:sz w:val="32"/>
          <w:szCs w:val="32"/>
        </w:rPr>
        <w:t>加大了人才培养力度，增强了发展后劲</w:t>
      </w:r>
      <w:r>
        <w:rPr>
          <w:rFonts w:hint="eastAsia" w:ascii="仿宋_GB2312" w:hAnsi="华文仿宋" w:eastAsia="仿宋_GB2312"/>
          <w:sz w:val="32"/>
          <w:szCs w:val="32"/>
          <w:lang w:eastAsia="zh-CN"/>
        </w:rPr>
        <w:t>，</w:t>
      </w:r>
      <w:r>
        <w:rPr>
          <w:rFonts w:hint="eastAsia" w:ascii="仿宋_GB2312" w:hAnsi="仿宋" w:eastAsia="仿宋_GB2312"/>
          <w:sz w:val="32"/>
          <w:szCs w:val="32"/>
        </w:rPr>
        <w:t>规范了医疗服务行为，确保了医疗安全</w:t>
      </w:r>
      <w:r>
        <w:rPr>
          <w:rFonts w:hint="eastAsia" w:ascii="仿宋_GB2312" w:hAnsi="仿宋" w:eastAsia="仿宋_GB2312"/>
          <w:sz w:val="32"/>
          <w:szCs w:val="32"/>
          <w:lang w:eastAsia="zh-CN"/>
        </w:rPr>
        <w:t>。</w:t>
      </w:r>
    </w:p>
    <w:p>
      <w:pPr>
        <w:ind w:firstLine="800" w:firstLineChars="250"/>
        <w:rPr>
          <w:rFonts w:hint="eastAsia" w:ascii="仿宋_GB2312" w:hAnsi="仿宋" w:eastAsia="仿宋_GB2312"/>
          <w:sz w:val="32"/>
          <w:szCs w:val="32"/>
        </w:rPr>
      </w:pPr>
      <w:r>
        <w:rPr>
          <w:rFonts w:hint="eastAsia" w:ascii="仿宋_GB2312" w:hAnsi="仿宋" w:eastAsia="仿宋_GB2312"/>
          <w:sz w:val="32"/>
          <w:szCs w:val="32"/>
        </w:rPr>
        <w:t>按照</w:t>
      </w:r>
      <w:r>
        <w:rPr>
          <w:rFonts w:hint="eastAsia" w:ascii="仿宋_GB2312" w:hAnsi="仿宋" w:eastAsia="仿宋_GB2312"/>
          <w:sz w:val="32"/>
          <w:szCs w:val="32"/>
          <w:lang w:eastAsia="zh-CN"/>
        </w:rPr>
        <w:t>基本</w:t>
      </w:r>
      <w:r>
        <w:rPr>
          <w:rFonts w:hint="eastAsia" w:ascii="仿宋_GB2312" w:hAnsi="仿宋" w:eastAsia="仿宋_GB2312"/>
          <w:sz w:val="32"/>
          <w:szCs w:val="32"/>
        </w:rPr>
        <w:t>公共卫生</w:t>
      </w:r>
      <w:r>
        <w:rPr>
          <w:rFonts w:hint="eastAsia" w:ascii="仿宋_GB2312" w:hAnsi="仿宋" w:eastAsia="仿宋_GB2312"/>
          <w:sz w:val="32"/>
          <w:szCs w:val="32"/>
          <w:lang w:eastAsia="zh-CN"/>
        </w:rPr>
        <w:t>服务</w:t>
      </w:r>
      <w:r>
        <w:rPr>
          <w:rFonts w:hint="eastAsia" w:ascii="仿宋_GB2312" w:hAnsi="仿宋" w:eastAsia="仿宋_GB2312"/>
          <w:sz w:val="32"/>
          <w:szCs w:val="32"/>
        </w:rPr>
        <w:t>日常工作要求：</w:t>
      </w:r>
      <w:r>
        <w:rPr>
          <w:rFonts w:hint="eastAsia" w:ascii="仿宋_GB2312" w:hAnsi="仿宋" w:eastAsia="仿宋_GB2312"/>
          <w:sz w:val="32"/>
          <w:szCs w:val="32"/>
          <w:lang w:eastAsia="zh-CN"/>
        </w:rPr>
        <w:t>一</w:t>
      </w:r>
      <w:r>
        <w:rPr>
          <w:rFonts w:hint="eastAsia" w:ascii="仿宋_GB2312" w:hAnsi="仿宋" w:eastAsia="仿宋_GB2312"/>
          <w:sz w:val="32"/>
          <w:szCs w:val="32"/>
        </w:rPr>
        <w:t>是加强了居民健康档案信息录入</w:t>
      </w:r>
      <w:r>
        <w:rPr>
          <w:rFonts w:hint="eastAsia" w:ascii="仿宋_GB2312" w:hAnsi="仿宋" w:eastAsia="仿宋_GB2312"/>
          <w:sz w:val="32"/>
          <w:szCs w:val="32"/>
          <w:lang w:eastAsia="zh-CN"/>
        </w:rPr>
        <w:t>与更新</w:t>
      </w:r>
      <w:r>
        <w:rPr>
          <w:rFonts w:hint="eastAsia" w:ascii="仿宋_GB2312" w:hAnsi="仿宋" w:eastAsia="仿宋_GB2312"/>
          <w:sz w:val="32"/>
          <w:szCs w:val="32"/>
        </w:rPr>
        <w:t>，目前已全部录入，电子建档合格率98.95%。</w:t>
      </w:r>
      <w:r>
        <w:rPr>
          <w:rFonts w:hint="eastAsia" w:ascii="仿宋_GB2312" w:hAnsi="仿宋" w:eastAsia="仿宋_GB2312"/>
          <w:sz w:val="32"/>
          <w:szCs w:val="32"/>
          <w:lang w:eastAsia="zh-CN"/>
        </w:rPr>
        <w:t>二</w:t>
      </w:r>
      <w:r>
        <w:rPr>
          <w:rFonts w:hint="eastAsia" w:ascii="仿宋_GB2312" w:hAnsi="仿宋" w:eastAsia="仿宋_GB2312"/>
          <w:sz w:val="32"/>
          <w:szCs w:val="32"/>
        </w:rPr>
        <w:t>是全年制作健康教育宣传栏</w:t>
      </w:r>
      <w:r>
        <w:rPr>
          <w:rFonts w:hint="eastAsia" w:ascii="仿宋_GB2312" w:hAnsi="仿宋" w:eastAsia="仿宋_GB2312"/>
          <w:sz w:val="32"/>
          <w:szCs w:val="32"/>
          <w:lang w:val="en-US" w:eastAsia="zh-CN"/>
        </w:rPr>
        <w:t>84</w:t>
      </w:r>
      <w:r>
        <w:rPr>
          <w:rFonts w:hint="eastAsia" w:ascii="仿宋_GB2312" w:hAnsi="仿宋" w:eastAsia="仿宋_GB2312"/>
          <w:sz w:val="32"/>
          <w:szCs w:val="32"/>
        </w:rPr>
        <w:t>次，开展健康教育咨询活动38次，开展健康知识讲座</w:t>
      </w:r>
      <w:r>
        <w:rPr>
          <w:rFonts w:hint="eastAsia" w:ascii="仿宋_GB2312" w:hAnsi="仿宋" w:eastAsia="仿宋_GB2312"/>
          <w:sz w:val="32"/>
          <w:szCs w:val="32"/>
          <w:lang w:val="en-US" w:eastAsia="zh-CN"/>
        </w:rPr>
        <w:t>168</w:t>
      </w:r>
      <w:r>
        <w:rPr>
          <w:rFonts w:hint="eastAsia" w:ascii="仿宋_GB2312" w:hAnsi="仿宋" w:eastAsia="仿宋_GB2312"/>
          <w:sz w:val="32"/>
          <w:szCs w:val="32"/>
        </w:rPr>
        <w:t>次，开展包含中医内容的健康知识讲座4次，群众基本公共卫生服务相关信息知晓率98%。</w:t>
      </w:r>
      <w:r>
        <w:rPr>
          <w:rFonts w:hint="eastAsia" w:ascii="仿宋_GB2312" w:hAnsi="仿宋" w:eastAsia="仿宋_GB2312"/>
          <w:sz w:val="32"/>
          <w:szCs w:val="32"/>
          <w:lang w:eastAsia="zh-CN"/>
        </w:rPr>
        <w:t>三</w:t>
      </w:r>
      <w:r>
        <w:rPr>
          <w:rFonts w:hint="eastAsia" w:ascii="仿宋_GB2312" w:hAnsi="仿宋" w:eastAsia="仿宋_GB2312"/>
          <w:sz w:val="32"/>
          <w:szCs w:val="32"/>
        </w:rPr>
        <w:t>是全镇今年出生儿童225 人，建立了保健手册和预防接种证，对辖区0-6岁儿童进行了免疫规划接种工作，“五苗全程”接种率达到 95.68%。</w:t>
      </w:r>
      <w:r>
        <w:rPr>
          <w:rFonts w:hint="eastAsia" w:ascii="仿宋_GB2312" w:hAnsi="仿宋" w:eastAsia="仿宋_GB2312"/>
          <w:sz w:val="32"/>
          <w:szCs w:val="32"/>
          <w:lang w:eastAsia="zh-CN"/>
        </w:rPr>
        <w:t>四</w:t>
      </w:r>
      <w:r>
        <w:rPr>
          <w:rFonts w:hint="eastAsia" w:ascii="仿宋_GB2312" w:hAnsi="仿宋" w:eastAsia="仿宋_GB2312"/>
          <w:sz w:val="32"/>
          <w:szCs w:val="32"/>
        </w:rPr>
        <w:t>是持续推进了家庭医生签约服务，共签约8081户30367人，签约率达98.35% ，组织签约服务团队人员进村入户对六类重点人群进一步筛查，体检、随访与规范化管理。</w:t>
      </w:r>
      <w:r>
        <w:rPr>
          <w:rFonts w:hint="eastAsia" w:ascii="仿宋_GB2312" w:hAnsi="仿宋" w:eastAsia="仿宋_GB2312"/>
          <w:sz w:val="32"/>
          <w:szCs w:val="32"/>
          <w:lang w:eastAsia="zh-CN"/>
        </w:rPr>
        <w:t>六是</w:t>
      </w:r>
      <w:r>
        <w:rPr>
          <w:rFonts w:hint="eastAsia" w:ascii="仿宋_GB2312" w:hAnsi="仿宋" w:eastAsia="仿宋_GB2312"/>
          <w:sz w:val="32"/>
          <w:szCs w:val="32"/>
        </w:rPr>
        <w:t>慢性病管理：全镇患高血压</w:t>
      </w:r>
      <w:r>
        <w:rPr>
          <w:rFonts w:hint="eastAsia" w:ascii="仿宋_GB2312" w:hAnsi="仿宋" w:eastAsia="仿宋_GB2312"/>
          <w:sz w:val="32"/>
          <w:szCs w:val="32"/>
          <w:lang w:val="en-US" w:eastAsia="zh-CN"/>
        </w:rPr>
        <w:t>1613</w:t>
      </w:r>
      <w:r>
        <w:rPr>
          <w:rFonts w:hint="eastAsia" w:ascii="仿宋_GB2312" w:hAnsi="仿宋" w:eastAsia="仿宋_GB2312"/>
          <w:sz w:val="32"/>
          <w:szCs w:val="32"/>
        </w:rPr>
        <w:t>人，随访了</w:t>
      </w:r>
      <w:r>
        <w:rPr>
          <w:rFonts w:hint="eastAsia" w:ascii="仿宋_GB2312" w:hAnsi="仿宋" w:eastAsia="仿宋_GB2312"/>
          <w:sz w:val="32"/>
          <w:szCs w:val="32"/>
          <w:lang w:val="en-US" w:eastAsia="zh-CN"/>
        </w:rPr>
        <w:t>1613</w:t>
      </w:r>
      <w:r>
        <w:rPr>
          <w:rFonts w:hint="eastAsia" w:ascii="仿宋_GB2312" w:hAnsi="仿宋" w:eastAsia="仿宋_GB2312"/>
          <w:sz w:val="32"/>
          <w:szCs w:val="32"/>
        </w:rPr>
        <w:t>人；糖尿病</w:t>
      </w:r>
      <w:r>
        <w:rPr>
          <w:rFonts w:hint="eastAsia" w:ascii="仿宋_GB2312" w:hAnsi="仿宋" w:eastAsia="仿宋_GB2312"/>
          <w:sz w:val="32"/>
          <w:szCs w:val="32"/>
          <w:lang w:val="en-US" w:eastAsia="zh-CN"/>
        </w:rPr>
        <w:t>351</w:t>
      </w:r>
      <w:r>
        <w:rPr>
          <w:rFonts w:hint="eastAsia" w:ascii="仿宋_GB2312" w:hAnsi="仿宋" w:eastAsia="仿宋_GB2312"/>
          <w:sz w:val="32"/>
          <w:szCs w:val="32"/>
        </w:rPr>
        <w:t>人，随访了</w:t>
      </w:r>
      <w:r>
        <w:rPr>
          <w:rFonts w:hint="eastAsia" w:ascii="仿宋_GB2312" w:hAnsi="仿宋" w:eastAsia="仿宋_GB2312"/>
          <w:sz w:val="32"/>
          <w:szCs w:val="32"/>
          <w:lang w:val="en-US" w:eastAsia="zh-CN"/>
        </w:rPr>
        <w:t>351</w:t>
      </w:r>
      <w:r>
        <w:rPr>
          <w:rFonts w:hint="eastAsia" w:ascii="仿宋_GB2312" w:hAnsi="仿宋" w:eastAsia="仿宋_GB2312"/>
          <w:sz w:val="32"/>
          <w:szCs w:val="32"/>
        </w:rPr>
        <w:t>人；重性精神疾病</w:t>
      </w:r>
      <w:r>
        <w:rPr>
          <w:rFonts w:hint="eastAsia" w:ascii="仿宋_GB2312" w:hAnsi="仿宋" w:eastAsia="仿宋_GB2312"/>
          <w:sz w:val="32"/>
          <w:szCs w:val="32"/>
          <w:lang w:val="en-US" w:eastAsia="zh-CN"/>
        </w:rPr>
        <w:t>186</w:t>
      </w:r>
      <w:r>
        <w:rPr>
          <w:rFonts w:hint="eastAsia" w:ascii="仿宋_GB2312" w:hAnsi="仿宋" w:eastAsia="仿宋_GB2312"/>
          <w:sz w:val="32"/>
          <w:szCs w:val="32"/>
        </w:rPr>
        <w:t>人，随访了498次，均做了健康体检和4次以上随访工作；为全镇65岁以上老年人</w:t>
      </w:r>
      <w:r>
        <w:rPr>
          <w:rFonts w:hint="eastAsia" w:ascii="仿宋_GB2312" w:hAnsi="仿宋" w:eastAsia="仿宋_GB2312"/>
          <w:sz w:val="32"/>
          <w:szCs w:val="32"/>
          <w:lang w:val="en-US" w:eastAsia="zh-CN"/>
        </w:rPr>
        <w:t>2263</w:t>
      </w:r>
      <w:r>
        <w:rPr>
          <w:rFonts w:hint="eastAsia" w:ascii="仿宋_GB2312" w:hAnsi="仿宋" w:eastAsia="仿宋_GB2312"/>
          <w:sz w:val="32"/>
          <w:szCs w:val="32"/>
        </w:rPr>
        <w:t>人做了健康体检工作；为</w:t>
      </w:r>
      <w:r>
        <w:rPr>
          <w:rFonts w:hint="eastAsia" w:ascii="仿宋_GB2312" w:hAnsi="仿宋" w:eastAsia="仿宋_GB2312"/>
          <w:sz w:val="32"/>
          <w:szCs w:val="32"/>
          <w:lang w:val="en-US" w:eastAsia="zh-CN"/>
        </w:rPr>
        <w:t>285</w:t>
      </w:r>
      <w:r>
        <w:rPr>
          <w:rFonts w:hint="eastAsia" w:ascii="仿宋_GB2312" w:hAnsi="仿宋" w:eastAsia="仿宋_GB2312"/>
          <w:sz w:val="32"/>
          <w:szCs w:val="32"/>
        </w:rPr>
        <w:t>名孕产妇建立了保健手册，进行了5次产前随访和2次产后访视</w:t>
      </w:r>
      <w:r>
        <w:rPr>
          <w:rFonts w:hint="eastAsia" w:ascii="仿宋_GB2312" w:hAnsi="仿宋" w:eastAsia="仿宋_GB2312"/>
          <w:sz w:val="32"/>
          <w:szCs w:val="32"/>
          <w:lang w:eastAsia="zh-CN"/>
        </w:rPr>
        <w:t>，</w:t>
      </w:r>
      <w:r>
        <w:rPr>
          <w:rFonts w:hint="eastAsia" w:ascii="仿宋_GB2312" w:hAnsi="仿宋" w:eastAsia="仿宋_GB2312"/>
          <w:sz w:val="32"/>
          <w:szCs w:val="32"/>
        </w:rPr>
        <w:t>免费婚检</w:t>
      </w:r>
      <w:r>
        <w:rPr>
          <w:rFonts w:hint="eastAsia" w:ascii="仿宋_GB2312" w:hAnsi="仿宋" w:eastAsia="仿宋_GB2312"/>
          <w:sz w:val="32"/>
          <w:szCs w:val="32"/>
          <w:lang w:val="en-US" w:eastAsia="zh-CN"/>
        </w:rPr>
        <w:t>366</w:t>
      </w:r>
      <w:r>
        <w:rPr>
          <w:rFonts w:hint="eastAsia" w:ascii="仿宋_GB2312" w:hAnsi="仿宋" w:eastAsia="仿宋_GB2312"/>
          <w:sz w:val="32"/>
          <w:szCs w:val="32"/>
        </w:rPr>
        <w:t>对，孕检</w:t>
      </w:r>
      <w:r>
        <w:rPr>
          <w:rFonts w:hint="eastAsia" w:ascii="仿宋_GB2312" w:hAnsi="仿宋" w:eastAsia="仿宋_GB2312"/>
          <w:sz w:val="32"/>
          <w:szCs w:val="32"/>
          <w:lang w:val="en-US" w:eastAsia="zh-CN"/>
        </w:rPr>
        <w:t>381对</w:t>
      </w:r>
      <w:r>
        <w:rPr>
          <w:rFonts w:hint="eastAsia" w:ascii="仿宋_GB2312" w:hAnsi="仿宋" w:eastAsia="仿宋_GB2312"/>
          <w:sz w:val="32"/>
          <w:szCs w:val="32"/>
        </w:rPr>
        <w:t xml:space="preserve">；全镇0-6岁儿童 </w:t>
      </w:r>
      <w:r>
        <w:rPr>
          <w:rFonts w:hint="eastAsia" w:ascii="仿宋_GB2312" w:hAnsi="仿宋" w:eastAsia="仿宋_GB2312"/>
          <w:sz w:val="32"/>
          <w:szCs w:val="32"/>
          <w:lang w:val="en-US" w:eastAsia="zh-CN"/>
        </w:rPr>
        <w:t>2208</w:t>
      </w:r>
      <w:r>
        <w:rPr>
          <w:rFonts w:hint="eastAsia" w:ascii="仿宋_GB2312" w:hAnsi="仿宋" w:eastAsia="仿宋_GB2312"/>
          <w:sz w:val="32"/>
          <w:szCs w:val="32"/>
        </w:rPr>
        <w:t xml:space="preserve"> 人，系统管理了</w:t>
      </w:r>
      <w:r>
        <w:rPr>
          <w:rFonts w:hint="eastAsia" w:ascii="仿宋_GB2312" w:hAnsi="仿宋" w:eastAsia="仿宋_GB2312"/>
          <w:sz w:val="32"/>
          <w:szCs w:val="32"/>
          <w:lang w:val="en-US" w:eastAsia="zh-CN"/>
        </w:rPr>
        <w:t>2208</w:t>
      </w:r>
      <w:r>
        <w:rPr>
          <w:rFonts w:hint="eastAsia" w:ascii="仿宋_GB2312" w:hAnsi="仿宋" w:eastAsia="仿宋_GB2312"/>
          <w:sz w:val="32"/>
          <w:szCs w:val="32"/>
        </w:rPr>
        <w:t>人。</w:t>
      </w:r>
    </w:p>
    <w:p>
      <w:pPr>
        <w:pStyle w:val="12"/>
        <w:spacing w:before="0" w:beforeAutospacing="0" w:after="0" w:afterAutospacing="0"/>
        <w:ind w:firstLine="640" w:firstLineChars="200"/>
        <w:rPr>
          <w:rFonts w:hint="eastAsia" w:ascii="仿宋" w:hAnsi="仿宋" w:eastAsia="仿宋"/>
          <w:sz w:val="32"/>
          <w:szCs w:val="32"/>
        </w:rPr>
      </w:pPr>
      <w:bookmarkStart w:id="20" w:name="_Toc15377200"/>
      <w:bookmarkStart w:id="21" w:name="_Toc15396601"/>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年我院诊疗人次</w:t>
      </w:r>
      <w:r>
        <w:rPr>
          <w:rFonts w:hint="eastAsia" w:ascii="仿宋" w:hAnsi="仿宋" w:eastAsia="仿宋"/>
          <w:sz w:val="32"/>
          <w:szCs w:val="32"/>
          <w:lang w:val="en-US" w:eastAsia="zh-CN"/>
        </w:rPr>
        <w:t>44762</w:t>
      </w:r>
      <w:r>
        <w:rPr>
          <w:rFonts w:hint="eastAsia" w:ascii="仿宋" w:hAnsi="仿宋" w:eastAsia="仿宋"/>
          <w:sz w:val="32"/>
          <w:szCs w:val="32"/>
        </w:rPr>
        <w:t>人次，收治住院病人</w:t>
      </w:r>
      <w:r>
        <w:rPr>
          <w:rFonts w:hint="eastAsia" w:ascii="仿宋" w:hAnsi="仿宋" w:eastAsia="仿宋"/>
          <w:sz w:val="32"/>
          <w:szCs w:val="32"/>
          <w:lang w:val="en-US" w:eastAsia="zh-CN"/>
        </w:rPr>
        <w:t>4664</w:t>
      </w:r>
      <w:r>
        <w:rPr>
          <w:rFonts w:hint="eastAsia" w:ascii="仿宋" w:hAnsi="仿宋" w:eastAsia="仿宋"/>
          <w:sz w:val="32"/>
          <w:szCs w:val="32"/>
        </w:rPr>
        <w:t>人次，实现医疗收入</w:t>
      </w:r>
      <w:r>
        <w:rPr>
          <w:rFonts w:hint="eastAsia" w:ascii="仿宋" w:hAnsi="仿宋" w:eastAsia="仿宋"/>
          <w:sz w:val="32"/>
          <w:szCs w:val="32"/>
          <w:lang w:val="en-US" w:eastAsia="zh-CN"/>
        </w:rPr>
        <w:t>19022631.12</w:t>
      </w:r>
      <w:r>
        <w:rPr>
          <w:rFonts w:hint="eastAsia" w:ascii="仿宋" w:hAnsi="仿宋" w:eastAsia="仿宋"/>
          <w:sz w:val="32"/>
          <w:szCs w:val="32"/>
        </w:rPr>
        <w:t>元；居民健康建档人数</w:t>
      </w:r>
      <w:r>
        <w:rPr>
          <w:rFonts w:hint="eastAsia" w:ascii="仿宋" w:hAnsi="仿宋" w:eastAsia="仿宋"/>
          <w:sz w:val="32"/>
          <w:szCs w:val="32"/>
          <w:lang w:val="en-US" w:eastAsia="zh-CN"/>
        </w:rPr>
        <w:t>38858</w:t>
      </w:r>
      <w:r>
        <w:rPr>
          <w:rFonts w:hint="eastAsia" w:ascii="仿宋" w:hAnsi="仿宋" w:eastAsia="仿宋"/>
          <w:sz w:val="32"/>
          <w:szCs w:val="32"/>
        </w:rPr>
        <w:t>人，电子建档人数为</w:t>
      </w:r>
      <w:r>
        <w:rPr>
          <w:rFonts w:hint="eastAsia" w:ascii="仿宋" w:hAnsi="仿宋" w:eastAsia="仿宋"/>
          <w:sz w:val="32"/>
          <w:szCs w:val="32"/>
          <w:lang w:val="en-US" w:eastAsia="zh-CN"/>
        </w:rPr>
        <w:t>35462</w:t>
      </w:r>
      <w:r>
        <w:rPr>
          <w:rFonts w:hint="eastAsia" w:ascii="仿宋" w:hAnsi="仿宋" w:eastAsia="仿宋"/>
          <w:sz w:val="32"/>
          <w:szCs w:val="32"/>
        </w:rPr>
        <w:t>人，健康知识讲座受益人数达</w:t>
      </w:r>
      <w:r>
        <w:rPr>
          <w:rFonts w:hint="eastAsia" w:ascii="仿宋" w:hAnsi="仿宋" w:eastAsia="仿宋"/>
          <w:sz w:val="32"/>
          <w:szCs w:val="32"/>
          <w:lang w:val="en-US" w:eastAsia="zh-CN"/>
        </w:rPr>
        <w:t>7584</w:t>
      </w:r>
      <w:r>
        <w:rPr>
          <w:rFonts w:hint="eastAsia" w:ascii="仿宋" w:hAnsi="仿宋" w:eastAsia="仿宋"/>
          <w:sz w:val="32"/>
          <w:szCs w:val="32"/>
        </w:rPr>
        <w:t>人次</w:t>
      </w:r>
      <w:r>
        <w:rPr>
          <w:rFonts w:hint="eastAsia" w:ascii="仿宋_GB2312" w:hAnsi="仿宋" w:eastAsia="仿宋_GB2312"/>
          <w:sz w:val="32"/>
          <w:szCs w:val="32"/>
        </w:rPr>
        <w:t>。</w:t>
      </w:r>
    </w:p>
    <w:p>
      <w:pPr>
        <w:pStyle w:val="3"/>
        <w:ind w:firstLine="640" w:firstLineChars="200"/>
        <w:rPr>
          <w:rStyle w:val="27"/>
          <w:b w:val="0"/>
          <w:bCs w:val="0"/>
        </w:rPr>
      </w:pPr>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我单位无</w:t>
      </w:r>
      <w:r>
        <w:rPr>
          <w:rFonts w:hint="eastAsia" w:ascii="仿宋" w:hAnsi="仿宋" w:eastAsia="仿宋"/>
          <w:sz w:val="32"/>
          <w:szCs w:val="32"/>
        </w:rPr>
        <w:t>下属二级单位，</w:t>
      </w:r>
      <w:r>
        <w:rPr>
          <w:rFonts w:hint="eastAsia" w:ascii="仿宋" w:hAnsi="仿宋" w:eastAsia="仿宋"/>
          <w:sz w:val="32"/>
          <w:szCs w:val="32"/>
          <w:lang w:eastAsia="zh-CN"/>
        </w:rPr>
        <w:t>属公益一类事业单位。</w:t>
      </w:r>
    </w:p>
    <w:p>
      <w:pPr>
        <w:widowControl/>
        <w:ind w:firstLine="640" w:firstLineChars="200"/>
        <w:jc w:val="left"/>
        <w:rPr>
          <w:rFonts w:ascii="仿宋" w:hAnsi="仿宋" w:eastAsia="仿宋"/>
          <w:color w:val="000000"/>
          <w:kern w:val="0"/>
          <w:sz w:val="32"/>
          <w:szCs w:val="32"/>
        </w:rPr>
      </w:pPr>
      <w:r>
        <w:rPr>
          <w:rFonts w:hint="eastAsia" w:ascii="仿宋_GB2312" w:hAnsi="仿宋" w:eastAsia="仿宋_GB2312" w:cs="仿宋"/>
          <w:bCs/>
          <w:sz w:val="32"/>
          <w:szCs w:val="32"/>
        </w:rPr>
        <w:t>全院占地面积4329平方米，建筑面积</w:t>
      </w:r>
      <w:r>
        <w:rPr>
          <w:rFonts w:hint="eastAsia" w:ascii="仿宋_GB2312" w:hAnsi="仿宋" w:eastAsia="仿宋_GB2312" w:cs="仿宋"/>
          <w:bCs/>
          <w:sz w:val="32"/>
          <w:szCs w:val="32"/>
          <w:lang w:val="en-US" w:eastAsia="zh-CN"/>
        </w:rPr>
        <w:t>9452</w:t>
      </w:r>
      <w:r>
        <w:rPr>
          <w:rFonts w:hint="eastAsia" w:ascii="仿宋_GB2312" w:hAnsi="仿宋" w:eastAsia="仿宋_GB2312" w:cs="仿宋"/>
          <w:bCs/>
          <w:sz w:val="32"/>
          <w:szCs w:val="32"/>
        </w:rPr>
        <w:t>平方米，其中：业务用房</w:t>
      </w:r>
      <w:r>
        <w:rPr>
          <w:rFonts w:hint="eastAsia" w:ascii="仿宋_GB2312" w:hAnsi="仿宋" w:eastAsia="仿宋_GB2312" w:cs="仿宋"/>
          <w:bCs/>
          <w:sz w:val="32"/>
          <w:szCs w:val="32"/>
          <w:lang w:val="en-US" w:eastAsia="zh-CN"/>
        </w:rPr>
        <w:t>6532</w:t>
      </w:r>
      <w:r>
        <w:rPr>
          <w:rFonts w:hint="eastAsia" w:ascii="仿宋_GB2312" w:hAnsi="仿宋" w:eastAsia="仿宋_GB2312" w:cs="仿宋"/>
          <w:bCs/>
          <w:sz w:val="32"/>
          <w:szCs w:val="32"/>
        </w:rPr>
        <w:t>平方米，编制床位</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5张，实际开放床位</w:t>
      </w:r>
      <w:r>
        <w:rPr>
          <w:rFonts w:hint="eastAsia" w:ascii="仿宋_GB2312" w:hAnsi="仿宋" w:eastAsia="仿宋_GB2312" w:cs="仿宋"/>
          <w:bCs/>
          <w:sz w:val="32"/>
          <w:szCs w:val="32"/>
          <w:lang w:val="en-US" w:eastAsia="zh-CN"/>
        </w:rPr>
        <w:t>120</w:t>
      </w:r>
      <w:r>
        <w:rPr>
          <w:rFonts w:hint="eastAsia" w:ascii="仿宋_GB2312" w:hAnsi="仿宋" w:eastAsia="仿宋_GB2312" w:cs="仿宋"/>
          <w:bCs/>
          <w:sz w:val="32"/>
          <w:szCs w:val="32"/>
        </w:rPr>
        <w:t>张。院内分为门诊、住院、医技、行后、公共卫生五大科组。目前开展了常见病、突发病、呼吸、消化、泌尿、心血管、神经系统、外科等的诊治及预防保健工作。手术能开展中下腹部手术及骨伤四肢骨骨折的切开复位固定手术。</w:t>
      </w:r>
      <w:r>
        <w:rPr>
          <w:rFonts w:ascii="仿宋" w:hAnsi="仿宋" w:eastAsia="仿宋"/>
          <w:color w:val="000000"/>
          <w:sz w:val="32"/>
          <w:szCs w:val="32"/>
        </w:rPr>
        <w:br w:type="page"/>
      </w:r>
    </w:p>
    <w:p>
      <w:pPr>
        <w:pStyle w:val="2"/>
        <w:ind w:right="440" w:firstLine="440" w:firstLineChars="100"/>
        <w:jc w:val="both"/>
        <w:rPr>
          <w:rStyle w:val="2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w:t>
      </w:r>
      <w:r>
        <w:rPr>
          <w:rStyle w:val="26"/>
          <w:rFonts w:hint="eastAsia" w:ascii="黑体" w:hAnsi="黑体" w:eastAsia="黑体"/>
          <w:b w:val="0"/>
          <w:bCs w:val="0"/>
          <w:lang w:val="en-US" w:eastAsia="zh-CN"/>
        </w:rPr>
        <w:t>9</w:t>
      </w:r>
      <w:r>
        <w:rPr>
          <w:rStyle w:val="26"/>
          <w:rFonts w:hint="eastAsia" w:ascii="黑体" w:hAnsi="黑体" w:eastAsia="黑体"/>
          <w:b w:val="0"/>
          <w:bCs w:val="0"/>
        </w:rPr>
        <w:t>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总</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2438.50万元，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2438.50</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eastAsia="zh-CN"/>
        </w:rPr>
        <w:t>总</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1974.29万元，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1974.29万元</w:t>
      </w:r>
      <w:r>
        <w:rPr>
          <w:rFonts w:hint="eastAsia" w:ascii="仿宋" w:hAnsi="仿宋" w:eastAsia="仿宋"/>
          <w:color w:val="000000"/>
          <w:sz w:val="32"/>
          <w:szCs w:val="32"/>
        </w:rPr>
        <w:t>相比</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各</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464.21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19.04%</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事业收入、支出增长。</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25"/>
        <w:numPr>
          <w:ilvl w:val="0"/>
          <w:numId w:val="0"/>
        </w:numPr>
        <w:spacing w:line="600" w:lineRule="exact"/>
        <w:ind w:firstLine="642" w:firstLineChars="200"/>
        <w:outlineLvl w:val="1"/>
        <w:rPr>
          <w:rStyle w:val="27"/>
          <w:rFonts w:ascii="黑体" w:hAnsi="黑体" w:eastAsia="黑体"/>
          <w:b w:val="0"/>
        </w:rPr>
      </w:pPr>
      <w:bookmarkStart w:id="26" w:name="_Toc15377206"/>
      <w:bookmarkStart w:id="27" w:name="_Toc15396604"/>
      <w:r>
        <w:rPr>
          <w:rFonts w:hint="eastAsia" w:ascii="楷体_GB2312" w:hAnsi="仿宋" w:eastAsia="楷体_GB2312"/>
          <w:b/>
          <w:sz w:val="32"/>
          <w:szCs w:val="32"/>
          <w:lang w:eastAsia="zh-CN"/>
        </w:rPr>
        <w:pict>
          <v:shape id="_x0000_s1040" o:spid="_x0000_s1040" o:spt="75" type="#_x0000_t75" style="position:absolute;left:0pt;margin-left:602.75pt;margin-top:195.5pt;height:53.3pt;width:100.3pt;z-index:251666432;mso-width-relative:page;mso-height-relative:page;" o:ole="t" filled="f" o:preferrelative="t" stroked="f" coordsize="21600,21600">
            <v:path/>
            <v:fill on="f" focussize="0,0"/>
            <v:stroke on="f"/>
            <v:imagedata r:id="rId7" o:title=""/>
            <o:lock v:ext="edit" aspectratio="t"/>
          </v:shape>
          <o:OLEObject Type="Embed" ProgID="Excel.Chart.8" ShapeID="_x0000_s1040" DrawAspect="Content" ObjectID="_1468075725" r:id="rId6">
            <o:LockedField>false</o:LockedField>
          </o:OLEObject>
        </w:pict>
      </w:r>
      <w:r>
        <w:rPr>
          <w:rFonts w:ascii="黑体" w:eastAsia="黑体"/>
          <w:color w:val="000000"/>
          <w:sz w:val="32"/>
          <w:szCs w:val="32"/>
        </w:rPr>
        <w:pict>
          <v:shape id="_x0000_s1031" o:spid="_x0000_s1031" o:spt="75" type="#_x0000_t75" style="position:absolute;left:0pt;margin-left:9pt;margin-top:12.65pt;height:155.1pt;width:396.2pt;mso-wrap-distance-bottom:0pt;mso-wrap-distance-left:9pt;mso-wrap-distance-right:9pt;mso-wrap-distance-top:0pt;z-index:251659264;mso-width-relative:page;mso-height-relative:page;" o:ole="t" filled="f" o:preferrelative="t" stroked="f" coordsize="21600,21600">
            <v:path/>
            <v:fill on="f" focussize="0,0"/>
            <v:stroke on="f"/>
            <v:imagedata r:id="rId9" o:title=""/>
            <o:lock v:ext="edit" aspectratio="t"/>
            <w10:wrap type="square"/>
          </v:shape>
          <o:OLEObject Type="Embed" ProgID="MSGraph.Chart.8" ShapeID="_x0000_s1031" DrawAspect="Content" ObjectID="_1468075726" r:id="rId8">
            <o:LockedField>false</o:LockedField>
          </o:OLEObject>
        </w:pict>
      </w: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2438.5万元</w:t>
      </w:r>
      <w:r>
        <w:rPr>
          <w:rFonts w:hint="eastAsia" w:ascii="仿宋" w:hAnsi="仿宋" w:eastAsia="仿宋"/>
          <w:color w:val="000000"/>
          <w:sz w:val="32"/>
          <w:szCs w:val="32"/>
        </w:rPr>
        <w:t>财政拨款收入</w:t>
      </w:r>
      <w:r>
        <w:rPr>
          <w:rFonts w:hint="eastAsia" w:ascii="仿宋" w:hAnsi="仿宋" w:eastAsia="仿宋"/>
          <w:color w:val="000000"/>
          <w:sz w:val="32"/>
          <w:szCs w:val="32"/>
          <w:lang w:val="en-US" w:eastAsia="zh-CN"/>
        </w:rPr>
        <w:t>532.98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21.86</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1902.26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78.01</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3.26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0.13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spacing w:line="600" w:lineRule="exact"/>
        <w:ind w:firstLine="640" w:firstLineChars="200"/>
        <w:rPr>
          <w:rFonts w:ascii="仿宋_GB2312" w:eastAsia="仿宋_GB2312"/>
          <w:color w:val="FF0000"/>
          <w:sz w:val="32"/>
          <w:szCs w:val="32"/>
        </w:rPr>
      </w:pPr>
      <w:r>
        <w:rPr>
          <w:rFonts w:ascii="仿宋_GB2312" w:eastAsia="仿宋_GB2312"/>
          <w:color w:val="000000"/>
          <w:sz w:val="32"/>
          <w:szCs w:val="32"/>
        </w:rPr>
        <w:pict>
          <v:shape id="_x0000_s1033" o:spid="_x0000_s1033" o:spt="75" type="#_x0000_t75" style="position:absolute;left:0pt;margin-left:45.75pt;margin-top:-1.8pt;height:191.7pt;width:315pt;mso-wrap-distance-bottom:0pt;mso-wrap-distance-left:9pt;mso-wrap-distance-right:9pt;mso-wrap-distance-top:0pt;z-index:251660288;mso-width-relative:page;mso-height-relative:page;" o:ole="t" filled="f" o:preferrelative="f" stroked="f" coordsize="21600,21600">
            <v:path/>
            <v:fill on="f" focussize="0,0"/>
            <v:stroke on="f"/>
            <v:imagedata r:id="rId11" o:title=""/>
            <o:lock v:ext="edit" aspectratio="f"/>
            <w10:wrap type="square"/>
          </v:shape>
          <o:OLEObject Type="Embed" ProgID="MSGraph.Chart.8" ShapeID="_x0000_s1033" DrawAspect="Content" ObjectID="_1468075727" r:id="rId10">
            <o:LockedField>false</o:LockedField>
          </o:OLEObject>
        </w:pict>
      </w:r>
    </w:p>
    <w:p>
      <w:pPr>
        <w:pStyle w:val="25"/>
        <w:numPr>
          <w:ilvl w:val="0"/>
          <w:numId w:val="0"/>
        </w:numPr>
        <w:spacing w:line="600" w:lineRule="exact"/>
        <w:ind w:firstLine="640" w:firstLineChars="200"/>
        <w:outlineLvl w:val="1"/>
        <w:rPr>
          <w:rFonts w:hint="eastAsia" w:ascii="黑体" w:hAnsi="黑体" w:eastAsia="黑体"/>
          <w:color w:val="000000"/>
          <w:sz w:val="32"/>
          <w:szCs w:val="32"/>
          <w:lang w:eastAsia="zh-CN"/>
        </w:rPr>
      </w:pPr>
      <w:bookmarkStart w:id="28" w:name="_Toc15377207"/>
      <w:bookmarkStart w:id="29" w:name="_Toc15396605"/>
    </w:p>
    <w:p>
      <w:pPr>
        <w:pStyle w:val="25"/>
        <w:numPr>
          <w:ilvl w:val="0"/>
          <w:numId w:val="0"/>
        </w:numPr>
        <w:spacing w:line="600" w:lineRule="exact"/>
        <w:ind w:firstLine="640" w:firstLineChars="200"/>
        <w:outlineLvl w:val="1"/>
        <w:rPr>
          <w:rFonts w:hint="eastAsia" w:ascii="黑体" w:hAnsi="黑体" w:eastAsia="黑体"/>
          <w:color w:val="000000"/>
          <w:sz w:val="32"/>
          <w:szCs w:val="32"/>
          <w:lang w:eastAsia="zh-CN"/>
        </w:rPr>
      </w:pPr>
    </w:p>
    <w:p>
      <w:pPr>
        <w:pStyle w:val="25"/>
        <w:numPr>
          <w:ilvl w:val="0"/>
          <w:numId w:val="0"/>
        </w:numPr>
        <w:spacing w:line="600" w:lineRule="exact"/>
        <w:ind w:firstLine="640" w:firstLineChars="200"/>
        <w:outlineLvl w:val="1"/>
        <w:rPr>
          <w:rFonts w:hint="eastAsia" w:ascii="黑体" w:hAnsi="黑体" w:eastAsia="黑体"/>
          <w:color w:val="000000"/>
          <w:sz w:val="32"/>
          <w:szCs w:val="32"/>
          <w:lang w:eastAsia="zh-CN"/>
        </w:rPr>
      </w:pPr>
    </w:p>
    <w:p>
      <w:pPr>
        <w:pStyle w:val="25"/>
        <w:numPr>
          <w:ilvl w:val="0"/>
          <w:numId w:val="0"/>
        </w:numPr>
        <w:spacing w:line="600" w:lineRule="exact"/>
        <w:ind w:firstLine="640" w:firstLineChars="200"/>
        <w:outlineLvl w:val="1"/>
        <w:rPr>
          <w:rFonts w:hint="eastAsia" w:ascii="黑体" w:hAnsi="黑体" w:eastAsia="黑体"/>
          <w:color w:val="000000"/>
          <w:sz w:val="32"/>
          <w:szCs w:val="32"/>
          <w:lang w:eastAsia="zh-CN"/>
        </w:rPr>
      </w:pPr>
    </w:p>
    <w:p>
      <w:pPr>
        <w:pStyle w:val="25"/>
        <w:numPr>
          <w:ilvl w:val="0"/>
          <w:numId w:val="0"/>
        </w:numPr>
        <w:spacing w:line="600" w:lineRule="exact"/>
        <w:ind w:firstLine="640" w:firstLineChars="200"/>
        <w:outlineLvl w:val="1"/>
        <w:rPr>
          <w:rFonts w:hint="eastAsia" w:ascii="黑体" w:hAnsi="黑体" w:eastAsia="黑体"/>
          <w:color w:val="000000"/>
          <w:sz w:val="32"/>
          <w:szCs w:val="32"/>
          <w:lang w:eastAsia="zh-CN"/>
        </w:rPr>
      </w:pPr>
    </w:p>
    <w:p>
      <w:pPr>
        <w:pStyle w:val="25"/>
        <w:numPr>
          <w:ilvl w:val="0"/>
          <w:numId w:val="0"/>
        </w:numPr>
        <w:spacing w:line="600" w:lineRule="exact"/>
        <w:ind w:firstLine="640" w:firstLineChars="200"/>
        <w:outlineLvl w:val="1"/>
        <w:rPr>
          <w:rFonts w:hint="eastAsia" w:ascii="黑体" w:hAnsi="黑体" w:eastAsia="黑体"/>
          <w:color w:val="000000"/>
          <w:sz w:val="32"/>
          <w:szCs w:val="32"/>
          <w:lang w:eastAsia="zh-CN"/>
        </w:rPr>
      </w:pPr>
    </w:p>
    <w:p>
      <w:pPr>
        <w:pStyle w:val="25"/>
        <w:numPr>
          <w:ilvl w:val="0"/>
          <w:numId w:val="0"/>
        </w:num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rPr>
          <w:rFonts w:hint="default" w:ascii="仿宋" w:hAnsi="仿宋" w:eastAsia="仿宋"/>
          <w:color w:val="000000"/>
          <w:sz w:val="32"/>
          <w:szCs w:val="32"/>
          <w:shd w:val="pct10" w:color="auto" w:fill="FFFFFF"/>
          <w:lang w:val="en-US"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2438.5</w:t>
      </w:r>
      <w:r>
        <w:rPr>
          <w:rFonts w:hint="eastAsia" w:ascii="仿宋" w:hAnsi="仿宋" w:eastAsia="仿宋"/>
          <w:color w:val="000000"/>
          <w:sz w:val="32"/>
          <w:szCs w:val="32"/>
        </w:rPr>
        <w:t>万元，其中：</w:t>
      </w:r>
      <w:r>
        <w:rPr>
          <w:rFonts w:hint="eastAsia" w:ascii="仿宋" w:hAnsi="仿宋" w:eastAsia="仿宋"/>
          <w:color w:val="000000"/>
          <w:sz w:val="32"/>
          <w:szCs w:val="32"/>
          <w:lang w:eastAsia="zh-CN"/>
        </w:rPr>
        <w:t>社会保障和就业支出</w:t>
      </w:r>
      <w:r>
        <w:rPr>
          <w:rFonts w:hint="eastAsia" w:ascii="仿宋" w:hAnsi="仿宋" w:eastAsia="仿宋"/>
          <w:color w:val="000000"/>
          <w:sz w:val="32"/>
          <w:szCs w:val="32"/>
          <w:lang w:val="en-US" w:eastAsia="zh-CN"/>
        </w:rPr>
        <w:t>96.21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卫生健康支出</w:t>
      </w:r>
      <w:r>
        <w:rPr>
          <w:rFonts w:hint="eastAsia" w:ascii="仿宋" w:hAnsi="仿宋" w:eastAsia="仿宋"/>
          <w:color w:val="000000"/>
          <w:sz w:val="32"/>
          <w:szCs w:val="32"/>
          <w:lang w:val="en-US" w:eastAsia="zh-CN"/>
        </w:rPr>
        <w:t>2290.54万元，占93.93%；住房保障支出51.75万元，占2.12%</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rPr>
          <w:rFonts w:ascii="仿宋_GB2312" w:eastAsia="仿宋_GB2312"/>
          <w:color w:val="FF0000"/>
          <w:sz w:val="32"/>
          <w:szCs w:val="32"/>
        </w:rPr>
      </w:pPr>
      <w:r>
        <w:rPr>
          <w:rFonts w:ascii="仿宋_GB2312" w:eastAsia="仿宋_GB2312"/>
          <w:color w:val="000000"/>
          <w:sz w:val="32"/>
          <w:szCs w:val="32"/>
        </w:rPr>
        <w:pict>
          <v:shape id="_x0000_s1035" o:spid="_x0000_s1035" o:spt="75" type="#_x0000_t75" style="position:absolute;left:0pt;margin-left:37.5pt;margin-top:9.3pt;height:233.65pt;width:389.4pt;mso-wrap-distance-bottom:0pt;mso-wrap-distance-left:9pt;mso-wrap-distance-right:9pt;mso-wrap-distance-top:0pt;z-index:251661312;mso-width-relative:page;mso-height-relative:page;" o:ole="t" filled="f" o:preferrelative="f" stroked="f" coordsize="21600,21600">
            <v:path/>
            <v:fill on="f" focussize="0,0"/>
            <v:stroke on="f"/>
            <v:imagedata r:id="rId13" o:title=""/>
            <o:lock v:ext="edit" aspectratio="f"/>
            <w10:wrap type="square"/>
          </v:shape>
          <o:OLEObject Type="Embed" ProgID="MSGraph.Chart.8" ShapeID="_x0000_s1035" DrawAspect="Content" ObjectID="_1468075728" r:id="rId12">
            <o:LockedField>false</o:LockedField>
          </o:OLEObject>
        </w:pict>
      </w:r>
    </w:p>
    <w:p>
      <w:pPr>
        <w:spacing w:line="600" w:lineRule="exact"/>
        <w:ind w:firstLine="640" w:firstLineChars="200"/>
        <w:outlineLvl w:val="1"/>
        <w:rPr>
          <w:rFonts w:hint="eastAsia" w:ascii="黑体" w:hAnsi="黑体" w:eastAsia="黑体"/>
          <w:color w:val="000000"/>
          <w:sz w:val="32"/>
          <w:szCs w:val="32"/>
        </w:rPr>
      </w:pPr>
      <w:bookmarkStart w:id="30" w:name="_Toc15396606"/>
      <w:bookmarkStart w:id="31" w:name="_Toc15377208"/>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532.98</w:t>
      </w:r>
      <w:r>
        <w:rPr>
          <w:rFonts w:hint="eastAsia" w:ascii="仿宋" w:hAnsi="仿宋" w:eastAsia="仿宋"/>
          <w:color w:val="000000"/>
          <w:sz w:val="32"/>
          <w:szCs w:val="32"/>
        </w:rPr>
        <w:t>万元、支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532.98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414.66</w:t>
      </w:r>
      <w:r>
        <w:rPr>
          <w:rFonts w:hint="eastAsia" w:ascii="仿宋" w:hAnsi="仿宋" w:eastAsia="仿宋"/>
          <w:color w:val="000000"/>
          <w:sz w:val="32"/>
          <w:szCs w:val="32"/>
        </w:rPr>
        <w:t>万元、支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414.66</w:t>
      </w:r>
      <w:r>
        <w:rPr>
          <w:rFonts w:hint="eastAsia" w:ascii="仿宋" w:hAnsi="仿宋" w:eastAsia="仿宋"/>
          <w:color w:val="000000"/>
          <w:sz w:val="32"/>
          <w:szCs w:val="32"/>
        </w:rPr>
        <w:t>万元相比</w:t>
      </w:r>
      <w:r>
        <w:rPr>
          <w:rFonts w:hint="eastAsia" w:ascii="仿宋" w:hAnsi="仿宋" w:eastAsia="仿宋"/>
          <w:color w:val="000000"/>
          <w:sz w:val="32"/>
          <w:szCs w:val="32"/>
          <w:lang w:eastAsia="zh-CN"/>
        </w:rPr>
        <w:t>，</w:t>
      </w:r>
      <w:r>
        <w:rPr>
          <w:rFonts w:hint="eastAsia" w:ascii="仿宋" w:hAnsi="仿宋" w:eastAsia="仿宋"/>
          <w:color w:val="000000"/>
          <w:sz w:val="32"/>
          <w:szCs w:val="32"/>
        </w:rPr>
        <w:t>各</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118.32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22.2</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w:t>
      </w:r>
      <w:r>
        <w:rPr>
          <w:rFonts w:hint="eastAsia" w:ascii="仿宋" w:hAnsi="仿宋" w:eastAsia="仿宋"/>
          <w:color w:val="000000"/>
          <w:sz w:val="32"/>
          <w:szCs w:val="32"/>
          <w:lang w:eastAsia="zh-CN"/>
        </w:rPr>
        <w:t>收入和支出增长。</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rPr>
          <w:rFonts w:ascii="黑体" w:eastAsia="黑体"/>
          <w:color w:val="000000"/>
          <w:sz w:val="32"/>
          <w:szCs w:val="32"/>
        </w:rPr>
        <w:pict>
          <v:shape id="_x0000_s1036" o:spid="_x0000_s1036" o:spt="75" type="#_x0000_t75" style="position:absolute;left:0pt;margin-left:16.5pt;margin-top:24.55pt;height:155.1pt;width:396.2pt;mso-wrap-distance-bottom:0pt;mso-wrap-distance-left:9pt;mso-wrap-distance-right:9pt;mso-wrap-distance-top:0pt;z-index:251662336;mso-width-relative:page;mso-height-relative:page;" o:ole="t" filled="f" o:preferrelative="t" stroked="f" coordsize="21600,21600">
            <v:path/>
            <v:fill on="f" focussize="0,0"/>
            <v:stroke on="f"/>
            <v:imagedata r:id="rId15" o:title=""/>
            <o:lock v:ext="edit" aspectratio="t"/>
            <w10:wrap type="square"/>
          </v:shape>
          <o:OLEObject Type="Embed" ProgID="MSGraph.Chart.8" ShapeID="_x0000_s1036" DrawAspect="Content" ObjectID="_1468075729" r:id="rId14">
            <o:LockedField>false</o:LockedField>
          </o:OLEObject>
        </w:pict>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532.98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21.85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年一般公共预算财政拨款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414.66万元</w:t>
      </w:r>
      <w:r>
        <w:rPr>
          <w:rFonts w:hint="eastAsia" w:ascii="仿宋" w:hAnsi="仿宋" w:eastAsia="仿宋"/>
          <w:color w:val="000000"/>
          <w:sz w:val="32"/>
          <w:szCs w:val="32"/>
        </w:rPr>
        <w:t>相比</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118.32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22.2</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。主要变动原因是一般公共预算财政拨款支出</w:t>
      </w:r>
      <w:r>
        <w:rPr>
          <w:rFonts w:hint="eastAsia" w:ascii="仿宋" w:hAnsi="仿宋" w:eastAsia="仿宋"/>
          <w:color w:val="000000"/>
          <w:sz w:val="32"/>
          <w:szCs w:val="32"/>
          <w:lang w:eastAsia="zh-CN"/>
        </w:rPr>
        <w:t>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2" w:firstLineChars="200"/>
        <w:outlineLvl w:val="2"/>
        <w:rPr>
          <w:rFonts w:hint="eastAsia" w:ascii="仿宋" w:hAnsi="仿宋" w:eastAsia="仿宋"/>
          <w:b/>
          <w:color w:val="000000"/>
          <w:sz w:val="32"/>
          <w:szCs w:val="32"/>
        </w:rPr>
      </w:pPr>
      <w:bookmarkStart w:id="35" w:name="_Toc15377211"/>
    </w:p>
    <w:p>
      <w:pPr>
        <w:spacing w:line="600" w:lineRule="exact"/>
        <w:ind w:firstLine="320" w:firstLineChars="100"/>
        <w:outlineLvl w:val="2"/>
        <w:rPr>
          <w:rFonts w:ascii="仿宋" w:hAnsi="仿宋" w:eastAsia="仿宋"/>
          <w:b/>
          <w:color w:val="000000"/>
          <w:sz w:val="32"/>
          <w:szCs w:val="32"/>
        </w:rPr>
      </w:pPr>
      <w:r>
        <w:rPr>
          <w:rFonts w:ascii="黑体" w:eastAsia="黑体"/>
          <w:color w:val="000000"/>
          <w:sz w:val="32"/>
          <w:szCs w:val="32"/>
        </w:rPr>
        <w:pict>
          <v:shape id="_x0000_s1037" o:spid="_x0000_s1037" o:spt="75" type="#_x0000_t75" style="position:absolute;left:0pt;margin-left:18.75pt;margin-top:10.3pt;height:155.1pt;width:396.2pt;mso-wrap-distance-bottom:0pt;mso-wrap-distance-left:9pt;mso-wrap-distance-right:9pt;mso-wrap-distance-top:0pt;z-index:251663360;mso-width-relative:page;mso-height-relative:page;" o:ole="t" filled="f" o:preferrelative="t" stroked="f" coordsize="21600,21600">
            <v:path/>
            <v:fill on="f" focussize="0,0"/>
            <v:stroke on="f"/>
            <v:imagedata r:id="rId17" o:title=""/>
            <o:lock v:ext="edit" aspectratio="t"/>
            <w10:wrap type="square"/>
          </v:shape>
          <o:OLEObject Type="Embed" ProgID="MSGraph.Chart.8" ShapeID="_x0000_s1037" DrawAspect="Content" ObjectID="_1468075730" r:id="rId16">
            <o:LockedField>false</o:LockedField>
          </o:OLEObject>
        </w:pict>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532.98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9.05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医疗卫生与计划生育支出</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523.93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pict>
          <v:shape id="_x0000_s1038" o:spid="_x0000_s1038" o:spt="75" type="#_x0000_t75" style="position:absolute;left:0pt;margin-left:15pt;margin-top:19.8pt;height:233.65pt;width:389.4pt;mso-wrap-distance-bottom:0pt;mso-wrap-distance-left:9pt;mso-wrap-distance-right:9pt;mso-wrap-distance-top:0pt;z-index:251664384;mso-width-relative:page;mso-height-relative:page;" o:ole="t" filled="f" o:preferrelative="f" stroked="f" coordsize="21600,21600">
            <v:path/>
            <v:fill on="f" focussize="0,0"/>
            <v:stroke on="f"/>
            <v:imagedata r:id="rId19" o:title=""/>
            <o:lock v:ext="edit" aspectratio="f"/>
            <w10:wrap type="square"/>
          </v:shape>
          <o:OLEObject Type="Embed" ProgID="MSGraph.Chart.8" ShapeID="_x0000_s1038" DrawAspect="Content" ObjectID="_1468075731" r:id="rId18">
            <o:LockedField>false</o:LockedField>
          </o:OLEObject>
        </w:pict>
      </w:r>
    </w:p>
    <w:p>
      <w:pPr>
        <w:spacing w:line="600" w:lineRule="exact"/>
        <w:ind w:firstLine="642" w:firstLineChars="200"/>
        <w:outlineLvl w:val="2"/>
        <w:rPr>
          <w:rFonts w:hint="eastAsia" w:ascii="仿宋" w:hAnsi="仿宋" w:eastAsia="仿宋"/>
          <w:b/>
          <w:color w:val="000000"/>
          <w:sz w:val="32"/>
          <w:szCs w:val="32"/>
        </w:rPr>
      </w:pPr>
      <w:bookmarkStart w:id="36" w:name="_Toc15377212"/>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532.98</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社会保障和就业（类）行政事业单位离退休（款）机关事业单位职业年金缴费支出（项）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2.46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bCs w:val="0"/>
          <w:color w:val="000000"/>
          <w:sz w:val="32"/>
          <w:szCs w:val="32"/>
        </w:rPr>
        <w:t>其他行政事业单位离退休支出</w:t>
      </w:r>
      <w:r>
        <w:rPr>
          <w:rStyle w:val="16"/>
          <w:rFonts w:hint="eastAsia" w:ascii="仿宋" w:hAnsi="仿宋" w:eastAsia="仿宋"/>
          <w:b/>
          <w:bCs w:val="0"/>
          <w:color w:val="000000"/>
          <w:sz w:val="32"/>
          <w:szCs w:val="32"/>
          <w:lang w:eastAsia="zh-CN"/>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6.59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医疗卫生与计划生育（类）基层医疗卫生机构（款）乡镇卫生院（项）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264.96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bCs w:val="0"/>
          <w:color w:val="000000"/>
          <w:sz w:val="32"/>
          <w:szCs w:val="32"/>
        </w:rPr>
        <w:t>其他基层医疗卫生机构支出</w:t>
      </w:r>
      <w:r>
        <w:rPr>
          <w:rStyle w:val="16"/>
          <w:rFonts w:hint="eastAsia" w:ascii="仿宋" w:hAnsi="仿宋" w:eastAsia="仿宋"/>
          <w:b/>
          <w:bCs w:val="0"/>
          <w:color w:val="000000"/>
          <w:sz w:val="32"/>
          <w:szCs w:val="32"/>
          <w:lang w:eastAsia="zh-CN"/>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44.96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bCs w:val="0"/>
          <w:color w:val="000000"/>
          <w:sz w:val="32"/>
          <w:szCs w:val="32"/>
        </w:rPr>
        <w:t>公共卫生</w:t>
      </w:r>
      <w:r>
        <w:rPr>
          <w:rStyle w:val="16"/>
          <w:rFonts w:hint="eastAsia" w:ascii="仿宋" w:hAnsi="仿宋" w:eastAsia="仿宋"/>
          <w:b/>
          <w:bCs w:val="0"/>
          <w:color w:val="000000"/>
          <w:sz w:val="32"/>
          <w:szCs w:val="32"/>
          <w:lang w:eastAsia="zh-CN"/>
        </w:rPr>
        <w:t>（款）基本公共卫生服务（项）：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213.49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bCs w:val="0"/>
          <w:color w:val="000000"/>
          <w:sz w:val="32"/>
          <w:szCs w:val="32"/>
        </w:rPr>
        <w:t>重大公共卫生专项</w:t>
      </w:r>
      <w:r>
        <w:rPr>
          <w:rStyle w:val="16"/>
          <w:rFonts w:hint="eastAsia" w:ascii="仿宋" w:hAnsi="仿宋" w:eastAsia="仿宋"/>
          <w:b/>
          <w:bCs w:val="0"/>
          <w:color w:val="000000"/>
          <w:sz w:val="32"/>
          <w:szCs w:val="32"/>
          <w:lang w:eastAsia="zh-CN"/>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bCs w:val="0"/>
          <w:color w:val="000000"/>
          <w:sz w:val="32"/>
          <w:szCs w:val="32"/>
        </w:rPr>
        <w:t>行政事业单位医疗</w:t>
      </w:r>
      <w:r>
        <w:rPr>
          <w:rStyle w:val="16"/>
          <w:rFonts w:hint="eastAsia" w:ascii="仿宋" w:hAnsi="仿宋" w:eastAsia="仿宋"/>
          <w:b/>
          <w:bCs w:val="0"/>
          <w:color w:val="000000"/>
          <w:sz w:val="32"/>
          <w:szCs w:val="32"/>
          <w:lang w:eastAsia="zh-CN"/>
        </w:rPr>
        <w:t>（款）事业单位医疗（项）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0.52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bCs w:val="0"/>
          <w:color w:val="000000"/>
          <w:sz w:val="32"/>
          <w:szCs w:val="32"/>
        </w:rPr>
        <w:t>其他医疗卫生与计划生育支出</w:t>
      </w:r>
      <w:r>
        <w:rPr>
          <w:rStyle w:val="16"/>
          <w:rFonts w:hint="eastAsia" w:ascii="仿宋" w:hAnsi="仿宋" w:eastAsia="仿宋"/>
          <w:b/>
          <w:bCs w:val="0"/>
          <w:color w:val="000000"/>
          <w:sz w:val="32"/>
          <w:szCs w:val="32"/>
          <w:lang w:eastAsia="zh-CN"/>
        </w:rPr>
        <w:t>（款）其他医疗卫生与计划生育支出（项）：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532.98</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226.61</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76.99万元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46.16万元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98.92万元</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2.46万元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0.52万元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1.56万元、生活补助12.02万元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294.35</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4.92万元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22.4万元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2.79万元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10.39万元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0.95万元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4.13万元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专用材料费</w:t>
      </w:r>
      <w:r>
        <w:rPr>
          <w:rFonts w:hint="eastAsia" w:ascii="仿宋" w:hAnsi="仿宋" w:eastAsia="仿宋"/>
          <w:color w:val="000000"/>
          <w:sz w:val="32"/>
          <w:szCs w:val="32"/>
          <w:lang w:val="en-US" w:eastAsia="zh-CN"/>
        </w:rPr>
        <w:t>139.24万元、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75.4万元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8.50万元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25.63万元</w:t>
      </w:r>
      <w:r>
        <w:rPr>
          <w:rFonts w:hint="eastAsia" w:ascii="仿宋" w:hAnsi="仿宋" w:eastAsia="仿宋"/>
          <w:color w:val="000000"/>
          <w:sz w:val="32"/>
          <w:szCs w:val="32"/>
        </w:rPr>
        <w:t>。</w:t>
      </w:r>
    </w:p>
    <w:p>
      <w:pPr>
        <w:spacing w:line="600" w:lineRule="exact"/>
        <w:ind w:firstLine="64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8.5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8.50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_GB2312" w:eastAsia="仿宋_GB2312"/>
          <w:color w:val="000000"/>
          <w:sz w:val="32"/>
          <w:szCs w:val="32"/>
          <w:lang w:eastAsia="zh-CN"/>
        </w:rPr>
        <w:t>属</w:t>
      </w:r>
      <w:r>
        <w:rPr>
          <w:rFonts w:hint="eastAsia" w:ascii="仿宋_GB2312" w:eastAsia="仿宋_GB2312"/>
          <w:color w:val="000000"/>
          <w:sz w:val="32"/>
          <w:szCs w:val="32"/>
        </w:rPr>
        <w:t>于</w:t>
      </w:r>
      <w:r>
        <w:rPr>
          <w:rFonts w:hint="eastAsia" w:ascii="仿宋_GB2312" w:eastAsia="仿宋_GB2312"/>
          <w:color w:val="000000"/>
          <w:sz w:val="32"/>
          <w:szCs w:val="32"/>
          <w:lang w:eastAsia="zh-CN"/>
        </w:rPr>
        <w:t>医疗救护专用车辆</w:t>
      </w:r>
      <w:r>
        <w:rPr>
          <w:rFonts w:hint="eastAsia" w:ascii="仿宋_GB2312" w:eastAsia="仿宋_GB2312"/>
          <w:color w:val="000000"/>
          <w:sz w:val="32"/>
          <w:szCs w:val="32"/>
        </w:rPr>
        <w:t>燃料费、维修费、过路过桥费、保险费等支出</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color w:val="000000"/>
          <w:sz w:val="32"/>
          <w:szCs w:val="32"/>
        </w:rPr>
        <w:pict>
          <v:shape id="_x0000_s1039" o:spid="_x0000_s1039" o:spt="75" type="#_x0000_t75" style="position:absolute;left:0pt;margin-left:15pt;margin-top:6.75pt;height:211.9pt;width:389.4pt;mso-wrap-distance-bottom:0pt;mso-wrap-distance-left:9pt;mso-wrap-distance-right:9pt;mso-wrap-distance-top:0pt;z-index:251665408;mso-width-relative:page;mso-height-relative:page;" o:ole="t" filled="f" o:preferrelative="f" stroked="f" coordsize="21600,21600">
            <v:path/>
            <v:fill on="f" focussize="0,0"/>
            <v:stroke on="f"/>
            <v:imagedata r:id="rId21" o:title=""/>
            <o:lock v:ext="edit" aspectratio="f"/>
            <w10:wrap type="square"/>
          </v:shape>
          <o:OLEObject Type="Embed" ProgID="MSGraph.Chart.8" ShapeID="_x0000_s1039" DrawAspect="Content" ObjectID="_1468075732" r:id="rId20">
            <o:LockedField>false</o:LockedField>
          </o:OLEObject>
        </w:pict>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8.50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8.50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年增加减少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，医疗救护专用车</w:t>
      </w:r>
      <w:r>
        <w:rPr>
          <w:rFonts w:hint="eastAsia" w:ascii="仿宋_GB2312" w:eastAsia="仿宋_GB2312"/>
          <w:color w:val="000000"/>
          <w:sz w:val="32"/>
          <w:szCs w:val="32"/>
          <w:lang w:val="en-US" w:eastAsia="zh-CN"/>
        </w:rPr>
        <w:t>3辆</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8.50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医疗救护专用车辆</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hint="eastAsia" w:ascii="黑体" w:eastAsia="黑体"/>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Fonts w:hint="eastAsia" w:ascii="仿宋_GB2312" w:eastAsia="仿宋_GB2312"/>
          <w:color w:val="000000"/>
          <w:sz w:val="32"/>
          <w:szCs w:val="32"/>
        </w:rPr>
        <w:t>。</w:t>
      </w:r>
      <w:bookmarkStart w:id="46" w:name="_Toc15396610"/>
      <w:bookmarkStart w:id="47" w:name="_Toc15377218"/>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lang w:eastAsia="zh-CN"/>
        </w:rPr>
        <w:t>九、</w:t>
      </w:r>
      <w:r>
        <w:rPr>
          <w:rStyle w:val="27"/>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w:t>
      </w:r>
      <w:r>
        <w:rPr>
          <w:rFonts w:hint="eastAsia" w:ascii="仿宋_GB2312" w:eastAsia="仿宋_GB2312"/>
          <w:color w:val="000000"/>
          <w:sz w:val="32"/>
          <w:szCs w:val="32"/>
          <w:lang w:eastAsia="zh-CN"/>
        </w:rPr>
        <w:t>。</w:t>
      </w:r>
    </w:p>
    <w:p>
      <w:pPr>
        <w:pStyle w:val="25"/>
        <w:numPr>
          <w:ilvl w:val="0"/>
          <w:numId w:val="2"/>
        </w:numPr>
        <w:spacing w:line="580" w:lineRule="exact"/>
        <w:ind w:firstLineChars="0"/>
        <w:rPr>
          <w:rStyle w:val="27"/>
          <w:rFonts w:ascii="黑体" w:hAnsi="黑体" w:eastAsia="黑体"/>
          <w:b w:val="0"/>
        </w:rPr>
      </w:pPr>
      <w:r>
        <w:rPr>
          <w:rStyle w:val="27"/>
          <w:rFonts w:hint="eastAsia" w:ascii="黑体" w:hAnsi="黑体" w:eastAsia="黑体"/>
          <w:b w:val="0"/>
        </w:rPr>
        <w:t>预算绩效情况说明</w:t>
      </w:r>
    </w:p>
    <w:p>
      <w:pPr>
        <w:numPr>
          <w:ilvl w:val="0"/>
          <w:numId w:val="3"/>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本年度本单位无项目实施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w:t>
      </w:r>
      <w:r>
        <w:rPr>
          <w:rFonts w:hint="eastAsia" w:ascii="仿宋" w:hAnsi="仿宋" w:eastAsia="仿宋"/>
          <w:color w:val="000000"/>
          <w:sz w:val="32"/>
          <w:szCs w:val="32"/>
        </w:rPr>
        <w:t>一般公共预算财政拨款基本支出</w:t>
      </w:r>
      <w:r>
        <w:rPr>
          <w:rFonts w:hint="eastAsia" w:ascii="仿宋" w:hAnsi="仿宋" w:eastAsia="仿宋"/>
          <w:color w:val="000000"/>
          <w:sz w:val="32"/>
          <w:szCs w:val="32"/>
          <w:lang w:val="en-US" w:eastAsia="zh-CN"/>
        </w:rPr>
        <w:t>532.98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，完成预算数</w:t>
      </w:r>
      <w:r>
        <w:rPr>
          <w:rFonts w:hint="eastAsia" w:ascii="仿宋" w:hAnsi="仿宋" w:eastAsia="仿宋"/>
          <w:color w:val="000000"/>
          <w:sz w:val="32"/>
          <w:szCs w:val="32"/>
          <w:lang w:val="en-US" w:eastAsia="zh-CN"/>
        </w:rPr>
        <w:t>100%，</w:t>
      </w:r>
      <w:r>
        <w:rPr>
          <w:rFonts w:hint="eastAsia" w:ascii="仿宋_GB2312" w:eastAsia="仿宋_GB2312"/>
          <w:color w:val="000000"/>
          <w:sz w:val="32"/>
          <w:szCs w:val="32"/>
        </w:rPr>
        <w:t>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，完成预算数</w:t>
      </w:r>
      <w:r>
        <w:rPr>
          <w:rFonts w:hint="eastAsia" w:ascii="仿宋_GB2312" w:eastAsia="仿宋_GB2312"/>
          <w:color w:val="000000"/>
          <w:sz w:val="32"/>
          <w:szCs w:val="32"/>
          <w:lang w:val="en-US" w:eastAsia="zh-CN"/>
        </w:rPr>
        <w:t>100%，</w:t>
      </w:r>
      <w:r>
        <w:rPr>
          <w:rFonts w:hint="eastAsia" w:ascii="仿宋" w:hAnsi="仿宋" w:eastAsia="仿宋" w:cs="仿宋"/>
          <w:i w:val="0"/>
          <w:caps w:val="0"/>
          <w:color w:val="000000"/>
          <w:spacing w:val="0"/>
          <w:sz w:val="32"/>
          <w:szCs w:val="32"/>
        </w:rPr>
        <w:t>保障</w:t>
      </w:r>
      <w:r>
        <w:rPr>
          <w:rFonts w:hint="eastAsia" w:ascii="仿宋" w:hAnsi="仿宋" w:eastAsia="仿宋" w:cs="仿宋"/>
          <w:i w:val="0"/>
          <w:caps w:val="0"/>
          <w:color w:val="000000"/>
          <w:spacing w:val="0"/>
          <w:sz w:val="32"/>
          <w:szCs w:val="32"/>
          <w:lang w:eastAsia="zh-CN"/>
        </w:rPr>
        <w:t>了</w:t>
      </w:r>
      <w:r>
        <w:rPr>
          <w:rFonts w:hint="eastAsia" w:ascii="仿宋" w:hAnsi="仿宋" w:eastAsia="仿宋" w:cs="仿宋"/>
          <w:i w:val="0"/>
          <w:caps w:val="0"/>
          <w:color w:val="000000"/>
          <w:spacing w:val="0"/>
          <w:sz w:val="32"/>
          <w:szCs w:val="32"/>
        </w:rPr>
        <w:t>单位正常运转的日常支出，包括基本工资、津贴补贴等人员经费以及办公费、印刷费、水电费、办公设备购置等日常公用经费。</w:t>
      </w:r>
    </w:p>
    <w:p>
      <w:pPr>
        <w:numPr>
          <w:ilvl w:val="0"/>
          <w:numId w:val="3"/>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宣汉县双河中心卫生院</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重大公共卫生</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基层医疗卫生机构临床服务能力建设、基础设施建设项目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宣汉县双河中心卫生院</w:t>
      </w:r>
      <w:r>
        <w:rPr>
          <w:rFonts w:hint="eastAsia" w:ascii="仿宋_GB2312" w:hAnsi="仿宋_GB2312" w:eastAsia="仿宋_GB2312" w:cs="仿宋_GB2312"/>
          <w:sz w:val="32"/>
          <w:szCs w:val="32"/>
        </w:rPr>
        <w:t>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w:t>
      </w:r>
    </w:p>
    <w:p>
      <w:pPr>
        <w:spacing w:line="600" w:lineRule="exact"/>
        <w:ind w:firstLine="640" w:firstLineChars="20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本单位不属于行政单位，无机关运行经费发生。</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主要是用于</w:t>
      </w:r>
      <w:r>
        <w:rPr>
          <w:rFonts w:hint="eastAsia" w:ascii="仿宋_GB2312" w:eastAsia="仿宋_GB2312"/>
          <w:color w:val="000000" w:themeColor="text1"/>
          <w:sz w:val="32"/>
          <w:szCs w:val="32"/>
          <w:lang w:eastAsia="zh-CN"/>
          <w14:textFill>
            <w14:solidFill>
              <w14:schemeClr w14:val="tx1"/>
            </w14:solidFill>
          </w14:textFill>
        </w:rPr>
        <w:t>医疗救护，</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widowControl/>
        <w:jc w:val="left"/>
        <w:rPr>
          <w:rFonts w:hint="eastAsia" w:ascii="黑体" w:hAnsi="黑体" w:eastAsia="黑体"/>
          <w:b/>
          <w:color w:val="000000"/>
          <w:sz w:val="44"/>
          <w:szCs w:val="44"/>
          <w:lang w:eastAsia="zh-CN"/>
        </w:rPr>
      </w:pPr>
      <w:bookmarkStart w:id="55" w:name="_Toc15396613"/>
      <w:bookmarkStart w:id="56" w:name="_Toc15377225"/>
    </w:p>
    <w:p>
      <w:pPr>
        <w:widowControl/>
        <w:jc w:val="center"/>
        <w:rPr>
          <w:rStyle w:val="26"/>
          <w:rFonts w:ascii="黑体" w:hAnsi="黑体" w:eastAsia="黑体"/>
          <w:b w:val="0"/>
        </w:rPr>
      </w:pPr>
      <w:r>
        <w:rPr>
          <w:rFonts w:hint="eastAsia" w:ascii="黑体" w:hAnsi="黑体" w:eastAsia="黑体"/>
          <w:b/>
          <w:color w:val="000000"/>
          <w:sz w:val="44"/>
          <w:szCs w:val="44"/>
          <w:lang w:eastAsia="zh-CN"/>
        </w:rPr>
        <w:t>第三部分</w:t>
      </w:r>
      <w:r>
        <w:rPr>
          <w:rFonts w:hint="eastAsia" w:ascii="黑体" w:hAnsi="黑体" w:eastAsia="黑体"/>
          <w:b/>
          <w:color w:val="000000"/>
          <w:sz w:val="44"/>
          <w:szCs w:val="44"/>
          <w:lang w:val="en-US" w:eastAsia="zh-CN"/>
        </w:rPr>
        <w:t xml:space="preserve">  </w:t>
      </w:r>
      <w:r>
        <w:rPr>
          <w:rFonts w:hint="eastAsia" w:ascii="黑体" w:hAnsi="黑体" w:eastAsia="黑体"/>
          <w:b/>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4"/>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spacing w:line="600" w:lineRule="exact"/>
        <w:jc w:val="center"/>
        <w:outlineLvl w:val="0"/>
        <w:rPr>
          <w:rStyle w:val="26"/>
        </w:rPr>
      </w:pPr>
    </w:p>
    <w:p>
      <w:pPr>
        <w:jc w:val="center"/>
        <w:rPr>
          <w:b/>
          <w:sz w:val="36"/>
          <w:szCs w:val="36"/>
        </w:rPr>
      </w:pPr>
      <w:bookmarkStart w:id="59" w:name="_Toc15396618"/>
      <w:r>
        <w:rPr>
          <w:rFonts w:hint="eastAsia"/>
          <w:b/>
          <w:sz w:val="36"/>
          <w:szCs w:val="36"/>
        </w:rPr>
        <w:t>宣汉县双河中心卫生院</w:t>
      </w:r>
    </w:p>
    <w:p>
      <w:pPr>
        <w:jc w:val="center"/>
        <w:rPr>
          <w:b/>
          <w:sz w:val="36"/>
          <w:szCs w:val="36"/>
        </w:rPr>
      </w:pPr>
      <w:r>
        <w:rPr>
          <w:rFonts w:hint="eastAsia"/>
          <w:b/>
          <w:sz w:val="36"/>
          <w:szCs w:val="36"/>
        </w:rPr>
        <w:t>2019年度预算绩效评价自评报告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根据宣财函【2020】81号文件要求，现做预算绩效评价自评报告如下:</w:t>
      </w:r>
    </w:p>
    <w:p>
      <w:pPr>
        <w:rPr>
          <w:rFonts w:hint="eastAsia" w:ascii="仿宋" w:hAnsi="仿宋" w:eastAsia="仿宋" w:cs="仿宋"/>
          <w:sz w:val="28"/>
          <w:szCs w:val="28"/>
        </w:rPr>
      </w:pPr>
      <w:r>
        <w:rPr>
          <w:rFonts w:hint="eastAsia" w:ascii="仿宋" w:hAnsi="仿宋" w:eastAsia="仿宋" w:cs="仿宋"/>
          <w:b/>
          <w:bCs/>
          <w:sz w:val="28"/>
          <w:szCs w:val="28"/>
        </w:rPr>
        <w:t>一、单位概况</w:t>
      </w:r>
    </w:p>
    <w:p>
      <w:pPr>
        <w:pStyle w:val="12"/>
        <w:spacing w:before="0" w:beforeAutospacing="0" w:after="0" w:afterAutospacing="0"/>
        <w:ind w:firstLine="560" w:firstLineChars="200"/>
        <w:rPr>
          <w:rFonts w:hint="eastAsia" w:ascii="仿宋" w:hAnsi="仿宋" w:eastAsia="仿宋" w:cs="仿宋"/>
          <w:sz w:val="28"/>
          <w:szCs w:val="28"/>
        </w:rPr>
      </w:pPr>
      <w:r>
        <w:rPr>
          <w:rFonts w:hint="eastAsia" w:ascii="仿宋" w:hAnsi="仿宋" w:eastAsia="仿宋" w:cs="仿宋"/>
          <w:sz w:val="28"/>
          <w:szCs w:val="28"/>
        </w:rPr>
        <w:t>我院始建于1966年6月。是一所融医疗、基本公共卫生服务、预防保健于一体的一级甲等医院，距县城21公里,辖区有18个村卫生室，全镇总人口39832人，财政基本公共卫生服务计算人口数30563人。</w:t>
      </w:r>
    </w:p>
    <w:p>
      <w:pPr>
        <w:pStyle w:val="5"/>
        <w:rPr>
          <w:rFonts w:hint="eastAsia" w:ascii="仿宋" w:hAnsi="仿宋" w:eastAsia="仿宋" w:cs="仿宋"/>
          <w:sz w:val="28"/>
          <w:szCs w:val="28"/>
        </w:rPr>
      </w:pPr>
      <w:r>
        <w:rPr>
          <w:rFonts w:hint="eastAsia" w:ascii="仿宋" w:hAnsi="仿宋" w:eastAsia="仿宋" w:cs="仿宋"/>
          <w:b/>
          <w:bCs/>
          <w:color w:val="000000"/>
          <w:kern w:val="0"/>
          <w:sz w:val="28"/>
          <w:szCs w:val="28"/>
          <w:shd w:val="clear" w:color="auto" w:fill="FFFFFF"/>
          <w:lang w:val="zh-CN"/>
        </w:rPr>
        <w:t>（一）机构组成。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院编制数98人，现有在岗职工118人，其中：在编人员76人，聘用人员42人，年末平均人数112人，年末退休职工29人。编制床位55张，实有床位120张。院内设有内科、外科、儿科、中医科、妇产科、基本公共卫生服务科、检验、B超、心电图、DR照片等科室。担负着全镇3.9万多人的基本基疗、基本公共卫生服务工作；培养农村卫生技术人才。直接解决农民群众看病难、看病贵的基层医疗机构。</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color w:val="000000"/>
          <w:kern w:val="0"/>
          <w:sz w:val="28"/>
          <w:szCs w:val="28"/>
          <w:shd w:val="clear" w:color="auto" w:fill="FFFFFF"/>
          <w:lang w:val="zh-CN"/>
        </w:rPr>
        <w:t>（二</w:t>
      </w:r>
      <w:r>
        <w:rPr>
          <w:rFonts w:hint="eastAsia" w:ascii="仿宋" w:hAnsi="仿宋" w:eastAsia="仿宋" w:cs="仿宋"/>
          <w:b/>
          <w:bCs/>
          <w:color w:val="000000"/>
          <w:kern w:val="0"/>
          <w:sz w:val="28"/>
          <w:szCs w:val="28"/>
          <w:shd w:val="clear" w:color="auto" w:fill="FFFFFF"/>
          <w:lang w:val="en-US" w:eastAsia="zh-CN"/>
        </w:rPr>
        <w:t>)机构职能</w:t>
      </w:r>
    </w:p>
    <w:p>
      <w:pPr>
        <w:pStyle w:val="12"/>
        <w:spacing w:before="0" w:beforeAutospacing="0" w:after="0" w:afterAutospacing="0"/>
        <w:ind w:firstLine="560" w:firstLineChars="200"/>
        <w:rPr>
          <w:rFonts w:hint="eastAsia" w:ascii="仿宋" w:hAnsi="仿宋" w:eastAsia="仿宋" w:cs="仿宋"/>
          <w:sz w:val="28"/>
          <w:szCs w:val="28"/>
        </w:rPr>
      </w:pPr>
      <w:r>
        <w:rPr>
          <w:rFonts w:hint="eastAsia" w:ascii="仿宋" w:hAnsi="仿宋" w:eastAsia="仿宋" w:cs="仿宋"/>
          <w:sz w:val="28"/>
          <w:szCs w:val="28"/>
        </w:rPr>
        <w:t>2019年主要工作任务：一是按照县卫健局要求以“家庭医生”签约服务、健康扶贫工作为契机全面推进基本公共卫生服务工作。二是以“优质服务基层行”和创“二乙”狠抓医疗服务质量。三是以认真学习领会中央八项规定，规范医疗行为，开展“不忘初心、牢记使命”主题教育，提升医疗队伍的业务素质能力，忠实践行“全心全意为人民服务”的宗旨。本年度以强力整治“群众最不满意的十件事”为工作重点，提高医疗服务质量，改善医疗服务环境，加大了人才培养力度，增强了发展后劲，规范了医疗服务行为，确保了医疗安全。2019年我院诊疗人次44762人次，收治住院病人4664人次，实现医疗收入19022631.12元；居民健康建档人数38858人，电子建档人数为35462人，健康知识讲座受益人数达7584人次。</w:t>
      </w:r>
    </w:p>
    <w:p>
      <w:pPr>
        <w:numPr>
          <w:ilvl w:val="0"/>
          <w:numId w:val="4"/>
        </w:numPr>
        <w:ind w:left="28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评价情况分析</w:t>
      </w:r>
    </w:p>
    <w:p>
      <w:pPr>
        <w:snapToGrid w:val="0"/>
        <w:spacing w:line="5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预、决算差异情况，可分收入支出功能科目、分单位、分收入支出具体项目逐项对比。</w:t>
      </w:r>
    </w:p>
    <w:p>
      <w:pPr>
        <w:snapToGrid w:val="0"/>
        <w:spacing w:line="520" w:lineRule="exact"/>
        <w:rPr>
          <w:rFonts w:hint="eastAsia" w:ascii="仿宋_GB2312" w:hAnsi="仿宋" w:eastAsia="仿宋_GB2312"/>
          <w:b/>
          <w:sz w:val="28"/>
          <w:szCs w:val="28"/>
        </w:rPr>
      </w:pPr>
      <w:r>
        <w:rPr>
          <w:rFonts w:hint="eastAsia" w:ascii="仿宋_GB2312" w:hAnsi="仿宋" w:eastAsia="仿宋_GB2312"/>
          <w:b/>
          <w:sz w:val="28"/>
          <w:szCs w:val="28"/>
          <w:lang w:val="en-US" w:eastAsia="zh-CN"/>
        </w:rPr>
        <w:t>1、</w:t>
      </w:r>
      <w:r>
        <w:rPr>
          <w:rFonts w:hint="eastAsia" w:ascii="仿宋_GB2312" w:hAnsi="仿宋" w:eastAsia="仿宋_GB2312"/>
          <w:b/>
          <w:sz w:val="28"/>
          <w:szCs w:val="28"/>
        </w:rPr>
        <w:t>收入支出与预算对比分析。</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751"/>
        <w:gridCol w:w="1331"/>
        <w:gridCol w:w="1290"/>
        <w:gridCol w:w="555"/>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jc w:val="center"/>
              <w:rPr>
                <w:rFonts w:hint="eastAsia" w:ascii="仿宋_GB2312" w:hAnsi="仿宋" w:eastAsia="仿宋_GB2312"/>
                <w:b/>
                <w:sz w:val="15"/>
                <w:szCs w:val="15"/>
              </w:rPr>
            </w:pPr>
            <w:r>
              <w:rPr>
                <w:rFonts w:hint="eastAsia" w:ascii="仿宋_GB2312" w:hAnsi="仿宋" w:eastAsia="仿宋_GB2312"/>
                <w:b/>
                <w:sz w:val="15"/>
                <w:szCs w:val="15"/>
              </w:rPr>
              <w:t>支出功能科目编码</w:t>
            </w:r>
          </w:p>
        </w:tc>
        <w:tc>
          <w:tcPr>
            <w:tcW w:w="1751" w:type="dxa"/>
            <w:noWrap w:val="0"/>
            <w:vAlign w:val="top"/>
          </w:tcPr>
          <w:p>
            <w:pPr>
              <w:keepNext w:val="0"/>
              <w:keepLines w:val="0"/>
              <w:suppressLineNumbers w:val="0"/>
              <w:snapToGrid w:val="0"/>
              <w:spacing w:before="0" w:beforeAutospacing="0" w:after="0" w:afterAutospacing="0" w:line="520" w:lineRule="exact"/>
              <w:ind w:left="0" w:right="0"/>
              <w:jc w:val="center"/>
              <w:rPr>
                <w:rFonts w:hint="eastAsia" w:ascii="仿宋_GB2312" w:hAnsi="仿宋" w:eastAsia="仿宋_GB2312"/>
                <w:b/>
                <w:sz w:val="15"/>
                <w:szCs w:val="15"/>
              </w:rPr>
            </w:pPr>
            <w:r>
              <w:rPr>
                <w:rFonts w:hint="eastAsia" w:ascii="仿宋_GB2312" w:hAnsi="仿宋" w:eastAsia="仿宋_GB2312"/>
                <w:b/>
                <w:sz w:val="15"/>
                <w:szCs w:val="15"/>
              </w:rPr>
              <w:t>科目名称</w:t>
            </w:r>
          </w:p>
        </w:tc>
        <w:tc>
          <w:tcPr>
            <w:tcW w:w="1331" w:type="dxa"/>
            <w:noWrap w:val="0"/>
            <w:vAlign w:val="top"/>
          </w:tcPr>
          <w:p>
            <w:pPr>
              <w:keepNext w:val="0"/>
              <w:keepLines w:val="0"/>
              <w:suppressLineNumbers w:val="0"/>
              <w:snapToGrid w:val="0"/>
              <w:spacing w:before="0" w:beforeAutospacing="0" w:after="0" w:afterAutospacing="0" w:line="520" w:lineRule="exact"/>
              <w:ind w:left="0" w:right="0"/>
              <w:jc w:val="center"/>
              <w:rPr>
                <w:rFonts w:hint="eastAsia" w:ascii="仿宋_GB2312" w:hAnsi="仿宋" w:eastAsia="仿宋_GB2312"/>
                <w:b/>
                <w:sz w:val="15"/>
                <w:szCs w:val="15"/>
              </w:rPr>
            </w:pPr>
            <w:r>
              <w:rPr>
                <w:rFonts w:hint="eastAsia" w:ascii="仿宋_GB2312" w:hAnsi="仿宋" w:eastAsia="仿宋_GB2312"/>
                <w:b/>
                <w:sz w:val="15"/>
                <w:szCs w:val="15"/>
              </w:rPr>
              <w:t>预算数</w:t>
            </w:r>
          </w:p>
        </w:tc>
        <w:tc>
          <w:tcPr>
            <w:tcW w:w="1290" w:type="dxa"/>
            <w:noWrap w:val="0"/>
            <w:vAlign w:val="top"/>
          </w:tcPr>
          <w:p>
            <w:pPr>
              <w:keepNext w:val="0"/>
              <w:keepLines w:val="0"/>
              <w:suppressLineNumbers w:val="0"/>
              <w:snapToGrid w:val="0"/>
              <w:spacing w:before="0" w:beforeAutospacing="0" w:after="0" w:afterAutospacing="0" w:line="520" w:lineRule="exact"/>
              <w:ind w:left="0" w:right="0"/>
              <w:jc w:val="center"/>
              <w:rPr>
                <w:rFonts w:hint="eastAsia" w:ascii="仿宋_GB2312" w:hAnsi="仿宋" w:eastAsia="仿宋_GB2312"/>
                <w:b/>
                <w:sz w:val="15"/>
                <w:szCs w:val="15"/>
              </w:rPr>
            </w:pPr>
            <w:r>
              <w:rPr>
                <w:rFonts w:hint="eastAsia" w:ascii="仿宋_GB2312" w:hAnsi="仿宋" w:eastAsia="仿宋_GB2312"/>
                <w:b/>
                <w:sz w:val="15"/>
                <w:szCs w:val="15"/>
              </w:rPr>
              <w:t>决算数</w:t>
            </w:r>
          </w:p>
        </w:tc>
        <w:tc>
          <w:tcPr>
            <w:tcW w:w="55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仿宋_GB2312" w:hAnsi="仿宋" w:eastAsia="仿宋_GB2312"/>
                <w:b/>
                <w:sz w:val="15"/>
                <w:szCs w:val="15"/>
              </w:rPr>
            </w:pPr>
            <w:r>
              <w:rPr>
                <w:rFonts w:hint="eastAsia" w:ascii="仿宋_GB2312" w:hAnsi="仿宋" w:eastAsia="仿宋_GB2312"/>
                <w:b/>
                <w:sz w:val="15"/>
                <w:szCs w:val="15"/>
              </w:rPr>
              <w:t>增减%</w:t>
            </w:r>
          </w:p>
        </w:tc>
        <w:tc>
          <w:tcPr>
            <w:tcW w:w="2453" w:type="dxa"/>
            <w:noWrap w:val="0"/>
            <w:vAlign w:val="top"/>
          </w:tcPr>
          <w:p>
            <w:pPr>
              <w:keepNext w:val="0"/>
              <w:keepLines w:val="0"/>
              <w:suppressLineNumbers w:val="0"/>
              <w:snapToGrid w:val="0"/>
              <w:spacing w:before="0" w:beforeAutospacing="0" w:after="0" w:afterAutospacing="0" w:line="520" w:lineRule="exact"/>
              <w:ind w:left="0" w:right="0"/>
              <w:jc w:val="center"/>
              <w:rPr>
                <w:rFonts w:hint="eastAsia" w:ascii="仿宋_GB2312" w:hAnsi="仿宋" w:eastAsia="仿宋_GB2312"/>
                <w:b/>
                <w:sz w:val="15"/>
                <w:szCs w:val="15"/>
              </w:rPr>
            </w:pPr>
            <w:r>
              <w:rPr>
                <w:rFonts w:hint="eastAsia" w:ascii="仿宋_GB2312" w:hAnsi="仿宋" w:eastAsia="仿宋_GB2312"/>
                <w:b/>
                <w:sz w:val="15"/>
                <w:szCs w:val="15"/>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default" w:ascii="仿宋_GB2312" w:hAnsi="仿宋" w:eastAsia="仿宋_GB2312"/>
                <w:b/>
                <w:sz w:val="15"/>
                <w:szCs w:val="15"/>
              </w:rPr>
              <w:t>210</w:t>
            </w:r>
            <w:r>
              <w:rPr>
                <w:rFonts w:hint="default" w:ascii="仿宋_GB2312" w:hAnsi="仿宋" w:eastAsia="仿宋_GB2312"/>
                <w:b/>
                <w:sz w:val="15"/>
                <w:szCs w:val="15"/>
              </w:rPr>
              <w:tab/>
            </w:r>
            <w:r>
              <w:rPr>
                <w:rFonts w:hint="default" w:ascii="仿宋_GB2312" w:hAnsi="仿宋" w:eastAsia="仿宋_GB2312"/>
                <w:b/>
                <w:sz w:val="15"/>
                <w:szCs w:val="15"/>
              </w:rPr>
              <w:tab/>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卫生健康支出</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24,385,032.87</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24,385,032.87</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rPr>
              <w:t>0.</w:t>
            </w:r>
            <w:r>
              <w:rPr>
                <w:rFonts w:hint="eastAsia" w:ascii="仿宋_GB2312" w:hAnsi="仿宋" w:eastAsia="仿宋_GB2312"/>
                <w:b/>
                <w:sz w:val="15"/>
                <w:szCs w:val="15"/>
                <w:lang w:val="en-US" w:eastAsia="zh-CN"/>
              </w:rPr>
              <w:t>01</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主要是医疗收入超预算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20805</w:t>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行政事业单位离退休</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962,135.12</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962,135.12</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0</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2080505</w:t>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 xml:space="preserve">  机关事业单位基本养老保险缴费支出</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871,635.12</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871,635.12</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0</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2080506</w:t>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 xml:space="preserve">  机关事业单位职业年金缴费支出</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24,600.00</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24,600.00</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0</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2080599</w:t>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 xml:space="preserve">  其他行政事业单位离退休支出</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rPr>
              <w:t>65,900.00</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65,900.00</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0</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default" w:ascii="仿宋_GB2312" w:hAnsi="仿宋" w:eastAsia="仿宋_GB2312"/>
                <w:b/>
                <w:sz w:val="15"/>
                <w:szCs w:val="15"/>
              </w:rPr>
              <w:t>21003</w:t>
            </w:r>
            <w:r>
              <w:rPr>
                <w:rFonts w:hint="default" w:ascii="仿宋_GB2312" w:hAnsi="仿宋" w:eastAsia="仿宋_GB2312"/>
                <w:b/>
                <w:sz w:val="15"/>
                <w:szCs w:val="15"/>
              </w:rPr>
              <w:tab/>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基层医疗卫生机构</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20,765,342.75</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20,765,342.75</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rPr>
              <w:t>0.</w:t>
            </w:r>
            <w:r>
              <w:rPr>
                <w:rFonts w:hint="eastAsia" w:ascii="仿宋_GB2312" w:hAnsi="仿宋" w:eastAsia="仿宋_GB2312"/>
                <w:b/>
                <w:sz w:val="15"/>
                <w:szCs w:val="15"/>
                <w:lang w:val="en-US" w:eastAsia="zh-CN"/>
              </w:rPr>
              <w:t>01</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主要是医疗收入超预算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default" w:ascii="仿宋_GB2312" w:hAnsi="仿宋" w:eastAsia="仿宋_GB2312"/>
                <w:b/>
                <w:sz w:val="15"/>
                <w:szCs w:val="15"/>
              </w:rPr>
              <w:t>2100302</w:t>
            </w:r>
            <w:r>
              <w:rPr>
                <w:rFonts w:hint="default" w:ascii="仿宋_GB2312" w:hAnsi="仿宋" w:eastAsia="仿宋_GB2312"/>
                <w:b/>
                <w:sz w:val="15"/>
                <w:szCs w:val="15"/>
              </w:rPr>
              <w:tab/>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乡镇卫生院</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20,315,722.75</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20,315,722.75</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rPr>
              <w:t>0.</w:t>
            </w:r>
            <w:r>
              <w:rPr>
                <w:rFonts w:hint="eastAsia" w:ascii="仿宋_GB2312" w:hAnsi="仿宋" w:eastAsia="仿宋_GB2312"/>
                <w:b/>
                <w:sz w:val="15"/>
                <w:szCs w:val="15"/>
                <w:lang w:val="en-US" w:eastAsia="zh-CN"/>
              </w:rPr>
              <w:t>01</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主要是医疗收入超预算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default" w:ascii="仿宋_GB2312" w:hAnsi="仿宋" w:eastAsia="仿宋_GB2312"/>
                <w:b/>
                <w:sz w:val="15"/>
                <w:szCs w:val="15"/>
              </w:rPr>
              <w:t>2100399</w:t>
            </w:r>
            <w:r>
              <w:rPr>
                <w:rFonts w:hint="default" w:ascii="仿宋_GB2312" w:hAnsi="仿宋" w:eastAsia="仿宋_GB2312"/>
                <w:b/>
                <w:sz w:val="15"/>
                <w:szCs w:val="15"/>
              </w:rPr>
              <w:tab/>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3"/>
                <w:szCs w:val="13"/>
              </w:rPr>
            </w:pPr>
            <w:r>
              <w:rPr>
                <w:rFonts w:hint="eastAsia" w:ascii="仿宋_GB2312" w:hAnsi="仿宋" w:eastAsia="仿宋_GB2312"/>
                <w:b/>
                <w:sz w:val="13"/>
                <w:szCs w:val="13"/>
              </w:rPr>
              <w:t>其他基层医疗卫生机构支出</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449,620.00</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449,620.00</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0</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default" w:ascii="仿宋_GB2312" w:hAnsi="仿宋" w:eastAsia="仿宋_GB2312"/>
                <w:b/>
                <w:sz w:val="15"/>
                <w:szCs w:val="15"/>
              </w:rPr>
              <w:t>21004</w:t>
            </w:r>
            <w:r>
              <w:rPr>
                <w:rFonts w:hint="default" w:ascii="仿宋_GB2312" w:hAnsi="仿宋" w:eastAsia="仿宋_GB2312"/>
                <w:b/>
                <w:sz w:val="15"/>
                <w:szCs w:val="15"/>
              </w:rPr>
              <w:tab/>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公共卫生</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2,134,887.00</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2,134,887.00</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0</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default" w:ascii="仿宋_GB2312" w:hAnsi="仿宋" w:eastAsia="仿宋_GB2312"/>
                <w:b/>
                <w:sz w:val="15"/>
                <w:szCs w:val="15"/>
              </w:rPr>
              <w:t>2100408</w:t>
            </w:r>
            <w:r>
              <w:rPr>
                <w:rFonts w:hint="default" w:ascii="仿宋_GB2312" w:hAnsi="仿宋" w:eastAsia="仿宋_GB2312"/>
                <w:b/>
                <w:sz w:val="15"/>
                <w:szCs w:val="15"/>
              </w:rPr>
              <w:tab/>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基本公共卫生服务</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2,134,887.00</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2,134,887.00</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0</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default" w:ascii="仿宋_GB2312" w:hAnsi="仿宋" w:eastAsia="仿宋_GB2312"/>
                <w:b/>
                <w:sz w:val="15"/>
                <w:szCs w:val="15"/>
              </w:rPr>
              <w:t>21011</w:t>
            </w:r>
            <w:r>
              <w:rPr>
                <w:rFonts w:hint="default" w:ascii="仿宋_GB2312" w:hAnsi="仿宋" w:eastAsia="仿宋_GB2312"/>
                <w:b/>
                <w:sz w:val="15"/>
                <w:szCs w:val="15"/>
              </w:rPr>
              <w:tab/>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行政事业单位医疗★</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5,191.00</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rPr>
              <w:t>5,191.00</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0</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default" w:ascii="仿宋_GB2312" w:hAnsi="仿宋" w:eastAsia="仿宋_GB2312"/>
                <w:b/>
                <w:sz w:val="15"/>
                <w:szCs w:val="15"/>
              </w:rPr>
              <w:t>2101102</w:t>
            </w:r>
            <w:r>
              <w:rPr>
                <w:rFonts w:hint="default" w:ascii="仿宋_GB2312" w:hAnsi="仿宋" w:eastAsia="仿宋_GB2312"/>
                <w:b/>
                <w:sz w:val="15"/>
                <w:szCs w:val="15"/>
              </w:rPr>
              <w:tab/>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 xml:space="preserve">  事业单位医疗★</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5,191.00</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5,191.00</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0</w:t>
            </w: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22102</w:t>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住房改革支出</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517,477.00</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517,477.00</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lang w:val="en-US" w:eastAsia="zh-CN"/>
              </w:rPr>
            </w:pPr>
            <w:r>
              <w:rPr>
                <w:rFonts w:hint="eastAsia" w:ascii="仿宋_GB2312" w:hAnsi="仿宋" w:eastAsia="仿宋_GB2312"/>
                <w:b/>
                <w:sz w:val="15"/>
                <w:szCs w:val="15"/>
                <w:lang w:val="en-US" w:eastAsia="zh-CN"/>
              </w:rPr>
              <w:t>2210201</w:t>
            </w:r>
          </w:p>
        </w:tc>
        <w:tc>
          <w:tcPr>
            <w:tcW w:w="175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 xml:space="preserve">  住房公积金</w:t>
            </w:r>
          </w:p>
        </w:tc>
        <w:tc>
          <w:tcPr>
            <w:tcW w:w="1331"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517,477.00</w:t>
            </w:r>
          </w:p>
        </w:tc>
        <w:tc>
          <w:tcPr>
            <w:tcW w:w="1290"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r>
              <w:rPr>
                <w:rFonts w:hint="eastAsia" w:ascii="仿宋_GB2312" w:hAnsi="仿宋" w:eastAsia="仿宋_GB2312"/>
                <w:b/>
                <w:sz w:val="15"/>
                <w:szCs w:val="15"/>
              </w:rPr>
              <w:t>517,477.00</w:t>
            </w:r>
          </w:p>
        </w:tc>
        <w:tc>
          <w:tcPr>
            <w:tcW w:w="555"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c>
          <w:tcPr>
            <w:tcW w:w="2453" w:type="dxa"/>
            <w:noWrap w:val="0"/>
            <w:vAlign w:val="top"/>
          </w:tcPr>
          <w:p>
            <w:pPr>
              <w:keepNext w:val="0"/>
              <w:keepLines w:val="0"/>
              <w:suppressLineNumbers w:val="0"/>
              <w:snapToGrid w:val="0"/>
              <w:spacing w:before="0" w:beforeAutospacing="0" w:after="0" w:afterAutospacing="0" w:line="520" w:lineRule="exact"/>
              <w:ind w:left="0" w:right="0"/>
              <w:rPr>
                <w:rFonts w:hint="eastAsia" w:ascii="仿宋_GB2312" w:hAnsi="仿宋" w:eastAsia="仿宋_GB2312"/>
                <w:b/>
                <w:sz w:val="15"/>
                <w:szCs w:val="15"/>
              </w:rPr>
            </w:pPr>
          </w:p>
        </w:tc>
      </w:tr>
    </w:tbl>
    <w:p>
      <w:pPr>
        <w:snapToGrid w:val="0"/>
        <w:spacing w:line="52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2．收入支出结构分析。</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（1）各项收入占总收入的比重，各项支出占总支出的比重。</w:t>
      </w:r>
    </w:p>
    <w:p>
      <w:pPr>
        <w:spacing w:line="6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201</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年本单位本年收入合计</w:t>
      </w:r>
      <w:r>
        <w:rPr>
          <w:rFonts w:hint="eastAsia" w:ascii="仿宋" w:hAnsi="仿宋" w:eastAsia="仿宋" w:cs="仿宋"/>
          <w:color w:val="000000"/>
          <w:sz w:val="28"/>
          <w:szCs w:val="28"/>
          <w:lang w:val="en-US" w:eastAsia="zh-CN"/>
        </w:rPr>
        <w:t>24,385,032.87</w:t>
      </w:r>
      <w:r>
        <w:rPr>
          <w:rFonts w:hint="eastAsia" w:ascii="仿宋" w:hAnsi="仿宋" w:eastAsia="仿宋" w:cs="仿宋"/>
          <w:color w:val="000000"/>
          <w:sz w:val="28"/>
          <w:szCs w:val="28"/>
        </w:rPr>
        <w:t>元，其中：财政拨款收入</w:t>
      </w:r>
      <w:r>
        <w:rPr>
          <w:rFonts w:hint="eastAsia" w:ascii="仿宋" w:hAnsi="仿宋" w:eastAsia="仿宋" w:cs="仿宋"/>
          <w:color w:val="000000"/>
          <w:sz w:val="28"/>
          <w:szCs w:val="28"/>
          <w:lang w:val="en-US" w:eastAsia="zh-CN"/>
        </w:rPr>
        <w:t>5,329,819.00</w:t>
      </w:r>
      <w:r>
        <w:rPr>
          <w:rFonts w:hint="eastAsia" w:ascii="仿宋" w:hAnsi="仿宋" w:eastAsia="仿宋" w:cs="仿宋"/>
          <w:color w:val="000000"/>
          <w:sz w:val="28"/>
          <w:szCs w:val="28"/>
        </w:rPr>
        <w:t>元，占21</w:t>
      </w:r>
      <w:r>
        <w:rPr>
          <w:rFonts w:hint="eastAsia" w:ascii="仿宋" w:hAnsi="仿宋" w:eastAsia="仿宋" w:cs="仿宋"/>
          <w:color w:val="000000"/>
          <w:sz w:val="28"/>
          <w:szCs w:val="28"/>
          <w:lang w:val="en-US" w:eastAsia="zh-CN"/>
        </w:rPr>
        <w:t>.86</w:t>
      </w:r>
      <w:r>
        <w:rPr>
          <w:rFonts w:hint="eastAsia" w:ascii="仿宋" w:hAnsi="仿宋" w:eastAsia="仿宋" w:cs="仿宋"/>
          <w:color w:val="000000"/>
          <w:sz w:val="28"/>
          <w:szCs w:val="28"/>
        </w:rPr>
        <w:t>%；上级补助收入</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元，占0</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；事业收入</w:t>
      </w:r>
      <w:r>
        <w:rPr>
          <w:rFonts w:hint="eastAsia" w:ascii="仿宋" w:hAnsi="仿宋" w:eastAsia="仿宋" w:cs="仿宋"/>
          <w:color w:val="000000"/>
          <w:sz w:val="28"/>
          <w:szCs w:val="28"/>
          <w:lang w:val="en-US" w:eastAsia="zh-CN"/>
        </w:rPr>
        <w:t>19,022,631.12</w:t>
      </w:r>
      <w:r>
        <w:rPr>
          <w:rFonts w:hint="eastAsia" w:ascii="仿宋" w:hAnsi="仿宋" w:eastAsia="仿宋" w:cs="仿宋"/>
          <w:color w:val="000000"/>
          <w:sz w:val="28"/>
          <w:szCs w:val="28"/>
        </w:rPr>
        <w:t>元，占78.</w:t>
      </w:r>
      <w:r>
        <w:rPr>
          <w:rFonts w:hint="eastAsia" w:ascii="仿宋" w:hAnsi="仿宋" w:eastAsia="仿宋" w:cs="仿宋"/>
          <w:color w:val="000000"/>
          <w:sz w:val="28"/>
          <w:szCs w:val="28"/>
          <w:lang w:val="en-US" w:eastAsia="zh-CN"/>
        </w:rPr>
        <w:t>0.1</w:t>
      </w:r>
      <w:r>
        <w:rPr>
          <w:rFonts w:hint="eastAsia" w:ascii="仿宋" w:hAnsi="仿宋" w:eastAsia="仿宋" w:cs="仿宋"/>
          <w:color w:val="000000"/>
          <w:sz w:val="28"/>
          <w:szCs w:val="28"/>
        </w:rPr>
        <w:t>%；经营收入0元，占0%；附属单位上缴收入0元，占0%；其他收入</w:t>
      </w:r>
      <w:r>
        <w:rPr>
          <w:rFonts w:hint="eastAsia" w:ascii="仿宋" w:hAnsi="仿宋" w:eastAsia="仿宋" w:cs="仿宋"/>
          <w:color w:val="000000"/>
          <w:sz w:val="28"/>
          <w:szCs w:val="28"/>
          <w:lang w:val="en-US" w:eastAsia="zh-CN"/>
        </w:rPr>
        <w:t>32,582.75</w:t>
      </w:r>
      <w:r>
        <w:rPr>
          <w:rFonts w:hint="eastAsia" w:ascii="仿宋" w:hAnsi="仿宋" w:eastAsia="仿宋" w:cs="仿宋"/>
          <w:color w:val="000000"/>
          <w:sz w:val="28"/>
          <w:szCs w:val="28"/>
        </w:rPr>
        <w:t>元，占0.</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w:t>
      </w: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r>
        <w:rPr>
          <w:rFonts w:hint="eastAsia" w:ascii="仿宋" w:hAnsi="仿宋" w:eastAsia="仿宋" w:cs="仿宋"/>
          <w:sz w:val="24"/>
          <w:szCs w:val="24"/>
        </w:rPr>
        <w:pict>
          <v:shape id="_x0000_s1042" o:spid="_x0000_s1042" o:spt="75" type="#_x0000_t75" style="position:absolute;left:0pt;margin-left:0.75pt;margin-top:2.4pt;height:226.85pt;width:476.1pt;z-index:251667456;mso-width-relative:page;mso-height-relative:page;" o:ole="t" filled="f" o:preferrelative="t" stroked="f" coordsize="21600,21600">
            <v:path/>
            <v:fill on="f" focussize="0,0"/>
            <v:stroke on="f"/>
            <v:imagedata r:id="rId23" o:title=""/>
            <o:lock v:ext="edit" aspectratio="f"/>
          </v:shape>
          <o:OLEObject Type="Embed" ProgID="MSGraph.Chart.8" ShapeID="_x0000_s1042" DrawAspect="Content" ObjectID="_1468075733" r:id="rId22">
            <o:LockedField>false</o:LockedField>
          </o:OLEObject>
        </w:pict>
      </w: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201</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年本单位本年支出合计</w:t>
      </w:r>
      <w:r>
        <w:rPr>
          <w:rFonts w:hint="eastAsia" w:ascii="仿宋" w:hAnsi="仿宋" w:eastAsia="仿宋" w:cs="仿宋"/>
          <w:color w:val="000000"/>
          <w:sz w:val="28"/>
          <w:szCs w:val="28"/>
          <w:lang w:val="en-US" w:eastAsia="zh-CN"/>
        </w:rPr>
        <w:t>24,385,032.87</w:t>
      </w:r>
      <w:r>
        <w:rPr>
          <w:rFonts w:hint="eastAsia" w:ascii="仿宋" w:hAnsi="仿宋" w:eastAsia="仿宋" w:cs="仿宋"/>
          <w:color w:val="000000"/>
          <w:sz w:val="28"/>
          <w:szCs w:val="28"/>
        </w:rPr>
        <w:t>元，其中：基本支出</w:t>
      </w:r>
      <w:r>
        <w:rPr>
          <w:rFonts w:hint="eastAsia" w:ascii="仿宋" w:hAnsi="仿宋" w:eastAsia="仿宋" w:cs="仿宋"/>
          <w:color w:val="000000"/>
          <w:sz w:val="28"/>
          <w:szCs w:val="28"/>
          <w:lang w:val="en-US" w:eastAsia="zh-CN"/>
        </w:rPr>
        <w:t>24,385,032.87</w:t>
      </w:r>
      <w:r>
        <w:rPr>
          <w:rFonts w:hint="eastAsia" w:ascii="仿宋" w:hAnsi="仿宋" w:eastAsia="仿宋" w:cs="仿宋"/>
          <w:color w:val="000000"/>
          <w:sz w:val="28"/>
          <w:szCs w:val="28"/>
        </w:rPr>
        <w:t>元，占100%；项目支出0万元，占0%；上缴上级支出0万元，占0%；经营支出0万元，占0%；对附属单位补助支出0万元，占0%</w:t>
      </w:r>
      <w:r>
        <w:rPr>
          <w:rFonts w:hint="eastAsia" w:ascii="仿宋" w:hAnsi="仿宋" w:eastAsia="仿宋" w:cs="仿宋"/>
          <w:color w:val="000000"/>
          <w:sz w:val="28"/>
          <w:szCs w:val="28"/>
          <w:lang w:val="en-US" w:eastAsia="zh-CN"/>
        </w:rPr>
        <w:t>.</w:t>
      </w:r>
    </w:p>
    <w:p>
      <w:pPr>
        <w:spacing w:line="600" w:lineRule="exact"/>
        <w:rPr>
          <w:rFonts w:hint="eastAsia" w:ascii="仿宋" w:hAnsi="仿宋" w:eastAsia="仿宋" w:cs="仿宋"/>
          <w:color w:val="000000"/>
          <w:sz w:val="24"/>
          <w:szCs w:val="24"/>
          <w:lang w:val="en-US" w:eastAsia="zh-CN"/>
        </w:rPr>
      </w:pPr>
      <w:r>
        <w:rPr>
          <w:rFonts w:hint="eastAsia" w:ascii="仿宋" w:hAnsi="仿宋" w:eastAsia="仿宋" w:cs="仿宋"/>
          <w:sz w:val="24"/>
          <w:szCs w:val="24"/>
        </w:rPr>
        <w:pict>
          <v:shape id="_x0000_s1043" o:spid="_x0000_s1043" o:spt="75" type="#_x0000_t75" style="position:absolute;left:0pt;margin-left:0pt;margin-top:20.9pt;height:257.9pt;width:480pt;z-index:251668480;mso-width-relative:page;mso-height-relative:page;" o:ole="t" filled="f" o:preferrelative="t" stroked="f" coordsize="21600,21600">
            <v:path/>
            <v:fill on="f" focussize="0,0"/>
            <v:stroke on="f"/>
            <v:imagedata r:id="rId25" o:title=""/>
            <o:lock v:ext="edit" aspectratio="t"/>
          </v:shape>
          <o:OLEObject Type="Embed" ProgID="MSGraph.Chart.8" ShapeID="_x0000_s1043" DrawAspect="Content" ObjectID="_1468075734" r:id="rId24">
            <o:LockedField>false</o:LockedField>
          </o:OLEObject>
        </w:pict>
      </w: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spacing w:line="600" w:lineRule="exact"/>
        <w:rPr>
          <w:rFonts w:hint="eastAsia" w:ascii="仿宋" w:hAnsi="仿宋" w:eastAsia="仿宋" w:cs="仿宋"/>
          <w:color w:val="000000"/>
          <w:sz w:val="24"/>
          <w:szCs w:val="24"/>
          <w:lang w:val="en-US" w:eastAsia="zh-CN"/>
        </w:rPr>
      </w:pPr>
    </w:p>
    <w:p>
      <w:pPr>
        <w:widowControl/>
        <w:adjustRightInd w:val="0"/>
        <w:snapToGrid w:val="0"/>
        <w:spacing w:line="579" w:lineRule="exact"/>
        <w:ind w:firstLine="843" w:firstLineChars="300"/>
        <w:jc w:val="left"/>
        <w:rPr>
          <w:rFonts w:hint="eastAsia"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三、部门支出管理情况</w:t>
      </w:r>
    </w:p>
    <w:p>
      <w:pPr>
        <w:widowControl/>
        <w:adjustRightInd w:val="0"/>
        <w:snapToGrid w:val="0"/>
        <w:spacing w:line="579" w:lineRule="exact"/>
        <w:ind w:firstLine="720"/>
        <w:jc w:val="left"/>
        <w:rPr>
          <w:rFonts w:hint="eastAsia" w:ascii="仿宋" w:hAnsi="仿宋" w:eastAsia="仿宋" w:cs="仿宋"/>
          <w:b w:val="0"/>
          <w:bCs w:val="0"/>
          <w:sz w:val="28"/>
          <w:szCs w:val="28"/>
          <w:lang w:eastAsia="zh-CN"/>
        </w:rPr>
      </w:pPr>
      <w:r>
        <w:rPr>
          <w:rFonts w:hint="eastAsia" w:ascii="仿宋" w:hAnsi="仿宋" w:eastAsia="仿宋" w:cs="仿宋"/>
          <w:b/>
          <w:i w:val="0"/>
          <w:iCs w:val="0"/>
          <w:color w:val="000000"/>
          <w:kern w:val="0"/>
          <w:sz w:val="28"/>
          <w:szCs w:val="28"/>
          <w:shd w:val="clear" w:color="auto" w:fill="FFFFFF"/>
          <w:lang w:val="zh-CN"/>
        </w:rPr>
        <w:t>（一）部门决策情况。</w:t>
      </w:r>
      <w:r>
        <w:rPr>
          <w:rFonts w:hint="eastAsia" w:ascii="仿宋" w:hAnsi="仿宋" w:eastAsia="仿宋" w:cs="仿宋"/>
          <w:b/>
          <w:color w:val="000000"/>
          <w:kern w:val="0"/>
          <w:sz w:val="28"/>
          <w:szCs w:val="28"/>
          <w:shd w:val="clear" w:color="auto" w:fill="FFFFFF"/>
          <w:lang w:val="en-US" w:eastAsia="zh-CN"/>
        </w:rPr>
        <w:t xml:space="preserve"> </w:t>
      </w:r>
    </w:p>
    <w:p>
      <w:pPr>
        <w:widowControl/>
        <w:adjustRightInd w:val="0"/>
        <w:snapToGrid w:val="0"/>
        <w:spacing w:line="579" w:lineRule="exact"/>
        <w:ind w:firstLine="720"/>
        <w:jc w:val="left"/>
        <w:rPr>
          <w:rFonts w:hint="eastAsia" w:ascii="仿宋" w:hAnsi="仿宋" w:eastAsia="仿宋" w:cs="仿宋"/>
          <w:color w:val="000000"/>
          <w:kern w:val="0"/>
          <w:sz w:val="28"/>
          <w:szCs w:val="28"/>
          <w:shd w:val="clear" w:color="auto" w:fill="FFFFFF"/>
          <w:lang w:val="zh-CN"/>
        </w:rPr>
      </w:pPr>
      <w:r>
        <w:rPr>
          <w:rFonts w:hint="eastAsia" w:ascii="仿宋" w:hAnsi="仿宋" w:eastAsia="仿宋" w:cs="仿宋"/>
          <w:b w:val="0"/>
          <w:bCs w:val="0"/>
          <w:sz w:val="28"/>
          <w:szCs w:val="28"/>
          <w:lang w:eastAsia="zh-CN"/>
        </w:rPr>
        <w:t>按照综合预算的原则，本单位所有收入和支出均纳入部门预算管理。收入包括：一般公共预算拨款收入、事业收入、上年结转；支出包括：社会保障和就业支出、卫生健康支出。年初做好预算编制、完成绩效目标计划。</w:t>
      </w:r>
      <w:r>
        <w:rPr>
          <w:rFonts w:hint="eastAsia" w:ascii="仿宋" w:hAnsi="仿宋" w:eastAsia="仿宋" w:cs="仿宋"/>
          <w:color w:val="000000"/>
          <w:kern w:val="0"/>
          <w:sz w:val="28"/>
          <w:szCs w:val="28"/>
          <w:shd w:val="clear" w:color="auto" w:fill="FFFFFF"/>
          <w:lang w:val="zh-CN"/>
        </w:rPr>
        <w:t>本院从预算、执行、验收、资金支付等流程层层把关，严格按照部门预算进行支出。涉及“三重一大”事项必须经院支两委会、院班子会议讨论决定。尤其是基本公共卫生服务项目补助资金的使用，严格按照进度实施，做到专款专用。</w:t>
      </w:r>
    </w:p>
    <w:p>
      <w:pPr>
        <w:widowControl/>
        <w:adjustRightInd w:val="0"/>
        <w:snapToGrid w:val="0"/>
        <w:spacing w:line="579" w:lineRule="exact"/>
        <w:ind w:firstLine="720"/>
        <w:jc w:val="left"/>
        <w:rPr>
          <w:rFonts w:hint="eastAsia" w:ascii="仿宋" w:hAnsi="仿宋" w:eastAsia="仿宋" w:cs="仿宋"/>
          <w:b/>
          <w:color w:val="000000"/>
          <w:kern w:val="0"/>
          <w:sz w:val="28"/>
          <w:szCs w:val="28"/>
          <w:shd w:val="clear" w:color="auto" w:fill="FFFFFF"/>
          <w:lang w:val="zh-CN"/>
        </w:rPr>
      </w:pPr>
      <w:r>
        <w:rPr>
          <w:rFonts w:hint="eastAsia" w:ascii="仿宋" w:hAnsi="仿宋" w:eastAsia="仿宋" w:cs="仿宋"/>
          <w:b/>
          <w:color w:val="000000"/>
          <w:kern w:val="0"/>
          <w:sz w:val="28"/>
          <w:szCs w:val="28"/>
          <w:shd w:val="clear" w:color="auto" w:fill="FFFFFF"/>
          <w:lang w:val="zh-CN"/>
        </w:rPr>
        <w:t>（二）执行管理情况。</w:t>
      </w:r>
    </w:p>
    <w:p>
      <w:pPr>
        <w:widowControl/>
        <w:adjustRightInd w:val="0"/>
        <w:snapToGrid w:val="0"/>
        <w:spacing w:line="579" w:lineRule="exact"/>
        <w:ind w:firstLine="720"/>
        <w:jc w:val="both"/>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zh-CN"/>
        </w:rPr>
        <w:t>通过建立健全相关制度，发挥好资金的使用效益，规范资产管理。</w:t>
      </w:r>
      <w:r>
        <w:rPr>
          <w:rFonts w:hint="eastAsia" w:ascii="仿宋" w:hAnsi="仿宋" w:eastAsia="仿宋" w:cs="仿宋"/>
          <w:color w:val="000000"/>
          <w:kern w:val="0"/>
          <w:sz w:val="28"/>
          <w:szCs w:val="28"/>
          <w:shd w:val="clear" w:color="auto" w:fill="FFFFFF"/>
          <w:lang w:val="en-US" w:eastAsia="zh-CN"/>
        </w:rPr>
        <w:t>2019年6月收入1011.09万元，执行预算收入50.55 %，支出1119.24万元，执行预算55.96%；至9月收入1481.13，执行预算收入74.06%，支出1782.95万元，执行预算89.15%；至11月收入1749.94万元，执行预算87.49%；全年决算收入2438.5万元、支出2438.5 万元，执行差异0.01%（主要是因为收入超预算）。重点对基本公共卫生服务进行了中期评估，2019年度本院开展基本公共卫生服务项目共14大项，主要包括建立居民健康档案、健康教育、预防接种、0-6岁儿童及孕产妇健康管理、65周岁及以上老年人健康管理、慢性病患者健康管理、肺结核患者健康管理、严重精神障碍患者管理、中医药健康管理、传染病及突发公共卫生事件报告和处置、卫生监督协管、免费提供避孕药具、健康素养促进行动等。</w:t>
      </w:r>
    </w:p>
    <w:p>
      <w:pPr>
        <w:ind w:firstLine="550" w:firstLineChars="196"/>
        <w:rPr>
          <w:rFonts w:hint="eastAsia" w:ascii="仿宋" w:hAnsi="仿宋" w:eastAsia="仿宋" w:cs="仿宋"/>
          <w:b/>
          <w:color w:val="000000"/>
          <w:kern w:val="0"/>
          <w:sz w:val="28"/>
          <w:szCs w:val="28"/>
          <w:shd w:val="clear" w:color="auto" w:fill="FFFFFF"/>
          <w:lang w:val="zh-CN"/>
        </w:rPr>
      </w:pPr>
      <w:r>
        <w:rPr>
          <w:rFonts w:hint="eastAsia" w:ascii="仿宋" w:hAnsi="仿宋" w:eastAsia="仿宋" w:cs="仿宋"/>
          <w:b/>
          <w:color w:val="000000"/>
          <w:kern w:val="0"/>
          <w:sz w:val="28"/>
          <w:szCs w:val="28"/>
          <w:shd w:val="clear" w:color="auto" w:fill="FFFFFF"/>
          <w:lang w:val="zh-CN"/>
        </w:rPr>
        <w:t>（三）综合管理情况。</w:t>
      </w:r>
    </w:p>
    <w:p>
      <w:pPr>
        <w:ind w:firstLine="548" w:firstLineChars="196"/>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2019年，本院根据年初工作计划和重点工作安排，积极履职、强化管理，较好地完成了年度工作目标。通过加强预算收支管理、内部控制制度建设，梳理内部管理流程，单位整体支出情况得到提升。2019年度本院严控“三公经费”，全年“三公经费”共支出8.5万元，未超预算</w:t>
      </w:r>
    </w:p>
    <w:p>
      <w:pPr>
        <w:widowControl/>
        <w:adjustRightInd w:val="0"/>
        <w:snapToGrid w:val="0"/>
        <w:spacing w:line="579" w:lineRule="exact"/>
        <w:ind w:firstLine="720"/>
        <w:jc w:val="left"/>
        <w:rPr>
          <w:rFonts w:hint="eastAsia" w:ascii="仿宋" w:hAnsi="仿宋" w:eastAsia="仿宋" w:cs="仿宋"/>
          <w:b/>
          <w:color w:val="000000"/>
          <w:kern w:val="0"/>
          <w:sz w:val="28"/>
          <w:szCs w:val="28"/>
          <w:shd w:val="clear" w:color="auto" w:fill="FFFFFF"/>
          <w:lang w:val="zh-CN"/>
        </w:rPr>
      </w:pPr>
      <w:r>
        <w:rPr>
          <w:rFonts w:hint="eastAsia" w:ascii="仿宋" w:hAnsi="仿宋" w:eastAsia="仿宋" w:cs="仿宋"/>
          <w:b/>
          <w:color w:val="000000"/>
          <w:kern w:val="0"/>
          <w:sz w:val="28"/>
          <w:szCs w:val="28"/>
          <w:shd w:val="clear" w:color="auto" w:fill="FFFFFF"/>
          <w:lang w:val="zh-CN"/>
        </w:rPr>
        <w:t>（四）整体绩效。</w:t>
      </w:r>
    </w:p>
    <w:p>
      <w:pPr>
        <w:widowControl/>
        <w:adjustRightInd w:val="0"/>
        <w:snapToGrid w:val="0"/>
        <w:spacing w:line="579" w:lineRule="exact"/>
        <w:ind w:firstLine="720"/>
        <w:jc w:val="left"/>
        <w:rPr>
          <w:rFonts w:hint="eastAsia" w:ascii="仿宋" w:hAnsi="仿宋" w:eastAsia="仿宋" w:cs="仿宋"/>
          <w:b w:val="0"/>
          <w:bCs/>
          <w:color w:val="000000"/>
          <w:kern w:val="0"/>
          <w:sz w:val="28"/>
          <w:szCs w:val="28"/>
          <w:shd w:val="clear" w:color="auto" w:fill="FFFFFF"/>
          <w:lang w:val="en-US" w:eastAsia="zh-CN"/>
        </w:rPr>
      </w:pPr>
      <w:r>
        <w:rPr>
          <w:rFonts w:hint="eastAsia" w:ascii="仿宋" w:hAnsi="仿宋" w:eastAsia="仿宋" w:cs="仿宋"/>
          <w:b w:val="0"/>
          <w:bCs/>
          <w:color w:val="000000"/>
          <w:kern w:val="0"/>
          <w:sz w:val="28"/>
          <w:szCs w:val="28"/>
          <w:shd w:val="clear" w:color="auto" w:fill="FFFFFF"/>
          <w:lang w:val="zh-CN"/>
        </w:rPr>
        <w:t>作为基层医疗卫生机构，主要职能职责是</w:t>
      </w:r>
      <w:r>
        <w:rPr>
          <w:rFonts w:hint="eastAsia" w:ascii="仿宋" w:hAnsi="仿宋" w:eastAsia="仿宋" w:cs="仿宋"/>
          <w:sz w:val="28"/>
          <w:szCs w:val="28"/>
        </w:rPr>
        <w:t>以基本公共卫生服务、一般医疗服务为主全面开展各项工作。</w:t>
      </w:r>
      <w:r>
        <w:rPr>
          <w:rFonts w:hint="eastAsia" w:ascii="仿宋" w:hAnsi="仿宋" w:eastAsia="仿宋" w:cs="仿宋"/>
          <w:sz w:val="28"/>
          <w:szCs w:val="28"/>
          <w:lang w:val="en-US" w:eastAsia="zh-CN"/>
        </w:rPr>
        <w:t>2019年度，完成对辖区常住服务人口38858人的基本公共卫生14大项的服务工作任务，切实使用好财政专项资金。通过评价促进财政预算支出项目的持续改进和提升，确保整体预算绩效目标的顺利实现。</w:t>
      </w:r>
    </w:p>
    <w:p>
      <w:pPr>
        <w:widowControl/>
        <w:adjustRightInd w:val="0"/>
        <w:snapToGrid w:val="0"/>
        <w:spacing w:line="579" w:lineRule="exact"/>
        <w:ind w:firstLine="720"/>
        <w:jc w:val="left"/>
        <w:rPr>
          <w:rFonts w:hint="eastAsia"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四、评价结论及建议</w:t>
      </w:r>
    </w:p>
    <w:p>
      <w:pPr>
        <w:widowControl/>
        <w:adjustRightInd w:val="0"/>
        <w:snapToGrid w:val="0"/>
        <w:spacing w:line="579" w:lineRule="exact"/>
        <w:ind w:firstLine="720"/>
        <w:jc w:val="left"/>
        <w:rPr>
          <w:rFonts w:hint="eastAsia" w:ascii="仿宋" w:hAnsi="仿宋" w:eastAsia="仿宋" w:cs="仿宋"/>
          <w:color w:val="000000"/>
          <w:kern w:val="0"/>
          <w:sz w:val="28"/>
          <w:szCs w:val="28"/>
          <w:shd w:val="clear" w:color="auto" w:fill="FFFFFF"/>
          <w:lang w:val="zh-CN"/>
        </w:rPr>
      </w:pPr>
      <w:r>
        <w:rPr>
          <w:rFonts w:hint="eastAsia" w:ascii="仿宋" w:hAnsi="仿宋" w:eastAsia="仿宋" w:cs="仿宋"/>
          <w:color w:val="000000"/>
          <w:kern w:val="0"/>
          <w:sz w:val="28"/>
          <w:szCs w:val="28"/>
          <w:shd w:val="clear" w:color="auto" w:fill="FFFFFF"/>
          <w:lang w:val="zh-CN"/>
        </w:rPr>
        <w:t>（一）评价结论。</w:t>
      </w:r>
    </w:p>
    <w:p>
      <w:pPr>
        <w:widowControl/>
        <w:adjustRightInd w:val="0"/>
        <w:snapToGrid w:val="0"/>
        <w:spacing w:line="579" w:lineRule="exact"/>
        <w:ind w:firstLine="720"/>
        <w:jc w:val="left"/>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zh-CN"/>
        </w:rPr>
        <w:t>通过自评，</w:t>
      </w:r>
      <w:r>
        <w:rPr>
          <w:rFonts w:hint="eastAsia" w:ascii="仿宋" w:hAnsi="仿宋" w:eastAsia="仿宋" w:cs="仿宋"/>
          <w:color w:val="000000"/>
          <w:kern w:val="0"/>
          <w:sz w:val="28"/>
          <w:szCs w:val="28"/>
          <w:shd w:val="clear" w:color="auto" w:fill="FFFFFF"/>
          <w:lang w:val="en-US" w:eastAsia="zh-CN"/>
        </w:rPr>
        <w:t>2019年度部门预算整体支出与实际支出基本一致。</w:t>
      </w:r>
    </w:p>
    <w:p>
      <w:pPr>
        <w:widowControl/>
        <w:numPr>
          <w:ilvl w:val="0"/>
          <w:numId w:val="5"/>
        </w:numPr>
        <w:adjustRightInd w:val="0"/>
        <w:snapToGrid w:val="0"/>
        <w:spacing w:line="579" w:lineRule="exact"/>
        <w:ind w:left="0" w:leftChars="0" w:firstLine="720" w:firstLineChars="0"/>
        <w:jc w:val="left"/>
        <w:rPr>
          <w:rFonts w:hint="eastAsia" w:ascii="仿宋" w:hAnsi="仿宋" w:eastAsia="仿宋" w:cs="仿宋"/>
          <w:color w:val="000000"/>
          <w:kern w:val="0"/>
          <w:sz w:val="28"/>
          <w:szCs w:val="28"/>
          <w:shd w:val="clear" w:color="auto" w:fill="FFFFFF"/>
          <w:lang w:val="zh-CN"/>
        </w:rPr>
      </w:pPr>
      <w:r>
        <w:rPr>
          <w:rFonts w:hint="eastAsia" w:ascii="仿宋" w:hAnsi="仿宋" w:eastAsia="仿宋" w:cs="仿宋"/>
          <w:color w:val="000000"/>
          <w:kern w:val="0"/>
          <w:sz w:val="28"/>
          <w:szCs w:val="28"/>
          <w:shd w:val="clear" w:color="auto" w:fill="FFFFFF"/>
          <w:lang w:val="zh-CN"/>
        </w:rPr>
        <w:t>存在问题。</w:t>
      </w:r>
    </w:p>
    <w:p>
      <w:pPr>
        <w:widowControl/>
        <w:numPr>
          <w:ilvl w:val="0"/>
          <w:numId w:val="0"/>
        </w:numPr>
        <w:adjustRightInd w:val="0"/>
        <w:snapToGrid w:val="0"/>
        <w:spacing w:line="579" w:lineRule="exact"/>
        <w:ind w:firstLine="560" w:firstLineChars="200"/>
        <w:jc w:val="left"/>
        <w:rPr>
          <w:rFonts w:hint="eastAsia" w:ascii="仿宋" w:hAnsi="仿宋" w:eastAsia="仿宋" w:cs="仿宋"/>
          <w:color w:val="000000"/>
          <w:kern w:val="0"/>
          <w:sz w:val="28"/>
          <w:szCs w:val="28"/>
          <w:shd w:val="clear" w:color="auto" w:fill="FFFFFF"/>
          <w:lang w:val="zh-CN"/>
        </w:rPr>
      </w:pPr>
      <w:r>
        <w:rPr>
          <w:rFonts w:hint="eastAsia" w:ascii="仿宋" w:hAnsi="仿宋" w:eastAsia="仿宋" w:cs="仿宋"/>
          <w:color w:val="000000"/>
          <w:kern w:val="0"/>
          <w:sz w:val="28"/>
          <w:szCs w:val="28"/>
          <w:shd w:val="clear" w:color="auto" w:fill="FFFFFF"/>
          <w:lang w:val="zh-CN"/>
        </w:rPr>
        <w:t>作为基层医疗卫生机构对预算绩效管理的理念还需加强，预算执行不够完善。</w:t>
      </w:r>
    </w:p>
    <w:p>
      <w:pPr>
        <w:widowControl/>
        <w:numPr>
          <w:ilvl w:val="0"/>
          <w:numId w:val="5"/>
        </w:numPr>
        <w:adjustRightInd w:val="0"/>
        <w:snapToGrid w:val="0"/>
        <w:spacing w:line="579" w:lineRule="exact"/>
        <w:ind w:left="0" w:leftChars="0" w:firstLine="720" w:firstLineChars="0"/>
        <w:jc w:val="left"/>
        <w:rPr>
          <w:rFonts w:hint="eastAsia" w:ascii="仿宋" w:hAnsi="仿宋" w:eastAsia="仿宋" w:cs="仿宋"/>
          <w:color w:val="000000"/>
          <w:kern w:val="0"/>
          <w:sz w:val="28"/>
          <w:szCs w:val="28"/>
          <w:shd w:val="clear" w:color="auto" w:fill="FFFFFF"/>
          <w:lang w:val="zh-CN"/>
        </w:rPr>
      </w:pPr>
      <w:r>
        <w:rPr>
          <w:rFonts w:hint="eastAsia" w:ascii="仿宋" w:hAnsi="仿宋" w:eastAsia="仿宋" w:cs="仿宋"/>
          <w:color w:val="000000"/>
          <w:kern w:val="0"/>
          <w:sz w:val="28"/>
          <w:szCs w:val="28"/>
          <w:shd w:val="clear" w:color="auto" w:fill="FFFFFF"/>
          <w:lang w:val="zh-CN"/>
        </w:rPr>
        <w:t>改进建议。</w:t>
      </w:r>
    </w:p>
    <w:p>
      <w:pPr>
        <w:bidi w:val="0"/>
        <w:ind w:firstLine="201" w:firstLineChars="0"/>
        <w:jc w:val="left"/>
        <w:rPr>
          <w:rFonts w:hint="eastAsia" w:ascii="仿宋" w:hAnsi="仿宋" w:eastAsia="仿宋" w:cs="仿宋"/>
          <w:color w:val="000000"/>
          <w:kern w:val="0"/>
          <w:sz w:val="28"/>
          <w:szCs w:val="28"/>
          <w:shd w:val="clear" w:color="auto" w:fill="FFFFFF"/>
          <w:lang w:val="zh-CN"/>
        </w:rPr>
      </w:pPr>
      <w:r>
        <w:rPr>
          <w:rFonts w:hint="eastAsia" w:ascii="仿宋" w:hAnsi="仿宋" w:eastAsia="仿宋" w:cs="仿宋"/>
          <w:color w:val="000000"/>
          <w:kern w:val="0"/>
          <w:sz w:val="28"/>
          <w:szCs w:val="28"/>
          <w:shd w:val="clear" w:color="auto" w:fill="FFFFFF"/>
          <w:lang w:val="zh-CN"/>
        </w:rPr>
        <w:t>加强对部门整体预算绩效评价报告编写工作的培训。</w:t>
      </w:r>
    </w:p>
    <w:p>
      <w:pPr>
        <w:bidi w:val="0"/>
        <w:ind w:firstLine="201" w:firstLineChars="0"/>
        <w:jc w:val="left"/>
        <w:rPr>
          <w:rFonts w:hint="default" w:eastAsia="宋体"/>
          <w:kern w:val="2"/>
          <w:sz w:val="21"/>
          <w:szCs w:val="24"/>
          <w:lang w:val="en-US" w:eastAsia="zh-CN" w:bidi="ar-SA"/>
        </w:rPr>
      </w:pPr>
      <w:r>
        <w:rPr>
          <w:rFonts w:hint="eastAsia" w:ascii="仿宋" w:hAnsi="仿宋" w:eastAsia="仿宋" w:cs="仿宋"/>
          <w:color w:val="000000"/>
          <w:kern w:val="0"/>
          <w:sz w:val="28"/>
          <w:szCs w:val="28"/>
          <w:shd w:val="clear" w:color="auto" w:fill="FFFFFF"/>
          <w:lang w:val="en-US" w:eastAsia="zh-CN"/>
        </w:rPr>
        <w:t xml:space="preserve">                      </w:t>
      </w:r>
      <w:r>
        <w:rPr>
          <w:rFonts w:hint="eastAsia" w:ascii="仿宋" w:hAnsi="仿宋" w:eastAsia="仿宋" w:cs="仿宋"/>
          <w:color w:val="000000"/>
          <w:kern w:val="0"/>
          <w:sz w:val="36"/>
          <w:szCs w:val="36"/>
          <w:shd w:val="clear" w:color="auto" w:fill="FFFFFF"/>
          <w:lang w:val="en-US" w:eastAsia="zh-CN"/>
        </w:rPr>
        <w:t xml:space="preserve"> 宣汉县双河中心卫生院</w:t>
      </w:r>
    </w:p>
    <w:p>
      <w:pPr>
        <w:bidi w:val="0"/>
        <w:jc w:val="center"/>
        <w:rPr>
          <w:rFonts w:hint="default"/>
          <w:sz w:val="36"/>
          <w:szCs w:val="36"/>
          <w:lang w:val="en-US" w:eastAsia="zh-CN"/>
        </w:rPr>
      </w:pPr>
      <w:r>
        <w:rPr>
          <w:rFonts w:hint="eastAsia"/>
          <w:lang w:val="en-US" w:eastAsia="zh-CN"/>
        </w:rPr>
        <w:t xml:space="preserve">                         </w:t>
      </w:r>
      <w:r>
        <w:rPr>
          <w:rFonts w:hint="eastAsia"/>
          <w:sz w:val="36"/>
          <w:szCs w:val="36"/>
          <w:lang w:val="en-US" w:eastAsia="zh-CN"/>
        </w:rPr>
        <w:t xml:space="preserve">  2020年10月13日</w:t>
      </w:r>
    </w:p>
    <w:p>
      <w:pPr>
        <w:tabs>
          <w:tab w:val="left" w:pos="591"/>
        </w:tabs>
        <w:spacing w:line="600" w:lineRule="exact"/>
        <w:jc w:val="left"/>
        <w:outlineLvl w:val="0"/>
        <w:rPr>
          <w:rFonts w:hint="eastAsia" w:ascii="黑体" w:hAnsi="黑体" w:eastAsia="黑体"/>
          <w:color w:val="000000"/>
          <w:sz w:val="44"/>
          <w:szCs w:val="44"/>
          <w:lang w:eastAsia="zh-CN"/>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1">
    <w:nsid w:val="06F9743A"/>
    <w:multiLevelType w:val="singleLevel"/>
    <w:tmpl w:val="06F9743A"/>
    <w:lvl w:ilvl="0" w:tentative="0">
      <w:start w:val="2"/>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6B518150"/>
    <w:multiLevelType w:val="singleLevel"/>
    <w:tmpl w:val="6B518150"/>
    <w:lvl w:ilvl="0" w:tentative="0">
      <w:start w:val="2"/>
      <w:numFmt w:val="chineseCounting"/>
      <w:suff w:val="nothing"/>
      <w:lvlText w:val="%1、"/>
      <w:lvlJc w:val="left"/>
      <w:pPr>
        <w:ind w:left="280" w:firstLine="0"/>
      </w:pPr>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2CD2"/>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629F"/>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414569"/>
    <w:rsid w:val="01D45F51"/>
    <w:rsid w:val="01DA55F3"/>
    <w:rsid w:val="02464EE9"/>
    <w:rsid w:val="02615799"/>
    <w:rsid w:val="030408BE"/>
    <w:rsid w:val="03251F33"/>
    <w:rsid w:val="03622D0C"/>
    <w:rsid w:val="03D12252"/>
    <w:rsid w:val="03DB242E"/>
    <w:rsid w:val="03DB2ABC"/>
    <w:rsid w:val="048D424A"/>
    <w:rsid w:val="05172C64"/>
    <w:rsid w:val="07970AAB"/>
    <w:rsid w:val="08685A04"/>
    <w:rsid w:val="088F7BD9"/>
    <w:rsid w:val="09275B61"/>
    <w:rsid w:val="0931372D"/>
    <w:rsid w:val="09344166"/>
    <w:rsid w:val="09C21C8F"/>
    <w:rsid w:val="09C92CB6"/>
    <w:rsid w:val="0A430D09"/>
    <w:rsid w:val="0A4643AE"/>
    <w:rsid w:val="0A486C9A"/>
    <w:rsid w:val="0AA30C9D"/>
    <w:rsid w:val="0AE72A8E"/>
    <w:rsid w:val="0B5D3656"/>
    <w:rsid w:val="0BAF7C8D"/>
    <w:rsid w:val="0C746FEB"/>
    <w:rsid w:val="0C942EEB"/>
    <w:rsid w:val="0DDF5404"/>
    <w:rsid w:val="0ED813A9"/>
    <w:rsid w:val="0EE24514"/>
    <w:rsid w:val="0F3E6137"/>
    <w:rsid w:val="0FA30971"/>
    <w:rsid w:val="0FE73B17"/>
    <w:rsid w:val="10244B26"/>
    <w:rsid w:val="107178CB"/>
    <w:rsid w:val="108F0E00"/>
    <w:rsid w:val="10C055FF"/>
    <w:rsid w:val="10C27DC3"/>
    <w:rsid w:val="10D16726"/>
    <w:rsid w:val="11AB40BE"/>
    <w:rsid w:val="11FB4704"/>
    <w:rsid w:val="123C1943"/>
    <w:rsid w:val="12A85E26"/>
    <w:rsid w:val="12CA4D6C"/>
    <w:rsid w:val="1554152A"/>
    <w:rsid w:val="15A720AA"/>
    <w:rsid w:val="15BC58E8"/>
    <w:rsid w:val="15BD0B58"/>
    <w:rsid w:val="15C9161A"/>
    <w:rsid w:val="16BB723D"/>
    <w:rsid w:val="16F97ED9"/>
    <w:rsid w:val="172D7456"/>
    <w:rsid w:val="176B2A64"/>
    <w:rsid w:val="19145E66"/>
    <w:rsid w:val="192671AB"/>
    <w:rsid w:val="196919FC"/>
    <w:rsid w:val="19C75983"/>
    <w:rsid w:val="19DF4C1F"/>
    <w:rsid w:val="1A587EB8"/>
    <w:rsid w:val="1A663052"/>
    <w:rsid w:val="1A9E3C1B"/>
    <w:rsid w:val="1AE54E62"/>
    <w:rsid w:val="1BFF3C2E"/>
    <w:rsid w:val="1C3313EB"/>
    <w:rsid w:val="1C854815"/>
    <w:rsid w:val="1CE616DF"/>
    <w:rsid w:val="1DAE3322"/>
    <w:rsid w:val="211C4ADC"/>
    <w:rsid w:val="21790E99"/>
    <w:rsid w:val="219225F3"/>
    <w:rsid w:val="221A718F"/>
    <w:rsid w:val="231F011F"/>
    <w:rsid w:val="240371BF"/>
    <w:rsid w:val="246A5BC9"/>
    <w:rsid w:val="24F24B45"/>
    <w:rsid w:val="2510498A"/>
    <w:rsid w:val="251F43FA"/>
    <w:rsid w:val="25C0550F"/>
    <w:rsid w:val="25FD2EF3"/>
    <w:rsid w:val="26AE32A5"/>
    <w:rsid w:val="26DD1231"/>
    <w:rsid w:val="27131336"/>
    <w:rsid w:val="27EB21D9"/>
    <w:rsid w:val="28DA6225"/>
    <w:rsid w:val="28ED6FB1"/>
    <w:rsid w:val="290F6AA2"/>
    <w:rsid w:val="294505E6"/>
    <w:rsid w:val="29BB77DA"/>
    <w:rsid w:val="29EB5903"/>
    <w:rsid w:val="29F14ACA"/>
    <w:rsid w:val="29FD04D3"/>
    <w:rsid w:val="2A0379E5"/>
    <w:rsid w:val="2B244976"/>
    <w:rsid w:val="2B3671CB"/>
    <w:rsid w:val="2BA12F9A"/>
    <w:rsid w:val="2C884D5D"/>
    <w:rsid w:val="2C973A43"/>
    <w:rsid w:val="2CD023E0"/>
    <w:rsid w:val="2D1D5DDE"/>
    <w:rsid w:val="2D8959A2"/>
    <w:rsid w:val="2DC94BC3"/>
    <w:rsid w:val="2DCE56D8"/>
    <w:rsid w:val="2DED1757"/>
    <w:rsid w:val="2E0D129A"/>
    <w:rsid w:val="2E2D23E9"/>
    <w:rsid w:val="2E682AE3"/>
    <w:rsid w:val="2E884B00"/>
    <w:rsid w:val="2ED27CD4"/>
    <w:rsid w:val="2F6A1E0F"/>
    <w:rsid w:val="2F877B94"/>
    <w:rsid w:val="2FBE55D7"/>
    <w:rsid w:val="30215ED2"/>
    <w:rsid w:val="30233884"/>
    <w:rsid w:val="315452A5"/>
    <w:rsid w:val="31650E11"/>
    <w:rsid w:val="319F7F4E"/>
    <w:rsid w:val="31A541CA"/>
    <w:rsid w:val="31B44FEC"/>
    <w:rsid w:val="31BE30B9"/>
    <w:rsid w:val="32D802C6"/>
    <w:rsid w:val="33424FB9"/>
    <w:rsid w:val="33493FE7"/>
    <w:rsid w:val="33C8550A"/>
    <w:rsid w:val="34152DDA"/>
    <w:rsid w:val="34381E37"/>
    <w:rsid w:val="347B71F2"/>
    <w:rsid w:val="35174C2A"/>
    <w:rsid w:val="35FC1E43"/>
    <w:rsid w:val="35FF2E62"/>
    <w:rsid w:val="3627676C"/>
    <w:rsid w:val="3641235C"/>
    <w:rsid w:val="36473F21"/>
    <w:rsid w:val="36F56FF7"/>
    <w:rsid w:val="379714FD"/>
    <w:rsid w:val="37D62961"/>
    <w:rsid w:val="38484EAC"/>
    <w:rsid w:val="389A140B"/>
    <w:rsid w:val="3AC83155"/>
    <w:rsid w:val="3AF670D6"/>
    <w:rsid w:val="3B4D5206"/>
    <w:rsid w:val="3EB73FBB"/>
    <w:rsid w:val="3F096AA6"/>
    <w:rsid w:val="3F6503A3"/>
    <w:rsid w:val="3F9147AF"/>
    <w:rsid w:val="3FB45CF3"/>
    <w:rsid w:val="404E6B7A"/>
    <w:rsid w:val="40670A4B"/>
    <w:rsid w:val="40D0049C"/>
    <w:rsid w:val="415B242D"/>
    <w:rsid w:val="41C16C7E"/>
    <w:rsid w:val="421C1E25"/>
    <w:rsid w:val="427F2096"/>
    <w:rsid w:val="42DC2CB1"/>
    <w:rsid w:val="430B4C92"/>
    <w:rsid w:val="43183DBC"/>
    <w:rsid w:val="43A32842"/>
    <w:rsid w:val="44411833"/>
    <w:rsid w:val="448000E3"/>
    <w:rsid w:val="44B703DA"/>
    <w:rsid w:val="45F0420F"/>
    <w:rsid w:val="467B67E0"/>
    <w:rsid w:val="487D7C92"/>
    <w:rsid w:val="4899317D"/>
    <w:rsid w:val="48CE1F55"/>
    <w:rsid w:val="49E915B4"/>
    <w:rsid w:val="49FD3D36"/>
    <w:rsid w:val="4A4E2A71"/>
    <w:rsid w:val="4BAA5A83"/>
    <w:rsid w:val="4BB212FF"/>
    <w:rsid w:val="4BC207AB"/>
    <w:rsid w:val="4C890DBE"/>
    <w:rsid w:val="4D2361FA"/>
    <w:rsid w:val="4E1F2DFC"/>
    <w:rsid w:val="4F5D4639"/>
    <w:rsid w:val="4FAE6479"/>
    <w:rsid w:val="4FF32312"/>
    <w:rsid w:val="50582448"/>
    <w:rsid w:val="50667314"/>
    <w:rsid w:val="509706A8"/>
    <w:rsid w:val="50EC2DFD"/>
    <w:rsid w:val="50F557DD"/>
    <w:rsid w:val="53065495"/>
    <w:rsid w:val="532557FE"/>
    <w:rsid w:val="532F716F"/>
    <w:rsid w:val="539801D1"/>
    <w:rsid w:val="547044D1"/>
    <w:rsid w:val="55FE5F81"/>
    <w:rsid w:val="564A6263"/>
    <w:rsid w:val="56C264D9"/>
    <w:rsid w:val="575F2443"/>
    <w:rsid w:val="578559BD"/>
    <w:rsid w:val="57FB2D42"/>
    <w:rsid w:val="58404DD0"/>
    <w:rsid w:val="58993B95"/>
    <w:rsid w:val="58B56794"/>
    <w:rsid w:val="58F726F7"/>
    <w:rsid w:val="59B54743"/>
    <w:rsid w:val="5AC35858"/>
    <w:rsid w:val="5ADA209C"/>
    <w:rsid w:val="5B4E5B3D"/>
    <w:rsid w:val="5B6B2612"/>
    <w:rsid w:val="5BA63C60"/>
    <w:rsid w:val="5CE40048"/>
    <w:rsid w:val="5CFA267D"/>
    <w:rsid w:val="5CFE2D17"/>
    <w:rsid w:val="5DFA3ADF"/>
    <w:rsid w:val="5E0A4711"/>
    <w:rsid w:val="5F9F7DAA"/>
    <w:rsid w:val="5FE210F7"/>
    <w:rsid w:val="60533787"/>
    <w:rsid w:val="609F5F73"/>
    <w:rsid w:val="61EC5F9D"/>
    <w:rsid w:val="61F672A9"/>
    <w:rsid w:val="6224379B"/>
    <w:rsid w:val="623134EA"/>
    <w:rsid w:val="63353DEF"/>
    <w:rsid w:val="633A666E"/>
    <w:rsid w:val="636B1EE9"/>
    <w:rsid w:val="63990D41"/>
    <w:rsid w:val="64B8727D"/>
    <w:rsid w:val="663417D6"/>
    <w:rsid w:val="66483A30"/>
    <w:rsid w:val="66CA3930"/>
    <w:rsid w:val="66CB568D"/>
    <w:rsid w:val="66D033AF"/>
    <w:rsid w:val="66EC6460"/>
    <w:rsid w:val="6778297B"/>
    <w:rsid w:val="678D7F84"/>
    <w:rsid w:val="6A04514D"/>
    <w:rsid w:val="6A09714D"/>
    <w:rsid w:val="6AC85BF3"/>
    <w:rsid w:val="6B262AE6"/>
    <w:rsid w:val="6BE03981"/>
    <w:rsid w:val="6C645F5E"/>
    <w:rsid w:val="6D0D4132"/>
    <w:rsid w:val="6D4D4B45"/>
    <w:rsid w:val="6D54295B"/>
    <w:rsid w:val="6DA7308D"/>
    <w:rsid w:val="7040327D"/>
    <w:rsid w:val="70763FBE"/>
    <w:rsid w:val="711C2D1A"/>
    <w:rsid w:val="714A4AD9"/>
    <w:rsid w:val="71E34BDF"/>
    <w:rsid w:val="722F2F52"/>
    <w:rsid w:val="72377C64"/>
    <w:rsid w:val="736F0DE4"/>
    <w:rsid w:val="73B0252F"/>
    <w:rsid w:val="73B47D4E"/>
    <w:rsid w:val="73BA6AFA"/>
    <w:rsid w:val="73E32438"/>
    <w:rsid w:val="75063FDA"/>
    <w:rsid w:val="757566E1"/>
    <w:rsid w:val="75991809"/>
    <w:rsid w:val="75CF4E62"/>
    <w:rsid w:val="75E65A4A"/>
    <w:rsid w:val="763A0241"/>
    <w:rsid w:val="76C57F89"/>
    <w:rsid w:val="77115332"/>
    <w:rsid w:val="77C950E1"/>
    <w:rsid w:val="782B6912"/>
    <w:rsid w:val="789E6C84"/>
    <w:rsid w:val="78D923E9"/>
    <w:rsid w:val="791121E4"/>
    <w:rsid w:val="797A6C47"/>
    <w:rsid w:val="79FC6693"/>
    <w:rsid w:val="7A503229"/>
    <w:rsid w:val="7A726296"/>
    <w:rsid w:val="7BE677FE"/>
    <w:rsid w:val="7C5E2F25"/>
    <w:rsid w:val="7CBF46A2"/>
    <w:rsid w:val="7D9A194E"/>
    <w:rsid w:val="7DDA3E5B"/>
    <w:rsid w:val="7E064562"/>
    <w:rsid w:val="7EA67007"/>
    <w:rsid w:val="7FB31E7B"/>
    <w:rsid w:val="7FBB5E1B"/>
    <w:rsid w:val="7FC6344E"/>
    <w:rsid w:val="BFBFA0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next w:val="5"/>
    <w:qFormat/>
    <w:uiPriority w:val="0"/>
    <w:pPr>
      <w:spacing w:before="100" w:beforeAutospacing="1" w:after="100" w:afterAutospacing="1"/>
    </w:pPr>
    <w:rPr>
      <w:rFonts w:ascii="宋体" w:hAnsi="Times New Roman" w:eastAsia="宋体" w:cs="Times New Roman"/>
      <w:sz w:val="24"/>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emf"/><Relationship Id="rId24" Type="http://schemas.openxmlformats.org/officeDocument/2006/relationships/oleObject" Target="embeddings/oleObject10.bin"/><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31"/>
    <customShpInfo spid="_x0000_s1033"/>
    <customShpInfo spid="_x0000_s1035"/>
    <customShpInfo spid="_x0000_s1036"/>
    <customShpInfo spid="_x0000_s1037"/>
    <customShpInfo spid="_x0000_s1038"/>
    <customShpInfo spid="_x0000_s1039"/>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56</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2022-02-22T10:55:49Z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4F71775B602D4FE5819C493C5C8DB77A</vt:lpwstr>
  </property>
</Properties>
</file>