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96597"/>
      <w:bookmarkStart w:id="2" w:name="_Toc15377193"/>
      <w:bookmarkStart w:id="3" w:name="_Toc15377425"/>
      <w:bookmarkStart w:id="4" w:name="_Toc15396475"/>
      <w:bookmarkStart w:id="5" w:name="_Toc15378441"/>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p>
    <w:p>
      <w:pPr>
        <w:spacing w:line="560" w:lineRule="exact"/>
        <w:jc w:val="center"/>
        <w:rPr>
          <w:rFonts w:hint="eastAsia" w:ascii="方正小标宋简体" w:hAnsi="宋体" w:eastAsia="方正小标宋简体"/>
          <w:color w:val="000000"/>
          <w:sz w:val="48"/>
          <w:szCs w:val="48"/>
        </w:rPr>
      </w:pPr>
      <w:bookmarkStart w:id="6" w:name="_Toc15377426"/>
      <w:bookmarkStart w:id="7" w:name="_Toc15396476"/>
      <w:bookmarkStart w:id="8" w:name="_Toc15396598"/>
      <w:bookmarkStart w:id="9" w:name="_Toc15377194"/>
      <w:bookmarkStart w:id="10" w:name="_Toc15378442"/>
      <w:r>
        <w:rPr>
          <w:rFonts w:hint="eastAsia" w:ascii="方正小标宋简体" w:hAnsi="宋体" w:eastAsia="方正小标宋简体"/>
          <w:color w:val="000000"/>
          <w:sz w:val="48"/>
          <w:szCs w:val="48"/>
        </w:rPr>
        <w:t>四川省</w:t>
      </w:r>
      <w:bookmarkEnd w:id="0"/>
      <w:bookmarkStart w:id="11" w:name="_Toc15306268"/>
      <w:r>
        <w:rPr>
          <w:rFonts w:hint="eastAsia" w:ascii="方正小标宋简体" w:hAnsi="宋体" w:eastAsia="方正小标宋简体"/>
          <w:color w:val="000000"/>
          <w:sz w:val="48"/>
          <w:szCs w:val="48"/>
        </w:rPr>
        <w:t>宣汉县医疗保险管理局部门决算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05</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24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33</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adjustRightInd w:val="0"/>
        <w:snapToGrid w:val="0"/>
        <w:spacing w:line="700" w:lineRule="exact"/>
        <w:ind w:firstLine="640" w:firstLineChars="200"/>
        <w:rPr>
          <w:rFonts w:ascii="仿宋_GB2312" w:eastAsia="仿宋_GB2312"/>
          <w:sz w:val="32"/>
          <w:szCs w:val="32"/>
        </w:rPr>
      </w:pPr>
      <w:bookmarkStart w:id="18" w:name="_Toc15377199"/>
      <w:bookmarkStart w:id="19" w:name="_Toc15378446"/>
      <w:r>
        <w:rPr>
          <w:rFonts w:hint="eastAsia" w:ascii="仿宋_GB2312" w:eastAsia="仿宋_GB2312"/>
          <w:sz w:val="32"/>
          <w:szCs w:val="32"/>
        </w:rPr>
        <w:t>宣汉县医疗保险管理局（以下简称“县医保局”）在宣汉县人力资源和社会保障局领导下，编制全县保险、生育保险事业发展规划，制订业务工作流程、管理制度等，具体经办城镇职工医疗保险、城乡居民医疗保险、生育保险业务工作，负责医疗保险定点医疗机构和零售药店协议管理和考核工作、指导乡镇、街道、社区就业和社会保障服务中心（站）医疗保险的相关业务工作。承办县委、县政府和县人力资源和社会保障局交办的其他工作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adjustRightInd w:val="0"/>
        <w:snapToGrid w:val="0"/>
        <w:spacing w:line="700" w:lineRule="exact"/>
        <w:ind w:firstLine="640" w:firstLineChars="200"/>
        <w:rPr>
          <w:rFonts w:hint="eastAsia" w:ascii="仿宋_GB2312" w:eastAsia="仿宋_GB2312"/>
          <w:sz w:val="32"/>
          <w:szCs w:val="32"/>
        </w:rPr>
      </w:pPr>
      <w:bookmarkStart w:id="20" w:name="_Toc15396601"/>
      <w:bookmarkStart w:id="21" w:name="_Toc15377200"/>
      <w:r>
        <w:rPr>
          <w:rFonts w:hint="eastAsia" w:ascii="仿宋_GB2312" w:eastAsia="仿宋_GB2312"/>
          <w:sz w:val="32"/>
          <w:szCs w:val="32"/>
          <w:lang w:val="en-US" w:eastAsia="zh-CN"/>
        </w:rPr>
        <w:t>1、</w:t>
      </w:r>
      <w:r>
        <w:rPr>
          <w:rFonts w:hint="eastAsia" w:ascii="仿宋_GB2312" w:eastAsia="仿宋_GB2312"/>
          <w:sz w:val="32"/>
          <w:szCs w:val="32"/>
        </w:rPr>
        <w:t>加大宣传力度确保医保待遇。支付全县共住院133046人次，基金待遇支付47020万元。其中，职工住院7854人次、基金待遇支付5290万元，城乡居民住院125192人次、基金待遇支付41730万元。</w:t>
      </w:r>
    </w:p>
    <w:p>
      <w:pPr>
        <w:adjustRightInd w:val="0"/>
        <w:snapToGrid w:val="0"/>
        <w:spacing w:line="7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强化监管确保基金安全运行。一是改革支付方式，实行预算管理。二是全面开展智能监管工作。三是狠抓医疗管理，有效防止基金不合理支出。四是强化监管，重拳惩处医保违规行为。五是严格定点医药机构协议管理，形成了布局合理、方便快捷的就医购药服务网络。六是强化责任，建立健全监督机制。七是制定了“宣汉县医疗机构管理办法”，启动了医保医师“黑名单”管理制度，严格审核把关，切实组建一支业务能力强、政治思想素质好的医保医师队伍。</w:t>
      </w:r>
    </w:p>
    <w:p>
      <w:pPr>
        <w:adjustRightInd w:val="0"/>
        <w:snapToGrid w:val="0"/>
        <w:spacing w:line="7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强化党风廉政建设夯实主体责任。</w:t>
      </w:r>
    </w:p>
    <w:p>
      <w:pPr>
        <w:adjustRightInd w:val="0"/>
        <w:snapToGrid w:val="0"/>
        <w:spacing w:line="70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sz w:val="32"/>
          <w:szCs w:val="32"/>
          <w:lang w:val="en-US" w:eastAsia="zh-CN"/>
        </w:rPr>
        <w:t>4、</w:t>
      </w:r>
      <w:r>
        <w:rPr>
          <w:rFonts w:hint="eastAsia" w:ascii="仿宋_GB2312" w:eastAsia="仿宋_GB2312"/>
          <w:sz w:val="32"/>
          <w:szCs w:val="32"/>
        </w:rPr>
        <w:t>强力抓好精准扶贫及健康扶贫工作</w:t>
      </w:r>
    </w:p>
    <w:p>
      <w:pPr>
        <w:keepNext w:val="0"/>
        <w:keepLines w:val="0"/>
        <w:widowControl w:val="0"/>
        <w:suppressLineNumbers w:val="0"/>
        <w:spacing w:before="0" w:beforeAutospacing="0" w:after="0" w:afterAutospacing="0" w:line="560" w:lineRule="exact"/>
        <w:ind w:left="0" w:right="0" w:firstLine="674"/>
        <w:jc w:val="both"/>
        <w:rPr>
          <w:rStyle w:val="26"/>
          <w:b w:val="0"/>
          <w:bCs w:val="0"/>
          <w:sz w:val="32"/>
          <w:szCs w:val="32"/>
        </w:rPr>
      </w:pPr>
      <w:r>
        <w:rPr>
          <w:rFonts w:hint="eastAsia" w:ascii="黑体" w:eastAsia="黑体"/>
          <w:b w:val="0"/>
          <w:color w:val="000000"/>
          <w:sz w:val="32"/>
          <w:szCs w:val="32"/>
        </w:rPr>
        <w:t>二、</w:t>
      </w:r>
      <w:r>
        <w:rPr>
          <w:rFonts w:hint="eastAsia" w:ascii="黑体" w:hAnsi="黑体" w:eastAsia="黑体"/>
          <w:b w:val="0"/>
          <w:color w:val="000000"/>
          <w:sz w:val="32"/>
          <w:szCs w:val="32"/>
        </w:rPr>
        <w:t>机</w:t>
      </w:r>
      <w:r>
        <w:rPr>
          <w:rStyle w:val="26"/>
          <w:rFonts w:hint="eastAsia" w:ascii="黑体" w:hAnsi="黑体" w:eastAsia="黑体"/>
          <w:b w:val="0"/>
          <w:bCs w:val="0"/>
          <w:sz w:val="32"/>
          <w:szCs w:val="32"/>
        </w:rPr>
        <w:t>构设置</w:t>
      </w:r>
      <w:bookmarkEnd w:id="20"/>
      <w:bookmarkEnd w:id="21"/>
    </w:p>
    <w:p>
      <w:pPr>
        <w:keepNext w:val="0"/>
        <w:keepLines w:val="0"/>
        <w:widowControl w:val="0"/>
        <w:suppressLineNumbers w:val="0"/>
        <w:spacing w:before="0" w:beforeAutospacing="0" w:after="0" w:afterAutospacing="0"/>
        <w:ind w:right="0" w:firstLine="640" w:firstLineChars="200"/>
        <w:jc w:val="both"/>
        <w:rPr>
          <w:rFonts w:hint="eastAsia" w:ascii="仿宋_GB2312" w:eastAsia="仿宋_GB2312" w:cs="仿宋_GB2312"/>
          <w:sz w:val="32"/>
          <w:szCs w:val="32"/>
          <w:lang w:val="en-US"/>
        </w:rPr>
      </w:pPr>
      <w:bookmarkStart w:id="22" w:name="_Toc15396602"/>
      <w:bookmarkStart w:id="23" w:name="_Toc15377204"/>
      <w:r>
        <w:rPr>
          <w:rFonts w:hint="eastAsia" w:ascii="仿宋_GB2312" w:eastAsia="仿宋_GB2312"/>
          <w:color w:val="000000"/>
          <w:sz w:val="32"/>
          <w:szCs w:val="32"/>
        </w:rPr>
        <w:t>宣汉县医保局</w:t>
      </w:r>
      <w:r>
        <w:rPr>
          <w:rFonts w:hint="eastAsia" w:ascii="仿宋_GB2312" w:eastAsia="仿宋_GB2312"/>
          <w:color w:val="000000"/>
          <w:sz w:val="32"/>
          <w:szCs w:val="32"/>
          <w:lang w:eastAsia="zh-CN"/>
        </w:rPr>
        <w:t>本年机构数</w:t>
      </w:r>
      <w:r>
        <w:rPr>
          <w:rFonts w:hint="eastAsia" w:ascii="仿宋_GB2312" w:eastAsia="仿宋_GB2312"/>
          <w:color w:val="000000"/>
          <w:sz w:val="32"/>
          <w:szCs w:val="32"/>
          <w:lang w:val="en-US" w:eastAsia="zh-CN"/>
        </w:rPr>
        <w:t>1个，</w:t>
      </w:r>
      <w:r>
        <w:rPr>
          <w:rFonts w:hint="eastAsia" w:ascii="仿宋_GB2312" w:eastAsia="仿宋_GB2312"/>
          <w:color w:val="000000"/>
          <w:sz w:val="32"/>
          <w:szCs w:val="32"/>
        </w:rPr>
        <w:t>属二级单位，参照公务员法管理的事业单位。</w:t>
      </w:r>
      <w:r>
        <w:rPr>
          <w:rFonts w:hint="eastAsia" w:ascii="仿宋_GB2312" w:hAnsi="Times New Roman" w:eastAsia="仿宋_GB2312" w:cs="仿宋_GB2312"/>
          <w:kern w:val="2"/>
          <w:sz w:val="32"/>
          <w:szCs w:val="32"/>
          <w:lang w:val="en-US" w:eastAsia="zh-CN" w:bidi="ar"/>
        </w:rPr>
        <w:t>编制22人，</w:t>
      </w:r>
      <w:r>
        <w:rPr>
          <w:rFonts w:hint="eastAsia" w:ascii="仿宋_GB2312" w:eastAsia="仿宋_GB2312" w:cs="仿宋_GB2312"/>
          <w:kern w:val="2"/>
          <w:sz w:val="32"/>
          <w:szCs w:val="32"/>
          <w:lang w:val="en-US" w:eastAsia="zh-CN" w:bidi="ar"/>
        </w:rPr>
        <w:t>现有</w:t>
      </w:r>
      <w:r>
        <w:rPr>
          <w:rFonts w:hint="eastAsia" w:ascii="仿宋_GB2312" w:hAnsi="Times New Roman" w:eastAsia="仿宋_GB2312" w:cs="仿宋_GB2312"/>
          <w:kern w:val="2"/>
          <w:sz w:val="32"/>
          <w:szCs w:val="32"/>
          <w:lang w:val="en-US" w:eastAsia="zh-CN" w:bidi="ar"/>
        </w:rPr>
        <w:t>在职人数22人，退休职工3人。</w:t>
      </w:r>
    </w:p>
    <w:p>
      <w:pPr>
        <w:spacing w:line="579" w:lineRule="exact"/>
        <w:ind w:firstLine="480" w:firstLineChars="150"/>
        <w:jc w:val="left"/>
        <w:rPr>
          <w:rFonts w:hint="eastAsia" w:ascii="仿宋_GB2312" w:eastAsia="仿宋_GB2312"/>
          <w:color w:val="000000"/>
          <w:sz w:val="32"/>
          <w:szCs w:val="32"/>
        </w:rPr>
      </w:pPr>
    </w:p>
    <w:p>
      <w:pPr>
        <w:rPr>
          <w:rFonts w:hint="eastAsia" w:ascii="黑体" w:hAnsi="黑体" w:eastAsia="黑体"/>
          <w:b w:val="0"/>
          <w:color w:val="000000"/>
        </w:rPr>
      </w:pPr>
      <w:r>
        <w:rPr>
          <w:rFonts w:hint="eastAsia" w:ascii="黑体" w:hAnsi="黑体" w:eastAsia="黑体"/>
          <w:b w:val="0"/>
          <w:color w:val="000000"/>
        </w:rPr>
        <w:br w:type="page"/>
      </w:r>
    </w:p>
    <w:p>
      <w:pPr>
        <w:pStyle w:val="2"/>
        <w:ind w:right="440"/>
        <w:jc w:val="right"/>
        <w:rPr>
          <w:rStyle w:val="25"/>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2018年度收入共计373.2</w:t>
      </w:r>
      <w:r>
        <w:rPr>
          <w:rFonts w:hint="eastAsia" w:ascii="仿宋_GB2312" w:eastAsia="仿宋_GB2312"/>
          <w:sz w:val="28"/>
          <w:szCs w:val="28"/>
          <w:lang w:val="en-US" w:eastAsia="zh-CN"/>
        </w:rPr>
        <w:t>0</w:t>
      </w:r>
      <w:r>
        <w:rPr>
          <w:rFonts w:hint="eastAsia" w:ascii="仿宋_GB2312" w:eastAsia="仿宋_GB2312"/>
          <w:sz w:val="28"/>
          <w:szCs w:val="28"/>
          <w:lang w:eastAsia="zh-CN"/>
        </w:rPr>
        <w:t>万元，</w:t>
      </w:r>
      <w:r>
        <w:rPr>
          <w:rFonts w:hint="eastAsia" w:ascii="仿宋_GB2312" w:eastAsia="仿宋_GB2312"/>
          <w:sz w:val="28"/>
          <w:szCs w:val="28"/>
          <w:lang w:val="en-US" w:eastAsia="zh-CN"/>
        </w:rPr>
        <w:t>支出共计为373.20万元，</w:t>
      </w:r>
      <w:bookmarkStart w:id="26" w:name="OLE_LINK2"/>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bookmarkEnd w:id="26"/>
    <w:p>
      <w:pPr>
        <w:keepNext w:val="0"/>
        <w:keepLines w:val="0"/>
        <w:widowControl w:val="0"/>
        <w:suppressLineNumbers w:val="0"/>
        <w:spacing w:before="0" w:beforeAutospacing="0" w:after="0" w:afterAutospacing="0" w:line="560" w:lineRule="exact"/>
        <w:ind w:left="0" w:right="0" w:firstLine="560" w:firstLineChars="200"/>
        <w:jc w:val="both"/>
        <w:rPr>
          <w:rStyle w:val="26"/>
          <w:rFonts w:hint="eastAsia" w:ascii="黑体" w:hAnsi="黑体" w:eastAsia="黑体" w:cs="黑体"/>
          <w:b w:val="0"/>
        </w:rPr>
      </w:pPr>
      <w:r>
        <w:rPr>
          <w:rFonts w:hint="eastAsia" w:ascii="黑体" w:hAnsi="黑体" w:eastAsia="黑体" w:cs="黑体"/>
          <w:sz w:val="28"/>
          <w:szCs w:val="28"/>
          <w:lang w:eastAsia="zh-CN"/>
        </w:rPr>
        <w:drawing>
          <wp:anchor distT="0" distB="0" distL="114300" distR="114300" simplePos="0" relativeHeight="251659264" behindDoc="0" locked="0" layoutInCell="1" allowOverlap="1">
            <wp:simplePos x="0" y="0"/>
            <wp:positionH relativeFrom="column">
              <wp:posOffset>36195</wp:posOffset>
            </wp:positionH>
            <wp:positionV relativeFrom="paragraph">
              <wp:posOffset>113665</wp:posOffset>
            </wp:positionV>
            <wp:extent cx="5080000" cy="2258060"/>
            <wp:effectExtent l="4445" t="4445" r="20955" b="234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7" w:name="_Toc15396604"/>
      <w:bookmarkStart w:id="28" w:name="_Toc15377206"/>
      <w:r>
        <w:rPr>
          <w:rFonts w:hint="eastAsia" w:ascii="黑体" w:hAnsi="黑体" w:eastAsia="黑体" w:cs="黑体"/>
          <w:sz w:val="28"/>
          <w:szCs w:val="28"/>
          <w:lang w:eastAsia="zh-CN"/>
        </w:rPr>
        <w:t>二、</w:t>
      </w:r>
      <w:r>
        <w:rPr>
          <w:rFonts w:hint="eastAsia" w:ascii="黑体" w:hAnsi="黑体" w:eastAsia="黑体" w:cs="黑体"/>
          <w:color w:val="000000"/>
          <w:sz w:val="32"/>
          <w:szCs w:val="32"/>
        </w:rPr>
        <w:t>收</w:t>
      </w:r>
      <w:r>
        <w:rPr>
          <w:rStyle w:val="26"/>
          <w:rFonts w:hint="eastAsia" w:ascii="黑体" w:hAnsi="黑体" w:eastAsia="黑体" w:cs="黑体"/>
          <w:b w:val="0"/>
        </w:rPr>
        <w:t>入决算情况说明</w:t>
      </w:r>
      <w:bookmarkEnd w:id="27"/>
      <w:bookmarkEnd w:id="28"/>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eastAsia="仿宋_GB2312"/>
          <w:sz w:val="28"/>
          <w:szCs w:val="28"/>
          <w:lang w:eastAsia="zh-CN"/>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67310</wp:posOffset>
            </wp:positionH>
            <wp:positionV relativeFrom="paragraph">
              <wp:posOffset>1456690</wp:posOffset>
            </wp:positionV>
            <wp:extent cx="4909185" cy="2153920"/>
            <wp:effectExtent l="4445" t="4445" r="20320" b="1333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sz w:val="28"/>
          <w:szCs w:val="28"/>
          <w:lang w:eastAsia="zh-CN"/>
        </w:rPr>
        <w:t>2018年本年收入合计373.2</w:t>
      </w:r>
      <w:r>
        <w:rPr>
          <w:rFonts w:hint="eastAsia" w:ascii="仿宋_GB2312" w:eastAsia="仿宋_GB2312"/>
          <w:sz w:val="28"/>
          <w:szCs w:val="28"/>
          <w:lang w:val="en-US" w:eastAsia="zh-CN"/>
        </w:rPr>
        <w:t>0</w:t>
      </w:r>
      <w:r>
        <w:rPr>
          <w:rFonts w:hint="eastAsia" w:ascii="仿宋_GB2312" w:eastAsia="仿宋_GB2312"/>
          <w:sz w:val="28"/>
          <w:szCs w:val="28"/>
          <w:lang w:eastAsia="zh-CN"/>
        </w:rPr>
        <w:t>万元，其中：一般公共预算财政拨款收入373.2</w:t>
      </w:r>
      <w:r>
        <w:rPr>
          <w:rFonts w:hint="eastAsia" w:ascii="仿宋_GB2312" w:eastAsia="仿宋_GB2312"/>
          <w:sz w:val="28"/>
          <w:szCs w:val="28"/>
          <w:lang w:val="en-US" w:eastAsia="zh-CN"/>
        </w:rPr>
        <w:t>0</w:t>
      </w:r>
      <w:r>
        <w:rPr>
          <w:rFonts w:hint="eastAsia" w:ascii="仿宋_GB2312" w:eastAsia="仿宋_GB2312"/>
          <w:sz w:val="28"/>
          <w:szCs w:val="28"/>
          <w:lang w:eastAsia="zh-CN"/>
        </w:rPr>
        <w:t>万元，</w:t>
      </w:r>
      <w:r>
        <w:rPr>
          <w:rFonts w:hint="eastAsia" w:ascii="仿宋_GB2312" w:eastAsia="仿宋_GB2312"/>
          <w:sz w:val="28"/>
          <w:szCs w:val="28"/>
          <w:lang w:val="en-US" w:eastAsia="zh-CN"/>
        </w:rPr>
        <w:t>占全年收入的100%，无基金预算，占全年收入的**%。</w:t>
      </w:r>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p>
      <w:pPr>
        <w:pStyle w:val="24"/>
        <w:numPr>
          <w:ilvl w:val="0"/>
          <w:numId w:val="0"/>
        </w:numPr>
        <w:spacing w:line="600" w:lineRule="exact"/>
        <w:ind w:left="640" w:leftChars="0"/>
        <w:outlineLvl w:val="1"/>
        <w:rPr>
          <w:rStyle w:val="26"/>
          <w:rFonts w:ascii="黑体" w:hAnsi="黑体" w:eastAsia="黑体"/>
          <w:b w:val="0"/>
        </w:rPr>
      </w:pPr>
      <w:bookmarkStart w:id="29" w:name="_Toc15396605"/>
      <w:bookmarkStart w:id="30"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9"/>
      <w:bookmarkEnd w:id="3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2018年本年支出合计373.2</w:t>
      </w:r>
      <w:r>
        <w:rPr>
          <w:rFonts w:hint="eastAsia" w:ascii="仿宋_GB2312" w:eastAsia="仿宋_GB2312"/>
          <w:sz w:val="28"/>
          <w:szCs w:val="28"/>
          <w:lang w:val="en-US" w:eastAsia="zh-CN"/>
        </w:rPr>
        <w:t>0</w:t>
      </w:r>
      <w:r>
        <w:rPr>
          <w:rFonts w:hint="eastAsia" w:ascii="仿宋_GB2312" w:eastAsia="仿宋_GB2312"/>
          <w:sz w:val="28"/>
          <w:szCs w:val="28"/>
          <w:lang w:eastAsia="zh-CN"/>
        </w:rPr>
        <w:t>万元，</w:t>
      </w:r>
      <w:bookmarkStart w:id="31" w:name="OLE_LINK1"/>
      <w:r>
        <w:rPr>
          <w:rFonts w:hint="eastAsia" w:ascii="仿宋_GB2312" w:eastAsia="仿宋_GB2312"/>
          <w:sz w:val="28"/>
          <w:szCs w:val="28"/>
          <w:lang w:eastAsia="zh-CN"/>
        </w:rPr>
        <w:t>基本支出253.21万元，占总支出的</w:t>
      </w:r>
      <w:r>
        <w:rPr>
          <w:rFonts w:hint="eastAsia" w:ascii="仿宋_GB2312" w:eastAsia="仿宋_GB2312"/>
          <w:sz w:val="28"/>
          <w:szCs w:val="28"/>
          <w:lang w:val="en-US" w:eastAsia="zh-CN"/>
        </w:rPr>
        <w:t>67.84%，</w:t>
      </w:r>
      <w:r>
        <w:rPr>
          <w:rFonts w:hint="eastAsia" w:ascii="仿宋_GB2312" w:eastAsia="仿宋_GB2312"/>
          <w:sz w:val="28"/>
          <w:szCs w:val="28"/>
          <w:lang w:eastAsia="zh-CN"/>
        </w:rPr>
        <w:t>其中人员经费219.77万元，占基本支出的86.</w:t>
      </w:r>
      <w:r>
        <w:rPr>
          <w:rFonts w:hint="eastAsia" w:ascii="仿宋_GB2312" w:eastAsia="仿宋_GB2312"/>
          <w:sz w:val="28"/>
          <w:szCs w:val="28"/>
          <w:lang w:val="en-US" w:eastAsia="zh-CN"/>
        </w:rPr>
        <w:t>79</w:t>
      </w:r>
      <w:r>
        <w:rPr>
          <w:rFonts w:hint="eastAsia" w:ascii="仿宋_GB2312" w:eastAsia="仿宋_GB2312"/>
          <w:sz w:val="28"/>
          <w:szCs w:val="28"/>
          <w:lang w:eastAsia="zh-CN"/>
        </w:rPr>
        <w:t>%；日常公用经费支出33.43万元，占基本支出的</w:t>
      </w:r>
      <w:r>
        <w:rPr>
          <w:rFonts w:hint="eastAsia" w:ascii="仿宋_GB2312" w:eastAsia="仿宋_GB2312"/>
          <w:sz w:val="28"/>
          <w:szCs w:val="28"/>
          <w:lang w:val="en-US" w:eastAsia="zh-CN"/>
        </w:rPr>
        <w:t>13.21</w:t>
      </w:r>
      <w:r>
        <w:rPr>
          <w:rFonts w:hint="eastAsia" w:ascii="仿宋_GB2312" w:eastAsia="仿宋_GB2312"/>
          <w:sz w:val="28"/>
          <w:szCs w:val="28"/>
          <w:lang w:eastAsia="zh-CN"/>
        </w:rPr>
        <w:t>%。项目支出120万元，占总支出的</w:t>
      </w:r>
      <w:r>
        <w:rPr>
          <w:rFonts w:hint="eastAsia" w:ascii="仿宋_GB2312" w:eastAsia="仿宋_GB2312"/>
          <w:sz w:val="28"/>
          <w:szCs w:val="28"/>
          <w:lang w:val="en-US" w:eastAsia="zh-CN"/>
        </w:rPr>
        <w:t>32.16%。</w:t>
      </w:r>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p>
      <w:pPr>
        <w:keepNext w:val="0"/>
        <w:keepLines w:val="0"/>
        <w:pageBreakBefore w:val="0"/>
        <w:widowControl w:val="0"/>
        <w:kinsoku/>
        <w:wordWrap/>
        <w:overflowPunct/>
        <w:topLinePunct w:val="0"/>
        <w:autoSpaceDE/>
        <w:autoSpaceDN/>
        <w:bidi w:val="0"/>
        <w:adjustRightInd/>
        <w:spacing w:line="500" w:lineRule="exact"/>
        <w:ind w:firstLine="560" w:firstLineChars="200"/>
        <w:jc w:val="center"/>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_GB2312" w:eastAsia="仿宋_GB2312"/>
          <w:sz w:val="28"/>
          <w:szCs w:val="28"/>
          <w:lang w:eastAsia="zh-CN"/>
        </w:rPr>
        <w:drawing>
          <wp:anchor distT="0" distB="0" distL="114300" distR="114300" simplePos="0" relativeHeight="251661312" behindDoc="0" locked="0" layoutInCell="1" allowOverlap="1">
            <wp:simplePos x="0" y="0"/>
            <wp:positionH relativeFrom="column">
              <wp:posOffset>80645</wp:posOffset>
            </wp:positionH>
            <wp:positionV relativeFrom="paragraph">
              <wp:posOffset>115570</wp:posOffset>
            </wp:positionV>
            <wp:extent cx="5080000" cy="2268855"/>
            <wp:effectExtent l="4445" t="4445" r="20955" b="1270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31"/>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2" w:name="_Toc15377208"/>
      <w:bookmarkStart w:id="33"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2"/>
      <w:bookmarkEnd w:id="33"/>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eastAsia="仿宋_GB2312"/>
          <w:sz w:val="28"/>
          <w:szCs w:val="28"/>
          <w:lang w:eastAsia="zh-CN"/>
        </w:rPr>
      </w:pPr>
      <w:r>
        <w:rPr>
          <w:rFonts w:hint="eastAsia" w:ascii="黑体" w:hAnsi="黑体" w:eastAsia="黑体" w:cs="黑体"/>
          <w:sz w:val="28"/>
          <w:szCs w:val="28"/>
          <w:lang w:eastAsia="zh-CN"/>
        </w:rPr>
        <w:drawing>
          <wp:anchor distT="0" distB="0" distL="114300" distR="114300" simplePos="0" relativeHeight="251662336" behindDoc="0" locked="0" layoutInCell="1" allowOverlap="1">
            <wp:simplePos x="0" y="0"/>
            <wp:positionH relativeFrom="column">
              <wp:posOffset>13970</wp:posOffset>
            </wp:positionH>
            <wp:positionV relativeFrom="paragraph">
              <wp:posOffset>1160145</wp:posOffset>
            </wp:positionV>
            <wp:extent cx="5260340" cy="2439035"/>
            <wp:effectExtent l="4445" t="4445" r="12065"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sz w:val="28"/>
          <w:szCs w:val="28"/>
          <w:lang w:eastAsia="zh-CN"/>
        </w:rPr>
        <w:t>2018年财政拨款收入总计373.2</w:t>
      </w:r>
      <w:r>
        <w:rPr>
          <w:rFonts w:hint="eastAsia" w:ascii="仿宋_GB2312" w:eastAsia="仿宋_GB2312"/>
          <w:sz w:val="28"/>
          <w:szCs w:val="28"/>
          <w:lang w:val="en-US" w:eastAsia="zh-CN"/>
        </w:rPr>
        <w:t>0</w:t>
      </w:r>
      <w:r>
        <w:rPr>
          <w:rFonts w:hint="eastAsia" w:ascii="仿宋_GB2312" w:eastAsia="仿宋_GB2312"/>
          <w:sz w:val="28"/>
          <w:szCs w:val="28"/>
          <w:lang w:eastAsia="zh-CN"/>
        </w:rPr>
        <w:t>万元。2018</w:t>
      </w:r>
      <w:r>
        <w:rPr>
          <w:rFonts w:hint="eastAsia" w:ascii="仿宋_GB2312" w:eastAsia="仿宋_GB2312"/>
          <w:sz w:val="28"/>
          <w:szCs w:val="28"/>
        </w:rPr>
        <w:t>年</w:t>
      </w:r>
      <w:r>
        <w:rPr>
          <w:rFonts w:hint="eastAsia" w:ascii="仿宋_GB2312" w:eastAsia="仿宋_GB2312"/>
          <w:sz w:val="28"/>
          <w:szCs w:val="28"/>
          <w:lang w:eastAsia="zh-CN"/>
        </w:rPr>
        <w:t>度财政拨款支出总计373.2</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spacing w:line="600" w:lineRule="exact"/>
        <w:ind w:firstLine="640" w:firstLineChars="200"/>
        <w:outlineLvl w:val="1"/>
        <w:rPr>
          <w:rStyle w:val="26"/>
          <w:rFonts w:ascii="黑体" w:hAnsi="黑体" w:eastAsia="黑体"/>
          <w:b w:val="0"/>
        </w:rPr>
      </w:pPr>
      <w:bookmarkStart w:id="34" w:name="_Toc15377209"/>
      <w:bookmarkStart w:id="35"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2018年一般公共预算财政拨款支出373.2</w:t>
      </w:r>
      <w:r>
        <w:rPr>
          <w:rFonts w:hint="eastAsia" w:ascii="仿宋_GB2312" w:eastAsia="仿宋_GB2312"/>
          <w:sz w:val="28"/>
          <w:szCs w:val="28"/>
          <w:lang w:val="en-US" w:eastAsia="zh-CN"/>
        </w:rPr>
        <w:t>0</w:t>
      </w:r>
      <w:r>
        <w:rPr>
          <w:rFonts w:hint="eastAsia" w:ascii="仿宋_GB2312" w:eastAsia="仿宋_GB2312"/>
          <w:sz w:val="28"/>
          <w:szCs w:val="28"/>
          <w:lang w:eastAsia="zh-CN"/>
        </w:rPr>
        <w:t>万元，</w:t>
      </w:r>
      <w:r>
        <w:rPr>
          <w:rFonts w:hint="eastAsia" w:ascii="仿宋_GB2312" w:hAnsi="仿宋" w:eastAsia="仿宋_GB2312" w:cs="仿宋"/>
          <w:color w:val="000000"/>
          <w:sz w:val="32"/>
          <w:szCs w:val="32"/>
          <w:lang w:val="en-US" w:eastAsia="zh-CN"/>
        </w:rPr>
        <w:t>占全年收入100%，</w:t>
      </w:r>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p>
      <w:pPr>
        <w:keepNext w:val="0"/>
        <w:keepLines w:val="0"/>
        <w:pageBreakBefore w:val="0"/>
        <w:widowControl w:val="0"/>
        <w:kinsoku/>
        <w:wordWrap/>
        <w:overflowPunct/>
        <w:topLinePunct w:val="0"/>
        <w:autoSpaceDE/>
        <w:autoSpaceDN/>
        <w:bidi w:val="0"/>
        <w:adjustRightInd/>
        <w:spacing w:line="500" w:lineRule="exact"/>
        <w:textAlignment w:val="auto"/>
        <w:outlineLvl w:val="9"/>
        <w:rPr>
          <w:rFonts w:ascii="仿宋" w:hAnsi="仿宋" w:eastAsia="仿宋"/>
          <w:color w:val="000000" w:themeColor="text1"/>
          <w:sz w:val="30"/>
          <w:szCs w:val="30"/>
          <w14:textFill>
            <w14:solidFill>
              <w14:schemeClr w14:val="tx1"/>
            </w14:solidFill>
          </w14:textFill>
        </w:rPr>
      </w:pPr>
      <w:r>
        <w:rPr>
          <w:rFonts w:hint="eastAsia" w:ascii="黑体" w:hAnsi="黑体" w:eastAsia="黑体" w:cs="黑体"/>
          <w:sz w:val="30"/>
          <w:szCs w:val="30"/>
          <w:lang w:eastAsia="zh-CN"/>
        </w:rPr>
        <w:drawing>
          <wp:anchor distT="0" distB="0" distL="114300" distR="114300" simplePos="0" relativeHeight="251663360" behindDoc="0" locked="0" layoutInCell="1" allowOverlap="1">
            <wp:simplePos x="0" y="0"/>
            <wp:positionH relativeFrom="column">
              <wp:posOffset>42545</wp:posOffset>
            </wp:positionH>
            <wp:positionV relativeFrom="paragraph">
              <wp:posOffset>45085</wp:posOffset>
            </wp:positionV>
            <wp:extent cx="5203190" cy="2458085"/>
            <wp:effectExtent l="4445" t="4445" r="12065"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000000" w:themeColor="text1"/>
          <w:sz w:val="30"/>
          <w:szCs w:val="30"/>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eastAsia="仿宋_GB2312"/>
          <w:sz w:val="28"/>
          <w:szCs w:val="28"/>
          <w:lang w:eastAsia="zh-CN"/>
        </w:rPr>
      </w:pPr>
      <w:r>
        <w:rPr>
          <w:rFonts w:hint="eastAsia" w:ascii="仿宋_GB2312" w:eastAsia="仿宋_GB2312"/>
          <w:sz w:val="28"/>
          <w:szCs w:val="28"/>
          <w:lang w:val="en-US" w:eastAsia="zh-CN"/>
        </w:rPr>
        <w:t>2018年一般公共预算财政拨款支出</w:t>
      </w:r>
      <w:r>
        <w:rPr>
          <w:rFonts w:hint="eastAsia" w:ascii="仿宋_GB2312" w:eastAsia="仿宋_GB2312"/>
          <w:sz w:val="28"/>
          <w:szCs w:val="28"/>
          <w:lang w:eastAsia="zh-CN"/>
        </w:rPr>
        <w:t>373.2</w:t>
      </w:r>
      <w:r>
        <w:rPr>
          <w:rFonts w:hint="eastAsia" w:ascii="仿宋_GB2312" w:eastAsia="仿宋_GB2312"/>
          <w:sz w:val="28"/>
          <w:szCs w:val="28"/>
          <w:lang w:val="en-US" w:eastAsia="zh-CN"/>
        </w:rPr>
        <w:t>0万元，主要用于以下方面:</w:t>
      </w:r>
      <w:r>
        <w:rPr>
          <w:rFonts w:hint="eastAsia" w:ascii="仿宋_GB2312" w:eastAsia="仿宋_GB2312"/>
          <w:sz w:val="28"/>
          <w:szCs w:val="28"/>
        </w:rPr>
        <w:t>社会保障和就业支出</w:t>
      </w:r>
      <w:r>
        <w:rPr>
          <w:rFonts w:hint="eastAsia" w:ascii="仿宋_GB2312" w:eastAsia="仿宋_GB2312"/>
          <w:sz w:val="28"/>
          <w:szCs w:val="28"/>
          <w:lang w:val="en-US" w:eastAsia="zh-CN"/>
        </w:rPr>
        <w:t>268.42</w:t>
      </w:r>
      <w:r>
        <w:rPr>
          <w:rFonts w:hint="eastAsia" w:ascii="仿宋_GB2312" w:eastAsia="仿宋_GB2312"/>
          <w:sz w:val="28"/>
          <w:szCs w:val="28"/>
        </w:rPr>
        <w:t>万元，占</w:t>
      </w:r>
      <w:r>
        <w:rPr>
          <w:rFonts w:hint="eastAsia" w:ascii="仿宋_GB2312" w:eastAsia="仿宋_GB2312"/>
          <w:sz w:val="28"/>
          <w:szCs w:val="28"/>
          <w:lang w:val="en-US" w:eastAsia="zh-CN"/>
        </w:rPr>
        <w:t>一般公共预算财政拨款支出</w:t>
      </w:r>
      <w:r>
        <w:rPr>
          <w:rFonts w:hint="eastAsia" w:ascii="仿宋_GB2312" w:eastAsia="仿宋_GB2312"/>
          <w:sz w:val="28"/>
          <w:szCs w:val="28"/>
        </w:rPr>
        <w:t>的</w:t>
      </w:r>
      <w:r>
        <w:rPr>
          <w:rFonts w:hint="eastAsia" w:ascii="仿宋_GB2312" w:eastAsia="仿宋_GB2312"/>
          <w:sz w:val="28"/>
          <w:szCs w:val="28"/>
          <w:lang w:val="en-US" w:eastAsia="zh-CN"/>
        </w:rPr>
        <w:t>71.92</w:t>
      </w:r>
      <w:r>
        <w:rPr>
          <w:rFonts w:hint="eastAsia" w:ascii="仿宋_GB2312" w:eastAsia="仿宋_GB2312"/>
          <w:sz w:val="28"/>
          <w:szCs w:val="28"/>
        </w:rPr>
        <w:t>%，医疗卫生支出</w:t>
      </w:r>
      <w:r>
        <w:rPr>
          <w:rFonts w:hint="eastAsia" w:ascii="仿宋_GB2312" w:eastAsia="仿宋_GB2312"/>
          <w:sz w:val="28"/>
          <w:szCs w:val="28"/>
          <w:lang w:val="en-US" w:eastAsia="zh-CN"/>
        </w:rPr>
        <w:t>86.27</w:t>
      </w:r>
      <w:r>
        <w:rPr>
          <w:rFonts w:hint="eastAsia" w:ascii="仿宋_GB2312" w:eastAsia="仿宋_GB2312"/>
          <w:sz w:val="28"/>
          <w:szCs w:val="28"/>
        </w:rPr>
        <w:t>万元，占</w:t>
      </w:r>
      <w:r>
        <w:rPr>
          <w:rFonts w:hint="eastAsia" w:ascii="仿宋_GB2312" w:eastAsia="仿宋_GB2312"/>
          <w:sz w:val="28"/>
          <w:szCs w:val="28"/>
          <w:lang w:val="en-US" w:eastAsia="zh-CN"/>
        </w:rPr>
        <w:t>一般公共预算财政拨款支出</w:t>
      </w:r>
      <w:r>
        <w:rPr>
          <w:rFonts w:hint="eastAsia" w:ascii="仿宋_GB2312" w:eastAsia="仿宋_GB2312"/>
          <w:sz w:val="28"/>
          <w:szCs w:val="28"/>
        </w:rPr>
        <w:t>的</w:t>
      </w:r>
      <w:r>
        <w:rPr>
          <w:rFonts w:hint="eastAsia" w:ascii="仿宋_GB2312" w:eastAsia="仿宋_GB2312"/>
          <w:sz w:val="28"/>
          <w:szCs w:val="28"/>
          <w:lang w:val="en-US" w:eastAsia="zh-CN"/>
        </w:rPr>
        <w:t>23.12</w:t>
      </w:r>
      <w:r>
        <w:rPr>
          <w:rFonts w:hint="eastAsia" w:ascii="仿宋_GB2312" w:eastAsia="仿宋_GB2312"/>
          <w:sz w:val="28"/>
          <w:szCs w:val="28"/>
        </w:rPr>
        <w:t>%；住房保障支出</w:t>
      </w:r>
      <w:r>
        <w:rPr>
          <w:rFonts w:hint="eastAsia" w:ascii="仿宋_GB2312" w:eastAsia="仿宋_GB2312"/>
          <w:sz w:val="28"/>
          <w:szCs w:val="28"/>
          <w:lang w:val="en-US" w:eastAsia="zh-CN"/>
        </w:rPr>
        <w:t>18.51</w:t>
      </w:r>
      <w:r>
        <w:rPr>
          <w:rFonts w:hint="eastAsia" w:ascii="仿宋_GB2312" w:eastAsia="仿宋_GB2312"/>
          <w:sz w:val="28"/>
          <w:szCs w:val="28"/>
        </w:rPr>
        <w:t>万元，占</w:t>
      </w:r>
      <w:r>
        <w:rPr>
          <w:rFonts w:hint="eastAsia" w:ascii="仿宋_GB2312" w:eastAsia="仿宋_GB2312"/>
          <w:sz w:val="28"/>
          <w:szCs w:val="28"/>
          <w:lang w:val="en-US" w:eastAsia="zh-CN"/>
        </w:rPr>
        <w:t>一般公共预算财政拨款支出4.96</w:t>
      </w:r>
      <w:r>
        <w:rPr>
          <w:rFonts w:hint="eastAsia" w:ascii="仿宋_GB2312" w:eastAsia="仿宋_GB2312"/>
          <w:sz w:val="28"/>
          <w:szCs w:val="28"/>
        </w:rPr>
        <w:t>%</w:t>
      </w:r>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p>
      <w:pPr>
        <w:spacing w:line="600" w:lineRule="exact"/>
        <w:ind w:firstLine="640"/>
        <w:rPr>
          <w:rFonts w:hint="eastAsia" w:ascii="仿宋" w:hAnsi="仿宋" w:eastAsia="仿宋"/>
          <w:b/>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rPr>
          <w:rFonts w:ascii="仿宋" w:hAnsi="仿宋" w:eastAsia="仿宋"/>
          <w:color w:val="000000"/>
          <w:sz w:val="32"/>
          <w:szCs w:val="32"/>
        </w:rPr>
      </w:pPr>
      <w:r>
        <w:rPr>
          <w:rFonts w:hint="eastAsia" w:ascii="仿宋" w:hAnsi="仿宋" w:eastAsia="仿宋"/>
          <w:b/>
          <w:color w:val="000000" w:themeColor="text1"/>
          <w:sz w:val="32"/>
          <w:szCs w:val="32"/>
          <w:lang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29845</wp:posOffset>
            </wp:positionH>
            <wp:positionV relativeFrom="paragraph">
              <wp:posOffset>61595</wp:posOffset>
            </wp:positionV>
            <wp:extent cx="5080000" cy="2734310"/>
            <wp:effectExtent l="4445" t="4445" r="20955" b="234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0"/>
        <w:rPr>
          <w:rFonts w:hint="eastAsia" w:ascii="仿宋_GB2312" w:eastAsia="仿宋_GB2312"/>
          <w:sz w:val="28"/>
          <w:szCs w:val="28"/>
          <w:lang w:eastAsia="zh-CN"/>
        </w:rPr>
      </w:pPr>
      <w:bookmarkStart w:id="39" w:name="_Toc15377444"/>
      <w:bookmarkStart w:id="40" w:name="_Toc15378460"/>
      <w:bookmarkStart w:id="41" w:name="_Toc15377213"/>
      <w:r>
        <w:rPr>
          <w:rFonts w:hint="eastAsia" w:ascii="仿宋_GB2312" w:eastAsia="仿宋_GB2312"/>
          <w:sz w:val="28"/>
          <w:szCs w:val="28"/>
          <w:lang w:eastAsia="zh-CN"/>
        </w:rPr>
        <w:t>2018年般公共预算支出决算数为</w:t>
      </w:r>
      <w:r>
        <w:rPr>
          <w:rFonts w:hint="eastAsia" w:ascii="仿宋_GB2312" w:eastAsia="仿宋_GB2312"/>
          <w:spacing w:val="-11"/>
          <w:sz w:val="28"/>
          <w:szCs w:val="28"/>
          <w:lang w:val="en-US" w:eastAsia="zh-CN"/>
        </w:rPr>
        <w:t>255.01</w:t>
      </w:r>
      <w:r>
        <w:rPr>
          <w:rFonts w:hint="eastAsia" w:ascii="仿宋_GB2312" w:hAnsi="仿宋" w:eastAsia="仿宋_GB2312"/>
          <w:sz w:val="28"/>
          <w:szCs w:val="28"/>
          <w:lang w:val="en-US" w:eastAsia="zh-CN"/>
        </w:rPr>
        <w:t>万元</w:t>
      </w:r>
      <w:r>
        <w:rPr>
          <w:rFonts w:hint="eastAsia" w:ascii="仿宋_GB2312" w:eastAsia="仿宋_GB2312"/>
          <w:sz w:val="28"/>
          <w:szCs w:val="28"/>
          <w:lang w:eastAsia="zh-CN"/>
        </w:rPr>
        <w:t>，完成预算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%。其中：</w:t>
      </w:r>
      <w:bookmarkEnd w:id="39"/>
      <w:bookmarkEnd w:id="40"/>
      <w:bookmarkEnd w:id="41"/>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1.一般公共服务（类）***（款）***（项）: 支出决算为**万元，完成预算**%，决算数小于/等于预算数的主要原因是…。</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2.教育（类）***（款）***（项）: 支出决算为**万元，完成预算**%，决算数小于/等于预算数的主要原因是…。</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3.科学技术（类）***（款）***（项）: 支出决算为**万元，完成预算**%，决算数小于/等于预算数的主要原因是…。</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4.文化体育与传媒（类）***（款）***（项）: 支出决算为**万元，完成预算**%，决算数小于/等于预算数的主要原因是…。</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5.社会保障和就业</w:t>
      </w:r>
    </w:p>
    <w:p>
      <w:pPr>
        <w:spacing w:line="600" w:lineRule="exact"/>
        <w:ind w:firstLine="640"/>
        <w:rPr>
          <w:rFonts w:hint="eastAsia" w:ascii="仿宋_GB2312" w:eastAsia="仿宋_GB2312"/>
          <w:sz w:val="28"/>
          <w:szCs w:val="28"/>
          <w:lang w:val="en-US" w:eastAsia="zh-CN"/>
        </w:rPr>
      </w:pPr>
      <w:r>
        <w:rPr>
          <w:rFonts w:hint="eastAsia" w:ascii="仿宋_GB2312" w:eastAsia="仿宋_GB2312"/>
          <w:sz w:val="28"/>
          <w:szCs w:val="28"/>
          <w:lang w:eastAsia="zh-CN"/>
        </w:rPr>
        <w:t>社会保险经办机构2080109：支出决算为</w:t>
      </w:r>
      <w:r>
        <w:rPr>
          <w:rFonts w:hint="eastAsia" w:ascii="仿宋_GB2312" w:eastAsia="仿宋_GB2312"/>
          <w:sz w:val="28"/>
          <w:szCs w:val="28"/>
          <w:lang w:val="en-US" w:eastAsia="zh-CN"/>
        </w:rPr>
        <w:t>237.3</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val="en-US" w:eastAsia="zh-CN"/>
        </w:rPr>
      </w:pPr>
      <w:r>
        <w:rPr>
          <w:rFonts w:hint="eastAsia" w:ascii="仿宋_GB2312" w:eastAsia="仿宋_GB2312"/>
          <w:sz w:val="28"/>
          <w:szCs w:val="28"/>
          <w:lang w:eastAsia="zh-CN"/>
        </w:rPr>
        <w:t>机关事业单位基本养老保险缴费支出2080505：支出决算为</w:t>
      </w:r>
      <w:r>
        <w:rPr>
          <w:rFonts w:hint="eastAsia" w:ascii="仿宋_GB2312" w:eastAsia="仿宋_GB2312"/>
          <w:sz w:val="28"/>
          <w:szCs w:val="28"/>
          <w:lang w:val="en-US" w:eastAsia="zh-CN"/>
        </w:rPr>
        <w:t>30.84</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机关事业单位职业年金缴费支出208050</w:t>
      </w:r>
      <w:r>
        <w:rPr>
          <w:rFonts w:hint="eastAsia" w:ascii="仿宋_GB2312" w:eastAsia="仿宋_GB2312"/>
          <w:sz w:val="28"/>
          <w:szCs w:val="28"/>
          <w:lang w:val="en-US" w:eastAsia="zh-CN"/>
        </w:rPr>
        <w:t>6：</w:t>
      </w:r>
      <w:r>
        <w:rPr>
          <w:rFonts w:hint="eastAsia" w:ascii="仿宋_GB2312" w:eastAsia="仿宋_GB2312"/>
          <w:sz w:val="28"/>
          <w:szCs w:val="28"/>
          <w:lang w:eastAsia="zh-CN"/>
        </w:rPr>
        <w:t>支出决算为</w:t>
      </w:r>
      <w:r>
        <w:rPr>
          <w:rFonts w:hint="eastAsia" w:ascii="仿宋_GB2312" w:eastAsia="仿宋_GB2312"/>
          <w:sz w:val="28"/>
          <w:szCs w:val="28"/>
          <w:lang w:val="en-US" w:eastAsia="zh-CN"/>
        </w:rPr>
        <w:t>0.29</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6.医疗卫生与计划生育</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行政单位医疗210110</w:t>
      </w:r>
      <w:r>
        <w:rPr>
          <w:rFonts w:hint="eastAsia" w:ascii="仿宋_GB2312" w:eastAsia="仿宋_GB2312"/>
          <w:sz w:val="28"/>
          <w:szCs w:val="28"/>
          <w:lang w:val="en-US" w:eastAsia="zh-CN"/>
        </w:rPr>
        <w:t>1</w:t>
      </w:r>
      <w:r>
        <w:rPr>
          <w:rFonts w:hint="eastAsia" w:ascii="仿宋_GB2312" w:eastAsia="仿宋_GB2312"/>
          <w:sz w:val="28"/>
          <w:szCs w:val="28"/>
          <w:lang w:eastAsia="zh-CN"/>
        </w:rPr>
        <w:t>：支出决算为</w:t>
      </w:r>
      <w:r>
        <w:rPr>
          <w:rFonts w:hint="eastAsia" w:ascii="仿宋_GB2312" w:eastAsia="仿宋_GB2312"/>
          <w:sz w:val="28"/>
          <w:szCs w:val="28"/>
          <w:lang w:val="en-US" w:eastAsia="zh-CN"/>
        </w:rPr>
        <w:t>5.18</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事业单位医疗210110</w:t>
      </w:r>
      <w:r>
        <w:rPr>
          <w:rFonts w:hint="eastAsia" w:ascii="仿宋_GB2312" w:eastAsia="仿宋_GB2312"/>
          <w:sz w:val="28"/>
          <w:szCs w:val="28"/>
          <w:lang w:val="en-US" w:eastAsia="zh-CN"/>
        </w:rPr>
        <w:t>1</w:t>
      </w:r>
      <w:r>
        <w:rPr>
          <w:rFonts w:hint="eastAsia" w:ascii="仿宋_GB2312" w:eastAsia="仿宋_GB2312"/>
          <w:sz w:val="28"/>
          <w:szCs w:val="28"/>
          <w:lang w:eastAsia="zh-CN"/>
        </w:rPr>
        <w:t>：支出决算为</w:t>
      </w:r>
      <w:r>
        <w:rPr>
          <w:rFonts w:hint="eastAsia" w:ascii="仿宋_GB2312" w:eastAsia="仿宋_GB2312"/>
          <w:sz w:val="28"/>
          <w:szCs w:val="28"/>
          <w:lang w:val="en-US" w:eastAsia="zh-CN"/>
        </w:rPr>
        <w:t>5.03</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eastAsia="zh-CN"/>
        </w:rPr>
        <w:t>公务员医疗补助2101103：支出决算为</w:t>
      </w:r>
      <w:r>
        <w:rPr>
          <w:rFonts w:hint="eastAsia" w:ascii="仿宋_GB2312" w:eastAsia="仿宋_GB2312"/>
          <w:sz w:val="28"/>
          <w:szCs w:val="28"/>
          <w:lang w:val="en-US" w:eastAsia="zh-CN"/>
        </w:rPr>
        <w:t>1.87</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hint="eastAsia" w:ascii="仿宋_GB2312" w:eastAsia="仿宋_GB2312"/>
          <w:sz w:val="28"/>
          <w:szCs w:val="28"/>
          <w:lang w:val="en-US" w:eastAsia="zh-CN"/>
        </w:rPr>
      </w:pPr>
      <w:r>
        <w:rPr>
          <w:rFonts w:hint="eastAsia" w:ascii="仿宋_GB2312" w:eastAsia="仿宋_GB2312"/>
          <w:sz w:val="28"/>
          <w:szCs w:val="28"/>
          <w:lang w:val="en-US" w:eastAsia="zh-CN"/>
        </w:rPr>
        <w:t>7、住房保障支出</w:t>
      </w:r>
    </w:p>
    <w:p>
      <w:pPr>
        <w:spacing w:line="600" w:lineRule="exact"/>
        <w:ind w:firstLine="640"/>
        <w:rPr>
          <w:rFonts w:hint="eastAsia" w:ascii="仿宋_GB2312" w:eastAsia="仿宋_GB2312"/>
          <w:sz w:val="28"/>
          <w:szCs w:val="28"/>
          <w:lang w:eastAsia="zh-CN"/>
        </w:rPr>
      </w:pPr>
      <w:r>
        <w:rPr>
          <w:rFonts w:hint="eastAsia" w:ascii="仿宋_GB2312" w:eastAsia="仿宋_GB2312"/>
          <w:sz w:val="28"/>
          <w:szCs w:val="28"/>
          <w:lang w:val="en-US" w:eastAsia="zh-CN"/>
        </w:rPr>
        <w:t>住房公积金2210201：</w:t>
      </w:r>
      <w:r>
        <w:rPr>
          <w:rFonts w:hint="eastAsia" w:ascii="仿宋_GB2312" w:eastAsia="仿宋_GB2312"/>
          <w:sz w:val="28"/>
          <w:szCs w:val="28"/>
          <w:lang w:eastAsia="zh-CN"/>
        </w:rPr>
        <w:t>支出决算为</w:t>
      </w:r>
      <w:r>
        <w:rPr>
          <w:rFonts w:hint="eastAsia" w:ascii="仿宋_GB2312" w:eastAsia="仿宋_GB2312"/>
          <w:sz w:val="28"/>
          <w:szCs w:val="28"/>
          <w:lang w:val="en-US" w:eastAsia="zh-CN"/>
        </w:rPr>
        <w:t>18.51</w:t>
      </w:r>
      <w:r>
        <w:rPr>
          <w:rFonts w:hint="eastAsia" w:ascii="仿宋_GB2312" w:eastAsia="仿宋_GB2312"/>
          <w:sz w:val="28"/>
          <w:szCs w:val="28"/>
          <w:lang w:eastAsia="zh-CN"/>
        </w:rPr>
        <w:t>万元，完成预算</w:t>
      </w:r>
      <w:r>
        <w:rPr>
          <w:rFonts w:hint="eastAsia" w:ascii="仿宋_GB2312" w:eastAsia="仿宋_GB2312"/>
          <w:sz w:val="28"/>
          <w:szCs w:val="28"/>
          <w:lang w:val="en-US" w:eastAsia="zh-CN"/>
        </w:rPr>
        <w:t>100</w:t>
      </w:r>
      <w:r>
        <w:rPr>
          <w:rFonts w:hint="eastAsia" w:ascii="仿宋_GB2312" w:eastAsia="仿宋_GB2312"/>
          <w:sz w:val="28"/>
          <w:szCs w:val="28"/>
          <w:lang w:eastAsia="zh-CN"/>
        </w:rPr>
        <w:t>%，决算数等于预算数。</w:t>
      </w:r>
    </w:p>
    <w:p>
      <w:pPr>
        <w:spacing w:line="600" w:lineRule="exact"/>
        <w:ind w:firstLine="640"/>
        <w:rPr>
          <w:rFonts w:ascii="仿宋" w:hAnsi="仿宋" w:eastAsia="仿宋"/>
          <w:b/>
          <w:color w:val="000000"/>
          <w:sz w:val="32"/>
          <w:szCs w:val="32"/>
        </w:rPr>
      </w:pPr>
      <w:r>
        <w:rPr>
          <w:rFonts w:hint="eastAsia" w:ascii="仿宋_GB2312" w:eastAsia="仿宋_GB2312"/>
          <w:sz w:val="28"/>
          <w:szCs w:val="28"/>
          <w:lang w:eastAsia="zh-CN"/>
        </w:rPr>
        <w:t>（数据来源财决08表，罗列全部功能分类科目至项级。上述“预算”口径为调整预算数。增减变动原因为决算数&lt;项级&gt;和调整预算数&lt;项级&gt;比较，与预算数持平可以不写原因。）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Style w:val="26"/>
        </w:rPr>
      </w:pPr>
      <w:bookmarkStart w:id="42" w:name="_Toc15396608"/>
      <w:bookmarkStart w:id="4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2"/>
      <w:bookmarkEnd w:id="43"/>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_GB2312" w:eastAsia="仿宋_GB2312" w:cs="Times New Roman"/>
          <w:color w:val="000000"/>
          <w:kern w:val="2"/>
          <w:sz w:val="32"/>
          <w:szCs w:val="32"/>
          <w:lang w:val="en-US" w:eastAsia="zh-CN" w:bidi="ar"/>
        </w:rPr>
        <w:t>253.20</w:t>
      </w:r>
      <w:r>
        <w:rPr>
          <w:rFonts w:hint="eastAsia" w:ascii="仿宋_GB2312" w:eastAsia="仿宋_GB2312"/>
          <w:sz w:val="28"/>
          <w:szCs w:val="28"/>
        </w:rPr>
        <w:t>万元</w:t>
      </w:r>
      <w:r>
        <w:rPr>
          <w:rFonts w:hint="eastAsia" w:ascii="仿宋" w:hAnsi="仿宋" w:eastAsia="仿宋"/>
          <w:color w:val="000000"/>
          <w:sz w:val="32"/>
          <w:szCs w:val="32"/>
        </w:rPr>
        <w:t>，其中：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_GB2312" w:eastAsia="仿宋_GB2312" w:cs="仿宋_GB2312"/>
          <w:kern w:val="2"/>
          <w:sz w:val="28"/>
          <w:szCs w:val="28"/>
          <w:lang w:val="en-US" w:eastAsia="zh-CN" w:bidi="ar"/>
        </w:rPr>
        <w:t>219.77</w:t>
      </w:r>
      <w:r>
        <w:rPr>
          <w:rFonts w:hint="eastAsia" w:ascii="仿宋_GB2312" w:eastAsia="仿宋_GB2312"/>
          <w:sz w:val="28"/>
          <w:szCs w:val="28"/>
        </w:rPr>
        <w:t>万元</w:t>
      </w:r>
      <w:r>
        <w:rPr>
          <w:rFonts w:hint="eastAsia" w:ascii="仿宋" w:hAnsi="仿宋" w:eastAsia="仿宋"/>
          <w:color w:val="00000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_GB2312" w:eastAsia="仿宋_GB2312" w:cs="仿宋_GB2312"/>
          <w:kern w:val="2"/>
          <w:sz w:val="28"/>
          <w:szCs w:val="28"/>
          <w:lang w:val="en-US" w:eastAsia="zh-CN" w:bidi="ar"/>
        </w:rPr>
        <w:t>33.43</w:t>
      </w:r>
      <w:r>
        <w:rPr>
          <w:rFonts w:hint="eastAsia" w:ascii="仿宋_GB2312" w:eastAsia="仿宋_GB2312"/>
          <w:sz w:val="28"/>
          <w:szCs w:val="28"/>
        </w:rPr>
        <w:t>万元</w:t>
      </w:r>
      <w:r>
        <w:rPr>
          <w:rFonts w:hint="eastAsia" w:ascii="仿宋" w:hAnsi="仿宋" w:eastAsia="仿宋"/>
          <w:color w:val="000000"/>
          <w:sz w:val="32"/>
          <w:szCs w:val="32"/>
        </w:rPr>
        <w:t>，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6"/>
          <w:rFonts w:ascii="黑体" w:hAnsi="黑体" w:eastAsia="黑体"/>
          <w:b w:val="0"/>
        </w:rPr>
      </w:pPr>
      <w:bookmarkStart w:id="44" w:name="_Toc15377215"/>
      <w:bookmarkStart w:id="45"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4"/>
      <w:bookmarkEnd w:id="45"/>
    </w:p>
    <w:p>
      <w:pPr>
        <w:spacing w:line="600" w:lineRule="exact"/>
        <w:ind w:firstLine="640"/>
        <w:outlineLvl w:val="2"/>
        <w:rPr>
          <w:rFonts w:hint="eastAsia"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56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2018年“三公”经费支出情况：全年三公经费支出</w:t>
      </w:r>
      <w:r>
        <w:rPr>
          <w:rFonts w:hint="eastAsia" w:ascii="仿宋" w:hAnsi="仿宋" w:eastAsia="仿宋"/>
          <w:color w:val="000000"/>
          <w:sz w:val="32"/>
          <w:szCs w:val="32"/>
          <w:lang w:val="en-US" w:eastAsia="zh-CN"/>
        </w:rPr>
        <w:t>3.94</w:t>
      </w:r>
      <w:r>
        <w:rPr>
          <w:rFonts w:hint="eastAsia" w:ascii="仿宋" w:hAnsi="仿宋" w:eastAsia="仿宋"/>
          <w:color w:val="000000"/>
          <w:sz w:val="32"/>
          <w:szCs w:val="32"/>
        </w:rPr>
        <w:t>万元，其中公务接待</w:t>
      </w:r>
      <w:r>
        <w:rPr>
          <w:rFonts w:hint="eastAsia" w:ascii="仿宋" w:hAnsi="仿宋" w:eastAsia="仿宋"/>
          <w:color w:val="000000"/>
          <w:sz w:val="32"/>
          <w:szCs w:val="32"/>
          <w:lang w:val="en-US" w:eastAsia="zh-CN"/>
        </w:rPr>
        <w:t>0.98</w:t>
      </w:r>
      <w:r>
        <w:rPr>
          <w:rFonts w:hint="eastAsia" w:ascii="仿宋" w:hAnsi="仿宋" w:eastAsia="仿宋"/>
          <w:color w:val="000000"/>
          <w:sz w:val="32"/>
          <w:szCs w:val="32"/>
        </w:rPr>
        <w:t>万元、公车运行维护费</w:t>
      </w:r>
      <w:r>
        <w:rPr>
          <w:rFonts w:hint="eastAsia" w:ascii="仿宋" w:hAnsi="仿宋" w:eastAsia="仿宋"/>
          <w:color w:val="000000"/>
          <w:sz w:val="32"/>
          <w:szCs w:val="32"/>
          <w:lang w:val="en-US" w:eastAsia="zh-CN"/>
        </w:rPr>
        <w:t>2.96万元</w:t>
      </w:r>
      <w:r>
        <w:rPr>
          <w:rFonts w:hint="eastAsia" w:ascii="仿宋" w:hAnsi="仿宋" w:eastAsia="仿宋"/>
          <w:color w:val="000000"/>
          <w:sz w:val="32"/>
          <w:szCs w:val="32"/>
        </w:rPr>
        <w:t>，我单位本着厉行节约的原则，节约开支，规范报帐制度，较2017年三公经费</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2.39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154.43</w:t>
      </w:r>
      <w:r>
        <w:rPr>
          <w:rFonts w:hint="eastAsia" w:ascii="仿宋" w:hAnsi="仿宋" w:eastAsia="仿宋"/>
          <w:color w:val="000000"/>
          <w:sz w:val="32"/>
          <w:szCs w:val="32"/>
        </w:rPr>
        <w:t>%。</w:t>
      </w:r>
      <w:r>
        <w:rPr>
          <w:rFonts w:hint="eastAsia" w:ascii="仿宋" w:hAnsi="仿宋" w:eastAsia="仿宋"/>
          <w:color w:val="000000"/>
          <w:sz w:val="32"/>
          <w:szCs w:val="32"/>
          <w:lang w:eastAsia="zh-CN"/>
        </w:rPr>
        <w:t>因机构合并，三公经费相应增加。</w:t>
      </w: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w:t>
      </w:r>
      <w:r>
        <w:rPr>
          <w:rFonts w:hint="eastAsia" w:ascii="仿宋" w:hAnsi="仿宋" w:eastAsia="仿宋"/>
          <w:color w:val="000000"/>
          <w:sz w:val="32"/>
          <w:szCs w:val="32"/>
          <w:lang w:eastAsia="zh-CN"/>
        </w:rPr>
        <w:t>无</w:t>
      </w:r>
      <w:r>
        <w:rPr>
          <w:rFonts w:hint="eastAsia" w:ascii="仿宋" w:hAnsi="仿宋" w:eastAsia="仿宋"/>
          <w:color w:val="000000"/>
          <w:sz w:val="32"/>
          <w:szCs w:val="32"/>
        </w:rPr>
        <w:t>因公出国（境）费支出决算</w:t>
      </w:r>
      <w:r>
        <w:rPr>
          <w:rFonts w:ascii="仿宋" w:hAnsi="仿宋" w:eastAsia="仿宋"/>
          <w:color w:val="000000"/>
          <w:sz w:val="32"/>
          <w:szCs w:val="32"/>
        </w:rPr>
        <w:t>**</w:t>
      </w:r>
      <w:r>
        <w:rPr>
          <w:rFonts w:hint="eastAsia" w:ascii="仿宋" w:hAnsi="仿宋" w:eastAsia="仿宋"/>
          <w:color w:val="000000"/>
          <w:sz w:val="32"/>
          <w:szCs w:val="32"/>
        </w:rPr>
        <w:t>万元，占</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2.96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75.53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14.47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42545</wp:posOffset>
            </wp:positionH>
            <wp:positionV relativeFrom="paragraph">
              <wp:posOffset>195580</wp:posOffset>
            </wp:positionV>
            <wp:extent cx="5080000" cy="2657475"/>
            <wp:effectExtent l="4445" t="4445" r="20955" b="508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lang w:eastAsia="zh-CN"/>
        </w:rPr>
        <w:t>无</w:t>
      </w:r>
      <w:r>
        <w:rPr>
          <w:rFonts w:hint="eastAsia" w:ascii="仿宋_GB2312" w:eastAsia="仿宋_GB2312"/>
          <w:b/>
          <w:color w:val="000000"/>
          <w:sz w:val="32"/>
          <w:szCs w:val="32"/>
        </w:rPr>
        <w:t>因公出国（境）经费支出</w:t>
      </w:r>
      <w:r>
        <w:rPr>
          <w:rFonts w:ascii="仿宋_GB2312" w:eastAsia="仿宋_GB2312"/>
          <w:color w:val="000000"/>
          <w:sz w:val="32"/>
          <w:szCs w:val="32"/>
        </w:rPr>
        <w:t>**</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w:t>
      </w:r>
      <w:r>
        <w:rPr>
          <w:rFonts w:hint="eastAsia" w:ascii="仿宋_GB2312" w:eastAsia="仿宋_GB2312"/>
          <w:color w:val="000000"/>
          <w:sz w:val="32"/>
          <w:szCs w:val="32"/>
        </w:rPr>
        <w:t>次，出国（境）</w:t>
      </w:r>
      <w:r>
        <w:rPr>
          <w:rFonts w:ascii="仿宋_GB2312" w:eastAsia="仿宋_GB2312"/>
          <w:color w:val="000000"/>
          <w:sz w:val="32"/>
          <w:szCs w:val="32"/>
        </w:rPr>
        <w:t>**</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hint="eastAsia"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2.96万元</w:t>
      </w:r>
      <w:r>
        <w:rPr>
          <w:rFonts w:hint="eastAsia" w:ascii="仿宋_GB2312" w:eastAsia="仿宋_GB2312"/>
          <w:color w:val="000000"/>
          <w:sz w:val="32"/>
          <w:szCs w:val="32"/>
        </w:rPr>
        <w:t>,</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2.16万元，增长269.75%，因机构合并，工作任务重，公务用车次数增加。</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万元，载客汽车</w:t>
      </w:r>
      <w:r>
        <w:rPr>
          <w:rFonts w:ascii="仿宋_GB2312" w:eastAsia="仿宋_GB2312"/>
          <w:color w:val="000000"/>
          <w:sz w:val="32"/>
          <w:szCs w:val="32"/>
        </w:rPr>
        <w:t>**</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w:t>
      </w:r>
      <w:r>
        <w:rPr>
          <w:rFonts w:hint="eastAsia" w:ascii="仿宋_GB2312" w:eastAsia="仿宋_GB2312"/>
          <w:color w:val="000000"/>
          <w:sz w:val="32"/>
          <w:szCs w:val="32"/>
        </w:rPr>
        <w:t>辆，其中：轿车</w:t>
      </w:r>
      <w:r>
        <w:rPr>
          <w:rFonts w:ascii="仿宋_GB2312" w:eastAsia="仿宋_GB2312"/>
          <w:color w:val="000000"/>
          <w:sz w:val="32"/>
          <w:szCs w:val="32"/>
        </w:rPr>
        <w:t>**</w:t>
      </w:r>
      <w:r>
        <w:rPr>
          <w:rFonts w:hint="eastAsia" w:ascii="仿宋_GB2312" w:eastAsia="仿宋_GB2312"/>
          <w:color w:val="000000"/>
          <w:sz w:val="32"/>
          <w:szCs w:val="32"/>
        </w:rPr>
        <w:t>辆、越野车</w:t>
      </w:r>
      <w:r>
        <w:rPr>
          <w:rFonts w:ascii="仿宋_GB2312" w:eastAsia="仿宋_GB2312"/>
          <w:color w:val="000000"/>
          <w:sz w:val="32"/>
          <w:szCs w:val="32"/>
        </w:rPr>
        <w:t>**</w:t>
      </w:r>
      <w:r>
        <w:rPr>
          <w:rFonts w:hint="eastAsia" w:ascii="仿宋_GB2312" w:eastAsia="仿宋_GB2312"/>
          <w:color w:val="000000"/>
          <w:sz w:val="32"/>
          <w:szCs w:val="32"/>
        </w:rPr>
        <w:t>辆、载客汽车</w:t>
      </w:r>
      <w:r>
        <w:rPr>
          <w:rFonts w:ascii="仿宋_GB2312" w:eastAsia="仿宋_GB2312"/>
          <w:color w:val="000000"/>
          <w:sz w:val="32"/>
          <w:szCs w:val="32"/>
        </w:rPr>
        <w:t>**</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2.96</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等所需的公务用车燃料费、维修费、过路过桥费、保险费等支出。</w:t>
      </w:r>
    </w:p>
    <w:p>
      <w:pPr>
        <w:spacing w:line="560" w:lineRule="exact"/>
        <w:ind w:firstLine="643" w:firstLineChars="200"/>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0.98万</w:t>
      </w:r>
      <w:r>
        <w:rPr>
          <w:rFonts w:hint="eastAsia" w:ascii="仿宋_GB2312" w:eastAsia="仿宋_GB2312"/>
          <w:color w:val="000000"/>
          <w:sz w:val="32"/>
          <w:szCs w:val="32"/>
        </w:rPr>
        <w:t>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ascii="仿宋_GB2312" w:eastAsia="仿宋_GB2312" w:cs="仿宋_GB2312"/>
          <w:sz w:val="30"/>
          <w:szCs w:val="30"/>
        </w:rPr>
        <w:t>较</w:t>
      </w:r>
      <w:r>
        <w:rPr>
          <w:rFonts w:ascii="仿宋_GB2312" w:eastAsia="仿宋_GB2312" w:cs="仿宋_GB2312"/>
          <w:sz w:val="30"/>
          <w:szCs w:val="30"/>
        </w:rPr>
        <w:t>2017</w:t>
      </w:r>
      <w:r>
        <w:rPr>
          <w:rFonts w:hint="eastAsia" w:ascii="仿宋_GB2312" w:eastAsia="仿宋_GB2312" w:cs="仿宋_GB2312"/>
          <w:sz w:val="30"/>
          <w:szCs w:val="30"/>
        </w:rPr>
        <w:t>年三公经费</w:t>
      </w:r>
      <w:r>
        <w:rPr>
          <w:rFonts w:hint="eastAsia" w:ascii="仿宋_GB2312" w:eastAsia="仿宋_GB2312" w:cs="仿宋_GB2312"/>
          <w:sz w:val="30"/>
          <w:szCs w:val="30"/>
          <w:lang w:eastAsia="zh-CN"/>
        </w:rPr>
        <w:t>增加</w:t>
      </w:r>
      <w:r>
        <w:rPr>
          <w:rFonts w:hint="eastAsia" w:ascii="仿宋_GB2312" w:eastAsia="仿宋_GB2312" w:cs="仿宋_GB2312"/>
          <w:sz w:val="30"/>
          <w:szCs w:val="30"/>
          <w:lang w:val="en-US" w:eastAsia="zh-CN"/>
        </w:rPr>
        <w:t>0.23</w:t>
      </w:r>
      <w:r>
        <w:rPr>
          <w:rFonts w:hint="eastAsia" w:ascii="仿宋_GB2312" w:eastAsia="仿宋_GB2312" w:cs="仿宋_GB2312"/>
          <w:sz w:val="30"/>
          <w:szCs w:val="30"/>
        </w:rPr>
        <w:t>万元，</w:t>
      </w:r>
      <w:r>
        <w:rPr>
          <w:rFonts w:hint="eastAsia" w:ascii="仿宋_GB2312" w:eastAsia="仿宋_GB2312" w:cs="仿宋_GB2312"/>
          <w:sz w:val="30"/>
          <w:szCs w:val="30"/>
          <w:lang w:eastAsia="zh-CN"/>
        </w:rPr>
        <w:t>增长</w:t>
      </w:r>
      <w:r>
        <w:rPr>
          <w:rFonts w:hint="eastAsia" w:ascii="仿宋_GB2312" w:eastAsia="仿宋_GB2312" w:cs="仿宋_GB2312"/>
          <w:sz w:val="30"/>
          <w:szCs w:val="30"/>
          <w:lang w:val="en-US" w:eastAsia="zh-CN"/>
        </w:rPr>
        <w:t>31.37</w:t>
      </w:r>
      <w:r>
        <w:rPr>
          <w:rFonts w:ascii="仿宋_GB2312" w:eastAsia="仿宋_GB2312" w:cs="仿宋_GB2312"/>
          <w:sz w:val="30"/>
          <w:szCs w:val="30"/>
        </w:rPr>
        <w:t>%</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主要用于执行公务、开展业务活动开支的交通费、住宿费、用餐费等。国内公务接</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168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0.98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lang w:eastAsia="zh-CN"/>
        </w:rPr>
        <w:t>无</w:t>
      </w:r>
      <w:r>
        <w:rPr>
          <w:rFonts w:hint="eastAsia" w:ascii="仿宋" w:hAnsi="仿宋" w:eastAsia="仿宋"/>
          <w:b/>
          <w:color w:val="000000"/>
          <w:sz w:val="32"/>
          <w:szCs w:val="32"/>
        </w:rPr>
        <w:t>外事接待支出</w:t>
      </w:r>
      <w:r>
        <w:rPr>
          <w:rFonts w:ascii="仿宋" w:hAnsi="仿宋" w:eastAsia="仿宋"/>
          <w:color w:val="000000"/>
          <w:sz w:val="32"/>
          <w:szCs w:val="32"/>
        </w:rPr>
        <w:t>**</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批次，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人，共计支出</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lang w:eastAsia="zh-CN"/>
        </w:rPr>
        <w:t>无</w:t>
      </w:r>
      <w:r>
        <w:rPr>
          <w:rFonts w:hint="eastAsia" w:ascii="仿宋" w:hAnsi="仿宋" w:eastAsia="仿宋"/>
          <w:b/>
          <w:color w:val="000000"/>
          <w:sz w:val="32"/>
          <w:szCs w:val="32"/>
        </w:rPr>
        <w:t>其他国内公务接待支出</w:t>
      </w:r>
      <w:r>
        <w:rPr>
          <w:rFonts w:ascii="仿宋" w:hAnsi="仿宋" w:eastAsia="仿宋"/>
          <w:color w:val="000000"/>
          <w:sz w:val="32"/>
          <w:szCs w:val="32"/>
        </w:rPr>
        <w:t>**</w:t>
      </w:r>
      <w:r>
        <w:rPr>
          <w:rFonts w:hint="eastAsia" w:ascii="仿宋_GB2312" w:eastAsia="仿宋_GB2312"/>
          <w:color w:val="000000"/>
          <w:sz w:val="32"/>
          <w:szCs w:val="32"/>
        </w:rPr>
        <w:t>万元，主要用于……</w:t>
      </w:r>
    </w:p>
    <w:p>
      <w:pPr>
        <w:spacing w:line="600" w:lineRule="exact"/>
        <w:ind w:firstLine="640"/>
        <w:outlineLvl w:val="1"/>
        <w:rPr>
          <w:rFonts w:hint="eastAsia" w:ascii="黑体" w:eastAsia="黑体"/>
          <w:color w:val="000000"/>
          <w:sz w:val="32"/>
          <w:szCs w:val="32"/>
        </w:rPr>
      </w:pPr>
      <w:bookmarkStart w:id="48" w:name="_Toc15396610"/>
      <w:bookmarkStart w:id="49" w:name="_Toc15377218"/>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8"/>
      <w:bookmarkEnd w:id="49"/>
    </w:p>
    <w:p>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无</w:t>
      </w: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w:t>
      </w:r>
    </w:p>
    <w:p>
      <w:pPr>
        <w:numPr>
          <w:ilvl w:val="0"/>
          <w:numId w:val="2"/>
        </w:numPr>
        <w:spacing w:line="600" w:lineRule="exact"/>
        <w:ind w:firstLine="640"/>
        <w:outlineLvl w:val="1"/>
        <w:rPr>
          <w:rStyle w:val="26"/>
          <w:rFonts w:ascii="黑体" w:hAnsi="黑体" w:eastAsia="黑体"/>
          <w:b w:val="0"/>
        </w:rPr>
      </w:pPr>
      <w:bookmarkStart w:id="50" w:name="_Toc15377219"/>
      <w:bookmarkStart w:id="51" w:name="_Toc15396611"/>
      <w:r>
        <w:rPr>
          <w:rStyle w:val="26"/>
          <w:rFonts w:hint="eastAsia" w:ascii="黑体" w:hAnsi="黑体" w:eastAsia="黑体"/>
          <w:b w:val="0"/>
        </w:rPr>
        <w:t>国有资本经营预算支出决算情况说明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国有资本经营预算拨款支出。</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keepNext w:val="0"/>
        <w:keepLines w:val="0"/>
        <w:widowControl w:val="0"/>
        <w:suppressLineNumbers w:val="0"/>
        <w:spacing w:before="0" w:beforeAutospacing="0" w:after="0" w:afterAutospacing="0" w:line="560" w:lineRule="exact"/>
        <w:ind w:left="0" w:right="0" w:firstLine="644"/>
        <w:jc w:val="both"/>
        <w:rPr>
          <w:rFonts w:hint="eastAsia" w:ascii="仿宋" w:hAnsi="仿宋" w:eastAsia="仿宋" w:cs="楷体_GB2312"/>
          <w:b/>
          <w:bCs/>
          <w:sz w:val="32"/>
          <w:szCs w:val="32"/>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p>
    <w:p>
      <w:pPr>
        <w:spacing w:line="579" w:lineRule="exact"/>
        <w:ind w:firstLine="640" w:firstLineChars="200"/>
        <w:jc w:val="left"/>
        <w:rPr>
          <w:rFonts w:ascii="仿宋_GB2312" w:hAnsi="仿宋_GB2312" w:eastAsia="仿宋_GB2312" w:cs="仿宋_GB2312"/>
          <w:bCs/>
          <w:sz w:val="32"/>
          <w:szCs w:val="32"/>
        </w:rPr>
      </w:pPr>
      <w:r>
        <w:rPr>
          <w:rFonts w:hint="eastAsia" w:ascii="楷体_GB2312" w:hAnsi="楷体_GB2312" w:eastAsia="楷体_GB2312" w:cs="楷体_GB2312"/>
          <w:color w:val="000000" w:themeColor="text1"/>
          <w:kern w:val="0"/>
          <w:sz w:val="32"/>
          <w:szCs w:val="32"/>
          <w14:textFill>
            <w14:solidFill>
              <w14:schemeClr w14:val="tx1"/>
            </w14:solidFill>
          </w14:textFill>
        </w:rPr>
        <w:t>支付</w:t>
      </w:r>
      <w:r>
        <w:rPr>
          <w:rFonts w:hint="eastAsia" w:ascii="仿宋_GB2312" w:hAnsi="仿宋_GB2312" w:eastAsia="仿宋_GB2312" w:cs="仿宋_GB2312"/>
          <w:bCs/>
          <w:sz w:val="32"/>
          <w:szCs w:val="32"/>
        </w:rPr>
        <w:t>全县共住院133046人次，基金待遇支付47020万元。其中，职工住院7854人次、基金待遇支付5290万元，城乡居民住院125192人次、基金待遇支付41730万元。</w:t>
      </w:r>
    </w:p>
    <w:p>
      <w:pPr>
        <w:keepNext w:val="0"/>
        <w:keepLines w:val="0"/>
        <w:widowControl w:val="0"/>
        <w:suppressLineNumbers w:val="0"/>
        <w:spacing w:before="0" w:beforeAutospacing="0" w:after="0" w:afterAutospacing="0" w:line="560" w:lineRule="exact"/>
        <w:ind w:left="0" w:right="0" w:firstLine="644"/>
        <w:jc w:val="both"/>
        <w:rPr>
          <w:rFonts w:hint="eastAsia" w:ascii="仿宋" w:hAnsi="仿宋" w:eastAsia="仿宋" w:cs="楷体_GB2312"/>
          <w:b/>
          <w:bCs/>
          <w:sz w:val="32"/>
          <w:szCs w:val="32"/>
        </w:rPr>
      </w:pPr>
    </w:p>
    <w:p>
      <w:pPr>
        <w:rPr>
          <w:rFonts w:hint="eastAsia" w:ascii="黑体" w:hAnsi="黑体" w:eastAsia="黑体" w:cs="宋体"/>
          <w:bCs/>
          <w:color w:val="000000"/>
          <w:kern w:val="0"/>
          <w:sz w:val="36"/>
          <w:szCs w:val="36"/>
          <w:lang w:bidi="ar"/>
        </w:rPr>
      </w:pPr>
      <w:r>
        <w:rPr>
          <w:rFonts w:hint="eastAsia" w:ascii="黑体" w:hAnsi="黑体" w:eastAsia="黑体" w:cs="宋体"/>
          <w:bCs/>
          <w:color w:val="000000"/>
          <w:kern w:val="0"/>
          <w:sz w:val="36"/>
          <w:szCs w:val="36"/>
          <w:lang w:bidi="ar"/>
        </w:rPr>
        <w:br w:type="page"/>
      </w:r>
    </w:p>
    <w:p>
      <w:pPr>
        <w:jc w:val="center"/>
        <w:rPr>
          <w:rFonts w:ascii="仿宋_GB2312" w:hAnsi="仿宋_GB2312" w:eastAsia="仿宋_GB2312" w:cs="仿宋_GB2312"/>
          <w:sz w:val="32"/>
          <w:szCs w:val="32"/>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bl>
      <w:tblPr>
        <w:tblStyle w:val="13"/>
        <w:tblpPr w:leftFromText="180" w:rightFromText="180" w:vertAnchor="text" w:horzAnchor="page" w:tblpX="1242" w:tblpY="568"/>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6"/>
        <w:gridCol w:w="463"/>
        <w:gridCol w:w="33"/>
        <w:gridCol w:w="926"/>
        <w:gridCol w:w="788"/>
        <w:gridCol w:w="2426"/>
        <w:gridCol w:w="1723"/>
        <w:gridCol w:w="134"/>
        <w:gridCol w:w="2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4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trPr>
        <w:tc>
          <w:tcPr>
            <w:tcW w:w="19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预算单位</w:t>
            </w:r>
          </w:p>
        </w:tc>
        <w:tc>
          <w:tcPr>
            <w:tcW w:w="74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宣汉县医疗保险管理局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trPr>
        <w:tc>
          <w:tcPr>
            <w:tcW w:w="95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预算执行情况(万元</w:t>
            </w:r>
          </w:p>
        </w:tc>
        <w:tc>
          <w:tcPr>
            <w:tcW w:w="17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预算数</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54.78</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执行数</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54.78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trPr>
        <w:tc>
          <w:tcPr>
            <w:tcW w:w="95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0"/>
                <w:szCs w:val="20"/>
                <w:u w:val="none"/>
                <w:lang w:val="en-US" w:eastAsia="zh-CN" w:bidi="ar"/>
              </w:rPr>
            </w:pPr>
          </w:p>
        </w:tc>
        <w:tc>
          <w:tcPr>
            <w:tcW w:w="17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其中-财政拨款:</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54.78</w:t>
            </w: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其中-财政拨款:</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54.78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atLeast"/>
        </w:trPr>
        <w:tc>
          <w:tcPr>
            <w:tcW w:w="959"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color w:val="000000"/>
                <w:kern w:val="0"/>
                <w:sz w:val="20"/>
                <w:szCs w:val="20"/>
                <w:u w:val="none"/>
                <w:lang w:val="en-US" w:eastAsia="zh-CN" w:bidi="ar"/>
              </w:rPr>
            </w:pPr>
          </w:p>
        </w:tc>
        <w:tc>
          <w:tcPr>
            <w:tcW w:w="17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其它资金</w:t>
            </w:r>
          </w:p>
        </w:tc>
        <w:tc>
          <w:tcPr>
            <w:tcW w:w="2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其它资金</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6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预期目标</w:t>
            </w:r>
          </w:p>
        </w:tc>
        <w:tc>
          <w:tcPr>
            <w:tcW w:w="4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1"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6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 完成印制医保政策宣传资料及印制待遇支付案卷等；完成医疗费用单次3万以上的外伤调查；对各医疗卫生单位稽核稽查。</w:t>
            </w:r>
          </w:p>
        </w:tc>
        <w:tc>
          <w:tcPr>
            <w:tcW w:w="4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已全面完成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项目完成</w:t>
            </w:r>
            <w:r>
              <w:rPr>
                <w:rFonts w:hint="eastAsia" w:ascii="宋体" w:hAnsi="宋体" w:eastAsia="宋体" w:cs="宋体"/>
                <w:i w:val="0"/>
                <w:color w:val="000000"/>
                <w:kern w:val="0"/>
                <w:sz w:val="20"/>
                <w:szCs w:val="20"/>
                <w:u w:val="none"/>
                <w:lang w:val="en-US" w:eastAsia="zh-CN" w:bidi="ar"/>
              </w:rPr>
              <w:t>指标</w:t>
            </w: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预期指标值(包含数字及文字描述)</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4"/>
                <w:lang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6"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完成指标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完成印制医保政策宣传资料及印制待遇支付案卷等.</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1</w:t>
            </w:r>
            <w:r>
              <w:rPr>
                <w:rStyle w:val="36"/>
                <w:lang w:val="en-US" w:eastAsia="zh-CN" w:bidi="ar"/>
              </w:rPr>
              <w:t>00万份</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6"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完成医疗费用单次3万以上的外伤调查。</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Style w:val="36"/>
                <w:lang w:val="en-US" w:eastAsia="zh-CN" w:bidi="ar"/>
              </w:rPr>
              <w:t>000件</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9"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对各医疗卫生单位稽核稽查。</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月抽查季巡查</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0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让老百姓明白了解医保有关政策 ，杜绝医疗保险基金的流失，规范各医疗卫生单位的医疗行为，让</w:t>
            </w:r>
            <w:r>
              <w:rPr>
                <w:rFonts w:hint="eastAsia" w:ascii="宋体" w:hAnsi="宋体" w:cs="宋体"/>
                <w:i w:val="0"/>
                <w:color w:val="000000"/>
                <w:kern w:val="0"/>
                <w:sz w:val="20"/>
                <w:szCs w:val="20"/>
                <w:u w:val="none"/>
                <w:lang w:val="en-US" w:eastAsia="zh-CN" w:bidi="ar"/>
              </w:rPr>
              <w:t>老百姓</w:t>
            </w:r>
            <w:bookmarkStart w:id="77" w:name="_GoBack"/>
            <w:bookmarkEnd w:id="77"/>
            <w:r>
              <w:rPr>
                <w:rFonts w:hint="eastAsia" w:ascii="宋体" w:hAnsi="宋体" w:eastAsia="宋体" w:cs="宋体"/>
                <w:i w:val="0"/>
                <w:color w:val="000000"/>
                <w:kern w:val="0"/>
                <w:sz w:val="20"/>
                <w:szCs w:val="20"/>
                <w:u w:val="none"/>
                <w:lang w:val="en-US" w:eastAsia="zh-CN" w:bidi="ar"/>
              </w:rPr>
              <w:t>真正受益。</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&gt;90%</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12月</w:t>
            </w:r>
            <w:r>
              <w:rPr>
                <w:rFonts w:hint="eastAsia" w:ascii="宋体" w:hAnsi="宋体" w:cs="宋体"/>
                <w:i w:val="0"/>
                <w:color w:val="000000"/>
                <w:kern w:val="0"/>
                <w:sz w:val="20"/>
                <w:szCs w:val="20"/>
                <w:u w:val="none"/>
                <w:lang w:val="en-US" w:eastAsia="zh-CN" w:bidi="ar"/>
              </w:rPr>
              <w:t>底前</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资金支付进度</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按业务工作进度支付</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效益指标</w:t>
            </w:r>
          </w:p>
        </w:tc>
        <w:tc>
          <w:tcPr>
            <w:tcW w:w="92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对工作的促进作用</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保证医疗基金安全运行。</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影响年限</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长期</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医保金管理部门</w:t>
            </w:r>
            <w:r>
              <w:rPr>
                <w:rFonts w:hint="eastAsia" w:ascii="宋体" w:hAnsi="宋体" w:cs="宋体"/>
                <w:i w:val="0"/>
                <w:color w:val="000000"/>
                <w:kern w:val="0"/>
                <w:sz w:val="20"/>
                <w:szCs w:val="20"/>
                <w:u w:val="none"/>
                <w:lang w:val="en-US" w:eastAsia="zh-CN" w:bidi="ar"/>
              </w:rPr>
              <w:t>及参保对象</w:t>
            </w:r>
            <w:r>
              <w:rPr>
                <w:rFonts w:hint="eastAsia" w:ascii="宋体" w:hAnsi="宋体" w:eastAsia="宋体" w:cs="宋体"/>
                <w:i w:val="0"/>
                <w:color w:val="000000"/>
                <w:kern w:val="0"/>
                <w:sz w:val="20"/>
                <w:szCs w:val="20"/>
                <w:u w:val="none"/>
                <w:lang w:val="en-US" w:eastAsia="zh-CN" w:bidi="ar"/>
              </w:rPr>
              <w:t>满意度</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bl>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宣汉县医疗保险管理局</w:t>
      </w:r>
      <w:r>
        <w:rPr>
          <w:rFonts w:hint="eastAsia" w:ascii="仿宋_GB2312" w:hAnsi="仿宋_GB2312" w:eastAsia="仿宋_GB2312" w:cs="仿宋_GB2312"/>
          <w:sz w:val="32"/>
          <w:szCs w:val="32"/>
        </w:rPr>
        <w:t>部门2018年部门整体支出绩效评价报告》见附件。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本部门自行组织对项目开展了绩效评价，《</w:t>
      </w:r>
      <w:r>
        <w:rPr>
          <w:rFonts w:hint="eastAsia" w:ascii="仿宋_GB2312" w:hAnsi="仿宋_GB2312" w:eastAsia="仿宋_GB2312" w:cs="仿宋_GB2312"/>
          <w:sz w:val="32"/>
          <w:szCs w:val="32"/>
          <w:lang w:eastAsia="zh-CN"/>
        </w:rPr>
        <w:t>宣汉县医疗保险管理局</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pPr>
        <w:spacing w:line="600" w:lineRule="exact"/>
        <w:ind w:firstLine="800" w:firstLineChars="250"/>
        <w:outlineLvl w:val="1"/>
        <w:rPr>
          <w:rStyle w:val="26"/>
          <w:rFonts w:ascii="黑体" w:hAnsi="黑体" w:eastAsia="黑体"/>
        </w:rPr>
      </w:pPr>
      <w:bookmarkStart w:id="52" w:name="_Toc15396612"/>
      <w:bookmarkStart w:id="53"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2"/>
      <w:bookmarkEnd w:id="53"/>
    </w:p>
    <w:p>
      <w:pPr>
        <w:spacing w:line="600" w:lineRule="exact"/>
        <w:ind w:firstLine="643" w:firstLineChars="200"/>
        <w:outlineLvl w:val="2"/>
        <w:rPr>
          <w:rFonts w:ascii="仿宋" w:hAnsi="仿宋" w:eastAsia="仿宋"/>
          <w:color w:val="000000"/>
          <w:sz w:val="32"/>
          <w:szCs w:val="32"/>
        </w:rPr>
      </w:pPr>
      <w:bookmarkStart w:id="54" w:name="_Toc15377222"/>
      <w:r>
        <w:rPr>
          <w:rFonts w:hint="eastAsia" w:ascii="仿宋" w:hAnsi="仿宋" w:eastAsia="仿宋"/>
          <w:b/>
          <w:color w:val="000000"/>
          <w:sz w:val="32"/>
          <w:szCs w:val="32"/>
        </w:rPr>
        <w:t>（一）机关运行经费支出情况</w:t>
      </w:r>
      <w:bookmarkEnd w:id="54"/>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我单位</w:t>
      </w:r>
      <w:r>
        <w:rPr>
          <w:rFonts w:hint="eastAsia" w:ascii="仿宋_GB2312" w:eastAsia="仿宋_GB2312"/>
          <w:color w:val="000000"/>
          <w:sz w:val="32"/>
          <w:szCs w:val="32"/>
        </w:rPr>
        <w:t>机关运行经费支出</w:t>
      </w:r>
      <w:r>
        <w:rPr>
          <w:rFonts w:hint="eastAsia" w:ascii="仿宋_GB2312" w:eastAsia="仿宋_GB2312" w:cs="仿宋_GB2312"/>
          <w:kern w:val="2"/>
          <w:sz w:val="28"/>
          <w:szCs w:val="28"/>
          <w:lang w:val="en-US" w:eastAsia="zh-CN" w:bidi="ar"/>
        </w:rPr>
        <w:t>33.43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60.59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64.44%。</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2018年规划预算，严格按照中央八项规定，</w:t>
      </w:r>
      <w:r>
        <w:rPr>
          <w:rFonts w:hint="eastAsia" w:ascii="仿宋_GB2312" w:eastAsia="仿宋_GB2312"/>
          <w:color w:val="000000" w:themeColor="text1"/>
          <w:sz w:val="32"/>
          <w:szCs w:val="32"/>
          <w:lang w:eastAsia="zh-CN"/>
          <w14:textFill>
            <w14:solidFill>
              <w14:schemeClr w14:val="tx1"/>
            </w14:solidFill>
          </w14:textFill>
        </w:rPr>
        <w:t>厉行节约，节省开支，办公经费减少，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3"/>
      <w:r>
        <w:rPr>
          <w:rFonts w:hint="eastAsia" w:ascii="仿宋" w:hAnsi="仿宋" w:eastAsia="仿宋"/>
          <w:b/>
          <w:color w:val="000000"/>
          <w:sz w:val="32"/>
          <w:szCs w:val="32"/>
        </w:rPr>
        <w:t>（二）政府采购支出情况</w:t>
      </w:r>
      <w:bookmarkEnd w:id="5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无</w:t>
      </w:r>
      <w:r>
        <w:rPr>
          <w:rFonts w:hint="eastAsia" w:ascii="仿宋_GB2312" w:eastAsia="仿宋_GB2312"/>
          <w:color w:val="000000"/>
          <w:sz w:val="32"/>
          <w:szCs w:val="32"/>
        </w:rPr>
        <w:t>政府采购支出，其中：政府采购货物支出</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万元、政府采购工程支出</w:t>
      </w:r>
      <w:r>
        <w:rPr>
          <w:rFonts w:ascii="仿宋_GB2312" w:eastAsia="仿宋_GB2312"/>
          <w:color w:val="000000"/>
          <w:sz w:val="32"/>
          <w:szCs w:val="32"/>
        </w:rPr>
        <w:t>**</w:t>
      </w:r>
      <w:r>
        <w:rPr>
          <w:rFonts w:hint="eastAsia" w:ascii="仿宋_GB2312" w:eastAsia="仿宋_GB2312"/>
          <w:color w:val="000000"/>
          <w:sz w:val="32"/>
          <w:szCs w:val="32"/>
        </w:rPr>
        <w:t>万元、政府采购服务支出</w:t>
      </w:r>
      <w:r>
        <w:rPr>
          <w:rFonts w:ascii="仿宋_GB2312" w:eastAsia="仿宋_GB2312"/>
          <w:color w:val="000000"/>
          <w:sz w:val="32"/>
          <w:szCs w:val="32"/>
        </w:rPr>
        <w:t>**</w:t>
      </w:r>
      <w:r>
        <w:rPr>
          <w:rFonts w:hint="eastAsia" w:ascii="仿宋_GB2312" w:eastAsia="仿宋_GB2312"/>
          <w:color w:val="000000"/>
          <w:sz w:val="32"/>
          <w:szCs w:val="32"/>
        </w:rPr>
        <w:t>万元。主要用于</w:t>
      </w:r>
      <w:r>
        <w:rPr>
          <w:rFonts w:hint="eastAsia" w:ascii="仿宋_GB2312" w:eastAsia="仿宋_GB2312"/>
          <w:sz w:val="28"/>
          <w:szCs w:val="28"/>
          <w:lang w:val="en-US" w:eastAsia="zh-CN"/>
        </w:rPr>
        <w:t>**</w:t>
      </w:r>
      <w:r>
        <w:rPr>
          <w:rFonts w:hint="eastAsia" w:ascii="仿宋_GB2312" w:eastAsia="仿宋_GB2312"/>
          <w:color w:val="000000"/>
          <w:sz w:val="32"/>
          <w:szCs w:val="32"/>
        </w:rPr>
        <w:t>。授予中小企业合同金额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ascii="仿宋_GB2312" w:eastAsia="仿宋_GB2312"/>
          <w:color w:val="000000"/>
          <w:sz w:val="32"/>
          <w:szCs w:val="32"/>
        </w:rPr>
        <w:t>**</w:t>
      </w:r>
      <w:r>
        <w:rPr>
          <w:rFonts w:hint="eastAsia" w:ascii="仿宋_GB2312" w:eastAsia="仿宋_GB2312"/>
          <w:color w:val="000000"/>
          <w:sz w:val="32"/>
          <w:szCs w:val="32"/>
        </w:rPr>
        <w:t>万元，占政府采购支出总额的</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6" w:name="_Toc15377224"/>
      <w:r>
        <w:rPr>
          <w:rFonts w:hint="eastAsia" w:ascii="仿宋" w:hAnsi="仿宋" w:eastAsia="仿宋"/>
          <w:b/>
          <w:color w:val="000000"/>
          <w:sz w:val="32"/>
          <w:szCs w:val="32"/>
        </w:rPr>
        <w:t>（三）国有资产占有使用情况</w:t>
      </w:r>
      <w:bookmarkEnd w:id="56"/>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我单位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ascii="仿宋_GB2312" w:eastAsia="仿宋_GB2312"/>
          <w:color w:val="000000"/>
          <w:sz w:val="32"/>
          <w:szCs w:val="32"/>
        </w:rPr>
        <w:t>**</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ascii="仿宋_GB2312" w:eastAsia="仿宋_GB2312"/>
          <w:color w:val="000000"/>
          <w:sz w:val="32"/>
          <w:szCs w:val="32"/>
        </w:rPr>
        <w:t>**</w:t>
      </w:r>
      <w:r>
        <w:rPr>
          <w:rFonts w:hint="eastAsia" w:ascii="仿宋_GB2312" w:eastAsia="仿宋_GB2312"/>
          <w:color w:val="000000"/>
          <w:sz w:val="32"/>
          <w:szCs w:val="32"/>
        </w:rPr>
        <w:t>辆、特种专业技术用车</w:t>
      </w:r>
      <w:r>
        <w:rPr>
          <w:rFonts w:ascii="仿宋_GB2312" w:eastAsia="仿宋_GB2312"/>
          <w:color w:val="000000"/>
          <w:sz w:val="32"/>
          <w:szCs w:val="32"/>
        </w:rPr>
        <w:t>**</w:t>
      </w:r>
      <w:r>
        <w:rPr>
          <w:rFonts w:hint="eastAsia" w:ascii="仿宋_GB2312" w:eastAsia="仿宋_GB2312"/>
          <w:color w:val="000000"/>
          <w:sz w:val="32"/>
          <w:szCs w:val="32"/>
        </w:rPr>
        <w:t>辆、其他用车</w:t>
      </w:r>
      <w:r>
        <w:rPr>
          <w:rFonts w:ascii="仿宋_GB2312" w:eastAsia="仿宋_GB2312"/>
          <w:color w:val="000000"/>
          <w:sz w:val="32"/>
          <w:szCs w:val="32"/>
        </w:rPr>
        <w:t>**</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ascii="仿宋_GB2312" w:eastAsia="仿宋_GB2312"/>
          <w:color w:val="000000"/>
          <w:sz w:val="32"/>
          <w:szCs w:val="32"/>
        </w:rPr>
        <w:t>**</w:t>
      </w:r>
      <w:r>
        <w:rPr>
          <w:rFonts w:hint="eastAsia" w:ascii="仿宋_GB2312" w:eastAsia="仿宋_GB2312"/>
          <w:color w:val="000000" w:themeColor="text1"/>
          <w:sz w:val="32"/>
          <w:szCs w:val="32"/>
          <w:lang w:eastAsia="zh-CN"/>
          <w14:textFill>
            <w14:solidFill>
              <w14:schemeClr w14:val="tx1"/>
            </w14:solidFill>
          </w14:textFill>
        </w:rPr>
        <w:t>用车，单价</w:t>
      </w:r>
      <w:r>
        <w:rPr>
          <w:rFonts w:hint="eastAsia" w:ascii="仿宋_GB2312" w:eastAsia="仿宋_GB2312"/>
          <w:color w:val="000000"/>
          <w:sz w:val="32"/>
          <w:szCs w:val="32"/>
          <w:lang w:val="en-US" w:eastAsia="zh-CN"/>
        </w:rPr>
        <w:t>26.78</w:t>
      </w:r>
      <w:r>
        <w:rPr>
          <w:rFonts w:hint="eastAsia" w:ascii="仿宋_GB2312" w:eastAsia="仿宋_GB2312"/>
          <w:color w:val="000000" w:themeColor="text1"/>
          <w:sz w:val="32"/>
          <w:szCs w:val="32"/>
          <w:lang w:val="en-US" w:eastAsia="zh-CN"/>
          <w14:textFill>
            <w14:solidFill>
              <w14:schemeClr w14:val="tx1"/>
            </w14:solidFill>
          </w14:textFill>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5"/>
          <w:rFonts w:ascii="黑体" w:hAnsi="黑体" w:eastAsia="黑体"/>
          <w:b w:val="0"/>
        </w:rPr>
      </w:pPr>
      <w:bookmarkStart w:id="57" w:name="_Toc15377225"/>
      <w:bookmarkStart w:id="58"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7"/>
      <w:bookmarkEnd w:id="58"/>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9" w:name="_Toc15377226"/>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60"/>
    </w:p>
    <w:p>
      <w:pPr>
        <w:spacing w:line="600" w:lineRule="exact"/>
        <w:jc w:val="center"/>
        <w:outlineLvl w:val="0"/>
        <w:rPr>
          <w:rStyle w:val="25"/>
        </w:rPr>
      </w:pPr>
    </w:p>
    <w:p>
      <w:pPr>
        <w:pStyle w:val="3"/>
        <w:rPr>
          <w:rStyle w:val="25"/>
          <w:rFonts w:ascii="仿宋" w:hAnsi="仿宋" w:eastAsia="仿宋"/>
          <w:b w:val="0"/>
          <w:bCs w:val="0"/>
          <w:sz w:val="32"/>
          <w:szCs w:val="32"/>
        </w:rPr>
      </w:pPr>
      <w:bookmarkStart w:id="61" w:name="_Toc15396615"/>
      <w:r>
        <w:rPr>
          <w:rStyle w:val="25"/>
          <w:rFonts w:hint="eastAsia" w:ascii="仿宋" w:hAnsi="仿宋" w:eastAsia="仿宋"/>
          <w:b w:val="0"/>
          <w:bCs w:val="0"/>
          <w:sz w:val="32"/>
          <w:szCs w:val="32"/>
        </w:rPr>
        <w:t>附件1</w:t>
      </w:r>
      <w:bookmarkEnd w:id="61"/>
    </w:p>
    <w:bookmarkEnd w:id="59"/>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CN" w:bidi="ar"/>
        </w:rPr>
      </w:pPr>
      <w:bookmarkStart w:id="62" w:name="_Toc15396617"/>
      <w:r>
        <w:rPr>
          <w:rFonts w:hint="eastAsia" w:ascii="方正小标宋简体" w:hAnsi="方正小标宋简体" w:eastAsia="方正小标宋简体" w:cs="方正小标宋简体"/>
          <w:kern w:val="2"/>
          <w:sz w:val="44"/>
          <w:szCs w:val="44"/>
          <w:lang w:val="en-US" w:eastAsia="zh-CN" w:bidi="ar"/>
        </w:rPr>
        <w:t>宣汉县医疗保险管理局</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部门整体支出绩效评价报告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一、部门（单位）概况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（一）机构组成。</w:t>
      </w:r>
    </w:p>
    <w:p>
      <w:pPr>
        <w:keepNext w:val="0"/>
        <w:keepLines w:val="0"/>
        <w:widowControl w:val="0"/>
        <w:suppressLineNumbers w:val="0"/>
        <w:spacing w:before="0" w:beforeAutospacing="0" w:after="0" w:afterAutospacing="0"/>
        <w:ind w:right="0" w:firstLine="640" w:firstLineChars="200"/>
        <w:jc w:val="both"/>
        <w:rPr>
          <w:rFonts w:hint="eastAsia" w:ascii="仿宋_GB2312" w:eastAsia="仿宋_GB2312" w:cs="仿宋_GB2312"/>
          <w:sz w:val="32"/>
          <w:szCs w:val="32"/>
          <w:lang w:val="en-US"/>
        </w:rPr>
      </w:pPr>
      <w:r>
        <w:rPr>
          <w:rFonts w:hint="eastAsia" w:ascii="仿宋_GB2312" w:eastAsia="仿宋_GB2312"/>
          <w:color w:val="000000"/>
          <w:sz w:val="32"/>
          <w:szCs w:val="32"/>
        </w:rPr>
        <w:t>宣汉县医保局</w:t>
      </w:r>
      <w:r>
        <w:rPr>
          <w:rFonts w:hint="eastAsia" w:ascii="仿宋_GB2312" w:eastAsia="仿宋_GB2312"/>
          <w:color w:val="000000"/>
          <w:sz w:val="32"/>
          <w:szCs w:val="32"/>
          <w:lang w:eastAsia="zh-CN"/>
        </w:rPr>
        <w:t>本年机构数</w:t>
      </w:r>
      <w:r>
        <w:rPr>
          <w:rFonts w:hint="eastAsia" w:ascii="仿宋_GB2312" w:eastAsia="仿宋_GB2312"/>
          <w:color w:val="000000"/>
          <w:sz w:val="32"/>
          <w:szCs w:val="32"/>
          <w:lang w:val="en-US" w:eastAsia="zh-CN"/>
        </w:rPr>
        <w:t>1个，</w:t>
      </w:r>
      <w:r>
        <w:rPr>
          <w:rFonts w:hint="eastAsia" w:ascii="仿宋_GB2312" w:eastAsia="仿宋_GB2312"/>
          <w:color w:val="000000"/>
          <w:sz w:val="32"/>
          <w:szCs w:val="32"/>
        </w:rPr>
        <w:t>属二级单位，参照公务员法管理的事业单位</w:t>
      </w:r>
      <w:r>
        <w:rPr>
          <w:rFonts w:hint="eastAsia" w:ascii="仿宋_GB2312" w:eastAsia="仿宋_GB2312"/>
          <w:color w:val="000000"/>
          <w:sz w:val="32"/>
          <w:szCs w:val="32"/>
          <w:lang w:eastAsia="zh-CN"/>
        </w:rPr>
        <w:t>，</w:t>
      </w:r>
      <w:r>
        <w:rPr>
          <w:rFonts w:hint="eastAsia" w:ascii="仿宋_GB2312" w:hAnsi="Times New Roman" w:eastAsia="仿宋_GB2312" w:cs="仿宋_GB2312"/>
          <w:kern w:val="2"/>
          <w:sz w:val="32"/>
          <w:szCs w:val="32"/>
          <w:lang w:val="en-US" w:eastAsia="zh-CN" w:bidi="ar"/>
        </w:rPr>
        <w:t>编制22人</w:t>
      </w:r>
      <w:r>
        <w:rPr>
          <w:rFonts w:hint="eastAsia" w:asci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（二）机构职能。</w:t>
      </w:r>
    </w:p>
    <w:p>
      <w:pPr>
        <w:adjustRightInd w:val="0"/>
        <w:snapToGrid w:val="0"/>
        <w:spacing w:line="700" w:lineRule="exact"/>
        <w:ind w:firstLine="640" w:firstLineChars="200"/>
        <w:rPr>
          <w:rFonts w:ascii="仿宋_GB2312" w:eastAsia="仿宋_GB2312"/>
          <w:sz w:val="32"/>
          <w:szCs w:val="32"/>
        </w:rPr>
      </w:pPr>
      <w:r>
        <w:rPr>
          <w:rFonts w:hint="eastAsia" w:ascii="仿宋_GB2312" w:eastAsia="仿宋_GB2312"/>
          <w:sz w:val="32"/>
          <w:szCs w:val="32"/>
        </w:rPr>
        <w:t>宣汉县医疗保险管理局（以下简称“县医保局”）在宣汉县人力资源和社会保障局领导下，编制全县保险、生育保险事业发展规划，制订业务工作流程、管理制度等，具体经办城镇职工医疗保险、城乡居民医疗保险、生育保险业务工作，负责医疗保险定点医疗机构和零售药店协议管理和考核工作、指导乡镇、街道、社区就业和社会保障服务中心（站）医疗保险的相关业务工作。承办县委、县政府和县人力资源和社会保障局交办的其他工作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（三）人员概况。</w:t>
      </w:r>
    </w:p>
    <w:p>
      <w:pPr>
        <w:keepNext w:val="0"/>
        <w:keepLines w:val="0"/>
        <w:widowControl w:val="0"/>
        <w:suppressLineNumbers w:val="0"/>
        <w:spacing w:before="0" w:beforeAutospacing="0" w:after="0" w:afterAutospacing="0"/>
        <w:ind w:right="0" w:firstLine="640" w:firstLineChars="200"/>
        <w:jc w:val="both"/>
        <w:rPr>
          <w:rFonts w:hint="eastAsia" w:ascii="仿宋_GB2312" w:eastAsia="仿宋_GB2312" w:cs="仿宋_GB2312"/>
          <w:sz w:val="32"/>
          <w:szCs w:val="32"/>
          <w:lang w:val="en-US"/>
        </w:rPr>
      </w:pPr>
      <w:r>
        <w:rPr>
          <w:rFonts w:hint="eastAsia" w:ascii="仿宋_GB2312" w:eastAsia="仿宋_GB2312" w:cs="仿宋_GB2312"/>
          <w:sz w:val="32"/>
          <w:szCs w:val="32"/>
          <w:lang w:val="en-US" w:eastAsia="zh-CN"/>
        </w:rPr>
        <w:t>2018年底</w:t>
      </w:r>
      <w:r>
        <w:rPr>
          <w:rFonts w:hint="eastAsia" w:ascii="仿宋_GB2312" w:eastAsia="仿宋_GB2312" w:cs="仿宋_GB2312"/>
          <w:kern w:val="2"/>
          <w:sz w:val="32"/>
          <w:szCs w:val="32"/>
          <w:lang w:val="en-US" w:eastAsia="zh-CN" w:bidi="ar"/>
        </w:rPr>
        <w:t>有</w:t>
      </w:r>
      <w:r>
        <w:rPr>
          <w:rFonts w:hint="eastAsia" w:ascii="仿宋_GB2312" w:hAnsi="Times New Roman" w:eastAsia="仿宋_GB2312" w:cs="仿宋_GB2312"/>
          <w:kern w:val="2"/>
          <w:sz w:val="32"/>
          <w:szCs w:val="32"/>
          <w:lang w:val="en-US" w:eastAsia="zh-CN" w:bidi="ar"/>
        </w:rPr>
        <w:t>在职人数22人，退休职工3人。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二、部门财政资金收支情况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（一）部门财政资金收入情况。</w:t>
      </w:r>
    </w:p>
    <w:p>
      <w:pPr>
        <w:keepNext w:val="0"/>
        <w:keepLines w:val="0"/>
        <w:pageBreakBefore w:val="0"/>
        <w:widowControl w:val="0"/>
        <w:kinsoku/>
        <w:wordWrap/>
        <w:overflowPunct/>
        <w:topLinePunct w:val="0"/>
        <w:autoSpaceDE/>
        <w:autoSpaceDN/>
        <w:bidi w:val="0"/>
        <w:adjustRightInd/>
        <w:snapToGrid/>
        <w:spacing w:line="520" w:lineRule="exact"/>
        <w:ind w:firstLine="516" w:firstLineChars="200"/>
        <w:textAlignment w:val="auto"/>
        <w:outlineLvl w:val="9"/>
        <w:rPr>
          <w:rFonts w:hint="eastAsia" w:ascii="仿宋_GB2312" w:eastAsia="仿宋_GB2312"/>
          <w:sz w:val="28"/>
          <w:szCs w:val="28"/>
          <w:lang w:eastAsia="zh-CN"/>
        </w:rPr>
      </w:pPr>
      <w:r>
        <w:rPr>
          <w:rFonts w:hint="eastAsia" w:ascii="仿宋_GB2312" w:hAnsi="Times New Roman" w:eastAsia="仿宋_GB2312" w:cs="仿宋_GB2312"/>
          <w:spacing w:val="-11"/>
          <w:kern w:val="2"/>
          <w:sz w:val="28"/>
          <w:szCs w:val="28"/>
          <w:lang w:val="en-US" w:eastAsia="zh-CN" w:bidi="ar"/>
        </w:rPr>
        <w:t>2018年财政拨款</w:t>
      </w:r>
      <w:r>
        <w:rPr>
          <w:rFonts w:hint="eastAsia" w:ascii="仿宋_GB2312" w:eastAsia="仿宋_GB2312" w:cs="仿宋_GB2312"/>
          <w:spacing w:val="-11"/>
          <w:kern w:val="2"/>
          <w:sz w:val="28"/>
          <w:szCs w:val="28"/>
          <w:lang w:val="en-US" w:eastAsia="zh-CN" w:bidi="ar"/>
        </w:rPr>
        <w:t>收入共计</w:t>
      </w:r>
      <w:r>
        <w:rPr>
          <w:rFonts w:hint="eastAsia" w:ascii="仿宋_GB2312" w:eastAsia="仿宋_GB2312" w:cs="仿宋_GB2312"/>
          <w:sz w:val="32"/>
          <w:szCs w:val="32"/>
        </w:rPr>
        <w:t>373.2</w:t>
      </w:r>
      <w:r>
        <w:rPr>
          <w:rFonts w:hint="eastAsia" w:ascii="仿宋_GB2312" w:eastAsia="仿宋_GB2312" w:cs="仿宋_GB2312"/>
          <w:sz w:val="32"/>
          <w:szCs w:val="32"/>
          <w:lang w:val="en-US" w:eastAsia="zh-CN"/>
        </w:rPr>
        <w:t>0</w:t>
      </w:r>
      <w:r>
        <w:rPr>
          <w:rFonts w:hint="eastAsia" w:ascii="仿宋_GB2312" w:eastAsia="仿宋_GB2312" w:cs="仿宋_GB2312"/>
          <w:sz w:val="32"/>
          <w:szCs w:val="32"/>
          <w:lang w:eastAsia="zh-CN"/>
        </w:rPr>
        <w:t>万元</w:t>
      </w:r>
      <w:r>
        <w:rPr>
          <w:rFonts w:hint="eastAsia" w:ascii="仿宋_GB2312" w:hAnsi="Times New Roman" w:eastAsia="仿宋_GB2312" w:cs="仿宋_GB2312"/>
          <w:spacing w:val="-11"/>
          <w:kern w:val="2"/>
          <w:sz w:val="28"/>
          <w:szCs w:val="28"/>
          <w:lang w:val="en-US" w:eastAsia="zh-CN" w:bidi="ar"/>
        </w:rPr>
        <w:t>，其中:一般公共</w:t>
      </w:r>
      <w:r>
        <w:rPr>
          <w:rFonts w:hint="eastAsia" w:ascii="仿宋_GB2312" w:eastAsia="仿宋_GB2312" w:cs="仿宋_GB2312"/>
          <w:spacing w:val="-11"/>
          <w:kern w:val="2"/>
          <w:sz w:val="28"/>
          <w:szCs w:val="28"/>
          <w:lang w:val="en-US" w:eastAsia="zh-CN" w:bidi="ar"/>
        </w:rPr>
        <w:t>财政款</w:t>
      </w:r>
      <w:r>
        <w:rPr>
          <w:rFonts w:hint="eastAsia" w:ascii="仿宋_GB2312" w:hAnsi="Times New Roman" w:eastAsia="仿宋_GB2312" w:cs="仿宋_GB2312"/>
          <w:spacing w:val="-11"/>
          <w:kern w:val="2"/>
          <w:sz w:val="28"/>
          <w:szCs w:val="28"/>
          <w:lang w:val="en-US" w:eastAsia="zh-CN" w:bidi="ar"/>
        </w:rPr>
        <w:t>拨款</w:t>
      </w:r>
      <w:r>
        <w:rPr>
          <w:rFonts w:hint="eastAsia" w:ascii="仿宋_GB2312" w:eastAsia="仿宋_GB2312" w:cs="仿宋_GB2312"/>
          <w:spacing w:val="-11"/>
          <w:kern w:val="2"/>
          <w:sz w:val="28"/>
          <w:szCs w:val="28"/>
          <w:lang w:val="en-US" w:eastAsia="zh-CN" w:bidi="ar"/>
        </w:rPr>
        <w:t>收入373.2万元，占总收入的100%，</w:t>
      </w:r>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（二）部门财政资金支出情况。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eastAsia="仿宋_GB2312"/>
          <w:sz w:val="28"/>
          <w:szCs w:val="28"/>
          <w:lang w:eastAsia="zh-CN"/>
        </w:rPr>
      </w:pPr>
      <w:r>
        <w:rPr>
          <w:rFonts w:hint="eastAsia" w:ascii="仿宋_GB2312" w:hAnsi="Times New Roman" w:eastAsia="仿宋_GB2312" w:cs="仿宋_GB2312"/>
          <w:kern w:val="2"/>
          <w:sz w:val="28"/>
          <w:szCs w:val="28"/>
          <w:lang w:val="en-US" w:eastAsia="zh-CN" w:bidi="ar"/>
        </w:rPr>
        <w:t>2018年财政</w:t>
      </w:r>
      <w:r>
        <w:rPr>
          <w:rFonts w:hint="eastAsia" w:ascii="仿宋_GB2312" w:eastAsia="仿宋_GB2312" w:cs="仿宋_GB2312"/>
          <w:kern w:val="2"/>
          <w:sz w:val="28"/>
          <w:szCs w:val="28"/>
          <w:lang w:val="en-US" w:eastAsia="zh-CN" w:bidi="ar"/>
        </w:rPr>
        <w:t>支出</w:t>
      </w:r>
      <w:r>
        <w:rPr>
          <w:rFonts w:hint="eastAsia" w:ascii="仿宋_GB2312" w:eastAsia="仿宋_GB2312" w:cs="仿宋_GB2312"/>
          <w:sz w:val="32"/>
          <w:szCs w:val="32"/>
        </w:rPr>
        <w:t>373.2</w:t>
      </w:r>
      <w:r>
        <w:rPr>
          <w:rFonts w:hint="eastAsia" w:ascii="仿宋_GB2312" w:eastAsia="仿宋_GB2312" w:cs="仿宋_GB2312"/>
          <w:sz w:val="32"/>
          <w:szCs w:val="32"/>
          <w:lang w:val="en-US" w:eastAsia="zh-CN"/>
        </w:rPr>
        <w:t>0</w:t>
      </w:r>
      <w:r>
        <w:rPr>
          <w:rFonts w:hint="eastAsia" w:ascii="仿宋_GB2312" w:hAnsi="Times New Roman" w:eastAsia="仿宋_GB2312" w:cs="仿宋_GB2312"/>
          <w:kern w:val="2"/>
          <w:sz w:val="28"/>
          <w:szCs w:val="28"/>
          <w:lang w:val="en-US" w:eastAsia="zh-CN" w:bidi="ar"/>
        </w:rPr>
        <w:t>万元</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28"/>
          <w:szCs w:val="28"/>
          <w:lang w:val="en-US" w:eastAsia="zh-CN" w:bidi="ar"/>
        </w:rPr>
        <w:t>其中：</w:t>
      </w:r>
      <w:r>
        <w:rPr>
          <w:rFonts w:hint="eastAsia" w:ascii="仿宋_GB2312" w:eastAsia="仿宋_GB2312"/>
          <w:sz w:val="28"/>
          <w:szCs w:val="28"/>
        </w:rPr>
        <w:t>社会保障和就业支出</w:t>
      </w:r>
      <w:r>
        <w:rPr>
          <w:rFonts w:hint="eastAsia" w:ascii="仿宋_GB2312" w:eastAsia="仿宋_GB2312"/>
          <w:sz w:val="28"/>
          <w:szCs w:val="28"/>
          <w:lang w:val="en-US" w:eastAsia="zh-CN"/>
        </w:rPr>
        <w:t>268.42</w:t>
      </w:r>
      <w:r>
        <w:rPr>
          <w:rFonts w:hint="eastAsia" w:ascii="仿宋_GB2312" w:eastAsia="仿宋_GB2312"/>
          <w:sz w:val="28"/>
          <w:szCs w:val="28"/>
        </w:rPr>
        <w:t>万元，占</w:t>
      </w:r>
      <w:r>
        <w:rPr>
          <w:rFonts w:hint="eastAsia" w:ascii="仿宋_GB2312" w:eastAsia="仿宋_GB2312"/>
          <w:sz w:val="28"/>
          <w:szCs w:val="28"/>
          <w:lang w:val="en-US" w:eastAsia="zh-CN"/>
        </w:rPr>
        <w:t>支出</w:t>
      </w:r>
      <w:r>
        <w:rPr>
          <w:rFonts w:hint="eastAsia" w:ascii="仿宋_GB2312" w:eastAsia="仿宋_GB2312"/>
          <w:sz w:val="28"/>
          <w:szCs w:val="28"/>
        </w:rPr>
        <w:t>的</w:t>
      </w:r>
      <w:r>
        <w:rPr>
          <w:rFonts w:hint="eastAsia" w:ascii="仿宋_GB2312" w:eastAsia="仿宋_GB2312"/>
          <w:sz w:val="28"/>
          <w:szCs w:val="28"/>
          <w:lang w:val="en-US" w:eastAsia="zh-CN"/>
        </w:rPr>
        <w:t>71.92</w:t>
      </w:r>
      <w:r>
        <w:rPr>
          <w:rFonts w:hint="eastAsia" w:ascii="仿宋_GB2312" w:eastAsia="仿宋_GB2312"/>
          <w:sz w:val="28"/>
          <w:szCs w:val="28"/>
        </w:rPr>
        <w:t>%，医疗卫生支出</w:t>
      </w:r>
      <w:r>
        <w:rPr>
          <w:rFonts w:hint="eastAsia" w:ascii="仿宋_GB2312" w:eastAsia="仿宋_GB2312"/>
          <w:sz w:val="28"/>
          <w:szCs w:val="28"/>
          <w:lang w:val="en-US" w:eastAsia="zh-CN"/>
        </w:rPr>
        <w:t>86.27</w:t>
      </w:r>
      <w:r>
        <w:rPr>
          <w:rFonts w:hint="eastAsia" w:ascii="仿宋_GB2312" w:eastAsia="仿宋_GB2312"/>
          <w:sz w:val="28"/>
          <w:szCs w:val="28"/>
        </w:rPr>
        <w:t>万元，占</w:t>
      </w:r>
      <w:r>
        <w:rPr>
          <w:rFonts w:hint="eastAsia" w:ascii="仿宋_GB2312" w:eastAsia="仿宋_GB2312"/>
          <w:sz w:val="28"/>
          <w:szCs w:val="28"/>
          <w:lang w:val="en-US" w:eastAsia="zh-CN"/>
        </w:rPr>
        <w:t>支出</w:t>
      </w:r>
      <w:r>
        <w:rPr>
          <w:rFonts w:hint="eastAsia" w:ascii="仿宋_GB2312" w:eastAsia="仿宋_GB2312"/>
          <w:sz w:val="28"/>
          <w:szCs w:val="28"/>
        </w:rPr>
        <w:t>的</w:t>
      </w:r>
      <w:r>
        <w:rPr>
          <w:rFonts w:hint="eastAsia" w:ascii="仿宋_GB2312" w:eastAsia="仿宋_GB2312"/>
          <w:sz w:val="28"/>
          <w:szCs w:val="28"/>
          <w:lang w:val="en-US" w:eastAsia="zh-CN"/>
        </w:rPr>
        <w:t>23.12</w:t>
      </w:r>
      <w:r>
        <w:rPr>
          <w:rFonts w:hint="eastAsia" w:ascii="仿宋_GB2312" w:eastAsia="仿宋_GB2312"/>
          <w:sz w:val="28"/>
          <w:szCs w:val="28"/>
        </w:rPr>
        <w:t>%；住房保障支出</w:t>
      </w:r>
      <w:r>
        <w:rPr>
          <w:rFonts w:hint="eastAsia" w:ascii="仿宋_GB2312" w:eastAsia="仿宋_GB2312"/>
          <w:sz w:val="28"/>
          <w:szCs w:val="28"/>
          <w:lang w:val="en-US" w:eastAsia="zh-CN"/>
        </w:rPr>
        <w:t>18.51</w:t>
      </w:r>
      <w:r>
        <w:rPr>
          <w:rFonts w:hint="eastAsia" w:ascii="仿宋_GB2312" w:eastAsia="仿宋_GB2312"/>
          <w:sz w:val="28"/>
          <w:szCs w:val="28"/>
        </w:rPr>
        <w:t>万元，占</w:t>
      </w:r>
      <w:r>
        <w:rPr>
          <w:rFonts w:hint="eastAsia" w:ascii="仿宋_GB2312" w:eastAsia="仿宋_GB2312"/>
          <w:sz w:val="28"/>
          <w:szCs w:val="28"/>
          <w:lang w:val="en-US" w:eastAsia="zh-CN"/>
        </w:rPr>
        <w:t>支出4.96</w:t>
      </w:r>
      <w:r>
        <w:rPr>
          <w:rFonts w:hint="eastAsia" w:ascii="仿宋_GB2312" w:eastAsia="仿宋_GB2312"/>
          <w:sz w:val="28"/>
          <w:szCs w:val="28"/>
        </w:rPr>
        <w:t>%</w:t>
      </w:r>
      <w:r>
        <w:rPr>
          <w:rFonts w:hint="eastAsia" w:ascii="仿宋_GB2312" w:eastAsia="仿宋_GB2312"/>
          <w:sz w:val="28"/>
          <w:szCs w:val="28"/>
          <w:lang w:eastAsia="zh-CN"/>
        </w:rPr>
        <w:t>；较2017年增加</w:t>
      </w:r>
      <w:r>
        <w:rPr>
          <w:rFonts w:hint="eastAsia" w:ascii="仿宋_GB2312" w:eastAsia="仿宋_GB2312"/>
          <w:sz w:val="28"/>
          <w:szCs w:val="28"/>
          <w:lang w:val="en-US" w:eastAsia="zh-CN"/>
        </w:rPr>
        <w:t>103.91</w:t>
      </w:r>
      <w:r>
        <w:rPr>
          <w:rFonts w:hint="eastAsia" w:ascii="仿宋_GB2312" w:eastAsia="仿宋_GB2312"/>
          <w:sz w:val="28"/>
          <w:szCs w:val="28"/>
          <w:lang w:eastAsia="zh-CN"/>
        </w:rPr>
        <w:t>万元，增长</w:t>
      </w:r>
      <w:r>
        <w:rPr>
          <w:rFonts w:hint="eastAsia" w:ascii="仿宋_GB2312" w:eastAsia="仿宋_GB2312"/>
          <w:sz w:val="28"/>
          <w:szCs w:val="28"/>
          <w:lang w:val="en-US" w:eastAsia="zh-CN"/>
        </w:rPr>
        <w:t>54.03%</w:t>
      </w:r>
      <w:r>
        <w:rPr>
          <w:rFonts w:hint="eastAsia" w:ascii="仿宋_GB2312" w:eastAsia="仿宋_GB2312"/>
          <w:sz w:val="28"/>
          <w:szCs w:val="28"/>
          <w:lang w:eastAsia="zh-CN"/>
        </w:rPr>
        <w:t>%，因机构合并，人员调整，收、支相应增加。</w:t>
      </w:r>
    </w:p>
    <w:p>
      <w:pPr>
        <w:keepNext w:val="0"/>
        <w:keepLines w:val="0"/>
        <w:widowControl w:val="0"/>
        <w:suppressLineNumbers w:val="0"/>
        <w:autoSpaceDE w:val="0"/>
        <w:autoSpaceDN/>
        <w:spacing w:before="0" w:beforeAutospacing="0" w:after="0" w:afterAutospacing="0" w:line="500" w:lineRule="exact"/>
        <w:ind w:left="0" w:right="0" w:firstLine="56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Times New Roman" w:eastAsia="仿宋_GB2312" w:cs="仿宋_GB2312"/>
          <w:color w:val="000000"/>
          <w:kern w:val="2"/>
          <w:sz w:val="32"/>
          <w:szCs w:val="32"/>
          <w:lang w:val="en-US" w:eastAsia="zh-CN" w:bidi="ar"/>
        </w:rPr>
        <w:t>1、基本支出</w:t>
      </w:r>
      <w:r>
        <w:rPr>
          <w:rFonts w:hint="eastAsia" w:ascii="仿宋_GB2312" w:eastAsia="仿宋_GB2312" w:cs="仿宋_GB2312"/>
          <w:color w:val="000000"/>
          <w:kern w:val="2"/>
          <w:sz w:val="32"/>
          <w:szCs w:val="32"/>
          <w:lang w:val="en-US" w:eastAsia="zh-CN" w:bidi="ar"/>
        </w:rPr>
        <w:t>253.21</w:t>
      </w:r>
      <w:r>
        <w:rPr>
          <w:rFonts w:hint="eastAsia" w:ascii="仿宋_GB2312" w:hAnsi="Times New Roman" w:eastAsia="仿宋_GB2312" w:cs="仿宋_GB2312"/>
          <w:color w:val="000000"/>
          <w:kern w:val="2"/>
          <w:sz w:val="32"/>
          <w:szCs w:val="32"/>
          <w:lang w:val="en-US" w:eastAsia="zh-CN" w:bidi="ar"/>
        </w:rPr>
        <w:t>元，占</w:t>
      </w:r>
      <w:r>
        <w:rPr>
          <w:rFonts w:hint="eastAsia" w:ascii="仿宋_GB2312" w:eastAsia="仿宋_GB2312" w:cs="仿宋_GB2312"/>
          <w:color w:val="000000"/>
          <w:kern w:val="2"/>
          <w:sz w:val="32"/>
          <w:szCs w:val="32"/>
          <w:lang w:val="en-US" w:eastAsia="zh-CN" w:bidi="ar"/>
        </w:rPr>
        <w:t>67.85</w:t>
      </w:r>
      <w:r>
        <w:rPr>
          <w:rFonts w:hint="eastAsia" w:ascii="仿宋_GB2312" w:hAnsi="Times New Roman"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工资福利支出：</w:t>
      </w:r>
      <w:r>
        <w:rPr>
          <w:rFonts w:hint="eastAsia" w:ascii="仿宋_GB2312" w:eastAsia="仿宋_GB2312" w:cs="仿宋_GB2312"/>
          <w:sz w:val="30"/>
          <w:szCs w:val="30"/>
        </w:rPr>
        <w:t>219.77</w:t>
      </w:r>
      <w:r>
        <w:rPr>
          <w:rFonts w:hint="eastAsia" w:ascii="仿宋_GB2312" w:hAnsi="Times New Roman" w:eastAsia="仿宋_GB2312" w:cs="仿宋_GB2312"/>
          <w:color w:val="000000"/>
          <w:kern w:val="2"/>
          <w:sz w:val="32"/>
          <w:szCs w:val="32"/>
          <w:lang w:val="en-US" w:eastAsia="zh-CN" w:bidi="ar"/>
        </w:rPr>
        <w:t>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商品服务支出：</w:t>
      </w:r>
      <w:r>
        <w:rPr>
          <w:rFonts w:hint="eastAsia" w:ascii="仿宋_GB2312" w:eastAsia="仿宋_GB2312" w:cs="仿宋_GB2312"/>
          <w:sz w:val="30"/>
          <w:szCs w:val="30"/>
        </w:rPr>
        <w:t>33.43</w:t>
      </w:r>
      <w:r>
        <w:rPr>
          <w:rFonts w:hint="eastAsia" w:ascii="仿宋_GB2312" w:hAnsi="Times New Roman" w:eastAsia="仿宋_GB2312" w:cs="仿宋_GB2312"/>
          <w:color w:val="000000"/>
          <w:kern w:val="2"/>
          <w:sz w:val="32"/>
          <w:szCs w:val="32"/>
          <w:lang w:val="en-US" w:eastAsia="zh-CN" w:bidi="ar"/>
        </w:rPr>
        <w:t>万元</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2、项目支出</w:t>
      </w:r>
      <w:r>
        <w:rPr>
          <w:rFonts w:hint="eastAsia" w:ascii="仿宋_GB2312" w:eastAsia="仿宋_GB2312" w:cs="仿宋_GB2312"/>
          <w:sz w:val="30"/>
          <w:szCs w:val="30"/>
          <w:lang w:val="en-US" w:eastAsia="zh-CN"/>
        </w:rPr>
        <w:t>120.00</w:t>
      </w:r>
      <w:r>
        <w:rPr>
          <w:rFonts w:hint="eastAsia" w:ascii="仿宋_GB2312" w:hAnsi="Times New Roman" w:eastAsia="仿宋_GB2312" w:cs="仿宋_GB2312"/>
          <w:color w:val="000000"/>
          <w:kern w:val="2"/>
          <w:sz w:val="32"/>
          <w:szCs w:val="32"/>
          <w:lang w:val="en-US" w:eastAsia="zh-CN" w:bidi="ar"/>
        </w:rPr>
        <w:t>万元，占</w:t>
      </w:r>
      <w:r>
        <w:rPr>
          <w:rFonts w:hint="eastAsia" w:ascii="仿宋_GB2312" w:eastAsia="仿宋_GB2312" w:cs="仿宋_GB2312"/>
          <w:color w:val="000000"/>
          <w:kern w:val="2"/>
          <w:sz w:val="32"/>
          <w:szCs w:val="32"/>
          <w:lang w:val="en-US" w:eastAsia="zh-CN" w:bidi="ar"/>
        </w:rPr>
        <w:t>32.15</w:t>
      </w:r>
      <w:r>
        <w:rPr>
          <w:rFonts w:hint="eastAsia" w:ascii="仿宋_GB2312" w:hAnsi="Times New Roman"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三、部门财政支出管理情况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（一）预决算编制情况。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严格按照县级部门预算编制通知和有关要求，按时完成预决算编制工作。严格按照财政局的要求认真完成财政供养人员控制在预算编制以内，编制内在职人员控制率小于100%，人员控制非常好。“三公”经费预算较上年减少，达到了只减不增的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（二）执行管理情况。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我单位2018年6月、9月、11月及全年执行进度达到本部门执行进度。</w:t>
      </w:r>
      <w:r>
        <w:rPr>
          <w:rFonts w:hint="default" w:ascii="仿宋_GB2312" w:hAnsi="Times New Roman" w:eastAsia="仿宋_GB2312" w:cs="仿宋_GB2312"/>
          <w:color w:val="000000"/>
          <w:kern w:val="2"/>
          <w:sz w:val="32"/>
          <w:szCs w:val="32"/>
          <w:lang w:val="en-US" w:eastAsia="zh-CN" w:bidi="ar"/>
        </w:rPr>
        <w:t>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（三）支出绩效情况。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1、部门支出绩效。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（1）行政运转保障</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eastAsia="仿宋_GB2312" w:cs="仿宋_GB2312"/>
          <w:color w:val="000000"/>
          <w:sz w:val="32"/>
          <w:szCs w:val="32"/>
          <w:lang w:val="en-US"/>
        </w:rPr>
      </w:pPr>
      <w:r>
        <w:rPr>
          <w:rFonts w:hint="eastAsia" w:ascii="仿宋_GB2312" w:hAnsi="Times New Roman" w:eastAsia="仿宋_GB2312" w:cs="仿宋_GB2312"/>
          <w:color w:val="000000"/>
          <w:kern w:val="2"/>
          <w:sz w:val="32"/>
          <w:szCs w:val="32"/>
          <w:lang w:val="en-US" w:eastAsia="zh-CN" w:bidi="ar"/>
        </w:rPr>
        <w:t>财政拨款安排支出主要用于保障单位正常运转、完成日常工作任务以及住房保障等相关工作。</w:t>
      </w:r>
      <w:r>
        <w:rPr>
          <w:rFonts w:hint="default" w:ascii="仿宋_GB2312" w:hAnsi="Times New Roman" w:eastAsia="仿宋_GB2312" w:cs="仿宋_GB2312"/>
          <w:color w:val="000000"/>
          <w:kern w:val="2"/>
          <w:sz w:val="32"/>
          <w:szCs w:val="32"/>
          <w:lang w:val="en-US" w:eastAsia="zh-CN" w:bidi="ar"/>
        </w:rPr>
        <w:t> </w:t>
      </w:r>
      <w:r>
        <w:rPr>
          <w:rFonts w:hint="eastAsia" w:ascii="仿宋_GB2312" w:hAnsi="Times New Roman" w:eastAsia="仿宋_GB2312" w:cs="仿宋_GB2312"/>
          <w:color w:val="000000"/>
          <w:kern w:val="2"/>
          <w:sz w:val="32"/>
          <w:szCs w:val="32"/>
          <w:lang w:val="en-US" w:eastAsia="zh-CN" w:bidi="ar"/>
        </w:rPr>
        <w:t>其中：人员经费</w:t>
      </w:r>
      <w:r>
        <w:rPr>
          <w:rFonts w:hint="eastAsia" w:ascii="仿宋_GB2312" w:eastAsia="仿宋_GB2312" w:cs="仿宋_GB2312"/>
          <w:sz w:val="30"/>
          <w:szCs w:val="30"/>
        </w:rPr>
        <w:t>219.77</w:t>
      </w:r>
      <w:r>
        <w:rPr>
          <w:rFonts w:hint="eastAsia" w:ascii="仿宋_GB2312" w:hAnsi="Times New Roman" w:eastAsia="仿宋_GB2312" w:cs="仿宋_GB2312"/>
          <w:color w:val="000000"/>
          <w:kern w:val="2"/>
          <w:sz w:val="32"/>
          <w:szCs w:val="32"/>
          <w:lang w:val="en-US" w:eastAsia="zh-CN" w:bidi="ar"/>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eastAsia="仿宋_GB2312" w:cs="仿宋_GB2312"/>
          <w:b/>
          <w:color w:val="000000"/>
          <w:sz w:val="32"/>
          <w:szCs w:val="32"/>
          <w:lang w:val="en-US"/>
        </w:rPr>
      </w:pPr>
      <w:r>
        <w:rPr>
          <w:rFonts w:hint="eastAsia" w:ascii="仿宋_GB2312" w:hAnsi="Times New Roman" w:eastAsia="仿宋_GB2312" w:cs="仿宋_GB2312"/>
          <w:color w:val="000000"/>
          <w:kern w:val="2"/>
          <w:sz w:val="32"/>
          <w:szCs w:val="32"/>
          <w:lang w:val="en-US" w:eastAsia="zh-CN" w:bidi="ar"/>
        </w:rPr>
        <w:t>公用经费</w:t>
      </w:r>
      <w:r>
        <w:rPr>
          <w:rFonts w:hint="eastAsia" w:ascii="仿宋_GB2312" w:eastAsia="仿宋_GB2312" w:cs="仿宋_GB2312"/>
          <w:sz w:val="30"/>
          <w:szCs w:val="30"/>
        </w:rPr>
        <w:t>33.43</w:t>
      </w:r>
      <w:r>
        <w:rPr>
          <w:rFonts w:hint="eastAsia" w:ascii="仿宋_GB2312" w:hAnsi="Times New Roman" w:eastAsia="仿宋_GB2312" w:cs="仿宋_GB2312"/>
          <w:color w:val="000000"/>
          <w:kern w:val="2"/>
          <w:sz w:val="32"/>
          <w:szCs w:val="32"/>
          <w:lang w:val="en-US" w:eastAsia="zh-CN" w:bidi="ar"/>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（2）机关厉行节约。</w:t>
      </w:r>
    </w:p>
    <w:p>
      <w:pPr>
        <w:spacing w:line="560" w:lineRule="exact"/>
        <w:ind w:firstLine="640" w:firstLineChars="200"/>
        <w:rPr>
          <w:rFonts w:hint="eastAsia" w:ascii="仿宋_GB2312" w:eastAsia="仿宋_GB2312" w:cs="仿宋_GB2312"/>
          <w:sz w:val="28"/>
          <w:szCs w:val="28"/>
          <w:lang w:val="en-US"/>
        </w:rPr>
      </w:pPr>
      <w:r>
        <w:rPr>
          <w:rFonts w:hint="eastAsia" w:ascii="仿宋_GB2312" w:hAnsi="Times New Roman" w:eastAsia="仿宋_GB2312" w:cs="仿宋_GB2312"/>
          <w:kern w:val="2"/>
          <w:sz w:val="32"/>
          <w:szCs w:val="32"/>
          <w:lang w:val="en-US" w:eastAsia="zh-CN" w:bidi="ar"/>
        </w:rPr>
        <w:t>我单位认真贯彻落实中央和省委省政府相关规定，厉行节约，严格控制因公出国（境）费用、会议费、车辆购置及运行费用和公务接待经费，全年三公经费支</w:t>
      </w:r>
      <w:r>
        <w:rPr>
          <w:rFonts w:hint="eastAsia" w:ascii="仿宋_GB2312" w:eastAsia="仿宋_GB2312" w:cs="仿宋_GB2312"/>
          <w:kern w:val="2"/>
          <w:sz w:val="32"/>
          <w:szCs w:val="32"/>
          <w:lang w:val="en-US" w:eastAsia="zh-CN" w:bidi="ar"/>
        </w:rPr>
        <w:t>3.94</w:t>
      </w:r>
      <w:r>
        <w:rPr>
          <w:rFonts w:hint="eastAsia" w:ascii="仿宋_GB2312" w:hAnsi="Times New Roman" w:eastAsia="仿宋_GB2312" w:cs="仿宋_GB2312"/>
          <w:kern w:val="2"/>
          <w:sz w:val="32"/>
          <w:szCs w:val="32"/>
          <w:lang w:val="en-US" w:eastAsia="zh-CN" w:bidi="ar"/>
        </w:rPr>
        <w:t>万元，其中公务接待</w:t>
      </w:r>
      <w:r>
        <w:rPr>
          <w:rFonts w:hint="eastAsia" w:ascii="仿宋_GB2312" w:eastAsia="仿宋_GB2312" w:cs="仿宋_GB2312"/>
          <w:kern w:val="2"/>
          <w:sz w:val="32"/>
          <w:szCs w:val="32"/>
          <w:lang w:val="en-US" w:eastAsia="zh-CN" w:bidi="ar"/>
        </w:rPr>
        <w:t>0.98</w:t>
      </w:r>
      <w:r>
        <w:rPr>
          <w:rFonts w:hint="eastAsia" w:ascii="仿宋_GB2312" w:hAnsi="Times New Roman" w:eastAsia="仿宋_GB2312" w:cs="仿宋_GB2312"/>
          <w:kern w:val="2"/>
          <w:sz w:val="32"/>
          <w:szCs w:val="32"/>
          <w:lang w:val="en-US" w:eastAsia="zh-CN" w:bidi="ar"/>
        </w:rPr>
        <w:t>万元，占三公经费的</w:t>
      </w:r>
      <w:r>
        <w:rPr>
          <w:rFonts w:hint="eastAsia" w:ascii="仿宋_GB2312" w:eastAsia="仿宋_GB2312" w:cs="仿宋_GB2312"/>
          <w:kern w:val="2"/>
          <w:sz w:val="32"/>
          <w:szCs w:val="32"/>
          <w:lang w:val="en-US" w:eastAsia="zh-CN" w:bidi="ar"/>
        </w:rPr>
        <w:t>24.87</w:t>
      </w:r>
      <w:r>
        <w:rPr>
          <w:rFonts w:hint="eastAsia" w:ascii="仿宋_GB2312" w:hAnsi="Times New Roman" w:eastAsia="仿宋_GB2312" w:cs="仿宋_GB2312"/>
          <w:kern w:val="2"/>
          <w:sz w:val="32"/>
          <w:szCs w:val="32"/>
          <w:lang w:val="en-US" w:eastAsia="zh-CN" w:bidi="ar"/>
        </w:rPr>
        <w:t>%；公车运行维护费</w:t>
      </w:r>
      <w:r>
        <w:rPr>
          <w:rFonts w:hint="eastAsia" w:ascii="仿宋_GB2312" w:eastAsia="仿宋_GB2312" w:cs="仿宋_GB2312"/>
          <w:kern w:val="2"/>
          <w:sz w:val="32"/>
          <w:szCs w:val="32"/>
          <w:lang w:val="en-US" w:eastAsia="zh-CN" w:bidi="ar"/>
        </w:rPr>
        <w:t>2.96万元，占三公经费的75.13%</w:t>
      </w:r>
      <w:r>
        <w:rPr>
          <w:rFonts w:hint="eastAsia" w:ascii="仿宋_GB2312" w:hAnsi="Times New Roman" w:eastAsia="仿宋_GB2312" w:cs="仿宋_GB2312"/>
          <w:kern w:val="2"/>
          <w:sz w:val="32"/>
          <w:szCs w:val="32"/>
          <w:lang w:val="en-US" w:eastAsia="zh-CN" w:bidi="ar"/>
        </w:rPr>
        <w:t>。我单位本着厉行节约的原则，节约开支，规范报帐制度。2017年三公经费增加2.39万元，增长154.43%。因机构合并，三公经费相应增加。</w:t>
      </w:r>
    </w:p>
    <w:p>
      <w:pPr>
        <w:keepNext w:val="0"/>
        <w:keepLines w:val="0"/>
        <w:widowControl w:val="0"/>
        <w:suppressLineNumbers w:val="0"/>
        <w:spacing w:before="0" w:beforeAutospacing="0" w:after="0" w:afterAutospacing="0" w:line="600" w:lineRule="exac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（3）机关节能降耗。</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严格按照勤俭节约的原则，节约用水用电，2018年水费</w:t>
      </w:r>
      <w:r>
        <w:rPr>
          <w:rFonts w:hint="eastAsia" w:ascii="仿宋_GB2312" w:eastAsia="仿宋_GB2312" w:cs="仿宋_GB2312"/>
          <w:kern w:val="2"/>
          <w:sz w:val="32"/>
          <w:szCs w:val="32"/>
          <w:lang w:val="en-US" w:eastAsia="zh-CN" w:bidi="ar"/>
        </w:rPr>
        <w:t>2000</w:t>
      </w:r>
      <w:r>
        <w:rPr>
          <w:rFonts w:hint="eastAsia" w:ascii="仿宋_GB2312" w:hAnsi="Times New Roman" w:eastAsia="仿宋_GB2312" w:cs="仿宋_GB2312"/>
          <w:kern w:val="2"/>
          <w:sz w:val="32"/>
          <w:szCs w:val="32"/>
          <w:lang w:val="en-US" w:eastAsia="zh-CN" w:bidi="ar"/>
        </w:rPr>
        <w:t>元，电费1</w:t>
      </w:r>
      <w:r>
        <w:rPr>
          <w:rFonts w:hint="eastAsia" w:ascii="仿宋_GB2312" w:eastAsia="仿宋_GB2312" w:cs="仿宋_GB2312"/>
          <w:kern w:val="2"/>
          <w:sz w:val="32"/>
          <w:szCs w:val="32"/>
          <w:lang w:val="en-US" w:eastAsia="zh-CN" w:bidi="ar"/>
        </w:rPr>
        <w:t>5000</w:t>
      </w:r>
      <w:r>
        <w:rPr>
          <w:rFonts w:hint="eastAsia" w:ascii="仿宋_GB2312" w:hAnsi="Times New Roman" w:eastAsia="仿宋_GB2312" w:cs="仿宋_GB2312"/>
          <w:kern w:val="2"/>
          <w:sz w:val="32"/>
          <w:szCs w:val="32"/>
          <w:lang w:val="en-US" w:eastAsia="zh-CN" w:bidi="ar"/>
        </w:rPr>
        <w:t>元。</w:t>
      </w:r>
      <w:r>
        <w:rPr>
          <w:rFonts w:hint="default" w:ascii="仿宋_GB2312" w:hAnsi="Times New Roman" w:eastAsia="仿宋_GB2312" w:cs="仿宋_GB2312"/>
          <w:kern w:val="2"/>
          <w:sz w:val="32"/>
          <w:szCs w:val="32"/>
          <w:lang w:val="en-US" w:eastAsia="zh-CN" w:bidi="ar"/>
        </w:rPr>
        <w:t> </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val="en-US"/>
        </w:rPr>
        <w:t>2</w:t>
      </w:r>
      <w:r>
        <w:rPr>
          <w:rFonts w:hint="eastAsia" w:ascii="仿宋_GB2312" w:hAnsi="Times New Roman" w:eastAsia="仿宋_GB2312" w:cs="仿宋_GB2312"/>
          <w:kern w:val="2"/>
          <w:sz w:val="32"/>
          <w:szCs w:val="32"/>
          <w:lang w:eastAsia="zh-CN"/>
        </w:rPr>
        <w:t>、专项预算项目（待批复项目）支出绩效。</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1</w:t>
      </w:r>
      <w:r>
        <w:rPr>
          <w:rFonts w:hint="eastAsia" w:ascii="仿宋_GB2312" w:hAnsi="Times New Roman" w:eastAsia="仿宋_GB2312" w:cs="仿宋_GB2312"/>
          <w:kern w:val="2"/>
          <w:sz w:val="32"/>
          <w:szCs w:val="32"/>
          <w:lang w:eastAsia="zh-CN"/>
        </w:rPr>
        <w:t>）资金绩效分配情况。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严格按照专项资金管理相关规定，实施绩效分配。</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2</w:t>
      </w:r>
      <w:r>
        <w:rPr>
          <w:rFonts w:hint="eastAsia" w:ascii="仿宋_GB2312" w:hAnsi="Times New Roman" w:eastAsia="仿宋_GB2312" w:cs="仿宋_GB2312"/>
          <w:kern w:val="2"/>
          <w:sz w:val="32"/>
          <w:szCs w:val="32"/>
          <w:lang w:eastAsia="zh-CN"/>
        </w:rPr>
        <w:t>）项目资金管理情况。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eastAsia="zh-CN"/>
        </w:rPr>
        <w:t>我单位项目资金管理严格按照用款计划，分月、季度执行，按照项目资金管理办法实行专款专用。</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kern w:val="2"/>
          <w:sz w:val="32"/>
          <w:szCs w:val="32"/>
          <w:lang w:val="en-US"/>
        </w:rPr>
        <w:t>3</w:t>
      </w:r>
      <w:r>
        <w:rPr>
          <w:rFonts w:hint="eastAsia" w:ascii="仿宋_GB2312" w:hAnsi="Times New Roman" w:eastAsia="仿宋_GB2312" w:cs="仿宋_GB2312"/>
          <w:kern w:val="2"/>
          <w:sz w:val="32"/>
          <w:szCs w:val="32"/>
          <w:lang w:eastAsia="zh-CN"/>
        </w:rPr>
        <w:t>）绩效目标完成情况。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按照年初预算项目，实施完成后使全年培训工作达到预期目标。</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（四）财务管理情况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按照岗位职责，严格执行机关财务管理制度，会计核算符合相关规定，资金专款专用，资金支付依据和开支标准合法合规，对项目资金、政府采购进行公开公示，接受群众监督。</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（五）绩效管理工作开展情况</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积极开展部门自评工作，并将评价结果运用。</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eastAsia="zh-CN"/>
        </w:rPr>
        <w:t>四、评价结论及建议</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eastAsia" w:ascii="仿宋_GB2312" w:hAnsi="Times New Roman" w:eastAsia="仿宋_GB2312" w:cs="仿宋_GB2312"/>
          <w:kern w:val="2"/>
          <w:sz w:val="32"/>
          <w:szCs w:val="32"/>
          <w:lang w:eastAsia="zh-CN"/>
        </w:rPr>
        <w:t>（一）评价结论</w:t>
      </w:r>
    </w:p>
    <w:p>
      <w:pPr>
        <w:pStyle w:val="12"/>
        <w:widowControl/>
        <w:spacing w:before="0" w:beforeAutospacing="0" w:after="0" w:afterAutospacing="0"/>
        <w:ind w:left="0" w:right="0" w:firstLine="480"/>
        <w:jc w:val="both"/>
        <w:rPr>
          <w:rFonts w:hint="eastAsia" w:ascii="仿宋_GB2312" w:hAnsi="Times New Roman" w:eastAsia="仿宋_GB2312" w:cs="仿宋_GB2312"/>
          <w:kern w:val="2"/>
          <w:sz w:val="32"/>
          <w:szCs w:val="32"/>
          <w:lang w:val="en-US"/>
        </w:rPr>
      </w:pPr>
      <w:r>
        <w:rPr>
          <w:rFonts w:hint="default" w:ascii="仿宋_GB2312" w:hAnsi="Times New Roman" w:eastAsia="仿宋_GB2312" w:cs="仿宋_GB2312"/>
          <w:kern w:val="2"/>
          <w:sz w:val="32"/>
          <w:szCs w:val="32"/>
          <w:lang w:val="en-US"/>
        </w:rPr>
        <w:t> </w:t>
      </w:r>
      <w:r>
        <w:rPr>
          <w:rFonts w:hint="eastAsia" w:ascii="仿宋_GB2312" w:hAnsi="Times New Roman" w:eastAsia="仿宋_GB2312" w:cs="仿宋_GB2312"/>
          <w:kern w:val="2"/>
          <w:sz w:val="32"/>
          <w:szCs w:val="32"/>
          <w:lang w:eastAsia="zh-CN"/>
        </w:rPr>
        <w:t>我单位</w:t>
      </w:r>
      <w:r>
        <w:rPr>
          <w:rFonts w:hint="eastAsia" w:ascii="仿宋_GB2312" w:hAnsi="Times New Roman" w:eastAsia="仿宋_GB2312" w:cs="仿宋_GB2312"/>
          <w:kern w:val="2"/>
          <w:sz w:val="32"/>
          <w:szCs w:val="32"/>
          <w:lang w:val="en-US"/>
        </w:rPr>
        <w:t>2018</w:t>
      </w:r>
      <w:r>
        <w:rPr>
          <w:rFonts w:hint="eastAsia" w:ascii="仿宋_GB2312" w:hAnsi="Times New Roman" w:eastAsia="仿宋_GB2312" w:cs="仿宋_GB2312"/>
          <w:kern w:val="2"/>
          <w:sz w:val="32"/>
          <w:szCs w:val="32"/>
          <w:lang w:eastAsia="zh-CN"/>
        </w:rPr>
        <w:t>年部门支出与年初预算基本一致，达到预期绩效目标。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（二）存在问题。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在部门整体支出的资金安排和使用上仍有不可预见性，在科学设置预算绩效指标上还需进一步加强，使之更加贴合单位工作的实际;比如说在预算执行中，有时难免会出现一些意料不到的状况，导致年底需要调剂或者追加经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（三）改进建议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1、细化预算编制工作，认真做好预算的编制。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进一步加强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尽管目前三公经费的预算执行情况较好，根据厉行节约原则，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5、预算财务分析常态化。定期做好支出预算财务分析，及时对费用预算执行情况进行通报和预警，做好部门整体支出预算评价工作。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6、针对指标文件下达工作，尽早计划和开展年度专项的申报，加强报批工作的沟通和跟踪，及时落实指标文的下达；对财政资金下达时间滞后的项目，加强与财政部门的沟通联系，尽早取得资金的拨付，保障项目资金的投入进度，发挥资金的使用效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7、及时开展和财政的年度结余资金的对账工作，加强和财政的沟通，尽早取得上年结余资金结转的指标批复，以便年初相关工作的开展。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8、加强财务核算工作，提高财务的精细化管理，确保财务核算的真实、及时、准确、完整。</w:t>
      </w:r>
    </w:p>
    <w:p>
      <w:pPr>
        <w:rPr>
          <w:rStyle w:val="25"/>
          <w:rFonts w:hint="eastAsia" w:ascii="仿宋" w:hAnsi="仿宋" w:eastAsia="仿宋"/>
          <w:b w:val="0"/>
          <w:bCs w:val="0"/>
          <w:sz w:val="32"/>
          <w:szCs w:val="32"/>
        </w:rPr>
      </w:pPr>
      <w:r>
        <w:rPr>
          <w:rStyle w:val="25"/>
          <w:rFonts w:hint="eastAsia" w:ascii="仿宋" w:hAnsi="仿宋" w:eastAsia="仿宋"/>
          <w:b w:val="0"/>
          <w:bCs w:val="0"/>
          <w:sz w:val="32"/>
          <w:szCs w:val="32"/>
        </w:rPr>
        <w:br w:type="page"/>
      </w: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bookmarkEnd w:id="62"/>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5"/>
          <w:rFonts w:ascii="黑体" w:hAnsi="黑体" w:eastAsia="黑体"/>
          <w:b w:val="0"/>
        </w:rPr>
      </w:pPr>
      <w:bookmarkStart w:id="63"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6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5"/>
    </w:p>
    <w:p>
      <w:pPr>
        <w:pStyle w:val="3"/>
        <w:rPr>
          <w:rFonts w:ascii="仿宋" w:hAnsi="仿宋" w:eastAsia="仿宋"/>
          <w:color w:val="000000"/>
        </w:rPr>
      </w:pPr>
      <w:bookmarkStart w:id="66"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6"/>
    </w:p>
    <w:p>
      <w:pPr>
        <w:pStyle w:val="3"/>
        <w:rPr>
          <w:rFonts w:ascii="仿宋" w:hAnsi="仿宋" w:eastAsia="仿宋"/>
          <w:b w:val="0"/>
          <w:color w:val="000000"/>
        </w:rPr>
      </w:pPr>
      <w:bookmarkStart w:id="67"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7"/>
    </w:p>
    <w:p>
      <w:pPr>
        <w:pStyle w:val="3"/>
        <w:rPr>
          <w:rFonts w:ascii="仿宋" w:hAnsi="仿宋" w:eastAsia="仿宋"/>
          <w:color w:val="000000"/>
        </w:rPr>
      </w:pPr>
      <w:bookmarkStart w:id="68"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8"/>
    </w:p>
    <w:p>
      <w:pPr>
        <w:pStyle w:val="3"/>
        <w:rPr>
          <w:rFonts w:ascii="仿宋" w:hAnsi="仿宋" w:eastAsia="仿宋"/>
          <w:color w:val="000000"/>
        </w:rPr>
      </w:pPr>
      <w:bookmarkStart w:id="69"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14:textFill>
            <w14:solidFill>
              <w14:schemeClr w14:val="tx1"/>
            </w14:solidFill>
          </w14:textFill>
        </w:rPr>
      </w:pPr>
      <w:bookmarkStart w:id="76"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6"/>
    </w:p>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66FE"/>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5E508B8"/>
    <w:rsid w:val="09C57966"/>
    <w:rsid w:val="0A5A193D"/>
    <w:rsid w:val="0B645C04"/>
    <w:rsid w:val="0FC02DC1"/>
    <w:rsid w:val="10C055FF"/>
    <w:rsid w:val="141B0317"/>
    <w:rsid w:val="16BB723D"/>
    <w:rsid w:val="17BD304B"/>
    <w:rsid w:val="18D15DA3"/>
    <w:rsid w:val="1BF91A86"/>
    <w:rsid w:val="1D2B3B70"/>
    <w:rsid w:val="1E160FEA"/>
    <w:rsid w:val="1F850491"/>
    <w:rsid w:val="20414A8A"/>
    <w:rsid w:val="216D6544"/>
    <w:rsid w:val="23CC78B1"/>
    <w:rsid w:val="240371BF"/>
    <w:rsid w:val="25616F2D"/>
    <w:rsid w:val="26181D44"/>
    <w:rsid w:val="284C63A4"/>
    <w:rsid w:val="29FD04D3"/>
    <w:rsid w:val="2B193C3D"/>
    <w:rsid w:val="2E9008D4"/>
    <w:rsid w:val="3052488B"/>
    <w:rsid w:val="31650E11"/>
    <w:rsid w:val="319F7F4E"/>
    <w:rsid w:val="35251A9E"/>
    <w:rsid w:val="35DF533F"/>
    <w:rsid w:val="36210BFF"/>
    <w:rsid w:val="3AB01ADF"/>
    <w:rsid w:val="42B439B3"/>
    <w:rsid w:val="486D2E17"/>
    <w:rsid w:val="48B24737"/>
    <w:rsid w:val="49900B0A"/>
    <w:rsid w:val="4C541DEA"/>
    <w:rsid w:val="4D67567E"/>
    <w:rsid w:val="4E1F1E39"/>
    <w:rsid w:val="504017DA"/>
    <w:rsid w:val="52645BDC"/>
    <w:rsid w:val="52C16E37"/>
    <w:rsid w:val="5B221451"/>
    <w:rsid w:val="5C246D69"/>
    <w:rsid w:val="5DFC430E"/>
    <w:rsid w:val="5E7E4646"/>
    <w:rsid w:val="6D525761"/>
    <w:rsid w:val="6FFA39ED"/>
    <w:rsid w:val="767F4BD3"/>
    <w:rsid w:val="774B7CC3"/>
    <w:rsid w:val="780C068D"/>
    <w:rsid w:val="7945123E"/>
    <w:rsid w:val="7C2C0DD4"/>
    <w:rsid w:val="7C38230D"/>
    <w:rsid w:val="7DC41219"/>
    <w:rsid w:val="7F740A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0"/>
    <w:basedOn w:val="1"/>
    <w:qFormat/>
    <w:uiPriority w:val="0"/>
    <w:pPr>
      <w:widowControl/>
      <w:spacing w:line="365" w:lineRule="atLeast"/>
      <w:ind w:left="1"/>
      <w:textAlignment w:val="bottom"/>
    </w:pPr>
    <w:rPr>
      <w:kern w:val="0"/>
      <w:sz w:val="20"/>
      <w:szCs w:val="20"/>
    </w:rPr>
  </w:style>
  <w:style w:type="character" w:customStyle="1" w:styleId="31">
    <w:name w:val="htd01"/>
    <w:basedOn w:val="14"/>
    <w:qFormat/>
    <w:uiPriority w:val="0"/>
  </w:style>
  <w:style w:type="character" w:customStyle="1" w:styleId="32">
    <w:name w:val="font41"/>
    <w:basedOn w:val="14"/>
    <w:qFormat/>
    <w:uiPriority w:val="0"/>
    <w:rPr>
      <w:rFonts w:hint="eastAsia" w:ascii="宋体" w:hAnsi="宋体" w:eastAsia="宋体" w:cs="宋体"/>
      <w:color w:val="000000"/>
      <w:sz w:val="20"/>
      <w:szCs w:val="20"/>
      <w:u w:val="none"/>
    </w:rPr>
  </w:style>
  <w:style w:type="character" w:customStyle="1" w:styleId="33">
    <w:name w:val="font11"/>
    <w:basedOn w:val="14"/>
    <w:qFormat/>
    <w:uiPriority w:val="0"/>
    <w:rPr>
      <w:rFonts w:hint="eastAsia" w:ascii="宋体" w:hAnsi="宋体" w:eastAsia="宋体" w:cs="宋体"/>
      <w:color w:val="000000"/>
      <w:sz w:val="20"/>
      <w:szCs w:val="20"/>
      <w:u w:val="none"/>
    </w:rPr>
  </w:style>
  <w:style w:type="paragraph" w:customStyle="1" w:styleId="34">
    <w:name w:val="p0"/>
    <w:basedOn w:val="1"/>
    <w:qFormat/>
    <w:uiPriority w:val="0"/>
    <w:pPr>
      <w:widowControl/>
    </w:pPr>
    <w:rPr>
      <w:kern w:val="0"/>
    </w:rPr>
  </w:style>
  <w:style w:type="character" w:customStyle="1" w:styleId="35">
    <w:name w:val="font61"/>
    <w:basedOn w:val="14"/>
    <w:qFormat/>
    <w:uiPriority w:val="0"/>
    <w:rPr>
      <w:rFonts w:hint="default" w:ascii="Times New Roman" w:hAnsi="Times New Roman" w:eastAsia="楷体_GB2312" w:cs="Times New Roman"/>
      <w:sz w:val="32"/>
      <w:szCs w:val="24"/>
    </w:rPr>
  </w:style>
  <w:style w:type="character" w:customStyle="1" w:styleId="36">
    <w:name w:val="font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总收入</c:v>
                </c:pt>
                <c:pt idx="1">
                  <c:v>总支出</c:v>
                </c:pt>
              </c:strCache>
            </c:strRef>
          </c:cat>
          <c:val>
            <c:numRef>
              <c:f>Sheet1!$B$2:$B$3</c:f>
              <c:numCache>
                <c:formatCode>General</c:formatCode>
                <c:ptCount val="2"/>
                <c:pt idx="0">
                  <c:v>373.2</c:v>
                </c:pt>
                <c:pt idx="1">
                  <c:v>373.2</c:v>
                </c:pt>
              </c:numCache>
            </c:numRef>
          </c:val>
        </c:ser>
        <c:ser>
          <c:idx val="1"/>
          <c:order val="1"/>
          <c:tx>
            <c:strRef>
              <c:f>Sheet1!$C$1</c:f>
              <c:strCache>
                <c:ptCount val="1"/>
                <c:pt idx="0">
                  <c:v>2017年</c:v>
                </c:pt>
              </c:strCache>
            </c:strRef>
          </c:tx>
          <c:spPr>
            <a:solidFill>
              <a:schemeClr val="accent2"/>
            </a:solidFill>
            <a:ln>
              <a:noFill/>
            </a:ln>
            <a:effectLst/>
          </c:spPr>
          <c:invertIfNegative val="0"/>
          <c:dLbls>
            <c:delete val="1"/>
          </c:dLbls>
          <c:cat>
            <c:strRef>
              <c:f>Sheet1!$A$2:$A$3</c:f>
              <c:strCache>
                <c:ptCount val="2"/>
                <c:pt idx="0">
                  <c:v>总收入</c:v>
                </c:pt>
                <c:pt idx="1">
                  <c:v>总支出</c:v>
                </c:pt>
              </c:strCache>
            </c:strRef>
          </c:cat>
          <c:val>
            <c:numRef>
              <c:f>Sheet1!$C$2:$C$3</c:f>
              <c:numCache>
                <c:formatCode>General</c:formatCode>
                <c:ptCount val="2"/>
                <c:pt idx="0">
                  <c:v>242.29</c:v>
                </c:pt>
                <c:pt idx="1">
                  <c:v>242.29</c:v>
                </c:pt>
              </c:numCache>
            </c:numRef>
          </c:val>
        </c:ser>
        <c:dLbls>
          <c:showLegendKey val="0"/>
          <c:showVal val="0"/>
          <c:showCatName val="0"/>
          <c:showSerName val="0"/>
          <c:showPercent val="0"/>
          <c:showBubbleSize val="0"/>
        </c:dLbls>
        <c:gapWidth val="219"/>
        <c:overlap val="-27"/>
        <c:axId val="260568281"/>
        <c:axId val="627876725"/>
      </c:barChart>
      <c:catAx>
        <c:axId val="260568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6725"/>
        <c:crosses val="autoZero"/>
        <c:auto val="1"/>
        <c:lblAlgn val="ctr"/>
        <c:lblOffset val="100"/>
        <c:noMultiLvlLbl val="0"/>
      </c:catAx>
      <c:valAx>
        <c:axId val="6278767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2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tx>
            <c:strRef>
              <c:f>Sheet1!$B$1</c:f>
              <c:strCache>
                <c:ptCount val="1"/>
                <c:pt idx="0">
                  <c:v>收入总额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一般预算</c:v>
                </c:pt>
                <c:pt idx="1">
                  <c:v>基金预算</c:v>
                </c:pt>
              </c:strCache>
            </c:strRef>
          </c:cat>
          <c:val>
            <c:numRef>
              <c:f>Sheet1!$B$2:$B$3</c:f>
              <c:numCache>
                <c:formatCode>General</c:formatCode>
                <c:ptCount val="2"/>
                <c:pt idx="0">
                  <c:v>373.2</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tx>
            <c:strRef>
              <c:f>Sheet1!$B$1</c:f>
              <c:strCache>
                <c:ptCount val="1"/>
                <c:pt idx="0">
                  <c:v>基本支出</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253.21</c:v>
                </c:pt>
                <c:pt idx="1">
                  <c:v>120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373.2</c:v>
                </c:pt>
                <c:pt idx="1">
                  <c:v>73.2</c:v>
                </c:pt>
              </c:numCache>
            </c:numRef>
          </c:val>
        </c:ser>
        <c:ser>
          <c:idx val="1"/>
          <c:order val="1"/>
          <c:tx>
            <c:strRef>
              <c:f>Sheet1!$C$1</c:f>
              <c:strCache>
                <c:ptCount val="1"/>
                <c:pt idx="0">
                  <c:v>2017年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242.29</c:v>
                </c:pt>
                <c:pt idx="1">
                  <c:v>242.29</c:v>
                </c:pt>
              </c:numCache>
            </c:numRef>
          </c:val>
        </c:ser>
        <c:dLbls>
          <c:showLegendKey val="0"/>
          <c:showVal val="0"/>
          <c:showCatName val="0"/>
          <c:showSerName val="0"/>
          <c:showPercent val="0"/>
          <c:showBubbleSize val="0"/>
        </c:dLbls>
        <c:gapWidth val="219"/>
        <c:overlap val="-27"/>
        <c:axId val="260568281"/>
        <c:axId val="627876725"/>
      </c:barChart>
      <c:catAx>
        <c:axId val="260568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6725"/>
        <c:crosses val="autoZero"/>
        <c:auto val="1"/>
        <c:lblAlgn val="ctr"/>
        <c:lblOffset val="100"/>
        <c:noMultiLvlLbl val="0"/>
      </c:catAx>
      <c:valAx>
        <c:axId val="6278767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2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一般公共预算财政拨款支出决算总体情况</a:t>
            </a:r>
          </a:p>
        </c:rich>
      </c:tx>
      <c:layout/>
      <c:overlay val="0"/>
      <c:spPr>
        <a:noFill/>
        <a:ln>
          <a:noFill/>
        </a:ln>
        <a:effectLst/>
      </c:spPr>
    </c:title>
    <c:autoTitleDeleted val="0"/>
    <c:plotArea>
      <c:layout>
        <c:manualLayout>
          <c:layoutTarget val="inner"/>
          <c:xMode val="edge"/>
          <c:yMode val="edge"/>
          <c:x val="0.091075"/>
          <c:y val="0.395106861642295"/>
          <c:w val="0.905175"/>
          <c:h val="0.522328458942632"/>
        </c:manualLayout>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一般公共预算财政拨款支出</c:v>
                </c:pt>
                <c:pt idx="1">
                  <c:v>一般公共预算财政拨款支出</c:v>
                </c:pt>
              </c:strCache>
            </c:strRef>
          </c:cat>
          <c:val>
            <c:numRef>
              <c:f>Sheet1!$B$2:$B$3</c:f>
              <c:numCache>
                <c:formatCode>General</c:formatCode>
                <c:ptCount val="2"/>
                <c:pt idx="0">
                  <c:v>373.2</c:v>
                </c:pt>
                <c:pt idx="1">
                  <c:v>373.2</c:v>
                </c:pt>
              </c:numCache>
            </c:numRef>
          </c:val>
        </c:ser>
        <c:ser>
          <c:idx val="1"/>
          <c:order val="1"/>
          <c:tx>
            <c:strRef>
              <c:f>Sheet1!$C$1</c:f>
              <c:strCache>
                <c:ptCount val="1"/>
                <c:pt idx="0">
                  <c:v>2017年</c:v>
                </c:pt>
              </c:strCache>
            </c:strRef>
          </c:tx>
          <c:spPr>
            <a:solidFill>
              <a:schemeClr val="accent2"/>
            </a:solidFill>
            <a:ln>
              <a:noFill/>
            </a:ln>
            <a:effectLst/>
          </c:spPr>
          <c:invertIfNegative val="0"/>
          <c:dLbls>
            <c:delete val="1"/>
          </c:dLbls>
          <c:cat>
            <c:strRef>
              <c:f>Sheet1!$A$2:$A$3</c:f>
              <c:strCache>
                <c:ptCount val="2"/>
                <c:pt idx="0">
                  <c:v>一般公共预算财政拨款支出</c:v>
                </c:pt>
                <c:pt idx="1">
                  <c:v>一般公共预算财政拨款支出</c:v>
                </c:pt>
              </c:strCache>
            </c:strRef>
          </c:cat>
          <c:val>
            <c:numRef>
              <c:f>Sheet1!$C$2:$C$3</c:f>
              <c:numCache>
                <c:formatCode>General</c:formatCode>
                <c:ptCount val="2"/>
                <c:pt idx="0">
                  <c:v>242.29</c:v>
                </c:pt>
                <c:pt idx="1">
                  <c:v>242.29</c:v>
                </c:pt>
              </c:numCache>
            </c:numRef>
          </c:val>
        </c:ser>
        <c:dLbls>
          <c:showLegendKey val="0"/>
          <c:showVal val="0"/>
          <c:showCatName val="0"/>
          <c:showSerName val="0"/>
          <c:showPercent val="0"/>
          <c:showBubbleSize val="0"/>
        </c:dLbls>
        <c:gapWidth val="219"/>
        <c:overlap val="-27"/>
        <c:axId val="260568281"/>
        <c:axId val="627876725"/>
      </c:barChart>
      <c:catAx>
        <c:axId val="2605682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6725"/>
        <c:crosses val="autoZero"/>
        <c:auto val="1"/>
        <c:lblAlgn val="ctr"/>
        <c:lblOffset val="100"/>
        <c:noMultiLvlLbl val="0"/>
      </c:catAx>
      <c:valAx>
        <c:axId val="6278767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281"/>
        <c:crosses val="autoZero"/>
        <c:crossBetween val="between"/>
      </c:valAx>
      <c:spPr>
        <a:noFill/>
        <a:ln>
          <a:noFill/>
        </a:ln>
        <a:effectLst/>
      </c:spPr>
    </c:plotArea>
    <c:legend>
      <c:legendPos val="b"/>
      <c:layout>
        <c:manualLayout>
          <c:xMode val="edge"/>
          <c:yMode val="edge"/>
          <c:x val="0.4613125"/>
          <c:y val="0.9062257814518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a:t>
            </a:r>
          </a:p>
        </c:rich>
      </c:tx>
      <c:layout/>
      <c:overlay val="0"/>
      <c:spPr>
        <a:noFill/>
        <a:ln>
          <a:noFill/>
        </a:ln>
        <a:effectLst/>
      </c:spPr>
    </c:title>
    <c:autoTitleDeleted val="0"/>
    <c:plotArea>
      <c:layout/>
      <c:pieChart>
        <c:varyColors val="1"/>
        <c:ser>
          <c:idx val="0"/>
          <c:order val="0"/>
          <c:tx>
            <c:strRef>
              <c:f>Sheet1!$B$1</c:f>
              <c:strCache>
                <c:ptCount val="1"/>
                <c:pt idx="0">
                  <c:v>一般公共预算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c:v>
                </c:pt>
                <c:pt idx="1">
                  <c:v>医疗卫生</c:v>
                </c:pt>
                <c:pt idx="2">
                  <c:v>住房保障</c:v>
                </c:pt>
              </c:strCache>
            </c:strRef>
          </c:cat>
          <c:val>
            <c:numRef>
              <c:f>Sheet1!$B$2:$B$4</c:f>
              <c:numCache>
                <c:formatCode>General</c:formatCode>
                <c:ptCount val="3"/>
                <c:pt idx="0">
                  <c:v>268.42</c:v>
                </c:pt>
                <c:pt idx="1">
                  <c:v>86.27</c:v>
                </c:pt>
                <c:pt idx="2">
                  <c:v>18.51</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2018年三公经费财政拨款支出</a:t>
            </a:r>
          </a:p>
        </c:rich>
      </c:tx>
      <c:layout/>
      <c:overlay val="0"/>
      <c:spPr>
        <a:noFill/>
        <a:ln>
          <a:noFill/>
        </a:ln>
        <a:effectLst/>
      </c:spPr>
    </c:title>
    <c:autoTitleDeleted val="0"/>
    <c:plotArea>
      <c:layout/>
      <c:pieChart>
        <c:varyColors val="1"/>
        <c:ser>
          <c:idx val="0"/>
          <c:order val="0"/>
          <c:tx>
            <c:strRef>
              <c:f>Sheet1!$B$1</c:f>
              <c:strCache>
                <c:ptCount val="1"/>
                <c:pt idx="0">
                  <c:v>接待费</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Sheet1!$A$2:$A$4</c:f>
              <c:strCache>
                <c:ptCount val="3"/>
                <c:pt idx="0">
                  <c:v>接待费</c:v>
                </c:pt>
                <c:pt idx="1">
                  <c:v>因公出国（境）</c:v>
                </c:pt>
                <c:pt idx="2">
                  <c:v>公车运行维护</c:v>
                </c:pt>
              </c:strCache>
            </c:strRef>
          </c:cat>
          <c:val>
            <c:numRef>
              <c:f>Sheet1!$B$2:$B$4</c:f>
              <c:numCache>
                <c:formatCode>General</c:formatCode>
                <c:ptCount val="3"/>
                <c:pt idx="0">
                  <c:v>0.98</c:v>
                </c:pt>
                <c:pt idx="1">
                  <c:v>0</c:v>
                </c:pt>
                <c:pt idx="2">
                  <c:v>2.96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2022-03-07T01:04:29Z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48C496E5159A4722AB6F20BFD0F89333</vt:lpwstr>
  </property>
</Properties>
</file>