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475"/>
      <w:bookmarkStart w:id="4" w:name="_Toc15396597"/>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426"/>
      <w:bookmarkStart w:id="8" w:name="_Toc15377194"/>
      <w:bookmarkStart w:id="9" w:name="_Toc15378442"/>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樊哙镇</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w:t>
      </w:r>
      <w:r>
        <w:rPr>
          <w:rFonts w:hint="eastAsia"/>
          <w:lang w:val="en-US" w:eastAsia="zh-CN"/>
        </w:rPr>
        <w:t>11</w:t>
      </w:r>
      <w:r>
        <w:rPr>
          <w:rFonts w:hint="eastAsia"/>
        </w:rPr>
        <w:t>月</w:t>
      </w:r>
      <w:r>
        <w:rPr>
          <w:rFonts w:hint="eastAsia"/>
          <w:lang w:val="en-US" w:eastAsia="zh-CN"/>
        </w:rPr>
        <w:t>12</w:t>
      </w:r>
      <w:r>
        <w:rPr>
          <w:rFonts w:hint="eastAsia"/>
        </w:rPr>
        <w:t>日</w:t>
      </w:r>
    </w:p>
    <w:p/>
    <w:p>
      <w:pPr>
        <w:widowControl/>
        <w:jc w:val="center"/>
        <w:rPr>
          <w:rFonts w:hint="eastAsia" w:ascii="仿宋" w:hAnsi="仿宋" w:eastAsia="仿宋" w:cs="仿宋"/>
          <w:color w:val="000000"/>
          <w:sz w:val="32"/>
          <w:szCs w:val="32"/>
        </w:rPr>
      </w:pPr>
      <w:bookmarkStart w:id="12" w:name="_Toc15396599"/>
      <w:bookmarkStart w:id="13" w:name="_Toc15377196"/>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TOC \o "1-2" \h \z \u </w:instrText>
      </w:r>
      <w:r>
        <w:rPr>
          <w:rFonts w:hint="eastAsia" w:ascii="仿宋" w:hAnsi="仿宋" w:eastAsia="仿宋" w:cs="仿宋"/>
          <w:color w:val="000000"/>
          <w:sz w:val="32"/>
          <w:szCs w:val="32"/>
        </w:rPr>
        <w:fldChar w:fldCharType="separate"/>
      </w:r>
    </w:p>
    <w:p>
      <w:pPr>
        <w:widowControl/>
        <w:jc w:val="both"/>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"_Toc15396599"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第一部分 部门概况</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"_Toc15396600"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一、基本职能及主要工作</w:t>
      </w:r>
      <w:r>
        <w:rPr>
          <w:rStyle w:val="15"/>
          <w:rFonts w:hint="eastAsia" w:ascii="仿宋" w:hAnsi="仿宋" w:eastAsia="仿宋" w:cs="仿宋"/>
          <w:sz w:val="32"/>
          <w:szCs w:val="32"/>
          <w:lang w:val="en-US" w:eastAsia="zh-CN"/>
        </w:rPr>
        <w:t>..........................</w:t>
      </w:r>
      <w:r>
        <w:rPr>
          <w:rFonts w:hint="eastAsia" w:ascii="仿宋" w:hAnsi="仿宋" w:eastAsia="仿宋" w:cs="仿宋"/>
          <w:sz w:val="32"/>
          <w:szCs w:val="32"/>
        </w:rPr>
        <w:t>4</w:t>
      </w:r>
      <w:r>
        <w:rPr>
          <w:rFonts w:hint="eastAsia" w:ascii="仿宋" w:hAnsi="仿宋" w:eastAsia="仿宋" w:cs="仿宋"/>
          <w:sz w:val="32"/>
          <w:szCs w:val="32"/>
        </w:rPr>
        <w:fldChar w:fldCharType="end"/>
      </w:r>
    </w:p>
    <w:p>
      <w:pPr>
        <w:pStyle w:val="11"/>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"_Toc15396601"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p>
    <w:p>
      <w:pPr>
        <w:pStyle w:val="1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"_Toc15396602"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第二部分 201</w:t>
      </w:r>
      <w:r>
        <w:rPr>
          <w:rStyle w:val="15"/>
          <w:rFonts w:hint="eastAsia" w:cs="仿宋"/>
          <w:sz w:val="32"/>
          <w:szCs w:val="32"/>
          <w:lang w:val="en-US" w:eastAsia="zh-CN"/>
        </w:rPr>
        <w:t>9</w:t>
      </w:r>
      <w:r>
        <w:rPr>
          <w:rStyle w:val="15"/>
          <w:rFonts w:hint="eastAsia" w:ascii="仿宋" w:hAnsi="仿宋" w:eastAsia="仿宋" w:cs="仿宋"/>
          <w:sz w:val="32"/>
          <w:szCs w:val="32"/>
        </w:rPr>
        <w:t>年度部门决算情况说明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sz w:val="32"/>
          <w:szCs w:val="32"/>
        </w:rPr>
        <w:fldChar w:fldCharType="end"/>
      </w:r>
    </w:p>
    <w:p>
      <w:pPr>
        <w:pStyle w:val="11"/>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"_Toc15396603" </w:instrText>
      </w:r>
      <w:r>
        <w:rPr>
          <w:rFonts w:hint="eastAsia" w:ascii="仿宋" w:hAnsi="仿宋" w:eastAsia="仿宋" w:cs="仿宋"/>
          <w:sz w:val="32"/>
          <w:szCs w:val="32"/>
        </w:rPr>
        <w:fldChar w:fldCharType="separate"/>
      </w:r>
      <w:r>
        <w:rPr>
          <w:rStyle w:val="15"/>
          <w:rFonts w:hint="eastAsia" w:ascii="仿宋" w:hAnsi="仿宋" w:eastAsia="仿宋" w:cs="仿宋"/>
          <w:bCs/>
          <w:sz w:val="32"/>
          <w:szCs w:val="32"/>
        </w:rPr>
        <w:t>一、</w:t>
      </w:r>
      <w:r>
        <w:rPr>
          <w:rStyle w:val="15"/>
          <w:rFonts w:hint="eastAsia" w:ascii="仿宋" w:hAnsi="仿宋" w:eastAsia="仿宋" w:cs="仿宋"/>
          <w:sz w:val="32"/>
          <w:szCs w:val="32"/>
        </w:rPr>
        <w:t>收</w:t>
      </w:r>
      <w:r>
        <w:rPr>
          <w:rStyle w:val="15"/>
          <w:rFonts w:hint="eastAsia" w:ascii="仿宋" w:hAnsi="仿宋" w:eastAsia="仿宋" w:cs="仿宋"/>
          <w:bCs/>
          <w:sz w:val="32"/>
          <w:szCs w:val="32"/>
        </w:rPr>
        <w:t>入支出决算总体情况说明</w:t>
      </w: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sz w:val="32"/>
          <w:szCs w:val="32"/>
        </w:rPr>
        <w:fldChar w:fldCharType="end"/>
      </w:r>
    </w:p>
    <w:p>
      <w:pPr>
        <w:pStyle w:val="11"/>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"_Toc15396604" </w:instrText>
      </w:r>
      <w:r>
        <w:rPr>
          <w:rFonts w:hint="eastAsia" w:ascii="仿宋" w:hAnsi="仿宋" w:eastAsia="仿宋" w:cs="仿宋"/>
          <w:sz w:val="32"/>
          <w:szCs w:val="32"/>
        </w:rPr>
        <w:fldChar w:fldCharType="separate"/>
      </w:r>
      <w:r>
        <w:rPr>
          <w:rStyle w:val="15"/>
          <w:rFonts w:hint="eastAsia" w:ascii="仿宋" w:hAnsi="仿宋" w:eastAsia="仿宋" w:cs="仿宋"/>
          <w:bCs/>
          <w:sz w:val="32"/>
          <w:szCs w:val="32"/>
        </w:rPr>
        <w:t>二、</w:t>
      </w:r>
      <w:r>
        <w:rPr>
          <w:rStyle w:val="15"/>
          <w:rFonts w:hint="eastAsia" w:ascii="仿宋" w:hAnsi="仿宋" w:eastAsia="仿宋" w:cs="仿宋"/>
          <w:sz w:val="32"/>
          <w:szCs w:val="32"/>
        </w:rPr>
        <w:t>收</w:t>
      </w:r>
      <w:r>
        <w:rPr>
          <w:rStyle w:val="15"/>
          <w:rFonts w:hint="eastAsia" w:ascii="仿宋" w:hAnsi="仿宋" w:eastAsia="仿宋" w:cs="仿宋"/>
          <w:bCs/>
          <w:sz w:val="32"/>
          <w:szCs w:val="32"/>
        </w:rPr>
        <w:t>入决算情况说明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sz w:val="32"/>
          <w:szCs w:val="32"/>
        </w:rPr>
        <w:fldChar w:fldCharType="end"/>
      </w:r>
    </w:p>
    <w:p>
      <w:pPr>
        <w:pStyle w:val="11"/>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"_Toc15396605" </w:instrText>
      </w:r>
      <w:r>
        <w:rPr>
          <w:rFonts w:hint="eastAsia" w:ascii="仿宋" w:hAnsi="仿宋" w:eastAsia="仿宋" w:cs="仿宋"/>
          <w:sz w:val="32"/>
          <w:szCs w:val="32"/>
        </w:rPr>
        <w:fldChar w:fldCharType="separate"/>
      </w:r>
      <w:r>
        <w:rPr>
          <w:rStyle w:val="15"/>
          <w:rFonts w:hint="eastAsia" w:ascii="仿宋" w:hAnsi="仿宋" w:eastAsia="仿宋" w:cs="仿宋"/>
          <w:bCs/>
          <w:sz w:val="32"/>
          <w:szCs w:val="32"/>
        </w:rPr>
        <w:t>三、</w:t>
      </w:r>
      <w:r>
        <w:rPr>
          <w:rStyle w:val="15"/>
          <w:rFonts w:hint="eastAsia" w:ascii="仿宋" w:hAnsi="仿宋" w:eastAsia="仿宋" w:cs="仿宋"/>
          <w:sz w:val="32"/>
          <w:szCs w:val="32"/>
        </w:rPr>
        <w:t>支</w:t>
      </w:r>
      <w:r>
        <w:rPr>
          <w:rStyle w:val="15"/>
          <w:rFonts w:hint="eastAsia" w:ascii="仿宋" w:hAnsi="仿宋" w:eastAsia="仿宋" w:cs="仿宋"/>
          <w:bCs/>
          <w:sz w:val="32"/>
          <w:szCs w:val="32"/>
        </w:rPr>
        <w:t>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7</w:t>
      </w:r>
      <w:r>
        <w:rPr>
          <w:rFonts w:hint="eastAsia" w:ascii="仿宋" w:hAnsi="仿宋" w:eastAsia="仿宋" w:cs="仿宋"/>
          <w:sz w:val="32"/>
          <w:szCs w:val="32"/>
        </w:rPr>
        <w:fldChar w:fldCharType="end"/>
      </w:r>
    </w:p>
    <w:p>
      <w:pPr>
        <w:pStyle w:val="11"/>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"_Toc15396606"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四、财</w:t>
      </w:r>
      <w:r>
        <w:rPr>
          <w:rStyle w:val="15"/>
          <w:rFonts w:hint="eastAsia" w:ascii="仿宋" w:hAnsi="仿宋" w:eastAsia="仿宋" w:cs="仿宋"/>
          <w:bCs/>
          <w:sz w:val="32"/>
          <w:szCs w:val="32"/>
        </w:rPr>
        <w:t>政拨款收入支出决算总体情况说明</w:t>
      </w:r>
      <w:r>
        <w:rPr>
          <w:rFonts w:hint="eastAsia" w:ascii="仿宋" w:hAnsi="仿宋" w:eastAsia="仿宋" w:cs="仿宋"/>
          <w:sz w:val="32"/>
          <w:szCs w:val="32"/>
        </w:rPr>
        <w:tab/>
      </w:r>
      <w:r>
        <w:rPr>
          <w:rFonts w:hint="eastAsia" w:ascii="仿宋" w:hAnsi="仿宋" w:eastAsia="仿宋" w:cs="仿宋"/>
          <w:sz w:val="32"/>
          <w:szCs w:val="32"/>
          <w:lang w:val="en-US" w:eastAsia="zh-CN"/>
        </w:rPr>
        <w:t>7</w:t>
      </w:r>
      <w:r>
        <w:rPr>
          <w:rFonts w:hint="eastAsia" w:ascii="仿宋" w:hAnsi="仿宋" w:eastAsia="仿宋" w:cs="仿宋"/>
          <w:sz w:val="32"/>
          <w:szCs w:val="32"/>
        </w:rPr>
        <w:fldChar w:fldCharType="end"/>
      </w:r>
    </w:p>
    <w:p>
      <w:pPr>
        <w:pStyle w:val="11"/>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"_Toc15396607"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五、一</w:t>
      </w:r>
      <w:r>
        <w:rPr>
          <w:rStyle w:val="15"/>
          <w:rFonts w:hint="eastAsia" w:ascii="仿宋" w:hAnsi="仿宋" w:eastAsia="仿宋" w:cs="仿宋"/>
          <w:bCs/>
          <w:sz w:val="32"/>
          <w:szCs w:val="32"/>
        </w:rPr>
        <w:t>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8</w:t>
      </w:r>
      <w:r>
        <w:rPr>
          <w:rFonts w:hint="eastAsia" w:ascii="仿宋" w:hAnsi="仿宋" w:eastAsia="仿宋" w:cs="仿宋"/>
          <w:sz w:val="32"/>
          <w:szCs w:val="32"/>
        </w:rPr>
        <w:fldChar w:fldCharType="end"/>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"_Toc15396608"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六、一</w:t>
      </w:r>
      <w:r>
        <w:rPr>
          <w:rStyle w:val="15"/>
          <w:rFonts w:hint="eastAsia" w:ascii="仿宋" w:hAnsi="仿宋" w:eastAsia="仿宋" w:cs="仿宋"/>
          <w:bCs/>
          <w:sz w:val="32"/>
          <w:szCs w:val="32"/>
        </w:rPr>
        <w:t>般公共预算财政拨款基本支出决算情况说明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"_Toc15396609"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七、“</w:t>
      </w:r>
      <w:r>
        <w:rPr>
          <w:rStyle w:val="15"/>
          <w:rFonts w:hint="eastAsia" w:ascii="仿宋" w:hAnsi="仿宋" w:eastAsia="仿宋" w:cs="仿宋"/>
          <w:bCs/>
          <w:sz w:val="32"/>
          <w:szCs w:val="32"/>
        </w:rPr>
        <w:t>三公”经费财政拨款支出决算情况说明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2</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"_Toc15396610"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八、</w:t>
      </w:r>
      <w:r>
        <w:rPr>
          <w:rStyle w:val="15"/>
          <w:rFonts w:hint="eastAsia" w:ascii="仿宋" w:hAnsi="仿宋" w:eastAsia="仿宋" w:cs="仿宋"/>
          <w:bCs/>
          <w:sz w:val="32"/>
          <w:szCs w:val="32"/>
        </w:rPr>
        <w:t>政府性基金预算支出决算情况说明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"_Toc15396611" </w:instrText>
      </w:r>
      <w:r>
        <w:rPr>
          <w:rFonts w:hint="eastAsia" w:ascii="仿宋" w:hAnsi="仿宋" w:eastAsia="仿宋" w:cs="仿宋"/>
          <w:sz w:val="32"/>
          <w:szCs w:val="32"/>
        </w:rPr>
        <w:fldChar w:fldCharType="separate"/>
      </w:r>
      <w:r>
        <w:rPr>
          <w:rStyle w:val="15"/>
          <w:rFonts w:hint="eastAsia" w:ascii="仿宋" w:hAnsi="仿宋" w:eastAsia="仿宋" w:cs="仿宋"/>
          <w:bCs/>
          <w:sz w:val="32"/>
          <w:szCs w:val="32"/>
        </w:rPr>
        <w:t>九、</w:t>
      </w:r>
      <w:r>
        <w:rPr>
          <w:rStyle w:val="15"/>
          <w:rFonts w:hint="eastAsia" w:ascii="仿宋" w:hAnsi="仿宋" w:eastAsia="仿宋" w:cs="仿宋"/>
          <w:sz w:val="32"/>
          <w:szCs w:val="32"/>
        </w:rPr>
        <w:t xml:space="preserve"> 国</w:t>
      </w:r>
      <w:r>
        <w:rPr>
          <w:rStyle w:val="15"/>
          <w:rFonts w:hint="eastAsia" w:ascii="仿宋" w:hAnsi="仿宋" w:eastAsia="仿宋" w:cs="仿宋"/>
          <w:bCs/>
          <w:sz w:val="32"/>
          <w:szCs w:val="32"/>
        </w:rPr>
        <w:t>有资本经营预算支出决算情况说明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11"/>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"_Toc15396612"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十</w:t>
      </w:r>
      <w:r>
        <w:rPr>
          <w:rStyle w:val="15"/>
          <w:rFonts w:hint="eastAsia" w:ascii="仿宋" w:hAnsi="仿宋" w:eastAsia="仿宋" w:cs="仿宋"/>
          <w:bCs/>
          <w:sz w:val="32"/>
          <w:szCs w:val="32"/>
        </w:rPr>
        <w:t>、其他重要事项的情况说明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_Toc15396612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"_Toc15396613" </w:instrText>
      </w:r>
      <w:r>
        <w:rPr>
          <w:rFonts w:hint="eastAsia" w:ascii="仿宋" w:hAnsi="仿宋" w:eastAsia="仿宋" w:cs="仿宋"/>
          <w:sz w:val="32"/>
          <w:szCs w:val="32"/>
        </w:rPr>
        <w:fldChar w:fldCharType="separate"/>
      </w:r>
      <w:r>
        <w:rPr>
          <w:rStyle w:val="15"/>
          <w:rFonts w:hint="eastAsia" w:ascii="仿宋" w:hAnsi="仿宋" w:eastAsia="仿宋" w:cs="仿宋"/>
          <w:bCs/>
          <w:kern w:val="44"/>
          <w:sz w:val="32"/>
          <w:szCs w:val="32"/>
        </w:rPr>
        <w:t>第三部分</w:t>
      </w:r>
      <w:r>
        <w:rPr>
          <w:rStyle w:val="15"/>
          <w:rFonts w:hint="eastAsia" w:ascii="仿宋" w:hAnsi="仿宋" w:eastAsia="仿宋" w:cs="仿宋"/>
          <w:sz w:val="32"/>
          <w:szCs w:val="32"/>
        </w:rPr>
        <w:t xml:space="preserve"> 名</w:t>
      </w:r>
      <w:r>
        <w:rPr>
          <w:rStyle w:val="15"/>
          <w:rFonts w:hint="eastAsia" w:ascii="仿宋" w:hAnsi="仿宋" w:eastAsia="仿宋" w:cs="仿宋"/>
          <w:bCs/>
          <w:kern w:val="44"/>
          <w:sz w:val="32"/>
          <w:szCs w:val="32"/>
        </w:rPr>
        <w:t>词解释</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1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"_Toc15396614"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第</w:t>
      </w:r>
      <w:r>
        <w:rPr>
          <w:rStyle w:val="15"/>
          <w:rFonts w:hint="eastAsia" w:ascii="仿宋" w:hAnsi="仿宋" w:eastAsia="仿宋" w:cs="仿宋"/>
          <w:bCs/>
          <w:kern w:val="44"/>
          <w:sz w:val="32"/>
          <w:szCs w:val="32"/>
        </w:rPr>
        <w:t>四部分 附件</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"_Toc15396615" </w:instrText>
      </w:r>
      <w:r>
        <w:rPr>
          <w:rFonts w:hint="eastAsia" w:ascii="仿宋" w:hAnsi="仿宋" w:eastAsia="仿宋" w:cs="仿宋"/>
          <w:sz w:val="32"/>
          <w:szCs w:val="32"/>
        </w:rPr>
        <w:fldChar w:fldCharType="separate"/>
      </w:r>
      <w:r>
        <w:rPr>
          <w:rStyle w:val="15"/>
          <w:rFonts w:hint="eastAsia" w:ascii="仿宋" w:hAnsi="仿宋" w:eastAsia="仿宋" w:cs="仿宋"/>
          <w:kern w:val="44"/>
          <w:sz w:val="32"/>
          <w:szCs w:val="32"/>
        </w:rPr>
        <w:t>附件1</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"_Toc15396617" </w:instrText>
      </w:r>
      <w:r>
        <w:rPr>
          <w:rFonts w:hint="eastAsia" w:ascii="仿宋" w:hAnsi="仿宋" w:eastAsia="仿宋" w:cs="仿宋"/>
          <w:sz w:val="32"/>
          <w:szCs w:val="32"/>
        </w:rPr>
        <w:fldChar w:fldCharType="separate"/>
      </w:r>
      <w:r>
        <w:rPr>
          <w:rStyle w:val="15"/>
          <w:rFonts w:hint="eastAsia" w:ascii="仿宋" w:hAnsi="仿宋" w:eastAsia="仿宋" w:cs="仿宋"/>
          <w:kern w:val="44"/>
          <w:sz w:val="32"/>
          <w:szCs w:val="32"/>
        </w:rPr>
        <w:t>附件2</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7</w:t>
      </w:r>
    </w:p>
    <w:p>
      <w:pPr>
        <w:pStyle w:val="1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"_Toc15396618"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第</w:t>
      </w:r>
      <w:r>
        <w:rPr>
          <w:rStyle w:val="15"/>
          <w:rFonts w:hint="eastAsia" w:ascii="仿宋" w:hAnsi="仿宋" w:eastAsia="仿宋" w:cs="仿宋"/>
          <w:bCs/>
          <w:kern w:val="44"/>
          <w:sz w:val="32"/>
          <w:szCs w:val="32"/>
        </w:rPr>
        <w:t>五部分 附表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"_Toc15396619"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收入支出决算总表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t>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"_Toc15396620"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收入总表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t>三、</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"_Toc15396621"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支出总表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t>四、</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"_Toc15396622"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财政拨款收入支出决算总表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t>五、</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"_Toc15396623" </w:instrText>
      </w:r>
      <w:r>
        <w:rPr>
          <w:rFonts w:hint="eastAsia" w:ascii="仿宋" w:hAnsi="仿宋" w:eastAsia="仿宋" w:cs="仿宋"/>
          <w:sz w:val="32"/>
          <w:szCs w:val="32"/>
        </w:rPr>
        <w:fldChar w:fldCharType="separate"/>
      </w:r>
      <w:r>
        <w:rPr>
          <w:rFonts w:hint="eastAsia" w:ascii="仿宋" w:hAnsi="仿宋" w:eastAsia="仿宋" w:cs="仿宋"/>
          <w:sz w:val="32"/>
          <w:szCs w:val="32"/>
        </w:rPr>
        <w:t>财政拨款支出决算明细表（政府经济分类科目）</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t>六、</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"_Toc15396624"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一般公共预算财政拨款支出决算表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t>七、</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"_Toc15396625"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一般公共预算财政拨款支出决算明细表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t>八、</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"_Toc15396626"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一般公共预算财政拨款基本支出决算表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t>九、</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"_Toc15396627"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一般公共预算财政拨款项目支出决算表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t>十、</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"_Toc15396628"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一般公共预算财政拨款“三公”经费支出决算表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t>十一、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"_Toc15396629"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政府性基金预算财政拨款收入支出决算表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t>十二、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"_Toc15396630"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政府性基金预算财政拨款“三公”经费支出决算表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11"/>
        <w:rPr>
          <w:rFonts w:hint="eastAsia" w:ascii="仿宋" w:hAnsi="仿宋" w:eastAsia="仿宋" w:cs="仿宋"/>
          <w:sz w:val="32"/>
          <w:szCs w:val="32"/>
          <w:lang w:val="en-US" w:eastAsia="zh-CN"/>
        </w:rPr>
      </w:pPr>
      <w:r>
        <w:rPr>
          <w:rFonts w:hint="eastAsia" w:ascii="仿宋" w:hAnsi="仿宋" w:eastAsia="仿宋" w:cs="仿宋"/>
          <w:sz w:val="32"/>
          <w:szCs w:val="32"/>
        </w:rPr>
        <w:t>十三、</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"_Toc15396631"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rPr>
        <w:t>国有资本经营预算支出决算表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end"/>
      </w:r>
    </w:p>
    <w:p>
      <w:pPr>
        <w:widowControl/>
        <w:jc w:val="left"/>
        <w:rPr>
          <w:rFonts w:ascii="黑体" w:hAnsi="黑体" w:eastAsia="黑体"/>
          <w:bCs/>
          <w:kern w:val="44"/>
          <w:sz w:val="44"/>
          <w:szCs w:val="44"/>
        </w:rPr>
      </w:pPr>
      <w:r>
        <w:rPr>
          <w:rFonts w:ascii="黑体" w:hAnsi="黑体" w:eastAsia="黑体"/>
          <w:b/>
        </w:rPr>
        <w:br w:type="page"/>
      </w:r>
    </w:p>
    <w:p>
      <w:pPr>
        <w:pStyle w:val="2"/>
        <w:jc w:val="center"/>
        <w:rPr>
          <w:rStyle w:val="24"/>
          <w:rFonts w:hint="eastAsia" w:ascii="仿宋_GB2312" w:hAnsi="仿宋_GB2312" w:eastAsia="仿宋_GB2312" w:cs="仿宋_GB2312"/>
          <w:b/>
          <w:bCs w:val="0"/>
          <w:sz w:val="32"/>
          <w:szCs w:val="32"/>
        </w:rPr>
      </w:pPr>
      <w:r>
        <w:rPr>
          <w:rFonts w:hint="eastAsia" w:ascii="仿宋_GB2312" w:hAnsi="仿宋_GB2312" w:eastAsia="仿宋_GB2312" w:cs="仿宋_GB2312"/>
          <w:b w:val="0"/>
          <w:sz w:val="32"/>
          <w:szCs w:val="32"/>
        </w:rPr>
        <w:t xml:space="preserve">第一部分 </w:t>
      </w:r>
      <w:r>
        <w:rPr>
          <w:rStyle w:val="24"/>
          <w:rFonts w:hint="eastAsia" w:ascii="仿宋_GB2312" w:hAnsi="仿宋_GB2312" w:eastAsia="仿宋_GB2312" w:cs="仿宋_GB2312"/>
          <w:b w:val="0"/>
          <w:bCs w:val="0"/>
          <w:sz w:val="32"/>
          <w:szCs w:val="32"/>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spacing w:line="560" w:lineRule="exact"/>
        <w:ind w:firstLine="480" w:firstLineChars="150"/>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（1）制定和组织我镇实施经济、科技和社会发展计划，协调好本镇与外地区的经济交流与合作，抓好招商引资，人才引进项目开发，不断培育市场体系，组织经济运行，促进经济发展。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（2）制定并组织实施我镇村镇建设规划，部署重点工程建设，地方道路建设及公共设施，水利设施的管理，负责土地、林木、水等自然资源和生态环境的保护，做好护林防火工作。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负责我镇行政区域内的民政、计划生育、文化教育、卫生、体育等社会公益事业的综合性工作，维护一切经济单位和个人的正当经济权益，取缔非法经济活动，调解和处理民事纠纷，打击刑事犯罪和维护社会稳定。</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（4）按计划组织我镇本级财政收入，完成国家财政计划，不断培植税源，管好财政资金，增强财政实力。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（5）抓好我镇精神文明建设，丰富群众文化生活，提倡移风易俗，反对封建迷信，破除陈规陋习，树立社会主义新风尚。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（6）完成上级政府交办的其它事项。</w:t>
      </w:r>
    </w:p>
    <w:p>
      <w:pPr>
        <w:pStyle w:val="5"/>
        <w:adjustRightInd w:val="0"/>
        <w:snapToGrid w:val="0"/>
        <w:spacing w:before="93" w:line="600" w:lineRule="exact"/>
        <w:outlineLvl w:val="2"/>
        <w:rPr>
          <w:rFonts w:hint="eastAsia" w:ascii="仿宋_GB2312" w:hAnsi="仿宋_GB2312" w:eastAsia="仿宋_GB2312" w:cs="仿宋_GB2312"/>
          <w:bCs/>
          <w:color w:val="000000"/>
          <w:sz w:val="32"/>
          <w:szCs w:val="32"/>
        </w:rPr>
      </w:pPr>
    </w:p>
    <w:bookmarkEnd w:id="16"/>
    <w:bookmarkEnd w:id="17"/>
    <w:p>
      <w:pPr>
        <w:snapToGrid w:val="0"/>
        <w:spacing w:line="560" w:lineRule="exact"/>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为了确保201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年部门决算工作的顺利完成，镇党委、政府高度重视，通过几天的努力，圆满完成了201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年我镇部门决算工作，其主要做了以下工作：</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1、加强领导，严格执行中央</w:t>
      </w:r>
      <w:bookmarkStart w:id="73" w:name="_GoBack"/>
      <w:bookmarkEnd w:id="73"/>
      <w:r>
        <w:rPr>
          <w:rFonts w:hint="eastAsia" w:ascii="仿宋_GB2312" w:hAnsi="仿宋_GB2312" w:eastAsia="仿宋_GB2312" w:cs="仿宋_GB2312"/>
          <w:sz w:val="32"/>
          <w:szCs w:val="32"/>
        </w:rPr>
        <w:t>八项规定和省市县相关规定，严格执行财经制度。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2、严格执行年初预算，确保了一般公共服务支出和村社干部报酬发放。</w:t>
      </w:r>
    </w:p>
    <w:p>
      <w:pPr>
        <w:snapToGrid w:val="0"/>
        <w:spacing w:line="560" w:lineRule="exact"/>
        <w:ind w:firstLine="640" w:firstLineChars="200"/>
        <w:rPr>
          <w:rFonts w:hint="eastAsia" w:ascii="仿宋" w:hAnsi="仿宋" w:eastAsia="仿宋_GB2312"/>
          <w:bCs/>
          <w:color w:val="000000"/>
          <w:sz w:val="32"/>
          <w:szCs w:val="32"/>
          <w:lang w:val="en-US" w:eastAsia="zh-CN"/>
        </w:rPr>
      </w:pPr>
      <w:r>
        <w:rPr>
          <w:rFonts w:hint="eastAsia" w:ascii="仿宋_GB2312" w:hAnsi="仿宋_GB2312" w:eastAsia="仿宋_GB2312" w:cs="仿宋_GB2312"/>
          <w:sz w:val="32"/>
          <w:szCs w:val="32"/>
        </w:rPr>
        <w:t>3、对项目资金严格按照工作进度拨付资金，做到了公平、公正、公开的原则，不挪用和截留项目资金</w:t>
      </w:r>
      <w:r>
        <w:rPr>
          <w:rFonts w:hint="eastAsia" w:ascii="仿宋_GB2312" w:hAnsi="仿宋_GB2312" w:eastAsia="仿宋_GB2312" w:cs="仿宋_GB2312"/>
          <w:sz w:val="32"/>
          <w:szCs w:val="32"/>
          <w:lang w:eastAsia="zh-CN"/>
        </w:rPr>
        <w:t>。</w:t>
      </w:r>
    </w:p>
    <w:p>
      <w:pPr>
        <w:pStyle w:val="3"/>
        <w:rPr>
          <w:rStyle w:val="25"/>
          <w:rFonts w:hint="eastAsia" w:ascii="黑体" w:hAnsi="黑体" w:eastAsia="黑体"/>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3"/>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2018年末，我镇</w:t>
      </w:r>
      <w:r>
        <w:rPr>
          <w:rFonts w:hint="eastAsia" w:ascii="仿宋_GB2312" w:hAnsi="仿宋_GB2312" w:eastAsia="仿宋_GB2312" w:cs="仿宋_GB2312"/>
          <w:b w:val="0"/>
          <w:bCs w:val="0"/>
          <w:sz w:val="32"/>
          <w:szCs w:val="32"/>
        </w:rPr>
        <w:t>纳入部门决算汇编范围的有</w:t>
      </w:r>
      <w:r>
        <w:rPr>
          <w:rFonts w:hint="eastAsia" w:ascii="仿宋_GB2312" w:hAnsi="仿宋_GB2312" w:eastAsia="仿宋_GB2312" w:cs="仿宋_GB2312"/>
          <w:b w:val="0"/>
          <w:bCs w:val="0"/>
          <w:color w:val="000000"/>
          <w:sz w:val="32"/>
          <w:szCs w:val="32"/>
        </w:rPr>
        <w:t>1个乡镇汇总录入单位，与上年一致。</w:t>
      </w:r>
    </w:p>
    <w:p>
      <w:pPr>
        <w:widowControl/>
        <w:jc w:val="left"/>
        <w:rPr>
          <w:rFonts w:hint="eastAsia" w:ascii="黑体" w:hAnsi="黑体" w:eastAsia="黑体"/>
          <w:b w:val="0"/>
          <w:color w:val="000000"/>
          <w:sz w:val="44"/>
          <w:szCs w:val="44"/>
        </w:rPr>
      </w:pPr>
      <w:bookmarkStart w:id="22" w:name="_Toc15396602"/>
      <w:bookmarkStart w:id="23" w:name="_Toc15377204"/>
    </w:p>
    <w:p>
      <w:pPr>
        <w:widowControl/>
        <w:jc w:val="left"/>
        <w:rPr>
          <w:rFonts w:hint="eastAsia" w:ascii="黑体" w:hAnsi="黑体" w:eastAsia="黑体"/>
          <w:b w:val="0"/>
          <w:color w:val="000000"/>
          <w:sz w:val="44"/>
          <w:szCs w:val="44"/>
        </w:rPr>
      </w:pPr>
    </w:p>
    <w:p>
      <w:pPr>
        <w:widowControl/>
        <w:jc w:val="left"/>
        <w:rPr>
          <w:rFonts w:hint="eastAsia" w:ascii="黑体" w:hAnsi="黑体" w:eastAsia="黑体"/>
          <w:b w:val="0"/>
          <w:color w:val="000000"/>
          <w:sz w:val="44"/>
          <w:szCs w:val="44"/>
        </w:rPr>
      </w:pPr>
    </w:p>
    <w:p>
      <w:pPr>
        <w:widowControl/>
        <w:jc w:val="left"/>
        <w:rPr>
          <w:rFonts w:hint="eastAsia" w:ascii="黑体" w:hAnsi="黑体" w:eastAsia="黑体"/>
          <w:b w:val="0"/>
          <w:color w:val="000000"/>
          <w:sz w:val="44"/>
          <w:szCs w:val="44"/>
        </w:rPr>
      </w:pPr>
    </w:p>
    <w:p>
      <w:pPr>
        <w:widowControl/>
        <w:jc w:val="left"/>
        <w:rPr>
          <w:rFonts w:hint="eastAsia" w:ascii="黑体" w:hAnsi="黑体" w:eastAsia="黑体"/>
          <w:b w:val="0"/>
          <w:color w:val="000000"/>
          <w:sz w:val="44"/>
          <w:szCs w:val="44"/>
        </w:rPr>
      </w:pPr>
    </w:p>
    <w:p>
      <w:pPr>
        <w:widowControl/>
        <w:jc w:val="left"/>
        <w:rPr>
          <w:rFonts w:hint="eastAsia" w:ascii="黑体" w:hAnsi="黑体" w:eastAsia="黑体"/>
          <w:b w:val="0"/>
          <w:color w:val="000000"/>
          <w:sz w:val="44"/>
          <w:szCs w:val="44"/>
        </w:rPr>
      </w:pPr>
    </w:p>
    <w:p>
      <w:pPr>
        <w:widowControl/>
        <w:jc w:val="left"/>
        <w:rPr>
          <w:rFonts w:hint="eastAsia" w:ascii="黑体" w:hAnsi="黑体" w:eastAsia="黑体"/>
          <w:b w:val="0"/>
          <w:color w:val="000000"/>
          <w:sz w:val="44"/>
          <w:szCs w:val="44"/>
        </w:rPr>
      </w:pPr>
    </w:p>
    <w:p>
      <w:pPr>
        <w:widowControl/>
        <w:jc w:val="left"/>
        <w:rPr>
          <w:rFonts w:hint="eastAsia" w:ascii="黑体" w:hAnsi="黑体" w:eastAsia="黑体"/>
          <w:b w:val="0"/>
          <w:color w:val="000000"/>
          <w:sz w:val="44"/>
          <w:szCs w:val="44"/>
        </w:rPr>
      </w:pPr>
    </w:p>
    <w:p>
      <w:pPr>
        <w:widowControl/>
        <w:jc w:val="left"/>
        <w:rPr>
          <w:rStyle w:val="24"/>
          <w:rFonts w:ascii="黑体" w:hAnsi="黑体" w:eastAsia="黑体"/>
          <w:b w:val="0"/>
          <w:bCs w:val="0"/>
        </w:rPr>
      </w:pPr>
      <w:r>
        <w:rPr>
          <w:rFonts w:hint="eastAsia" w:ascii="黑体" w:hAnsi="黑体" w:eastAsia="黑体"/>
          <w:b w:val="0"/>
          <w:color w:val="000000"/>
          <w:sz w:val="44"/>
          <w:szCs w:val="44"/>
        </w:rPr>
        <w:t>第二部分</w:t>
      </w:r>
      <w:r>
        <w:rPr>
          <w:rFonts w:hint="eastAsia" w:ascii="黑体" w:hAnsi="黑体" w:eastAsia="黑体"/>
          <w:color w:val="000000"/>
          <w:sz w:val="44"/>
          <w:szCs w:val="44"/>
        </w:rPr>
        <w:t xml:space="preserve"> </w:t>
      </w:r>
      <w:r>
        <w:rPr>
          <w:rStyle w:val="24"/>
          <w:rFonts w:hint="eastAsia" w:ascii="黑体" w:hAnsi="黑体" w:eastAsia="黑体"/>
          <w:b w:val="0"/>
          <w:bCs w:val="0"/>
          <w:sz w:val="44"/>
          <w:szCs w:val="44"/>
        </w:rPr>
        <w:t>2019年</w:t>
      </w:r>
      <w:r>
        <w:rPr>
          <w:rStyle w:val="24"/>
          <w:rFonts w:hint="eastAsia" w:ascii="黑体" w:hAnsi="黑体" w:eastAsia="黑体"/>
          <w:b w:val="0"/>
          <w:bCs w:val="0"/>
        </w:rPr>
        <w:t>度部门决算情况说明</w:t>
      </w:r>
      <w:bookmarkEnd w:id="22"/>
      <w:bookmarkEnd w:id="23"/>
    </w:p>
    <w:p>
      <w:pPr>
        <w:pStyle w:val="23"/>
        <w:numPr>
          <w:ilvl w:val="0"/>
          <w:numId w:val="0"/>
        </w:numPr>
        <w:spacing w:line="600" w:lineRule="exact"/>
        <w:outlineLvl w:val="1"/>
        <w:rPr>
          <w:rStyle w:val="25"/>
          <w:rFonts w:ascii="黑体" w:hAnsi="黑体" w:eastAsia="黑体"/>
          <w:b w:val="0"/>
        </w:rPr>
      </w:pPr>
      <w:bookmarkStart w:id="24" w:name="_Toc15396603"/>
      <w:bookmarkStart w:id="25" w:name="_Toc15377205"/>
      <w:r>
        <w:rPr>
          <w:rFonts w:hint="eastAsia" w:ascii="仿宋_GB2312" w:hAnsi="仿宋_GB2312" w:eastAsia="仿宋_GB2312" w:cs="仿宋_GB2312"/>
          <w:color w:val="000000"/>
          <w:sz w:val="32"/>
          <w:szCs w:val="32"/>
          <w:lang w:val="en-US" w:eastAsia="zh-CN"/>
        </w:rPr>
        <w:drawing>
          <wp:anchor distT="0" distB="0" distL="114300" distR="114300" simplePos="0" relativeHeight="251667456" behindDoc="0" locked="0" layoutInCell="1" allowOverlap="1">
            <wp:simplePos x="0" y="0"/>
            <wp:positionH relativeFrom="column">
              <wp:posOffset>599440</wp:posOffset>
            </wp:positionH>
            <wp:positionV relativeFrom="paragraph">
              <wp:posOffset>1668145</wp:posOffset>
            </wp:positionV>
            <wp:extent cx="3860800" cy="1938020"/>
            <wp:effectExtent l="4445" t="4445" r="20955" b="1968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eastAsia="zh-CN"/>
        </w:rPr>
        <w:t>各为</w:t>
      </w:r>
      <w:r>
        <w:rPr>
          <w:rFonts w:hint="eastAsia" w:ascii="仿宋" w:hAnsi="仿宋" w:eastAsia="仿宋"/>
          <w:color w:val="000000"/>
          <w:sz w:val="32"/>
          <w:szCs w:val="32"/>
          <w:lang w:val="en-US" w:eastAsia="zh-CN"/>
        </w:rPr>
        <w:t>1080.51</w:t>
      </w:r>
      <w:r>
        <w:rPr>
          <w:rFonts w:hint="eastAsia" w:ascii="仿宋" w:hAnsi="仿宋" w:eastAsia="仿宋"/>
          <w:color w:val="000000"/>
          <w:sz w:val="32"/>
          <w:szCs w:val="32"/>
        </w:rPr>
        <w:t>万元。与2018年相比，收、支总计各减少</w:t>
      </w:r>
      <w:r>
        <w:rPr>
          <w:rFonts w:hint="eastAsia" w:ascii="仿宋" w:hAnsi="仿宋" w:eastAsia="仿宋"/>
          <w:color w:val="000000"/>
          <w:sz w:val="32"/>
          <w:szCs w:val="32"/>
          <w:lang w:val="en-US" w:eastAsia="zh-CN"/>
        </w:rPr>
        <w:t>61.79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5.7</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口径变化和基础设施项目减少。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pStyle w:val="23"/>
        <w:numPr>
          <w:ilvl w:val="0"/>
          <w:numId w:val="0"/>
        </w:numPr>
        <w:spacing w:line="600" w:lineRule="exact"/>
        <w:outlineLvl w:val="1"/>
        <w:rPr>
          <w:rStyle w:val="25"/>
          <w:rFonts w:hint="eastAsia" w:ascii="黑体" w:hAnsi="黑体" w:eastAsia="黑体"/>
          <w:b w:val="0"/>
        </w:rPr>
      </w:pPr>
      <w:bookmarkStart w:id="26" w:name="_Toc15377206"/>
      <w:bookmarkStart w:id="27" w:name="_Toc15396604"/>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pStyle w:val="23"/>
        <w:numPr>
          <w:ilvl w:val="0"/>
          <w:numId w:val="0"/>
        </w:numPr>
        <w:spacing w:line="600" w:lineRule="exact"/>
        <w:ind w:left="640" w:leftChars="0"/>
        <w:outlineLvl w:val="1"/>
        <w:rPr>
          <w:rFonts w:hint="eastAsia" w:ascii="仿宋" w:hAnsi="仿宋" w:eastAsia="仿宋"/>
          <w:color w:val="000000"/>
          <w:sz w:val="32"/>
          <w:szCs w:val="32"/>
        </w:rPr>
      </w:pPr>
      <w:r>
        <w:rPr>
          <w:rFonts w:hint="eastAsia" w:ascii="仿宋" w:hAnsi="仿宋" w:eastAsia="仿宋"/>
          <w:color w:val="000000"/>
          <w:sz w:val="32"/>
          <w:szCs w:val="32"/>
          <w:lang w:val="en-US" w:eastAsia="zh-CN"/>
        </w:rPr>
        <w:drawing>
          <wp:anchor distT="0" distB="0" distL="114300" distR="114300" simplePos="0" relativeHeight="251664384" behindDoc="0" locked="0" layoutInCell="1" allowOverlap="1">
            <wp:simplePos x="0" y="0"/>
            <wp:positionH relativeFrom="column">
              <wp:posOffset>548005</wp:posOffset>
            </wp:positionH>
            <wp:positionV relativeFrom="paragraph">
              <wp:posOffset>1409065</wp:posOffset>
            </wp:positionV>
            <wp:extent cx="4004310" cy="2127885"/>
            <wp:effectExtent l="4445" t="4445" r="10795" b="2032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1080.51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1005.4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75.11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themeColor="text1"/>
          <w:sz w:val="32"/>
          <w:szCs w:val="32"/>
        </w:rPr>
        <w:t>（图2：收入决算结构图）（饼状图）</w:t>
      </w:r>
    </w:p>
    <w:p>
      <w:pPr>
        <w:pStyle w:val="23"/>
        <w:numPr>
          <w:ilvl w:val="0"/>
          <w:numId w:val="0"/>
        </w:numPr>
        <w:spacing w:line="600" w:lineRule="exact"/>
        <w:ind w:firstLine="640" w:firstLineChars="20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1080.51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552.82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51.</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527.69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49</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lang w:eastAsia="zh-CN"/>
        </w:rPr>
        <w:drawing>
          <wp:anchor distT="0" distB="0" distL="114935" distR="114935" simplePos="0" relativeHeight="251672576" behindDoc="0" locked="0" layoutInCell="1" allowOverlap="1">
            <wp:simplePos x="0" y="0"/>
            <wp:positionH relativeFrom="column">
              <wp:posOffset>749935</wp:posOffset>
            </wp:positionH>
            <wp:positionV relativeFrom="paragraph">
              <wp:posOffset>193040</wp:posOffset>
            </wp:positionV>
            <wp:extent cx="3336925" cy="2380615"/>
            <wp:effectExtent l="0" t="0" r="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lang w:val="en-US" w:eastAsia="zh-CN"/>
        </w:rPr>
        <w:t xml:space="preserve">   </w:t>
      </w:r>
      <w:r>
        <w:rPr>
          <w:rFonts w:hint="eastAsia" w:ascii="仿宋" w:hAnsi="仿宋" w:eastAsia="仿宋"/>
          <w:color w:val="000000" w:themeColor="text1"/>
          <w:sz w:val="32"/>
          <w:szCs w:val="32"/>
        </w:rPr>
        <w:t>（图3：支出决算结构图）（饼状图）</w:t>
      </w:r>
    </w:p>
    <w:p>
      <w:pPr>
        <w:spacing w:line="600" w:lineRule="exact"/>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eastAsia="zh-CN"/>
        </w:rPr>
        <w:t>各为</w:t>
      </w:r>
      <w:r>
        <w:rPr>
          <w:rFonts w:hint="eastAsia" w:ascii="仿宋" w:hAnsi="仿宋" w:eastAsia="仿宋"/>
          <w:color w:val="000000"/>
          <w:sz w:val="32"/>
          <w:szCs w:val="32"/>
          <w:lang w:val="en-US" w:eastAsia="zh-CN"/>
        </w:rPr>
        <w:t>1080.51</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61.79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5.7</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是基础设施项目减少。</w:t>
      </w:r>
    </w:p>
    <w:p>
      <w:pPr>
        <w:spacing w:line="600" w:lineRule="exact"/>
        <w:ind w:firstLine="640"/>
        <w:jc w:val="left"/>
        <w:rPr>
          <w:rFonts w:ascii="仿宋" w:hAnsi="仿宋" w:eastAsia="仿宋"/>
          <w:color w:val="000000"/>
          <w:sz w:val="32"/>
          <w:szCs w:val="32"/>
        </w:rPr>
      </w:pPr>
      <w:r>
        <w:rPr>
          <w:rFonts w:hint="eastAsia" w:ascii="仿宋_GB2312" w:hAnsi="仿宋_GB2312" w:eastAsia="仿宋_GB2312" w:cs="仿宋_GB2312"/>
          <w:color w:val="000000"/>
          <w:sz w:val="32"/>
          <w:szCs w:val="32"/>
          <w:highlight w:val="yellow"/>
          <w:lang w:val="en-US" w:eastAsia="zh-CN"/>
        </w:rPr>
        <w:drawing>
          <wp:anchor distT="0" distB="0" distL="114300" distR="114300" simplePos="0" relativeHeight="251681792" behindDoc="0" locked="0" layoutInCell="1" allowOverlap="1">
            <wp:simplePos x="0" y="0"/>
            <wp:positionH relativeFrom="column">
              <wp:posOffset>476885</wp:posOffset>
            </wp:positionH>
            <wp:positionV relativeFrom="paragraph">
              <wp:posOffset>366395</wp:posOffset>
            </wp:positionV>
            <wp:extent cx="3860800" cy="2001520"/>
            <wp:effectExtent l="0" t="0" r="6350" b="1778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320" w:firstLineChars="1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320" w:firstLineChars="1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1080.51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8年相比，一般公共预算财政拨减少</w:t>
      </w:r>
      <w:r>
        <w:rPr>
          <w:rFonts w:hint="eastAsia" w:ascii="仿宋" w:hAnsi="仿宋" w:eastAsia="仿宋"/>
          <w:color w:val="000000"/>
          <w:sz w:val="32"/>
          <w:szCs w:val="32"/>
          <w:lang w:val="en-US" w:eastAsia="zh-CN"/>
        </w:rPr>
        <w:t>61.79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基础设施项目减少。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drawing>
          <wp:anchor distT="0" distB="0" distL="114300" distR="114300" simplePos="0" relativeHeight="251692032" behindDoc="0" locked="0" layoutInCell="1" allowOverlap="1">
            <wp:simplePos x="0" y="0"/>
            <wp:positionH relativeFrom="column">
              <wp:posOffset>762000</wp:posOffset>
            </wp:positionH>
            <wp:positionV relativeFrom="paragraph">
              <wp:posOffset>99695</wp:posOffset>
            </wp:positionV>
            <wp:extent cx="3699510" cy="2486660"/>
            <wp:effectExtent l="4445" t="4445" r="10795" b="2349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1005.4</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485.49</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b w:val="0"/>
          <w:bCs/>
          <w:color w:val="000000" w:themeColor="text1"/>
          <w:sz w:val="32"/>
          <w:szCs w:val="32"/>
          <w:lang w:eastAsia="zh-CN"/>
        </w:rPr>
        <w:t>支出</w:t>
      </w:r>
      <w:r>
        <w:rPr>
          <w:rFonts w:hint="eastAsia" w:ascii="仿宋" w:hAnsi="仿宋" w:eastAsia="仿宋"/>
          <w:color w:val="000000" w:themeColor="text1"/>
          <w:sz w:val="32"/>
          <w:szCs w:val="32"/>
          <w:lang w:val="en-US" w:eastAsia="zh-CN"/>
        </w:rPr>
        <w:t>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w:t>
      </w:r>
      <w:r>
        <w:rPr>
          <w:rFonts w:hint="eastAsia" w:ascii="仿宋" w:hAnsi="仿宋" w:eastAsia="仿宋"/>
          <w:b w:val="0"/>
          <w:bCs w:val="0"/>
          <w:color w:val="000000" w:themeColor="text1"/>
          <w:sz w:val="32"/>
          <w:szCs w:val="32"/>
        </w:rPr>
        <w:t>支出</w:t>
      </w:r>
      <w:r>
        <w:rPr>
          <w:rFonts w:hint="eastAsia" w:ascii="仿宋" w:hAnsi="仿宋" w:eastAsia="仿宋"/>
          <w:b/>
          <w:bCs/>
          <w:color w:val="000000" w:themeColor="text1"/>
          <w:sz w:val="32"/>
          <w:szCs w:val="32"/>
          <w:lang w:val="en-US" w:eastAsia="zh-CN"/>
        </w:rPr>
        <w:t>10</w:t>
      </w:r>
      <w:r>
        <w:rPr>
          <w:rFonts w:hint="eastAsia" w:ascii="仿宋" w:hAnsi="仿宋" w:eastAsia="仿宋"/>
          <w:b/>
          <w:bCs/>
          <w:color w:val="000000" w:themeColor="text1"/>
          <w:sz w:val="32"/>
          <w:szCs w:val="32"/>
        </w:rPr>
        <w:t>万元，占</w:t>
      </w:r>
      <w:r>
        <w:rPr>
          <w:rFonts w:hint="eastAsia" w:ascii="仿宋" w:hAnsi="仿宋" w:eastAsia="仿宋"/>
          <w:b/>
          <w:bCs/>
          <w:color w:val="000000" w:themeColor="text1"/>
          <w:sz w:val="32"/>
          <w:szCs w:val="32"/>
          <w:lang w:val="en-US" w:eastAsia="zh-CN"/>
        </w:rPr>
        <w:t>1</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52.42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lang w:val="en-US" w:eastAsia="zh-CN"/>
        </w:rPr>
        <w:t>27.82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住房保障支出</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lang w:val="en-US" w:eastAsia="zh-CN"/>
        </w:rPr>
        <w:t>31.27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lang w:eastAsia="zh-CN"/>
        </w:rPr>
        <w:t>交通运输支出</w:t>
      </w:r>
      <w:r>
        <w:rPr>
          <w:rFonts w:hint="eastAsia" w:ascii="仿宋" w:hAnsi="仿宋" w:eastAsia="仿宋"/>
          <w:b/>
          <w:color w:val="000000" w:themeColor="text1"/>
          <w:sz w:val="32"/>
          <w:szCs w:val="32"/>
        </w:rPr>
        <w:t>（类）</w:t>
      </w:r>
      <w:r>
        <w:rPr>
          <w:rFonts w:hint="eastAsia" w:ascii="仿宋" w:hAnsi="仿宋" w:eastAsia="仿宋"/>
          <w:b w:val="0"/>
          <w:bCs/>
          <w:color w:val="000000" w:themeColor="text1"/>
          <w:sz w:val="32"/>
          <w:szCs w:val="32"/>
          <w:lang w:eastAsia="zh-CN"/>
        </w:rPr>
        <w:t>支出</w:t>
      </w:r>
      <w:r>
        <w:rPr>
          <w:rFonts w:hint="eastAsia" w:ascii="仿宋" w:hAnsi="仿宋" w:eastAsia="仿宋"/>
          <w:color w:val="000000" w:themeColor="text1"/>
          <w:sz w:val="32"/>
          <w:szCs w:val="32"/>
          <w:lang w:val="en-US" w:eastAsia="zh-CN"/>
        </w:rPr>
        <w:t>10万元，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lang w:eastAsia="zh-CN"/>
        </w:rPr>
        <w:t>城乡社区支出</w:t>
      </w:r>
      <w:r>
        <w:rPr>
          <w:rFonts w:hint="eastAsia" w:ascii="仿宋" w:hAnsi="仿宋" w:eastAsia="仿宋"/>
          <w:b/>
          <w:color w:val="000000" w:themeColor="text1"/>
          <w:sz w:val="32"/>
          <w:szCs w:val="32"/>
        </w:rPr>
        <w:t>（类）</w:t>
      </w:r>
      <w:r>
        <w:rPr>
          <w:rFonts w:hint="eastAsia" w:ascii="仿宋" w:hAnsi="仿宋" w:eastAsia="仿宋"/>
          <w:b w:val="0"/>
          <w:bCs/>
          <w:color w:val="000000" w:themeColor="text1"/>
          <w:sz w:val="32"/>
          <w:szCs w:val="32"/>
          <w:lang w:eastAsia="zh-CN"/>
        </w:rPr>
        <w:t>支出</w:t>
      </w:r>
      <w:r>
        <w:rPr>
          <w:rFonts w:hint="eastAsia" w:ascii="仿宋" w:hAnsi="仿宋" w:eastAsia="仿宋"/>
          <w:color w:val="000000" w:themeColor="text1"/>
          <w:sz w:val="32"/>
          <w:szCs w:val="32"/>
          <w:lang w:val="en-US" w:eastAsia="zh-CN"/>
        </w:rPr>
        <w:t>34万元，占3%；</w:t>
      </w:r>
      <w:r>
        <w:rPr>
          <w:rFonts w:hint="eastAsia" w:ascii="仿宋" w:hAnsi="仿宋" w:eastAsia="仿宋"/>
          <w:b/>
          <w:bCs/>
          <w:color w:val="000000" w:themeColor="text1"/>
          <w:sz w:val="32"/>
          <w:szCs w:val="32"/>
          <w:lang w:val="en-US" w:eastAsia="zh-CN"/>
        </w:rPr>
        <w:t>农林水支出</w:t>
      </w:r>
      <w:r>
        <w:rPr>
          <w:rFonts w:hint="eastAsia" w:ascii="仿宋" w:hAnsi="仿宋" w:eastAsia="仿宋"/>
          <w:b/>
          <w:color w:val="000000" w:themeColor="text1"/>
          <w:sz w:val="32"/>
          <w:szCs w:val="32"/>
        </w:rPr>
        <w:t>（类）</w:t>
      </w:r>
      <w:r>
        <w:rPr>
          <w:rFonts w:hint="eastAsia" w:ascii="仿宋" w:hAnsi="仿宋" w:eastAsia="仿宋"/>
          <w:b w:val="0"/>
          <w:bCs/>
          <w:color w:val="000000" w:themeColor="text1"/>
          <w:sz w:val="32"/>
          <w:szCs w:val="32"/>
          <w:lang w:eastAsia="zh-CN"/>
        </w:rPr>
        <w:t>支出</w:t>
      </w:r>
      <w:r>
        <w:rPr>
          <w:rFonts w:hint="eastAsia" w:ascii="仿宋" w:hAnsi="仿宋" w:eastAsia="仿宋"/>
          <w:color w:val="000000" w:themeColor="text1"/>
          <w:sz w:val="32"/>
          <w:szCs w:val="32"/>
          <w:lang w:val="en-US" w:eastAsia="zh-CN"/>
        </w:rPr>
        <w:t>353.41万元，占35%。</w:t>
      </w:r>
    </w:p>
    <w:p>
      <w:pPr>
        <w:spacing w:line="600" w:lineRule="exact"/>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703296" behindDoc="0" locked="0" layoutInCell="1" allowOverlap="1">
            <wp:simplePos x="0" y="0"/>
            <wp:positionH relativeFrom="column">
              <wp:posOffset>-542925</wp:posOffset>
            </wp:positionH>
            <wp:positionV relativeFrom="paragraph">
              <wp:posOffset>161290</wp:posOffset>
            </wp:positionV>
            <wp:extent cx="6050915" cy="3612515"/>
            <wp:effectExtent l="4445" t="4445" r="21590" b="2159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rPr>
        <w:t>2019年</w:t>
      </w:r>
      <w:r>
        <w:rPr>
          <w:rFonts w:hint="eastAsia" w:ascii="仿宋" w:hAnsi="仿宋" w:eastAsia="仿宋"/>
          <w:b/>
          <w:color w:val="000000" w:themeColor="text1"/>
          <w:sz w:val="32"/>
          <w:szCs w:val="32"/>
          <w:lang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1005.4</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numPr>
          <w:ilvl w:val="0"/>
          <w:numId w:val="0"/>
        </w:numPr>
        <w:spacing w:line="600" w:lineRule="exact"/>
        <w:rPr>
          <w:rFonts w:hint="eastAsia" w:ascii="仿宋" w:hAnsi="仿宋" w:eastAsia="仿宋"/>
          <w:b/>
          <w:color w:val="000000"/>
          <w:sz w:val="32"/>
          <w:szCs w:val="32"/>
          <w:lang w:eastAsia="zh-CN"/>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lang w:val="en-US" w:eastAsia="zh-CN"/>
        </w:rPr>
        <w:t>1</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政府办公厅（室）及相关机构事务</w:t>
      </w:r>
      <w:r>
        <w:rPr>
          <w:rStyle w:val="14"/>
          <w:rFonts w:hint="eastAsia" w:ascii="仿宋" w:hAnsi="仿宋" w:eastAsia="仿宋"/>
          <w:bCs/>
          <w:color w:val="000000"/>
          <w:sz w:val="32"/>
          <w:szCs w:val="32"/>
        </w:rPr>
        <w:t>（款）</w:t>
      </w:r>
      <w:r>
        <w:rPr>
          <w:rStyle w:val="14"/>
          <w:rFonts w:hint="eastAsia" w:ascii="仿宋" w:hAnsi="仿宋" w:eastAsia="仿宋"/>
          <w:b w:val="0"/>
          <w:bCs w:val="0"/>
          <w:color w:val="000000"/>
          <w:sz w:val="32"/>
          <w:szCs w:val="32"/>
          <w:lang w:eastAsia="zh-CN"/>
        </w:rPr>
        <w:t>行政运行</w:t>
      </w:r>
      <w:r>
        <w:rPr>
          <w:rStyle w:val="14"/>
          <w:rFonts w:hint="eastAsia" w:ascii="仿宋" w:hAnsi="仿宋" w:eastAsia="仿宋"/>
          <w:b w:val="0"/>
          <w:bCs w:val="0"/>
          <w:color w:val="000000"/>
          <w:sz w:val="32"/>
          <w:szCs w:val="32"/>
        </w:rPr>
        <w:t>（项）</w:t>
      </w:r>
      <w:r>
        <w:rPr>
          <w:rStyle w:val="14"/>
          <w:rFonts w:ascii="仿宋" w:hAnsi="仿宋" w:eastAsia="仿宋"/>
          <w:b w:val="0"/>
          <w:bCs w:val="0"/>
          <w:color w:val="000000"/>
          <w:sz w:val="32"/>
          <w:szCs w:val="32"/>
        </w:rPr>
        <w:t xml:space="preserve">: </w:t>
      </w:r>
      <w:r>
        <w:rPr>
          <w:rStyle w:val="14"/>
          <w:rFonts w:hint="eastAsia" w:ascii="仿宋" w:hAnsi="仿宋" w:eastAsia="仿宋"/>
          <w:b w:val="0"/>
          <w:bCs w:val="0"/>
          <w:color w:val="000000"/>
          <w:sz w:val="32"/>
          <w:szCs w:val="32"/>
        </w:rPr>
        <w:t>支出</w:t>
      </w:r>
      <w:r>
        <w:rPr>
          <w:rStyle w:val="14"/>
          <w:rFonts w:hint="eastAsia" w:ascii="仿宋" w:hAnsi="仿宋" w:eastAsia="仿宋"/>
          <w:b w:val="0"/>
          <w:bCs/>
          <w:color w:val="000000"/>
          <w:sz w:val="32"/>
          <w:szCs w:val="32"/>
        </w:rPr>
        <w:t>决算为</w:t>
      </w:r>
      <w:r>
        <w:rPr>
          <w:rStyle w:val="14"/>
          <w:rFonts w:hint="eastAsia" w:ascii="仿宋" w:hAnsi="仿宋" w:eastAsia="仿宋"/>
          <w:b w:val="0"/>
          <w:bCs/>
          <w:color w:val="000000"/>
          <w:sz w:val="32"/>
          <w:szCs w:val="32"/>
          <w:lang w:val="en-US" w:eastAsia="zh-CN"/>
        </w:rPr>
        <w:t>355.81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eastAsia="zh-CN"/>
        </w:rPr>
        <w:t>的</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；一般行政管理事务（项）：支出</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为</w:t>
      </w:r>
      <w:r>
        <w:rPr>
          <w:rStyle w:val="14"/>
          <w:rFonts w:hint="eastAsia" w:ascii="仿宋" w:hAnsi="仿宋" w:eastAsia="仿宋"/>
          <w:b w:val="0"/>
          <w:bCs/>
          <w:color w:val="000000"/>
          <w:sz w:val="32"/>
          <w:szCs w:val="32"/>
          <w:lang w:val="en-US" w:eastAsia="zh-CN"/>
        </w:rPr>
        <w:t>38.05万元；</w:t>
      </w:r>
      <w:r>
        <w:rPr>
          <w:rStyle w:val="14"/>
          <w:rFonts w:hint="eastAsia" w:ascii="仿宋" w:hAnsi="仿宋" w:eastAsia="仿宋"/>
          <w:b w:val="0"/>
          <w:bCs/>
          <w:color w:val="000000"/>
          <w:sz w:val="32"/>
          <w:szCs w:val="32"/>
          <w:lang w:eastAsia="zh-CN"/>
        </w:rPr>
        <w:t>其他政府办公厅（室）及相关机构事务支出（项）：支出决算数为</w:t>
      </w:r>
      <w:r>
        <w:rPr>
          <w:rStyle w:val="14"/>
          <w:rFonts w:hint="eastAsia" w:ascii="仿宋" w:hAnsi="仿宋" w:eastAsia="仿宋"/>
          <w:b w:val="0"/>
          <w:bCs/>
          <w:color w:val="000000"/>
          <w:sz w:val="32"/>
          <w:szCs w:val="32"/>
          <w:lang w:val="en-US" w:eastAsia="zh-CN"/>
        </w:rPr>
        <w:t>91.64万元，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2" w:firstLineChars="200"/>
        <w:rPr>
          <w:rFonts w:hint="eastAsia" w:ascii="仿宋" w:hAnsi="仿宋" w:eastAsia="仿宋"/>
          <w:b/>
          <w:color w:val="000000"/>
          <w:sz w:val="32"/>
          <w:szCs w:val="32"/>
          <w:lang w:eastAsia="zh-CN"/>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hint="eastAsia" w:ascii="仿宋" w:hAnsi="仿宋" w:eastAsia="仿宋"/>
          <w:bCs/>
          <w:color w:val="000000"/>
          <w:sz w:val="32"/>
          <w:szCs w:val="32"/>
          <w:lang w:eastAsia="zh-CN"/>
        </w:rPr>
        <w:t>进修及培训</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培训支出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2" w:firstLineChars="200"/>
        <w:rPr>
          <w:rFonts w:hint="eastAsia" w:ascii="仿宋" w:hAnsi="仿宋" w:eastAsia="仿宋"/>
          <w:b/>
          <w:color w:val="000000"/>
          <w:sz w:val="32"/>
          <w:szCs w:val="32"/>
          <w:lang w:eastAsia="zh-CN"/>
        </w:rPr>
      </w:pPr>
      <w:r>
        <w:rPr>
          <w:rStyle w:val="14"/>
          <w:rFonts w:hint="eastAsia" w:ascii="仿宋" w:hAnsi="仿宋" w:eastAsia="仿宋"/>
          <w:bCs/>
          <w:color w:val="000000"/>
          <w:sz w:val="32"/>
          <w:szCs w:val="32"/>
          <w:lang w:val="en-US" w:eastAsia="zh-CN"/>
        </w:rPr>
        <w:t>4.</w:t>
      </w:r>
      <w:r>
        <w:rPr>
          <w:rStyle w:val="14"/>
          <w:rFonts w:hint="eastAsia" w:ascii="仿宋" w:hAnsi="仿宋" w:eastAsia="仿宋"/>
          <w:bCs/>
          <w:color w:val="000000"/>
          <w:sz w:val="32"/>
          <w:szCs w:val="32"/>
        </w:rPr>
        <w:t>文化体育与传媒（类）</w:t>
      </w:r>
      <w:r>
        <w:rPr>
          <w:rStyle w:val="14"/>
          <w:rFonts w:hint="eastAsia" w:ascii="仿宋" w:hAnsi="仿宋" w:eastAsia="仿宋"/>
          <w:bCs/>
          <w:color w:val="000000"/>
          <w:sz w:val="32"/>
          <w:szCs w:val="32"/>
          <w:lang w:eastAsia="zh-CN"/>
        </w:rPr>
        <w:t>其他文化体育与传媒支出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其他文化体育与传媒支出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5.</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机关事业单位养老保险缴费支出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支出决算为</w:t>
      </w:r>
      <w:r>
        <w:rPr>
          <w:rStyle w:val="14"/>
          <w:rFonts w:hint="eastAsia" w:ascii="仿宋" w:hAnsi="仿宋" w:eastAsia="仿宋"/>
          <w:b w:val="0"/>
          <w:bCs/>
          <w:color w:val="000000"/>
          <w:sz w:val="32"/>
          <w:szCs w:val="32"/>
          <w:lang w:val="en-US" w:eastAsia="zh-CN"/>
        </w:rPr>
        <w:t>44.73万元，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；机关事业单位职业年金缴费支出（项）：支出决算为</w:t>
      </w:r>
      <w:r>
        <w:rPr>
          <w:rStyle w:val="14"/>
          <w:rFonts w:hint="eastAsia" w:ascii="仿宋" w:hAnsi="仿宋" w:eastAsia="仿宋"/>
          <w:b w:val="0"/>
          <w:bCs/>
          <w:color w:val="000000"/>
          <w:sz w:val="32"/>
          <w:szCs w:val="32"/>
          <w:lang w:val="en-US" w:eastAsia="zh-CN"/>
        </w:rPr>
        <w:t>5.2万元，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；其他行政单位离退休</w:t>
      </w:r>
      <w:r>
        <w:rPr>
          <w:rStyle w:val="14"/>
          <w:rFonts w:hint="eastAsia" w:ascii="仿宋" w:hAnsi="仿宋" w:eastAsia="仿宋"/>
          <w:b w:val="0"/>
          <w:bCs/>
          <w:color w:val="000000"/>
          <w:sz w:val="32"/>
          <w:szCs w:val="32"/>
          <w:lang w:val="en-US" w:eastAsia="zh-CN"/>
        </w:rPr>
        <w:t>2.49万元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2" w:firstLineChars="200"/>
        <w:rPr>
          <w:rFonts w:hint="eastAsia" w:ascii="仿宋" w:hAnsi="仿宋" w:eastAsia="仿宋"/>
          <w:color w:val="000000"/>
          <w:sz w:val="32"/>
          <w:szCs w:val="32"/>
          <w:lang w:val="en-US" w:eastAsia="zh-CN"/>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医疗卫生与计划生育（类）</w:t>
      </w:r>
      <w:r>
        <w:rPr>
          <w:rStyle w:val="14"/>
          <w:rFonts w:hint="eastAsia" w:ascii="仿宋" w:hAnsi="仿宋" w:eastAsia="仿宋"/>
          <w:bCs/>
          <w:color w:val="000000"/>
          <w:sz w:val="32"/>
          <w:szCs w:val="32"/>
          <w:lang w:eastAsia="zh-CN"/>
        </w:rPr>
        <w:t>公共卫生</w:t>
      </w:r>
      <w:r>
        <w:rPr>
          <w:rStyle w:val="14"/>
          <w:rFonts w:hint="eastAsia" w:ascii="仿宋" w:hAnsi="仿宋" w:eastAsia="仿宋"/>
          <w:bCs/>
          <w:color w:val="000000"/>
          <w:sz w:val="32"/>
          <w:szCs w:val="32"/>
        </w:rPr>
        <w:t>（</w:t>
      </w:r>
      <w:r>
        <w:rPr>
          <w:rStyle w:val="14"/>
          <w:rFonts w:hint="eastAsia" w:ascii="仿宋" w:hAnsi="仿宋" w:eastAsia="仿宋"/>
          <w:b/>
          <w:bCs/>
          <w:color w:val="000000"/>
          <w:sz w:val="32"/>
          <w:szCs w:val="32"/>
        </w:rPr>
        <w:t>款）</w:t>
      </w:r>
      <w:r>
        <w:rPr>
          <w:rStyle w:val="14"/>
          <w:rFonts w:hint="eastAsia" w:ascii="仿宋" w:hAnsi="仿宋" w:eastAsia="仿宋"/>
          <w:b/>
          <w:bCs/>
          <w:color w:val="000000"/>
          <w:sz w:val="32"/>
          <w:szCs w:val="32"/>
          <w:lang w:eastAsia="zh-CN"/>
        </w:rPr>
        <w:t>重大公共卫生专项</w:t>
      </w:r>
      <w:r>
        <w:rPr>
          <w:rStyle w:val="14"/>
          <w:rFonts w:hint="eastAsia" w:ascii="仿宋" w:hAnsi="仿宋" w:eastAsia="仿宋"/>
          <w:b/>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3.64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；行政事业单位医疗（款）行政单位医疗（项），支出决算为</w:t>
      </w:r>
      <w:r>
        <w:rPr>
          <w:rStyle w:val="14"/>
          <w:rFonts w:hint="eastAsia" w:ascii="仿宋" w:hAnsi="仿宋" w:eastAsia="仿宋"/>
          <w:b w:val="0"/>
          <w:bCs/>
          <w:color w:val="000000"/>
          <w:sz w:val="32"/>
          <w:szCs w:val="32"/>
          <w:lang w:val="en-US" w:eastAsia="zh-CN"/>
        </w:rPr>
        <w:t>11.97万元，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；事业单位医疗（项）支出</w:t>
      </w:r>
      <w:r>
        <w:rPr>
          <w:rStyle w:val="14"/>
          <w:rFonts w:hint="eastAsia" w:ascii="仿宋" w:hAnsi="仿宋" w:eastAsia="仿宋"/>
          <w:b w:val="0"/>
          <w:bCs/>
          <w:color w:val="000000"/>
          <w:sz w:val="32"/>
          <w:szCs w:val="32"/>
          <w:lang w:val="en-US" w:eastAsia="zh-CN"/>
        </w:rPr>
        <w:t>4.96万元，公务员医疗补助（项）支出决算为7.03万元，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；其他行政事业单位医疗支出（项）</w:t>
      </w:r>
      <w:r>
        <w:rPr>
          <w:rStyle w:val="14"/>
          <w:rFonts w:hint="eastAsia" w:ascii="仿宋" w:hAnsi="仿宋" w:eastAsia="仿宋"/>
          <w:b w:val="0"/>
          <w:bCs/>
          <w:color w:val="000000"/>
          <w:sz w:val="32"/>
          <w:szCs w:val="32"/>
          <w:lang w:val="en-US" w:eastAsia="zh-CN"/>
        </w:rPr>
        <w:t>支出决算为0.21万元，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0"/>
        <w:rPr>
          <w:rStyle w:val="14"/>
          <w:rFonts w:hint="eastAsia" w:ascii="仿宋" w:hAnsi="仿宋" w:eastAsia="仿宋"/>
          <w:b w:val="0"/>
          <w:bCs/>
          <w:color w:val="000000"/>
          <w:sz w:val="32"/>
          <w:szCs w:val="32"/>
          <w:lang w:eastAsia="zh-CN"/>
        </w:rPr>
      </w:pPr>
      <w:r>
        <w:rPr>
          <w:rFonts w:hint="eastAsia" w:ascii="仿宋" w:hAnsi="仿宋" w:eastAsia="仿宋"/>
          <w:b/>
          <w:color w:val="000000"/>
          <w:sz w:val="32"/>
          <w:szCs w:val="32"/>
          <w:lang w:val="en-US" w:eastAsia="zh-CN"/>
        </w:rPr>
        <w:t>7.节能环保支出（类）污染减排（款）</w:t>
      </w:r>
      <w:r>
        <w:rPr>
          <w:rFonts w:hint="eastAsia" w:ascii="仿宋" w:hAnsi="仿宋" w:eastAsia="仿宋"/>
          <w:b/>
          <w:bCs w:val="0"/>
          <w:color w:val="000000"/>
          <w:sz w:val="32"/>
          <w:szCs w:val="32"/>
          <w:lang w:val="en-US" w:eastAsia="zh-CN"/>
        </w:rPr>
        <w:t>其他污染减排支出（项）：</w:t>
      </w:r>
      <w:r>
        <w:rPr>
          <w:rFonts w:hint="eastAsia" w:ascii="仿宋" w:hAnsi="仿宋" w:eastAsia="仿宋"/>
          <w:b w:val="0"/>
          <w:bCs/>
          <w:color w:val="000000"/>
          <w:sz w:val="32"/>
          <w:szCs w:val="32"/>
          <w:lang w:val="en-US" w:eastAsia="zh-CN"/>
        </w:rPr>
        <w:t>支出决算为0万元，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numPr>
          <w:ilvl w:val="0"/>
          <w:numId w:val="0"/>
        </w:numPr>
        <w:spacing w:line="600" w:lineRule="exact"/>
        <w:ind w:firstLine="642" w:firstLineChars="200"/>
        <w:rPr>
          <w:rStyle w:val="14"/>
          <w:rFonts w:hint="eastAsia" w:ascii="仿宋" w:hAnsi="仿宋" w:eastAsia="仿宋"/>
          <w:b w:val="0"/>
          <w:bCs/>
          <w:color w:val="000000"/>
          <w:sz w:val="32"/>
          <w:szCs w:val="32"/>
          <w:lang w:eastAsia="zh-CN"/>
        </w:rPr>
      </w:pPr>
      <w:r>
        <w:rPr>
          <w:rStyle w:val="14"/>
          <w:rFonts w:hint="eastAsia" w:ascii="仿宋" w:hAnsi="仿宋" w:eastAsia="仿宋"/>
          <w:b/>
          <w:bCs w:val="0"/>
          <w:color w:val="000000"/>
          <w:sz w:val="32"/>
          <w:szCs w:val="32"/>
          <w:lang w:val="en-US" w:eastAsia="zh-CN"/>
        </w:rPr>
        <w:t>8.城乡社区支出（类）城乡社区管理事务（款）</w:t>
      </w:r>
      <w:r>
        <w:rPr>
          <w:rStyle w:val="14"/>
          <w:rFonts w:hint="eastAsia" w:ascii="仿宋" w:hAnsi="仿宋" w:eastAsia="仿宋"/>
          <w:b w:val="0"/>
          <w:bCs/>
          <w:color w:val="000000"/>
          <w:sz w:val="32"/>
          <w:szCs w:val="32"/>
          <w:lang w:val="en-US" w:eastAsia="zh-CN"/>
        </w:rPr>
        <w:t>其他城乡社区管理事务支出（项）：支出决算为34万元，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numPr>
          <w:ilvl w:val="0"/>
          <w:numId w:val="0"/>
        </w:numPr>
        <w:spacing w:line="600" w:lineRule="exact"/>
        <w:ind w:firstLine="642"/>
        <w:rPr>
          <w:rStyle w:val="14"/>
          <w:rFonts w:hint="eastAsia" w:ascii="仿宋" w:hAnsi="仿宋" w:eastAsia="仿宋"/>
          <w:b w:val="0"/>
          <w:bCs/>
          <w:color w:val="000000"/>
          <w:sz w:val="32"/>
          <w:szCs w:val="32"/>
          <w:lang w:val="en-US" w:eastAsia="zh-CN"/>
        </w:rPr>
      </w:pPr>
      <w:r>
        <w:rPr>
          <w:rStyle w:val="14"/>
          <w:rFonts w:hint="eastAsia" w:ascii="仿宋" w:hAnsi="仿宋" w:eastAsia="仿宋"/>
          <w:b/>
          <w:bCs w:val="0"/>
          <w:color w:val="000000"/>
          <w:sz w:val="32"/>
          <w:szCs w:val="32"/>
          <w:lang w:val="en-US" w:eastAsia="zh-CN"/>
        </w:rPr>
        <w:t>9.农林水支出（类）农业（款）农村道路建设（项）</w:t>
      </w:r>
      <w:r>
        <w:rPr>
          <w:rStyle w:val="14"/>
          <w:rFonts w:hint="eastAsia" w:ascii="仿宋" w:hAnsi="仿宋" w:eastAsia="仿宋"/>
          <w:b w:val="0"/>
          <w:bCs/>
          <w:color w:val="000000"/>
          <w:sz w:val="32"/>
          <w:szCs w:val="32"/>
          <w:lang w:val="en-US" w:eastAsia="zh-CN"/>
        </w:rPr>
        <w:t>支出决算为125万元，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；其他农业支出（项）支出决算为</w:t>
      </w:r>
      <w:r>
        <w:rPr>
          <w:rStyle w:val="14"/>
          <w:rFonts w:hint="eastAsia" w:ascii="仿宋" w:hAnsi="仿宋" w:eastAsia="仿宋"/>
          <w:b w:val="0"/>
          <w:bCs/>
          <w:color w:val="000000"/>
          <w:sz w:val="32"/>
          <w:szCs w:val="32"/>
          <w:lang w:val="en-US" w:eastAsia="zh-CN"/>
        </w:rPr>
        <w:t>4万元，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；农村综合改革（款）对村民委员会和村党支部的补助（项）支出决算为</w:t>
      </w:r>
      <w:r>
        <w:rPr>
          <w:rStyle w:val="14"/>
          <w:rFonts w:hint="eastAsia" w:ascii="仿宋" w:hAnsi="仿宋" w:eastAsia="仿宋"/>
          <w:b w:val="0"/>
          <w:bCs/>
          <w:color w:val="000000"/>
          <w:sz w:val="32"/>
          <w:szCs w:val="32"/>
          <w:lang w:val="en-US" w:eastAsia="zh-CN"/>
        </w:rPr>
        <w:t>224.41万元,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w:t>
      </w:r>
    </w:p>
    <w:p>
      <w:pPr>
        <w:numPr>
          <w:ilvl w:val="0"/>
          <w:numId w:val="0"/>
        </w:numPr>
        <w:spacing w:line="600" w:lineRule="exact"/>
        <w:ind w:firstLine="642"/>
        <w:rPr>
          <w:rStyle w:val="14"/>
          <w:rFonts w:hint="eastAsia" w:ascii="仿宋" w:hAnsi="仿宋" w:eastAsia="仿宋"/>
          <w:b/>
          <w:bCs w:val="0"/>
          <w:color w:val="000000"/>
          <w:sz w:val="32"/>
          <w:szCs w:val="32"/>
          <w:lang w:val="en-US" w:eastAsia="zh-CN"/>
        </w:rPr>
      </w:pPr>
      <w:r>
        <w:rPr>
          <w:rStyle w:val="14"/>
          <w:rFonts w:hint="eastAsia" w:ascii="仿宋" w:hAnsi="仿宋" w:eastAsia="仿宋"/>
          <w:b/>
          <w:bCs w:val="0"/>
          <w:color w:val="000000"/>
          <w:sz w:val="32"/>
          <w:szCs w:val="32"/>
          <w:lang w:val="en-US" w:eastAsia="zh-CN"/>
        </w:rPr>
        <w:t>10.交通运输支出（类）公路水路运输（款）其他公路水路运输支出（项）支出10万元；</w:t>
      </w:r>
    </w:p>
    <w:p>
      <w:pPr>
        <w:numPr>
          <w:ilvl w:val="0"/>
          <w:numId w:val="0"/>
        </w:numPr>
        <w:spacing w:line="600" w:lineRule="exact"/>
        <w:ind w:firstLine="642"/>
        <w:rPr>
          <w:rStyle w:val="14"/>
          <w:rFonts w:hint="eastAsia" w:ascii="仿宋" w:hAnsi="仿宋" w:eastAsia="仿宋"/>
          <w:b w:val="0"/>
          <w:bCs/>
          <w:color w:val="000000"/>
          <w:sz w:val="32"/>
          <w:szCs w:val="32"/>
          <w:lang w:val="en-US" w:eastAsia="zh-CN"/>
        </w:rPr>
      </w:pPr>
      <w:r>
        <w:rPr>
          <w:rStyle w:val="14"/>
          <w:rFonts w:hint="eastAsia" w:ascii="仿宋" w:hAnsi="仿宋" w:eastAsia="仿宋"/>
          <w:b/>
          <w:bCs w:val="0"/>
          <w:color w:val="000000"/>
          <w:sz w:val="32"/>
          <w:szCs w:val="32"/>
          <w:lang w:val="en-US" w:eastAsia="zh-CN"/>
        </w:rPr>
        <w:t>11.住房保障支出（类）住房改革支出（款）</w:t>
      </w:r>
      <w:r>
        <w:rPr>
          <w:rStyle w:val="14"/>
          <w:rFonts w:hint="eastAsia" w:ascii="仿宋" w:hAnsi="仿宋" w:eastAsia="仿宋"/>
          <w:b w:val="0"/>
          <w:bCs/>
          <w:color w:val="000000"/>
          <w:sz w:val="32"/>
          <w:szCs w:val="32"/>
          <w:lang w:val="en-US" w:eastAsia="zh-CN"/>
        </w:rPr>
        <w:t>住房公积金（项）支出决算为31.27万元,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w:t>
      </w:r>
    </w:p>
    <w:p>
      <w:pPr>
        <w:spacing w:line="600" w:lineRule="exact"/>
        <w:ind w:firstLine="642"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Z01-1</w:t>
      </w:r>
      <w:r>
        <w:rPr>
          <w:rFonts w:hint="eastAsia" w:ascii="仿宋" w:hAnsi="仿宋" w:eastAsia="仿宋"/>
          <w:b/>
          <w:color w:val="auto"/>
          <w:sz w:val="32"/>
          <w:szCs w:val="32"/>
          <w:highlight w:val="none"/>
        </w:rPr>
        <w:t>表，罗列全部功能分类科目至项级。上述“预算”口径为调整预算数。增减变动原因为决算数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和调整预算数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tabs>
          <w:tab w:val="right" w:pos="8306"/>
        </w:tabs>
        <w:spacing w:line="600" w:lineRule="exact"/>
        <w:ind w:firstLine="640" w:firstLineChars="20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552.82</w:t>
      </w:r>
      <w:r>
        <w:rPr>
          <w:rFonts w:hint="eastAsia" w:ascii="仿宋" w:hAnsi="仿宋" w:eastAsia="仿宋"/>
          <w:color w:val="000000"/>
          <w:sz w:val="32"/>
          <w:szCs w:val="32"/>
        </w:rPr>
        <w:t>万元，其中：</w:t>
      </w: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419.97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63.64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对个人和家庭的补助69.2万元，主要包括：退休人员的生活补助、奖励金、其他对个人和家庭的补助等。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b/>
          <w:color w:val="auto"/>
          <w:sz w:val="32"/>
          <w:szCs w:val="32"/>
        </w:rPr>
      </w:pPr>
      <w:r>
        <w:rPr>
          <w:rFonts w:hint="eastAsia" w:ascii="仿宋" w:hAnsi="仿宋" w:eastAsia="仿宋"/>
          <w:b/>
          <w:color w:val="auto"/>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27</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73</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715584" behindDoc="0" locked="0" layoutInCell="1" allowOverlap="1">
            <wp:simplePos x="0" y="0"/>
            <wp:positionH relativeFrom="column">
              <wp:posOffset>599440</wp:posOffset>
            </wp:positionH>
            <wp:positionV relativeFrom="paragraph">
              <wp:posOffset>340360</wp:posOffset>
            </wp:positionV>
            <wp:extent cx="4318000" cy="2477135"/>
            <wp:effectExtent l="4445" t="4445" r="20955" b="1397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numPr>
          <w:ilvl w:val="0"/>
          <w:numId w:val="1"/>
        </w:num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为</w:t>
      </w:r>
      <w:r>
        <w:rPr>
          <w:rFonts w:hint="eastAsia" w:ascii="仿宋_GB2312" w:eastAsia="仿宋_GB2312"/>
          <w:color w:val="000000"/>
          <w:sz w:val="32"/>
          <w:szCs w:val="32"/>
          <w:lang w:val="en-US" w:eastAsia="zh-CN"/>
        </w:rPr>
        <w:t>0，与2018年一样。</w:t>
      </w:r>
    </w:p>
    <w:p>
      <w:pPr>
        <w:numPr>
          <w:ilvl w:val="0"/>
          <w:numId w:val="0"/>
        </w:numPr>
        <w:spacing w:line="600" w:lineRule="exact"/>
        <w:ind w:firstLine="642" w:firstLineChars="20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0.05</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修理费增加。</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城管执法用车</w:t>
      </w:r>
      <w:r>
        <w:rPr>
          <w:rFonts w:hint="eastAsia" w:ascii="仿宋_GB2312" w:eastAsia="仿宋_GB2312"/>
          <w:color w:val="000000"/>
          <w:sz w:val="32"/>
          <w:szCs w:val="32"/>
        </w:rPr>
        <w:t>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5.9</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严格控制接待标准。</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8</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上级来客</w:t>
      </w:r>
      <w:r>
        <w:rPr>
          <w:rFonts w:hint="eastAsia" w:ascii="仿宋_GB2312" w:eastAsia="仿宋_GB2312"/>
          <w:color w:val="000000"/>
          <w:sz w:val="32"/>
          <w:szCs w:val="32"/>
        </w:rPr>
        <w:t>(执行公务、开展业务活动开支的用餐费)。国内公务接待</w:t>
      </w:r>
      <w:r>
        <w:rPr>
          <w:rFonts w:hint="eastAsia" w:ascii="仿宋_GB2312" w:eastAsia="仿宋_GB2312"/>
          <w:color w:val="000000"/>
          <w:sz w:val="32"/>
          <w:szCs w:val="32"/>
          <w:lang w:val="en-US" w:eastAsia="zh-CN"/>
        </w:rPr>
        <w:t>428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2300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脱贫攻坚检查、涉农项目督查、县级部门检查工作等</w:t>
      </w:r>
      <w:r>
        <w:rPr>
          <w:rFonts w:hint="eastAsia" w:ascii="仿宋_GB2312" w:eastAsia="仿宋_GB2312"/>
          <w:color w:val="000000"/>
          <w:sz w:val="32"/>
          <w:szCs w:val="32"/>
        </w:rPr>
        <w:t>。</w:t>
      </w:r>
    </w:p>
    <w:p>
      <w:pPr>
        <w:spacing w:line="600" w:lineRule="exact"/>
        <w:ind w:firstLine="642"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万元，主要用于接待</w:t>
      </w:r>
      <w:r>
        <w:rPr>
          <w:rFonts w:ascii="仿宋_GB2312" w:eastAsia="仿宋_GB2312"/>
          <w:color w:val="000000" w:themeColor="text1"/>
          <w:sz w:val="32"/>
          <w:szCs w:val="32"/>
        </w:rPr>
        <w:t>…</w:t>
      </w:r>
      <w:r>
        <w:rPr>
          <w:rFonts w:hint="eastAsia" w:ascii="仿宋_GB2312" w:eastAsia="仿宋_GB2312"/>
          <w:color w:val="000000" w:themeColor="text1"/>
          <w:sz w:val="32"/>
          <w:szCs w:val="32"/>
        </w:rPr>
        <w:t>（具体项目）</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75.1</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樊哙镇</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63.64</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24.69</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28</w:t>
      </w:r>
      <w:r>
        <w:rPr>
          <w:rFonts w:ascii="仿宋_GB2312" w:eastAsia="仿宋_GB2312"/>
          <w:color w:val="000000"/>
          <w:sz w:val="32"/>
          <w:szCs w:val="32"/>
        </w:rPr>
        <w:t>%</w:t>
      </w:r>
      <w:r>
        <w:rPr>
          <w:rFonts w:hint="eastAsia" w:ascii="仿宋_GB2312" w:eastAsia="仿宋_GB2312"/>
          <w:color w:val="000000"/>
          <w:sz w:val="32"/>
          <w:szCs w:val="32"/>
          <w:lang w:val="en-US" w:eastAsia="zh-CN"/>
        </w:rPr>
        <w:t>,</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eastAsia="zh-CN"/>
        </w:rPr>
        <w:t>压缩各种非生产性支出。</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樊哙</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2" w:firstLineChars="200"/>
        <w:rPr>
          <w:rFonts w:ascii="仿宋" w:hAnsi="仿宋" w:eastAsia="仿宋"/>
          <w:b/>
          <w:color w:val="auto"/>
          <w:sz w:val="32"/>
          <w:szCs w:val="32"/>
        </w:rPr>
      </w:pPr>
      <w:r>
        <w:rPr>
          <w:rFonts w:hint="eastAsia" w:ascii="仿宋" w:hAnsi="仿宋" w:eastAsia="仿宋"/>
          <w:b/>
          <w:color w:val="auto"/>
          <w:sz w:val="32"/>
          <w:szCs w:val="32"/>
        </w:rPr>
        <w:t>（注：数据来源于财决附</w:t>
      </w:r>
      <w:r>
        <w:rPr>
          <w:rFonts w:ascii="仿宋" w:hAnsi="仿宋" w:eastAsia="仿宋"/>
          <w:b/>
          <w:color w:val="auto"/>
          <w:sz w:val="32"/>
          <w:szCs w:val="32"/>
        </w:rPr>
        <w:t>03</w:t>
      </w:r>
      <w:r>
        <w:rPr>
          <w:rFonts w:hint="eastAsia" w:ascii="仿宋" w:hAnsi="仿宋" w:eastAsia="仿宋"/>
          <w:b/>
          <w:color w:val="auto"/>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auto"/>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樊哙镇</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其他用车主要是用于</w:t>
      </w:r>
      <w:r>
        <w:rPr>
          <w:rFonts w:hint="eastAsia" w:ascii="仿宋_GB2312" w:eastAsia="仿宋_GB2312"/>
          <w:color w:val="000000" w:themeColor="text1"/>
          <w:sz w:val="32"/>
          <w:szCs w:val="32"/>
          <w:lang w:eastAsia="zh-CN"/>
        </w:rPr>
        <w:t>场镇执法用车，</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 w:hAnsi="仿宋" w:eastAsia="仿宋"/>
          <w:b/>
          <w:color w:val="auto"/>
          <w:sz w:val="32"/>
          <w:szCs w:val="32"/>
        </w:rPr>
        <w:t>（注：数据来源财决附</w:t>
      </w:r>
      <w:r>
        <w:rPr>
          <w:rFonts w:ascii="仿宋" w:hAnsi="仿宋" w:eastAsia="仿宋"/>
          <w:b/>
          <w:color w:val="auto"/>
          <w:sz w:val="32"/>
          <w:szCs w:val="32"/>
        </w:rPr>
        <w:t>03</w:t>
      </w:r>
      <w:r>
        <w:rPr>
          <w:rFonts w:hint="eastAsia" w:ascii="仿宋" w:hAnsi="仿宋" w:eastAsia="仿宋"/>
          <w:b/>
          <w:color w:val="auto"/>
          <w:sz w:val="32"/>
          <w:szCs w:val="32"/>
        </w:rPr>
        <w:t>表，按部门决算报表填报数据罗列车辆情况。）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农村公共运行维护经费和社区服务群众专项经费</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个项目开展了绩效目标完成情况梳理填报。</w:t>
      </w:r>
    </w:p>
    <w:p>
      <w:pPr>
        <w:numPr>
          <w:ilvl w:val="0"/>
          <w:numId w:val="3"/>
        </w:num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樊哙镇茶溪谷公厕建设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樊哙镇花梨村道路建设项目（</w:t>
      </w:r>
      <w:r>
        <w:rPr>
          <w:rFonts w:hint="eastAsia" w:ascii="仿宋_GB2312" w:hAnsi="仿宋_GB2312" w:eastAsia="仿宋_GB2312" w:cs="仿宋_GB2312"/>
          <w:sz w:val="32"/>
          <w:szCs w:val="32"/>
          <w:lang w:val="en-US" w:eastAsia="zh-CN"/>
        </w:rPr>
        <w:t>2019年革命老区资金</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樊哙镇两个社区服务群众专项经费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“樊哙镇峡江社区</w:t>
      </w:r>
      <w:r>
        <w:rPr>
          <w:rFonts w:hint="eastAsia" w:ascii="仿宋_GB2312" w:hAnsi="仿宋_GB2312" w:eastAsia="仿宋_GB2312" w:cs="仿宋_GB2312"/>
          <w:sz w:val="32"/>
          <w:szCs w:val="32"/>
          <w:lang w:val="en-US" w:eastAsia="zh-CN"/>
        </w:rPr>
        <w:t>2019年省级公共服务体系建设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个项目绩效目标实际完成情况。（本单位部门项目绩效目标个数在5个以上的，选取5个项目进行公开，目标个数在5个以下的，全部进行公开，公开内容包括完成情况综述和完成情况表）。</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樊哙镇茶溪谷公厕建设</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了快速通道过往车辆游客的方便。</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由于当时设计预算不能超，导致坝子绿化亮化下差资金</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向上级争取资金补助。</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樊哙镇花梨村道路建设</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2019年革命老区资金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%。通过项目实施，支持</w:t>
      </w:r>
      <w:r>
        <w:rPr>
          <w:rFonts w:hint="eastAsia" w:ascii="仿宋_GB2312" w:hAnsi="仿宋_GB2312" w:eastAsia="仿宋_GB2312" w:cs="仿宋_GB2312"/>
          <w:sz w:val="32"/>
          <w:szCs w:val="32"/>
          <w:lang w:eastAsia="zh-CN"/>
        </w:rPr>
        <w:t>地方基础设施建设，为开发、打造将军坪奠定了基础，解决了</w:t>
      </w:r>
      <w:r>
        <w:rPr>
          <w:rFonts w:hint="eastAsia" w:ascii="仿宋_GB2312" w:hAnsi="仿宋_GB2312" w:eastAsia="仿宋_GB2312" w:cs="仿宋_GB2312"/>
          <w:sz w:val="32"/>
          <w:szCs w:val="32"/>
          <w:lang w:val="en-US" w:eastAsia="zh-CN"/>
        </w:rPr>
        <w:t>18户农户出行难和农副产品运输难等问题。</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樊哙镇服务群众专项经费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了镇城乡居民基本的文化需求，</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了当地文化建设</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了与人民群众的鱼水情深</w:t>
      </w:r>
      <w:r>
        <w:rPr>
          <w:rFonts w:hint="eastAsia" w:ascii="仿宋_GB2312" w:hAnsi="仿宋_GB2312" w:eastAsia="仿宋_GB2312" w:cs="仿宋_GB2312"/>
          <w:sz w:val="32"/>
          <w:szCs w:val="32"/>
        </w:rPr>
        <w:t>、提</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本级政府的影响力</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举办的文化活动有些粗糙，没有精细化</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进一步提高文化活动质量。</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）樊哙镇峡江社区</w:t>
      </w:r>
      <w:r>
        <w:rPr>
          <w:rFonts w:hint="eastAsia" w:ascii="仿宋_GB2312" w:hAnsi="仿宋_GB2312" w:eastAsia="仿宋_GB2312" w:cs="仿宋_GB2312"/>
          <w:sz w:val="32"/>
          <w:szCs w:val="32"/>
          <w:lang w:val="en-US" w:eastAsia="zh-CN"/>
        </w:rPr>
        <w:t>2019年省级公共服务体系建设项目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了峡江社区居民基本的公共服务需求，</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了当地公共服务建设</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了与人民群众的鱼水情深</w:t>
      </w:r>
      <w:r>
        <w:rPr>
          <w:rFonts w:hint="eastAsia" w:ascii="仿宋_GB2312" w:hAnsi="仿宋_GB2312" w:eastAsia="仿宋_GB2312" w:cs="仿宋_GB2312"/>
          <w:sz w:val="32"/>
          <w:szCs w:val="32"/>
        </w:rPr>
        <w:t>、提</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本级政府的影响力。</w:t>
      </w: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1066" w:tblpY="18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樊哙镇花梨村道路建设项目（</w:t>
            </w:r>
            <w:r>
              <w:rPr>
                <w:rFonts w:hint="eastAsia" w:ascii="宋体" w:hAnsi="宋体" w:cs="宋体"/>
                <w:color w:val="000000"/>
                <w:sz w:val="24"/>
                <w:lang w:val="en-US" w:eastAsia="zh-CN"/>
              </w:rPr>
              <w:t>2019年革命老区资金</w:t>
            </w:r>
            <w:r>
              <w:rPr>
                <w:rFonts w:hint="eastAsia" w:ascii="宋体" w:hAnsi="宋体" w:cs="宋体"/>
                <w:color w:val="000000"/>
                <w:sz w:val="24"/>
                <w:lang w:eastAsia="zh-CN"/>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樊哙镇</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1.013公里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1.17公里</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设计快速通道至将军坪道路加宽硬化长</w:t>
            </w:r>
            <w:r>
              <w:rPr>
                <w:rFonts w:hint="eastAsia" w:ascii="宋体" w:hAnsi="宋体" w:cs="宋体"/>
                <w:color w:val="000000"/>
                <w:sz w:val="24"/>
                <w:lang w:val="en-US" w:eastAsia="zh-CN"/>
              </w:rPr>
              <w:t>1.013公里，其中：0.676公里宽7米、0.337公里宽3.5米。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实际完成快速通道至将军坪道路加宽硬化长</w:t>
            </w:r>
            <w:r>
              <w:rPr>
                <w:rFonts w:hint="eastAsia" w:ascii="宋体" w:hAnsi="宋体" w:cs="宋体"/>
                <w:color w:val="000000"/>
                <w:sz w:val="24"/>
                <w:lang w:val="en-US" w:eastAsia="zh-CN"/>
              </w:rPr>
              <w:t>1.17公里，其中：0.6公里宽7米、0.57公里宽3.5米。</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地方基础设施建设，为开发、打造将军坪奠定了基础，解决</w:t>
            </w:r>
            <w:r>
              <w:rPr>
                <w:rFonts w:hint="eastAsia" w:ascii="仿宋_GB2312" w:hAnsi="仿宋_GB2312" w:eastAsia="仿宋_GB2312" w:cs="仿宋_GB2312"/>
                <w:sz w:val="32"/>
                <w:szCs w:val="32"/>
                <w:lang w:val="en-US" w:eastAsia="zh-CN"/>
              </w:rPr>
              <w:t>农户出行难和农副产品运输难等问题。</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地方基础设施建设，为开发、打造将军坪奠定了基础，解决了</w:t>
            </w:r>
            <w:r>
              <w:rPr>
                <w:rFonts w:hint="eastAsia" w:ascii="仿宋_GB2312" w:hAnsi="仿宋_GB2312" w:eastAsia="仿宋_GB2312" w:cs="仿宋_GB2312"/>
                <w:sz w:val="32"/>
                <w:szCs w:val="32"/>
                <w:lang w:val="en-US" w:eastAsia="zh-CN"/>
              </w:rPr>
              <w:t>18户农户出行难和农副产品运输难等问题。</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樊哙镇</w:t>
      </w:r>
      <w:r>
        <w:rPr>
          <w:rFonts w:hint="eastAsia" w:ascii="仿宋_GB2312" w:hAnsi="仿宋_GB2312" w:eastAsia="仿宋_GB2312" w:cs="仿宋_GB2312"/>
          <w:sz w:val="32"/>
          <w:szCs w:val="32"/>
        </w:rPr>
        <w:t>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樊哙镇花梨村道路建设（</w:t>
      </w:r>
      <w:r>
        <w:rPr>
          <w:rFonts w:hint="eastAsia" w:ascii="仿宋_GB2312" w:hAnsi="仿宋_GB2312" w:eastAsia="仿宋_GB2312" w:cs="仿宋_GB2312"/>
          <w:sz w:val="32"/>
          <w:szCs w:val="32"/>
          <w:lang w:val="en-US" w:eastAsia="zh-CN"/>
        </w:rPr>
        <w:t>2019年革命老区资金</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樊哙镇花梨村道路建设</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2019年革命老区资金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樊哙镇</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both"/>
        <w:rPr>
          <w:rFonts w:ascii="仿宋_GB2312" w:hAnsi="宋体" w:eastAsia="仿宋_GB2312"/>
          <w:sz w:val="32"/>
          <w:szCs w:val="32"/>
          <w:shd w:val="clear" w:color="auto" w:fill="FFFFFF"/>
        </w:rPr>
      </w:pP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keepNext w:val="0"/>
        <w:keepLines w:val="0"/>
        <w:pageBreakBefore w:val="0"/>
        <w:widowControl w:val="0"/>
        <w:kinsoku/>
        <w:wordWrap/>
        <w:overflowPunct/>
        <w:topLinePunct w:val="0"/>
        <w:autoSpaceDE/>
        <w:autoSpaceDN/>
        <w:bidi w:val="0"/>
        <w:adjustRightInd/>
        <w:spacing w:line="579" w:lineRule="exact"/>
        <w:ind w:left="0" w:firstLine="480" w:firstLineChars="150"/>
        <w:textAlignment w:val="auto"/>
        <w:rPr>
          <w:rFonts w:hint="eastAsia" w:ascii="楷体" w:hAnsi="楷体" w:eastAsia="楷体" w:cs="楷体"/>
          <w:sz w:val="32"/>
          <w:szCs w:val="32"/>
        </w:rPr>
      </w:pPr>
      <w:r>
        <w:rPr>
          <w:rFonts w:hint="eastAsia" w:ascii="楷体" w:hAnsi="楷体" w:eastAsia="楷体" w:cs="楷体"/>
          <w:sz w:val="32"/>
          <w:szCs w:val="32"/>
        </w:rPr>
        <w:t>（—）机构组成</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lang w:eastAsia="zh-CN"/>
        </w:rPr>
        <w:t>樊哙镇</w:t>
      </w:r>
      <w:r>
        <w:rPr>
          <w:rFonts w:hint="eastAsia" w:ascii="仿宋_GB2312" w:hAnsi="仿宋_GB2312" w:eastAsia="仿宋_GB2312" w:cs="仿宋_GB2312"/>
          <w:sz w:val="32"/>
          <w:szCs w:val="32"/>
        </w:rPr>
        <w:t>位于宣汉</w:t>
      </w:r>
      <w:r>
        <w:rPr>
          <w:rFonts w:hint="eastAsia" w:ascii="仿宋_GB2312" w:hAnsi="仿宋_GB2312" w:eastAsia="仿宋_GB2312" w:cs="仿宋_GB2312"/>
          <w:sz w:val="32"/>
          <w:szCs w:val="32"/>
          <w:lang w:eastAsia="zh-CN"/>
        </w:rPr>
        <w:t>东北</w:t>
      </w:r>
      <w:r>
        <w:rPr>
          <w:rFonts w:hint="eastAsia" w:ascii="仿宋_GB2312" w:hAnsi="仿宋_GB2312" w:eastAsia="仿宋_GB2312" w:cs="仿宋_GB2312"/>
          <w:sz w:val="32"/>
          <w:szCs w:val="32"/>
        </w:rPr>
        <w:t>方向，距宣汉县城</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公里。由党委、政府、人大组成行政机关。</w:t>
      </w:r>
      <w:r>
        <w:rPr>
          <w:rFonts w:hint="eastAsia" w:ascii="仿宋_GB2312" w:hAnsi="仿宋_GB2312" w:eastAsia="仿宋_GB2312" w:cs="仿宋_GB2312"/>
          <w:sz w:val="32"/>
          <w:szCs w:val="32"/>
          <w:lang w:eastAsia="zh-CN"/>
        </w:rPr>
        <w:t>樊哙镇</w:t>
      </w:r>
      <w:r>
        <w:rPr>
          <w:rFonts w:hint="eastAsia" w:ascii="仿宋_GB2312" w:hAnsi="仿宋_GB2312" w:eastAsia="仿宋_GB2312" w:cs="仿宋_GB2312"/>
          <w:sz w:val="32"/>
          <w:szCs w:val="32"/>
        </w:rPr>
        <w:t>政府由</w:t>
      </w:r>
      <w:r>
        <w:rPr>
          <w:rFonts w:hint="eastAsia" w:ascii="仿宋_GB2312" w:hAnsi="仿宋_GB2312" w:eastAsia="仿宋_GB2312" w:cs="仿宋_GB2312"/>
          <w:sz w:val="32"/>
          <w:szCs w:val="32"/>
          <w:lang w:eastAsia="zh-CN"/>
        </w:rPr>
        <w:t>党建办、</w:t>
      </w:r>
      <w:r>
        <w:rPr>
          <w:rFonts w:hint="eastAsia" w:ascii="仿宋_GB2312" w:hAnsi="仿宋_GB2312" w:eastAsia="仿宋_GB2312" w:cs="仿宋_GB2312"/>
          <w:sz w:val="32"/>
          <w:szCs w:val="32"/>
        </w:rPr>
        <w:t>党政办、财政</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、便民</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中心、安办、</w:t>
      </w:r>
      <w:r>
        <w:rPr>
          <w:rFonts w:hint="eastAsia" w:ascii="仿宋_GB2312" w:hAnsi="仿宋_GB2312" w:eastAsia="仿宋_GB2312" w:cs="仿宋_GB2312"/>
          <w:sz w:val="32"/>
          <w:szCs w:val="32"/>
          <w:lang w:eastAsia="zh-CN"/>
        </w:rPr>
        <w:t>信访办、</w:t>
      </w:r>
      <w:r>
        <w:rPr>
          <w:rFonts w:hint="eastAsia" w:ascii="仿宋_GB2312" w:hAnsi="仿宋_GB2312" w:eastAsia="仿宋_GB2312" w:cs="仿宋_GB2312"/>
          <w:sz w:val="32"/>
          <w:szCs w:val="32"/>
        </w:rPr>
        <w:t>司法调解室及各领导办公室组成；辖县派出机构林业、国土、计生、农技</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个部门，县直管部门学校、医院、广播、</w:t>
      </w:r>
      <w:r>
        <w:rPr>
          <w:rFonts w:hint="eastAsia" w:ascii="仿宋_GB2312" w:hAnsi="仿宋_GB2312" w:eastAsia="仿宋_GB2312" w:cs="仿宋_GB2312"/>
          <w:sz w:val="32"/>
          <w:szCs w:val="32"/>
          <w:lang w:eastAsia="zh-CN"/>
        </w:rPr>
        <w:t>农商银行</w:t>
      </w:r>
      <w:r>
        <w:rPr>
          <w:rFonts w:hint="eastAsia" w:ascii="仿宋_GB2312" w:hAnsi="仿宋_GB2312" w:eastAsia="仿宋_GB2312" w:cs="仿宋_GB2312"/>
          <w:sz w:val="32"/>
          <w:szCs w:val="32"/>
        </w:rPr>
        <w:t>、邮政所5个部门。</w:t>
      </w:r>
    </w:p>
    <w:p>
      <w:pPr>
        <w:keepNext w:val="0"/>
        <w:keepLines w:val="0"/>
        <w:pageBreakBefore w:val="0"/>
        <w:widowControl w:val="0"/>
        <w:kinsoku/>
        <w:wordWrap/>
        <w:overflowPunct/>
        <w:topLinePunct w:val="0"/>
        <w:autoSpaceDE/>
        <w:autoSpaceDN/>
        <w:bidi w:val="0"/>
        <w:adjustRightInd/>
        <w:spacing w:line="579" w:lineRule="exact"/>
        <w:ind w:left="0" w:firstLine="480" w:firstLineChars="150"/>
        <w:textAlignment w:val="auto"/>
        <w:rPr>
          <w:rFonts w:hint="eastAsia" w:ascii="楷体" w:hAnsi="楷体" w:eastAsia="楷体" w:cs="楷体"/>
          <w:sz w:val="32"/>
          <w:szCs w:val="32"/>
        </w:rPr>
      </w:pPr>
      <w:r>
        <w:rPr>
          <w:rFonts w:hint="eastAsia" w:ascii="楷体" w:hAnsi="楷体" w:eastAsia="楷体" w:cs="楷体"/>
          <w:sz w:val="32"/>
          <w:szCs w:val="32"/>
        </w:rPr>
        <w:t>（二）机构职能</w:t>
      </w:r>
    </w:p>
    <w:p>
      <w:pPr>
        <w:keepNext w:val="0"/>
        <w:keepLines w:val="0"/>
        <w:pageBreakBefore w:val="0"/>
        <w:widowControl w:val="0"/>
        <w:kinsoku/>
        <w:wordWrap/>
        <w:overflowPunct/>
        <w:topLinePunct w:val="0"/>
        <w:autoSpaceDE/>
        <w:autoSpaceDN/>
        <w:bidi w:val="0"/>
        <w:adjustRightInd/>
        <w:spacing w:line="579" w:lineRule="exact"/>
        <w:ind w:left="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（1）制定和组织我镇实施经济、科技和社会发展计划，协调好本镇与外地区的经济交流与合作，抓好招商引资，人才引进项目开发，不断培育市场体系，组织经济运行，促进经济发展。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（2）制定并组织实施我镇村镇建设规划，部署重点工程建设，地方道路建设及公共设施，水利设施的管理，负责土地、林木、水等自然资源和生态环境的保护，做好护林防火工作。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负责我镇行政区域内的民政、计划生育、文化教育、卫生、体育等社会公益事业的综合性工作，维护一切经济单位和个人的正当经济权益，取缔非法经济活动，调解和处理民事纠纷，打击刑事犯罪和维护社会稳定。</w:t>
      </w:r>
    </w:p>
    <w:p>
      <w:pPr>
        <w:keepNext w:val="0"/>
        <w:keepLines w:val="0"/>
        <w:pageBreakBefore w:val="0"/>
        <w:widowControl w:val="0"/>
        <w:kinsoku/>
        <w:wordWrap/>
        <w:overflowPunct/>
        <w:topLinePunct w:val="0"/>
        <w:autoSpaceDE/>
        <w:autoSpaceDN/>
        <w:bidi w:val="0"/>
        <w:adjustRightInd/>
        <w:spacing w:line="579" w:lineRule="exact"/>
        <w:ind w:left="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（4）按计划组织我镇本级财政收入，完成国家财政计划，不断培植税源，管好财政资金，增强财政实力。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（5）抓好我镇精神文明建设，丰富群众文化生活，提倡移风易俗，反对封建迷信，破除陈规陋习，树立社会主义新风尚。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（6）完成上级政府交办的其它事项。</w:t>
      </w:r>
    </w:p>
    <w:p>
      <w:pPr>
        <w:keepNext w:val="0"/>
        <w:keepLines w:val="0"/>
        <w:pageBreakBefore w:val="0"/>
        <w:widowControl w:val="0"/>
        <w:kinsoku/>
        <w:wordWrap/>
        <w:overflowPunct/>
        <w:topLinePunct w:val="0"/>
        <w:autoSpaceDE/>
        <w:autoSpaceDN/>
        <w:bidi w:val="0"/>
        <w:adjustRightInd/>
        <w:spacing w:line="579" w:lineRule="exact"/>
        <w:ind w:left="0" w:firstLine="480" w:firstLineChars="150"/>
        <w:textAlignment w:val="auto"/>
        <w:rPr>
          <w:rFonts w:hint="eastAsia" w:ascii="楷体" w:hAnsi="楷体" w:eastAsia="楷体" w:cs="楷体"/>
          <w:sz w:val="32"/>
          <w:szCs w:val="32"/>
        </w:rPr>
      </w:pPr>
      <w:r>
        <w:rPr>
          <w:rFonts w:hint="eastAsia" w:ascii="楷体" w:hAnsi="楷体" w:eastAsia="楷体" w:cs="楷体"/>
          <w:sz w:val="32"/>
          <w:szCs w:val="32"/>
        </w:rPr>
        <w:t>（三）人员概况</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樊哙镇</w:t>
      </w:r>
      <w:r>
        <w:rPr>
          <w:rFonts w:hint="eastAsia" w:ascii="仿宋_GB2312" w:hAnsi="仿宋_GB2312" w:eastAsia="仿宋_GB2312" w:cs="仿宋_GB2312"/>
          <w:sz w:val="32"/>
          <w:szCs w:val="32"/>
        </w:rPr>
        <w:t>政府行政编制</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、工勤编制</w:t>
      </w:r>
      <w:r>
        <w:rPr>
          <w:rFonts w:hint="eastAsia" w:ascii="仿宋_GB2312" w:hAnsi="仿宋_GB2312" w:eastAsia="仿宋_GB2312" w:cs="仿宋_GB2312"/>
          <w:sz w:val="32"/>
          <w:szCs w:val="32"/>
          <w:lang w:val="en-US" w:eastAsia="zh-CN"/>
        </w:rPr>
        <w:t>2人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便民服务中心</w:t>
      </w:r>
      <w:r>
        <w:rPr>
          <w:rFonts w:hint="eastAsia" w:ascii="仿宋_GB2312" w:hAnsi="仿宋_GB2312" w:eastAsia="仿宋_GB2312" w:cs="仿宋_GB2312"/>
          <w:sz w:val="32"/>
          <w:szCs w:val="32"/>
        </w:rPr>
        <w:t>事业编制</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人，现有行政在职职工</w:t>
      </w:r>
      <w:r>
        <w:rPr>
          <w:rFonts w:hint="eastAsia" w:ascii="仿宋_GB2312" w:hAnsi="仿宋_GB2312" w:eastAsia="仿宋_GB2312" w:cs="仿宋_GB2312"/>
          <w:sz w:val="32"/>
          <w:szCs w:val="32"/>
          <w:lang w:eastAsia="zh-CN"/>
        </w:rPr>
        <w:t>（含工勤和参公人员）</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人，事业单位职工</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w:t>
      </w:r>
    </w:p>
    <w:p>
      <w:pPr>
        <w:widowControl/>
        <w:adjustRightInd w:val="0"/>
        <w:snapToGrid w:val="0"/>
        <w:spacing w:line="580" w:lineRule="exact"/>
        <w:ind w:firstLine="960" w:firstLineChars="3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60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1080.51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1005.4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75.11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w:t>
      </w:r>
      <w:r>
        <w:rPr>
          <w:rFonts w:ascii="仿宋" w:hAnsi="仿宋" w:eastAsia="仿宋"/>
          <w:color w:val="000000"/>
          <w:sz w:val="32"/>
          <w:szCs w:val="32"/>
        </w:rPr>
        <w:t>%</w:t>
      </w:r>
      <w:r>
        <w:rPr>
          <w:rFonts w:hint="eastAsia" w:ascii="仿宋" w:hAnsi="仿宋" w:eastAsia="仿宋"/>
          <w:color w:val="000000"/>
          <w:sz w:val="32"/>
          <w:szCs w:val="32"/>
        </w:rPr>
        <w:t>；</w:t>
      </w:r>
    </w:p>
    <w:p>
      <w:pPr>
        <w:widowControl/>
        <w:numPr>
          <w:ilvl w:val="0"/>
          <w:numId w:val="3"/>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widowControl/>
        <w:numPr>
          <w:ilvl w:val="0"/>
          <w:numId w:val="0"/>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仿宋" w:hAnsi="仿宋" w:eastAsia="仿宋"/>
          <w:color w:val="000000"/>
          <w:sz w:val="32"/>
          <w:szCs w:val="32"/>
        </w:rPr>
        <w:t>201</w:t>
      </w:r>
      <w:r>
        <w:rPr>
          <w:rFonts w:hint="eastAsia" w:ascii="仿宋" w:hAnsi="仿宋" w:eastAsia="仿宋"/>
          <w:color w:val="000000"/>
          <w:sz w:val="32"/>
          <w:szCs w:val="32"/>
        </w:rPr>
        <w:t>9年本年</w:t>
      </w:r>
      <w:r>
        <w:rPr>
          <w:rFonts w:hint="eastAsia" w:ascii="仿宋" w:hAnsi="仿宋" w:eastAsia="仿宋"/>
          <w:color w:val="000000"/>
          <w:sz w:val="32"/>
          <w:szCs w:val="32"/>
          <w:lang w:eastAsia="zh-CN"/>
        </w:rPr>
        <w:t>整体</w:t>
      </w:r>
      <w:r>
        <w:rPr>
          <w:rFonts w:hint="eastAsia" w:ascii="仿宋" w:hAnsi="仿宋" w:eastAsia="仿宋"/>
          <w:color w:val="000000"/>
          <w:sz w:val="32"/>
          <w:szCs w:val="32"/>
        </w:rPr>
        <w:t>支出合计</w:t>
      </w:r>
      <w:r>
        <w:rPr>
          <w:rFonts w:hint="eastAsia" w:ascii="仿宋" w:hAnsi="仿宋" w:eastAsia="仿宋"/>
          <w:color w:val="000000"/>
          <w:sz w:val="32"/>
          <w:szCs w:val="32"/>
          <w:lang w:val="en-US" w:eastAsia="zh-CN"/>
        </w:rPr>
        <w:t>1080.51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552.82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51.</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527.69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49</w:t>
      </w:r>
      <w:r>
        <w:rPr>
          <w:rFonts w:ascii="仿宋" w:hAnsi="仿宋" w:eastAsia="仿宋"/>
          <w:color w:val="000000"/>
          <w:sz w:val="32"/>
          <w:szCs w:val="32"/>
        </w:rPr>
        <w:t>%</w:t>
      </w:r>
      <w:r>
        <w:rPr>
          <w:rFonts w:hint="eastAsia" w:ascii="仿宋" w:hAnsi="仿宋" w:eastAsia="仿宋"/>
          <w:color w:val="000000"/>
          <w:sz w:val="32"/>
          <w:szCs w:val="32"/>
          <w:lang w:eastAsia="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keepNext w:val="0"/>
        <w:keepLines w:val="0"/>
        <w:pageBreakBefore w:val="0"/>
        <w:widowControl w:val="0"/>
        <w:kinsoku/>
        <w:wordWrap/>
        <w:overflowPunct/>
        <w:topLinePunct w:val="0"/>
        <w:autoSpaceDE/>
        <w:autoSpaceDN/>
        <w:bidi w:val="0"/>
        <w:adjustRightInd/>
        <w:spacing w:line="579" w:lineRule="exact"/>
        <w:ind w:left="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财政所及时根据县财政局预算编报口径，结合我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实际，并对照201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年财政决算依据，按照“保工资、保运转、保民生、促发展”的顺序按时完成我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年财政预算编报工作，并报经</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人代会审核通过。</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keepNext w:val="0"/>
        <w:keepLines w:val="0"/>
        <w:pageBreakBefore w:val="0"/>
        <w:widowControl w:val="0"/>
        <w:kinsoku/>
        <w:wordWrap/>
        <w:overflowPunct/>
        <w:topLinePunct w:val="0"/>
        <w:autoSpaceDE/>
        <w:autoSpaceDN/>
        <w:bidi w:val="0"/>
        <w:adjustRightInd/>
        <w:spacing w:line="579" w:lineRule="exact"/>
        <w:ind w:left="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资金绩效分配情况</w:t>
      </w:r>
    </w:p>
    <w:p>
      <w:pPr>
        <w:keepNext w:val="0"/>
        <w:keepLines w:val="0"/>
        <w:pageBreakBefore w:val="0"/>
        <w:widowControl w:val="0"/>
        <w:kinsoku/>
        <w:wordWrap/>
        <w:overflowPunct/>
        <w:topLinePunct w:val="0"/>
        <w:autoSpaceDE/>
        <w:autoSpaceDN/>
        <w:bidi w:val="0"/>
        <w:adjustRightInd/>
        <w:spacing w:line="579" w:lineRule="exact"/>
        <w:ind w:left="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樊哙镇</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年项目资金涉及</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农村文化建设、农村道路建设及农村基础设施建设，只有充分利用好项目资金，才能让公共</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阳光惠及千家万户。</w:t>
      </w:r>
    </w:p>
    <w:p>
      <w:pPr>
        <w:keepNext w:val="0"/>
        <w:keepLines w:val="0"/>
        <w:pageBreakBefore w:val="0"/>
        <w:widowControl w:val="0"/>
        <w:kinsoku/>
        <w:wordWrap/>
        <w:overflowPunct/>
        <w:topLinePunct w:val="0"/>
        <w:autoSpaceDE/>
        <w:autoSpaceDN/>
        <w:bidi w:val="0"/>
        <w:adjustRightInd/>
        <w:spacing w:line="579" w:lineRule="exact"/>
        <w:ind w:left="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项目资金管理情况</w:t>
      </w:r>
    </w:p>
    <w:p>
      <w:pPr>
        <w:keepNext w:val="0"/>
        <w:keepLines w:val="0"/>
        <w:pageBreakBefore w:val="0"/>
        <w:widowControl w:val="0"/>
        <w:kinsoku/>
        <w:wordWrap/>
        <w:overflowPunct/>
        <w:topLinePunct w:val="0"/>
        <w:autoSpaceDE/>
        <w:autoSpaceDN/>
        <w:bidi w:val="0"/>
        <w:adjustRightInd/>
        <w:spacing w:line="579" w:lineRule="exact"/>
        <w:ind w:left="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樊哙镇</w:t>
      </w:r>
      <w:r>
        <w:rPr>
          <w:rFonts w:hint="eastAsia" w:ascii="仿宋_GB2312" w:hAnsi="仿宋_GB2312" w:eastAsia="仿宋_GB2312" w:cs="仿宋_GB2312"/>
          <w:sz w:val="32"/>
          <w:szCs w:val="32"/>
        </w:rPr>
        <w:t>政府在项目资金管理上，严格执行《四川省省级财政专项资金绩效分配管理暂行办法》，做到项目实施有规划，施工过程全程监督，成立项目管理指导小组及质量监督小组，使每个项目落到实处。</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绩效目标完成情况</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年项目资金实施结束后，能使我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在农村基础设施方面、农村文化建设方面、农村群众产业发展方面得到大的改观，加快了贫困村脱贫的步伐，丰富了群众文化生活。</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keepNext w:val="0"/>
        <w:keepLines w:val="0"/>
        <w:pageBreakBefore w:val="0"/>
        <w:widowControl w:val="0"/>
        <w:kinsoku/>
        <w:wordWrap/>
        <w:overflowPunct/>
        <w:topLinePunct w:val="0"/>
        <w:autoSpaceDE/>
        <w:autoSpaceDN/>
        <w:bidi w:val="0"/>
        <w:adjustRightInd/>
        <w:spacing w:line="579" w:lineRule="exact"/>
        <w:ind w:left="0" w:firstLine="480" w:firstLineChars="150"/>
        <w:textAlignment w:val="auto"/>
        <w:rPr>
          <w:rFonts w:hint="eastAsia" w:ascii="楷体" w:hAnsi="楷体" w:eastAsia="楷体" w:cs="楷体"/>
          <w:sz w:val="32"/>
          <w:szCs w:val="32"/>
        </w:rPr>
      </w:pPr>
      <w:r>
        <w:rPr>
          <w:rFonts w:hint="eastAsia" w:ascii="楷体" w:hAnsi="楷体" w:eastAsia="楷体" w:cs="楷体"/>
          <w:sz w:val="32"/>
          <w:szCs w:val="32"/>
        </w:rPr>
        <w:t>（一）评价结论</w:t>
      </w:r>
    </w:p>
    <w:p>
      <w:pPr>
        <w:keepNext w:val="0"/>
        <w:keepLines w:val="0"/>
        <w:pageBreakBefore w:val="0"/>
        <w:widowControl w:val="0"/>
        <w:kinsoku/>
        <w:wordWrap/>
        <w:overflowPunct/>
        <w:topLinePunct w:val="0"/>
        <w:autoSpaceDE/>
        <w:autoSpaceDN/>
        <w:bidi w:val="0"/>
        <w:adjustRightInd/>
        <w:spacing w:line="579" w:lineRule="exact"/>
        <w:ind w:left="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樊哙镇</w:t>
      </w:r>
      <w:r>
        <w:rPr>
          <w:rFonts w:hint="eastAsia" w:ascii="仿宋_GB2312" w:hAnsi="仿宋_GB2312" w:eastAsia="仿宋_GB2312" w:cs="仿宋_GB2312"/>
          <w:sz w:val="32"/>
          <w:szCs w:val="32"/>
        </w:rPr>
        <w:t>在财政预算支出及项目支出方面，严格执行财经管理制度，项目实施进行跟踪检查，做到支出按进度拨款，财政项目资金落到实处，发挥了财政资金的效益。</w:t>
      </w:r>
    </w:p>
    <w:p>
      <w:pPr>
        <w:keepNext w:val="0"/>
        <w:keepLines w:val="0"/>
        <w:pageBreakBefore w:val="0"/>
        <w:widowControl w:val="0"/>
        <w:kinsoku/>
        <w:wordWrap/>
        <w:overflowPunct/>
        <w:topLinePunct w:val="0"/>
        <w:autoSpaceDE/>
        <w:autoSpaceDN/>
        <w:bidi w:val="0"/>
        <w:adjustRightInd/>
        <w:spacing w:line="579" w:lineRule="exact"/>
        <w:ind w:left="0" w:firstLine="480" w:firstLineChars="150"/>
        <w:textAlignment w:val="auto"/>
        <w:rPr>
          <w:rFonts w:hint="eastAsia" w:ascii="楷体" w:hAnsi="楷体" w:eastAsia="楷体" w:cs="楷体"/>
          <w:sz w:val="32"/>
          <w:szCs w:val="32"/>
        </w:rPr>
      </w:pPr>
      <w:r>
        <w:rPr>
          <w:rFonts w:hint="eastAsia" w:ascii="楷体" w:hAnsi="楷体" w:eastAsia="楷体" w:cs="楷体"/>
          <w:sz w:val="32"/>
          <w:szCs w:val="32"/>
        </w:rPr>
        <w:t>（二）存在的问题</w:t>
      </w:r>
    </w:p>
    <w:p>
      <w:pPr>
        <w:keepNext w:val="0"/>
        <w:keepLines w:val="0"/>
        <w:pageBreakBefore w:val="0"/>
        <w:widowControl w:val="0"/>
        <w:kinsoku/>
        <w:wordWrap/>
        <w:overflowPunct/>
        <w:topLinePunct w:val="0"/>
        <w:autoSpaceDE/>
        <w:autoSpaceDN/>
        <w:bidi w:val="0"/>
        <w:adjustRightInd/>
        <w:spacing w:line="579" w:lineRule="exact"/>
        <w:ind w:left="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在项目资金使用中，贫困村产业扶持周转金</w:t>
      </w:r>
      <w:r>
        <w:rPr>
          <w:rFonts w:hint="eastAsia" w:ascii="仿宋_GB2312" w:hAnsi="仿宋_GB2312" w:eastAsia="仿宋_GB2312" w:cs="仿宋_GB2312"/>
          <w:sz w:val="32"/>
          <w:szCs w:val="32"/>
          <w:lang w:eastAsia="zh-CN"/>
        </w:rPr>
        <w:t>借</w:t>
      </w:r>
      <w:r>
        <w:rPr>
          <w:rFonts w:hint="eastAsia" w:ascii="仿宋_GB2312" w:hAnsi="仿宋_GB2312" w:eastAsia="仿宋_GB2312" w:cs="仿宋_GB2312"/>
          <w:sz w:val="32"/>
          <w:szCs w:val="32"/>
        </w:rPr>
        <w:t>出缓慢。分析其原因，部分村不愿承担风险，怕贫困户借钱后不愿偿还，所以宣传的力度不大，群众知晓度不高。</w:t>
      </w:r>
    </w:p>
    <w:p>
      <w:pPr>
        <w:keepNext w:val="0"/>
        <w:keepLines w:val="0"/>
        <w:pageBreakBefore w:val="0"/>
        <w:widowControl w:val="0"/>
        <w:kinsoku/>
        <w:wordWrap/>
        <w:overflowPunct/>
        <w:topLinePunct w:val="0"/>
        <w:autoSpaceDE/>
        <w:autoSpaceDN/>
        <w:bidi w:val="0"/>
        <w:adjustRightInd/>
        <w:spacing w:line="579" w:lineRule="exact"/>
        <w:ind w:left="0" w:firstLine="480" w:firstLineChars="150"/>
        <w:textAlignment w:val="auto"/>
        <w:rPr>
          <w:rFonts w:hint="eastAsia" w:ascii="楷体" w:hAnsi="楷体" w:eastAsia="楷体" w:cs="楷体"/>
          <w:sz w:val="32"/>
          <w:szCs w:val="32"/>
        </w:rPr>
      </w:pPr>
      <w:r>
        <w:rPr>
          <w:rFonts w:hint="eastAsia" w:ascii="楷体" w:hAnsi="楷体" w:eastAsia="楷体" w:cs="楷体"/>
          <w:sz w:val="32"/>
          <w:szCs w:val="32"/>
        </w:rPr>
        <w:t>（三）建议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由于我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基础设施条件较差，贫困人口多，上级投入的项目资金较少，建议加大财政资金投入力度，改变我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基础条件，让贫困群众早日脱贫</w:t>
      </w:r>
      <w:r>
        <w:rPr>
          <w:rFonts w:hint="eastAsia" w:ascii="仿宋_GB2312" w:hAnsi="仿宋_GB2312" w:eastAsia="仿宋_GB2312" w:cs="仿宋_GB2312"/>
          <w:sz w:val="32"/>
          <w:szCs w:val="32"/>
          <w:lang w:eastAsia="zh-CN"/>
        </w:rPr>
        <w:t>奔康</w:t>
      </w:r>
      <w:r>
        <w:rPr>
          <w:rFonts w:hint="eastAsia" w:ascii="仿宋_GB2312" w:hAnsi="仿宋_GB2312" w:eastAsia="仿宋_GB2312" w:cs="仿宋_GB2312"/>
          <w:sz w:val="32"/>
          <w:szCs w:val="32"/>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樊哙镇花梨村道路建设</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1．樊哙镇在该项目管理中的职能：由项目办、财政所负责找设计公司进行设计，负责实施前、中、后全程监督。</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2．项目立项、资金申报的依据。该项目由樊哙镇人民政府</w:t>
      </w:r>
      <w:r>
        <w:rPr>
          <w:rFonts w:hint="eastAsia" w:ascii="仿宋_GB2312" w:hAnsi="宋体" w:eastAsia="仿宋_GB2312"/>
          <w:sz w:val="32"/>
          <w:szCs w:val="32"/>
          <w:lang w:val="en-US" w:eastAsia="zh-CN"/>
        </w:rPr>
        <w:t>2018年12月份申报。</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3．资金管理办法严格按照革命老区资金资金使用办法执行。</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4．资金分配由县财政局按照申报进行批复。</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宋体" w:eastAsia="仿宋_GB2312"/>
          <w:sz w:val="32"/>
          <w:szCs w:val="32"/>
          <w:lang w:val="zh-CN"/>
        </w:rPr>
        <w:t>1．项目主要内容。从</w:t>
      </w:r>
      <w:r>
        <w:rPr>
          <w:rFonts w:hint="eastAsia" w:ascii="仿宋_GB2312" w:hAnsi="仿宋_GB2312" w:eastAsia="仿宋_GB2312" w:cs="仿宋_GB2312"/>
          <w:color w:val="000000"/>
          <w:sz w:val="32"/>
          <w:szCs w:val="32"/>
          <w:lang w:eastAsia="zh-CN"/>
        </w:rPr>
        <w:t>快速通道至将军坪道路加宽硬化长</w:t>
      </w:r>
      <w:r>
        <w:rPr>
          <w:rFonts w:hint="eastAsia" w:ascii="仿宋_GB2312" w:hAnsi="仿宋_GB2312" w:eastAsia="仿宋_GB2312" w:cs="仿宋_GB2312"/>
          <w:color w:val="000000"/>
          <w:sz w:val="32"/>
          <w:szCs w:val="32"/>
          <w:lang w:val="en-US" w:eastAsia="zh-CN"/>
        </w:rPr>
        <w:t>1.013公里，其中：0.676公里宽7米、0.337公里宽3.5米</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zh-CN"/>
        </w:rPr>
        <w:t>2．项目应实现的具体绩效目标：</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地方基础设施建设，为开发、打造将军坪奠定基础，解决</w:t>
      </w:r>
      <w:r>
        <w:rPr>
          <w:rFonts w:hint="eastAsia" w:ascii="仿宋_GB2312" w:hAnsi="仿宋_GB2312" w:eastAsia="仿宋_GB2312" w:cs="仿宋_GB2312"/>
          <w:sz w:val="32"/>
          <w:szCs w:val="32"/>
          <w:lang w:val="en-US" w:eastAsia="zh-CN"/>
        </w:rPr>
        <w:t>农户出行难和农副产品运输难等问题。</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该项目绩效自评采用的组织实施步骤及方法，先查看申报、财政局资金批复和实施的地点以及验收等。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该项目资金由樊哙镇人民政府申报</w:t>
      </w:r>
      <w:r>
        <w:rPr>
          <w:rFonts w:hint="eastAsia" w:ascii="仿宋_GB2312" w:hAnsi="宋体" w:eastAsia="仿宋_GB2312"/>
          <w:sz w:val="32"/>
          <w:szCs w:val="32"/>
          <w:lang w:val="en-US" w:eastAsia="zh-CN"/>
        </w:rPr>
        <w:t>2018年12月份申报</w:t>
      </w:r>
      <w:r>
        <w:rPr>
          <w:rFonts w:hint="eastAsia" w:ascii="仿宋_GB2312" w:hAnsi="宋体" w:eastAsia="仿宋_GB2312"/>
          <w:sz w:val="32"/>
          <w:szCs w:val="32"/>
          <w:lang w:val="zh-CN"/>
        </w:rPr>
        <w:t>，宣汉县财政局于</w:t>
      </w:r>
      <w:r>
        <w:rPr>
          <w:rFonts w:hint="eastAsia" w:ascii="仿宋_GB2312" w:hAnsi="宋体" w:eastAsia="仿宋_GB2312"/>
          <w:sz w:val="32"/>
          <w:szCs w:val="32"/>
          <w:lang w:val="en-US" w:eastAsia="zh-CN"/>
        </w:rPr>
        <w:t>2019年1月18日</w:t>
      </w:r>
      <w:r>
        <w:rPr>
          <w:rFonts w:hint="eastAsia" w:ascii="仿宋_GB2312" w:hAnsi="宋体" w:eastAsia="仿宋_GB2312"/>
          <w:sz w:val="32"/>
          <w:szCs w:val="32"/>
          <w:lang w:val="zh-CN"/>
        </w:rPr>
        <w:t>批复及进行了预算调整。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eastAsia" w:ascii="楷体_GB2312" w:hAnsi="宋体" w:eastAsia="楷体_GB2312"/>
          <w:sz w:val="32"/>
          <w:szCs w:val="32"/>
          <w:lang w:val="en-US" w:eastAsia="zh-CN"/>
        </w:rPr>
      </w:pPr>
      <w:r>
        <w:rPr>
          <w:rFonts w:hint="eastAsia" w:ascii="楷体_GB2312" w:hAnsi="宋体" w:eastAsia="楷体_GB2312"/>
          <w:sz w:val="32"/>
          <w:szCs w:val="32"/>
          <w:lang w:val="zh-CN"/>
        </w:rPr>
        <w:t>1．资金计划：宣汉县财政局关于预下达</w:t>
      </w:r>
      <w:r>
        <w:rPr>
          <w:rFonts w:hint="eastAsia" w:ascii="楷体_GB2312" w:hAnsi="宋体" w:eastAsia="楷体_GB2312"/>
          <w:sz w:val="32"/>
          <w:szCs w:val="32"/>
          <w:lang w:val="en-US" w:eastAsia="zh-CN"/>
        </w:rPr>
        <w:t>2019年革命老区转移支付补助资金计划的通知</w:t>
      </w:r>
      <w:r>
        <w:rPr>
          <w:rFonts w:hint="eastAsia" w:ascii="仿宋_GB2312" w:hAnsi="仿宋_GB2312" w:eastAsia="仿宋_GB2312" w:cs="仿宋_GB2312"/>
          <w:sz w:val="32"/>
          <w:szCs w:val="32"/>
          <w:lang w:val="en-US" w:eastAsia="zh-CN"/>
        </w:rPr>
        <w:t>〔宣财预资金（2019）5号〕</w:t>
      </w:r>
      <w:r>
        <w:rPr>
          <w:rFonts w:hint="eastAsia" w:ascii="楷体_GB2312" w:hAnsi="宋体" w:eastAsia="楷体_GB2312"/>
          <w:sz w:val="32"/>
          <w:szCs w:val="32"/>
          <w:lang w:val="en-US" w:eastAsia="zh-CN"/>
        </w:rPr>
        <w:t>，下达该项目125万元。</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该项目资金到位</w:t>
      </w:r>
      <w:r>
        <w:rPr>
          <w:rFonts w:hint="eastAsia" w:ascii="仿宋_GB2312" w:hAnsi="宋体" w:eastAsia="仿宋_GB2312"/>
          <w:sz w:val="32"/>
          <w:szCs w:val="32"/>
          <w:lang w:val="en-US" w:eastAsia="zh-CN"/>
        </w:rPr>
        <w:t>125万元.</w:t>
      </w:r>
    </w:p>
    <w:p>
      <w:pPr>
        <w:adjustRightInd w:val="0"/>
        <w:snapToGrid w:val="0"/>
        <w:spacing w:line="600" w:lineRule="exact"/>
        <w:ind w:firstLine="720"/>
        <w:rPr>
          <w:rFonts w:hint="eastAsia"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资金支付范围、支付标准、支付进度、支付依据等合规合法、与预算相符。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项目实施单位财务管理制度健全，并严格执行财务管理制度，账务处理及时，会计核算规范。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lang w:val="zh-CN"/>
        </w:rPr>
        <w:t>村委会成立以支部书记任组长的建设领导小组，成立了以村委会主任为组长的质量监督小组。</w:t>
      </w:r>
    </w:p>
    <w:p>
      <w:pPr>
        <w:numPr>
          <w:ilvl w:val="0"/>
          <w:numId w:val="3"/>
        </w:numPr>
        <w:adjustRightInd w:val="0"/>
        <w:snapToGrid w:val="0"/>
        <w:spacing w:line="600" w:lineRule="exact"/>
        <w:ind w:left="0" w:leftChars="0" w:firstLine="642"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numPr>
          <w:ilvl w:val="0"/>
          <w:numId w:val="0"/>
        </w:numPr>
        <w:adjustRightInd w:val="0"/>
        <w:snapToGrid w:val="0"/>
        <w:spacing w:line="600" w:lineRule="exact"/>
        <w:ind w:leftChars="200" w:firstLine="320" w:firstLineChars="100"/>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lang w:val="zh-CN"/>
        </w:rPr>
        <w:t>严格按照批复文件进行设计、招投标（随机抽选）、竣工结算。</w:t>
      </w:r>
    </w:p>
    <w:p>
      <w:pPr>
        <w:numPr>
          <w:ilvl w:val="0"/>
          <w:numId w:val="3"/>
        </w:numPr>
        <w:adjustRightInd w:val="0"/>
        <w:snapToGrid w:val="0"/>
        <w:spacing w:line="600" w:lineRule="exact"/>
        <w:ind w:left="0" w:leftChars="0" w:firstLine="642"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numPr>
          <w:ilvl w:val="0"/>
          <w:numId w:val="0"/>
        </w:numPr>
        <w:adjustRightInd w:val="0"/>
        <w:snapToGrid w:val="0"/>
        <w:spacing w:line="600" w:lineRule="exact"/>
        <w:ind w:leftChars="200" w:firstLine="320" w:firstLineChars="100"/>
        <w:rPr>
          <w:rFonts w:hint="eastAsia" w:ascii="仿宋_GB2312" w:hAnsi="宋体" w:eastAsia="仿宋_GB2312"/>
          <w:sz w:val="32"/>
          <w:szCs w:val="32"/>
          <w:lang w:val="zh-CN"/>
        </w:rPr>
      </w:pPr>
      <w:r>
        <w:rPr>
          <w:rFonts w:hint="eastAsia" w:ascii="仿宋_GB2312" w:hAnsi="宋体" w:eastAsia="仿宋_GB2312"/>
          <w:sz w:val="32"/>
          <w:szCs w:val="32"/>
          <w:lang w:val="zh-CN"/>
        </w:rPr>
        <w:t>项目主管部门为加强项目，质量监督小组成员轮流值班。</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该项目已超额完成设计数量，质量合格。</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80" w:lineRule="exact"/>
        <w:ind w:firstLine="640" w:firstLineChars="200"/>
        <w:rPr>
          <w:rFonts w:ascii="仿宋_GB2312" w:hAnsi="宋体" w:eastAsia="仿宋_GB2312"/>
          <w:sz w:val="32"/>
          <w:szCs w:val="32"/>
          <w:lang w:val="zh-CN"/>
        </w:rPr>
      </w:pP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地方基础设施建设，为开发、打造将军坪奠定了基础，解决了</w:t>
      </w:r>
      <w:r>
        <w:rPr>
          <w:rFonts w:hint="eastAsia" w:ascii="仿宋_GB2312" w:hAnsi="仿宋_GB2312" w:eastAsia="仿宋_GB2312" w:cs="仿宋_GB2312"/>
          <w:sz w:val="32"/>
          <w:szCs w:val="32"/>
          <w:lang w:val="en-US" w:eastAsia="zh-CN"/>
        </w:rPr>
        <w:t>18户农户出行难和农副产品运输难等问题。</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widowControl w:val="0"/>
        <w:kinsoku/>
        <w:wordWrap/>
        <w:overflowPunct/>
        <w:topLinePunct w:val="0"/>
        <w:autoSpaceDE/>
        <w:autoSpaceDN/>
        <w:bidi w:val="0"/>
        <w:adjustRightInd/>
        <w:spacing w:line="579" w:lineRule="exact"/>
        <w:ind w:left="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樊哙镇花梨村</w:t>
      </w:r>
      <w:r>
        <w:rPr>
          <w:rFonts w:hint="eastAsia" w:ascii="仿宋_GB2312" w:hAnsi="仿宋_GB2312" w:eastAsia="仿宋_GB2312" w:cs="仿宋_GB2312"/>
          <w:sz w:val="32"/>
          <w:szCs w:val="32"/>
        </w:rPr>
        <w:t>在财政</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项目支出方面，严格执行财经管理制度，项目实施进行跟踪检查，做到支出按进度拨款，财政项目资金落到实处，发挥了财政资金的效益。</w:t>
      </w:r>
    </w:p>
    <w:p>
      <w:pPr>
        <w:keepNext w:val="0"/>
        <w:keepLines w:val="0"/>
        <w:pageBreakBefore w:val="0"/>
        <w:widowControl w:val="0"/>
        <w:kinsoku/>
        <w:wordWrap/>
        <w:overflowPunct/>
        <w:topLinePunct w:val="0"/>
        <w:autoSpaceDE/>
        <w:autoSpaceDN/>
        <w:bidi w:val="0"/>
        <w:adjustRightInd/>
        <w:spacing w:line="579" w:lineRule="exact"/>
        <w:ind w:left="0" w:firstLine="481" w:firstLineChars="15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（二）存在的问题</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pacing w:line="579" w:lineRule="exact"/>
        <w:ind w:left="0"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由于该项目前期在设计预算方面进度缓慢，导致施工在年底才完成任务。</w:t>
      </w:r>
    </w:p>
    <w:p>
      <w:pPr>
        <w:keepNext w:val="0"/>
        <w:keepLines w:val="0"/>
        <w:pageBreakBefore w:val="0"/>
        <w:widowControl w:val="0"/>
        <w:kinsoku/>
        <w:wordWrap/>
        <w:overflowPunct/>
        <w:topLinePunct w:val="0"/>
        <w:autoSpaceDE/>
        <w:autoSpaceDN/>
        <w:bidi w:val="0"/>
        <w:adjustRightInd/>
        <w:spacing w:line="579" w:lineRule="exact"/>
        <w:ind w:left="0" w:firstLine="481" w:firstLineChars="15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（三）建议</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由于我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基础设施条件较差，贫困人口多，上级投入的项目资金较少，建议加大财政资金投入力度，改变我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基础条件，让贫困群众早日脱贫</w:t>
      </w:r>
      <w:r>
        <w:rPr>
          <w:rFonts w:hint="eastAsia" w:ascii="仿宋_GB2312" w:hAnsi="仿宋_GB2312" w:eastAsia="仿宋_GB2312" w:cs="仿宋_GB2312"/>
          <w:sz w:val="32"/>
          <w:szCs w:val="32"/>
          <w:lang w:eastAsia="zh-CN"/>
        </w:rPr>
        <w:t>奔康</w:t>
      </w:r>
      <w:r>
        <w:rPr>
          <w:rFonts w:hint="eastAsia" w:ascii="仿宋_GB2312" w:hAnsi="仿宋_GB2312" w:eastAsia="仿宋_GB2312" w:cs="仿宋_GB2312"/>
          <w:sz w:val="32"/>
          <w:szCs w:val="32"/>
        </w:rPr>
        <w:t>。</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C2D027F"/>
    <w:multiLevelType w:val="singleLevel"/>
    <w:tmpl w:val="1C2D027F"/>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D90FB0"/>
    <w:rsid w:val="10C055FF"/>
    <w:rsid w:val="16BB723D"/>
    <w:rsid w:val="22B12FBA"/>
    <w:rsid w:val="240371BF"/>
    <w:rsid w:val="29FD04D3"/>
    <w:rsid w:val="2EB14B91"/>
    <w:rsid w:val="306F42BA"/>
    <w:rsid w:val="319F7F4E"/>
    <w:rsid w:val="363A77BC"/>
    <w:rsid w:val="3E9F9BE8"/>
    <w:rsid w:val="4A9C0C65"/>
    <w:rsid w:val="4ECE2238"/>
    <w:rsid w:val="5238150B"/>
    <w:rsid w:val="5F12610D"/>
    <w:rsid w:val="72734D90"/>
    <w:rsid w:val="7B3814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cap="none" spc="20" baseline="0">
                <a:noFill/>
                <a:latin typeface="+mn-lt"/>
                <a:ea typeface="+mn-ea"/>
                <a:cs typeface="+mn-cs"/>
              </a:defRPr>
            </a:pPr>
            <a:r>
              <a:rPr>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true"/>
                  </a:gradFill>
                  <a:prstDash val="solid"/>
                </a:ln>
                <a:noFill/>
                <a:effectLst>
                  <a:outerShdw blurRad="50800" dist="50800" dir="5400000" algn="ctr" rotWithShape="0">
                    <a:srgbClr val="000000">
                      <a:alpha val="40000"/>
                    </a:srgbClr>
                  </a:outerShdw>
                  <a:reflection blurRad="6350" stA="55000" endA="300" endPos="45500" dir="5400000" sy="-100000" algn="bl" rotWithShape="0"/>
                </a:effectLst>
                <a:uFillTx/>
              </a:rPr>
              <a:t>收支决算总计变动情况 </a:t>
            </a:r>
            <a:r>
              <a:rPr>
                <a:noFill/>
              </a:rPr>
              <a:t>        </a:t>
            </a:r>
            <a:r>
              <a:rPr sz="800">
                <a:solidFill>
                  <a:schemeClr val="tx1"/>
                </a:solidFill>
                <a:uFillTx/>
              </a:rPr>
              <a:t>单位：万元   </a:t>
            </a:r>
            <a:r>
              <a:rPr>
                <a:noFill/>
              </a:rPr>
              <a:t>    </a:t>
            </a:r>
            <a:r>
              <a:rPr sz="800">
                <a:noFill/>
                <a:uFillTx/>
              </a:rPr>
              <a:t>单位：万元</a:t>
            </a:r>
            <a:endParaRPr sz="800">
              <a:noFill/>
              <a:uFillTx/>
            </a:endParaRPr>
          </a:p>
        </c:rich>
      </c:tx>
      <c:layout>
        <c:manualLayout>
          <c:xMode val="edge"/>
          <c:yMode val="edge"/>
          <c:x val="0.275493421052632"/>
          <c:y val="0.120843891363435"/>
        </c:manualLayout>
      </c:layout>
      <c:overlay val="false"/>
      <c:spPr>
        <a:noFill/>
        <a:ln>
          <a:noFill/>
        </a:ln>
        <a:effectLst/>
      </c:spPr>
    </c:title>
    <c:autoTitleDeleted val="false"/>
    <c:plotArea>
      <c:layout>
        <c:manualLayout>
          <c:layoutTarget val="inner"/>
          <c:xMode val="edge"/>
          <c:yMode val="edge"/>
          <c:x val="0.0994407894736842"/>
          <c:y val="0.0526515151515152"/>
          <c:w val="0.8938"/>
          <c:h val="0.7169"/>
        </c:manualLayout>
      </c:layout>
      <c:barChart>
        <c:barDir val="col"/>
        <c:grouping val="clustered"/>
        <c:varyColors val="false"/>
        <c:ser>
          <c:idx val="0"/>
          <c:order val="0"/>
          <c:tx>
            <c:strRef>
              <c:f>Sheet1!$B$1</c:f>
              <c:strCache>
                <c:ptCount val="1"/>
                <c:pt idx="0">
                  <c:v>2018年度</c:v>
                </c:pt>
              </c:strCache>
            </c:strRef>
          </c:tx>
          <c:spPr>
            <a:gradFill rotWithShape="true">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true"/>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false"/>
          <c:dLbls>
            <c:delete val="true"/>
          </c:dLbls>
          <c:cat>
            <c:strRef>
              <c:extLst>
                <c:ext xmlns:c15="http://schemas.microsoft.com/office/drawing/2012/chart" uri="{02D57815-91ED-43cb-92C2-25804820EDAC}">
                  <c15:fullRef>
                    <c15:sqref>Sheet1!$A$2:$A$5</c15:sqref>
                  </c15:fullRef>
                </c:ext>
              </c:extLst>
              <c:f>Sheet1!$A$2</c:f>
              <c:strCache>
                <c:ptCount val="1"/>
                <c:pt idx="0">
                  <c:v>收支总计情况</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1142.3</c:v>
                </c:pt>
              </c:numCache>
            </c:numRef>
          </c:val>
        </c:ser>
        <c:ser>
          <c:idx val="1"/>
          <c:order val="1"/>
          <c:tx>
            <c:strRef>
              <c:f>Sheet1!$C$1</c:f>
              <c:strCache>
                <c:ptCount val="1"/>
                <c:pt idx="0">
                  <c:v>2019年度</c:v>
                </c:pt>
              </c:strCache>
            </c:strRef>
          </c:tx>
          <c:spPr>
            <a:gradFill rotWithShape="true">
              <a:gsLst>
                <a:gs pos="0">
                  <a:srgbClr val="E30000"/>
                </a:gs>
                <a:gs pos="100000">
                  <a:srgbClr val="760303"/>
                </a:gs>
              </a:gsLst>
              <a:lin ang="16200000" scaled="false"/>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false"/>
          <c:dLbls>
            <c:delete val="true"/>
          </c:dLbls>
          <c:cat>
            <c:strRef>
              <c:extLst>
                <c:ext xmlns:c15="http://schemas.microsoft.com/office/drawing/2012/chart" uri="{02D57815-91ED-43cb-92C2-25804820EDAC}">
                  <c15:fullRef>
                    <c15:sqref>Sheet1!$A$2:$A$5</c15:sqref>
                  </c15:fullRef>
                </c:ext>
              </c:extLst>
              <c:f>Sheet1!$A$2</c:f>
              <c:strCache>
                <c:ptCount val="1"/>
                <c:pt idx="0">
                  <c:v>收支总计情况</c:v>
                </c:pt>
              </c:strCache>
            </c:strRef>
          </c:cat>
          <c:val>
            <c:numRef>
              <c:extLst>
                <c:ext xmlns:c15="http://schemas.microsoft.com/office/drawing/2012/chart" uri="{02D57815-91ED-43cb-92C2-25804820EDAC}">
                  <c15:fullRef>
                    <c15:sqref>Sheet1!$C$2:$C$5</c15:sqref>
                  </c15:fullRef>
                </c:ext>
              </c:extLst>
              <c:f>Sheet1!$C$2</c:f>
              <c:numCache>
                <c:formatCode>General</c:formatCode>
                <c:ptCount val="1"/>
                <c:pt idx="0">
                  <c:v>1080.51</c:v>
                </c:pt>
              </c:numCache>
            </c:numRef>
          </c:val>
        </c:ser>
        <c:dLbls>
          <c:showLegendKey val="false"/>
          <c:showVal val="false"/>
          <c:showCatName val="false"/>
          <c:showSerName val="false"/>
          <c:showPercent val="false"/>
          <c:showBubbleSize val="false"/>
        </c:dLbls>
        <c:gapWidth val="100"/>
        <c:overlap val="-24"/>
        <c:axId val="351686145"/>
        <c:axId val="642370808"/>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
                      </c:pt>
                    </c:strCache>
                  </c:strRef>
                </c:tx>
                <c:spPr>
                  <a:gradFill rotWithShape="true">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true"/>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false"/>
                <c:dLbls>
                  <c:delete val="true"/>
                </c:dLbls>
                <c:cat>
                  <c:strRef>
                    <c:extLst>
                      <c:ext uri="{02D57815-91ED-43cb-92C2-25804820EDAC}">
                        <c15:fullRef>
                          <c15:sqref>Sheet1!$A$2:$A$5</c15:sqref>
                        </c15:fullRef>
                        <c15:formulaRef>
                          <c15:sqref>Sheet1!$A$2</c15:sqref>
                        </c15:formulaRef>
                      </c:ext>
                    </c:extLst>
                    <c:strCache>
                      <c:ptCount val="1"/>
                      <c:pt idx="0">
                        <c:v>收支总计情况</c:v>
                      </c:pt>
                    </c:strCache>
                  </c:strRef>
                </c:cat>
                <c:val>
                  <c:numRef>
                    <c:extLst>
                      <c:ext uri="{02D57815-91ED-43cb-92C2-25804820EDAC}">
                        <c15:fullRef>
                          <c15:sqref>Sheet1!$D$2:$D$5</c15:sqref>
                        </c15:fullRef>
                        <c15:formulaRef>
                          <c15:sqref>Sheet1!$D$2</c15:sqref>
                        </c15:formulaRef>
                      </c:ext>
                    </c:extLst>
                    <c:numCache>
                      <c:formatCode>General</c:formatCode>
                      <c:ptCount val="1"/>
                    </c:numCache>
                  </c:numRef>
                </c:val>
              </c15:ser>
            </c15:filteredBarSeries>
          </c:ext>
        </c:extLst>
      </c:barChart>
      <c:catAx>
        <c:axId val="351686145"/>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crossAx val="642370808"/>
        <c:crosses val="autoZero"/>
        <c:auto val="true"/>
        <c:lblAlgn val="ctr"/>
        <c:lblOffset val="100"/>
        <c:noMultiLvlLbl val="false"/>
      </c:catAx>
      <c:valAx>
        <c:axId val="642370808"/>
        <c:scaling>
          <c:orientation val="minMax"/>
        </c:scaling>
        <c:delete val="false"/>
        <c:axPos val="l"/>
        <c:majorGridlines>
          <c:spPr>
            <a:ln w="9525" cap="flat" cmpd="sng" algn="ctr">
              <a:solidFill>
                <a:schemeClr val="tx1">
                  <a:lumMod val="15000"/>
                  <a:lumOff val="85000"/>
                </a:schemeClr>
              </a:solidFill>
              <a:round/>
            </a:ln>
            <a:effectLst/>
          </c:spPr>
        </c:majorGridlines>
        <c:numFmt formatCode="#,##0_);[Red]\(#,##0\)" sourceLinked="fals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crossAx val="351686145"/>
        <c:crosses val="autoZero"/>
        <c:crossBetween val="between"/>
      </c:valAx>
      <c:spPr>
        <a:noFill/>
        <a:ln>
          <a:noFill/>
        </a:ln>
        <a:effectLst/>
      </c:spPr>
    </c:plotArea>
    <c:legend>
      <c:legendPos val="b"/>
      <c:layout>
        <c:manualLayout>
          <c:xMode val="edge"/>
          <c:yMode val="edge"/>
          <c:x val="0.587171052631579"/>
          <c:y val="0.277032359905288"/>
          <c:w val="0.325164473684211"/>
          <c:h val="0.092870297290186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收入决算结构图             单位：万元</a:t>
            </a:r>
          </a:p>
        </c:rich>
      </c:tx>
      <c:layout>
        <c:manualLayout>
          <c:xMode val="edge"/>
          <c:yMode val="edge"/>
          <c:x val="0.236441484300666"/>
          <c:y val="0.0132508833922261"/>
        </c:manualLayout>
      </c:layout>
      <c:overlay val="false"/>
      <c:spPr>
        <a:noFill/>
        <a:ln>
          <a:noFill/>
        </a:ln>
        <a:effectLst/>
      </c:spPr>
    </c:title>
    <c:autoTitleDeleted val="false"/>
    <c:plotArea>
      <c:layout>
        <c:manualLayout>
          <c:layoutTarget val="inner"/>
          <c:xMode val="edge"/>
          <c:yMode val="edge"/>
          <c:x val="0.170401669274909"/>
          <c:y val="0.264069679373895"/>
          <c:w val="0.441147626499739"/>
          <c:h val="0.640504922999243"/>
        </c:manualLayout>
      </c:layout>
      <c:doughnutChart>
        <c:varyColors val="true"/>
        <c:ser>
          <c:idx val="0"/>
          <c:order val="0"/>
          <c:tx>
            <c:strRef>
              <c:f>Sheet1!$A$2</c:f>
              <c:strCache>
                <c:ptCount val="1"/>
                <c:pt idx="0">
                  <c:v>收入决算结构图</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Sheet1!$B$1:$C$1</c:f>
              <c:strCache>
                <c:ptCount val="2"/>
                <c:pt idx="0">
                  <c:v>一般公共预算财政拨款收入</c:v>
                </c:pt>
                <c:pt idx="1">
                  <c:v>政府性基金预算财政拨款收入</c:v>
                </c:pt>
              </c:strCache>
            </c:strRef>
          </c:cat>
          <c:val>
            <c:numRef>
              <c:f>Sheet1!$B$2:$C$2</c:f>
              <c:numCache>
                <c:formatCode>General</c:formatCode>
                <c:ptCount val="2"/>
                <c:pt idx="0">
                  <c:v>1005.4</c:v>
                </c:pt>
                <c:pt idx="1">
                  <c:v>75.11</c:v>
                </c:pt>
              </c:numCache>
            </c:numRef>
          </c:val>
        </c:ser>
        <c:dLbls>
          <c:showLegendKey val="false"/>
          <c:showVal val="false"/>
          <c:showCatName val="false"/>
          <c:showSerName val="false"/>
          <c:showPercent val="true"/>
          <c:showBubbleSize val="false"/>
          <c:showLeaderLines val="true"/>
        </c:dLbls>
        <c:firstSliceAng val="0"/>
        <c:holeSize val="50"/>
      </c:doughnut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spc="0" normalizeH="0" baseline="0">
                <a:solidFill>
                  <a:schemeClr val="dk1">
                    <a:lumMod val="50000"/>
                    <a:lumOff val="50000"/>
                  </a:schemeClr>
                </a:solidFill>
                <a:latin typeface="+mj-lt"/>
                <a:ea typeface="+mj-ea"/>
                <a:cs typeface="+mj-cs"/>
              </a:defRPr>
            </a:pPr>
            <a:r>
              <a:rPr>
                <a:solidFill>
                  <a:sysClr val="windowText" lastClr="000000"/>
                </a:solidFill>
              </a:rPr>
              <a:t>2019年支出决算结构 </a:t>
            </a:r>
            <a:r>
              <a:t> </a:t>
            </a:r>
            <a:r>
              <a:rPr sz="900">
                <a:solidFill>
                  <a:sysClr val="windowText" lastClr="000000"/>
                </a:solidFill>
              </a:rPr>
              <a:t>单位：万元</a:t>
            </a:r>
            <a:endParaRPr sz="900">
              <a:solidFill>
                <a:sysClr val="windowText" lastClr="000000"/>
              </a:solidFill>
            </a:endParaRPr>
          </a:p>
        </c:rich>
      </c:tx>
      <c:layout>
        <c:manualLayout>
          <c:xMode val="edge"/>
          <c:yMode val="edge"/>
          <c:x val="0.142530922930542"/>
          <c:y val="0.041952476764723"/>
        </c:manualLayout>
      </c:layout>
      <c:overlay val="false"/>
      <c:spPr>
        <a:noFill/>
        <a:ln>
          <a:noFill/>
        </a:ln>
        <a:effectLst/>
      </c:spPr>
    </c:title>
    <c:autoTitleDeleted val="false"/>
    <c:plotArea>
      <c:layout/>
      <c:pieChart>
        <c:varyColors val="true"/>
        <c:ser>
          <c:idx val="0"/>
          <c:order val="0"/>
          <c:tx>
            <c:strRef>
              <c:f>Sheet1!$A$2</c:f>
              <c:strCache>
                <c:ptCount val="1"/>
                <c:pt idx="0">
                  <c:v>2019年支出合计</c:v>
                </c:pt>
              </c:strCache>
            </c:strRef>
          </c:tx>
          <c:spPr>
            <a:gradFill>
              <a:gsLst>
                <a:gs pos="0">
                  <a:srgbClr val="14CD68"/>
                </a:gs>
                <a:gs pos="100000">
                  <a:srgbClr val="0B6E38"/>
                </a:gs>
              </a:gsLst>
              <a:lin ang="5400000" scaled="false"/>
            </a:gradFill>
          </c:spPr>
          <c:explosion val="0"/>
          <c:dPt>
            <c:idx val="0"/>
            <c:bubble3D val="false"/>
            <c:spPr>
              <a:gradFill>
                <a:gsLst>
                  <a:gs pos="0">
                    <a:srgbClr val="14CD68"/>
                  </a:gs>
                  <a:gs pos="100000">
                    <a:srgbClr val="0B6E38"/>
                  </a:gs>
                </a:gsLst>
                <a:lin ang="5400000" scaled="false"/>
              </a:gradFill>
              <a:ln w="19050">
                <a:solidFill>
                  <a:schemeClr val="lt1"/>
                </a:solidFill>
              </a:ln>
              <a:effectLst/>
            </c:spPr>
          </c:dPt>
          <c:dPt>
            <c:idx val="1"/>
            <c:bubble3D val="false"/>
            <c:spPr>
              <a:solidFill>
                <a:srgbClr val="FFFF00"/>
              </a:solidFill>
              <a:ln w="19050">
                <a:solidFill>
                  <a:schemeClr val="lt1"/>
                </a:solidFill>
              </a:ln>
              <a:effectLst/>
            </c:spPr>
          </c:dPt>
          <c:dLbls>
            <c:delete val="true"/>
          </c:dLbls>
          <c:cat>
            <c:strRef>
              <c:f>Sheet1!$B$1:$C$1</c:f>
              <c:strCache>
                <c:ptCount val="2"/>
                <c:pt idx="0">
                  <c:v>基本支出</c:v>
                </c:pt>
                <c:pt idx="1">
                  <c:v>项目支出</c:v>
                </c:pt>
              </c:strCache>
            </c:strRef>
          </c:cat>
          <c:val>
            <c:numRef>
              <c:f>Sheet1!$B$2:$C$2</c:f>
              <c:numCache>
                <c:formatCode>General</c:formatCode>
                <c:ptCount val="2"/>
                <c:pt idx="0">
                  <c:v>552.82</c:v>
                </c:pt>
                <c:pt idx="1">
                  <c:v>527.69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alpha val="50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65000"/>
                  <a:lumOff val="35000"/>
                </a:schemeClr>
              </a:solidFill>
              <a:latin typeface="+mn-lt"/>
              <a:ea typeface="+mn-ea"/>
              <a:cs typeface="+mn-cs"/>
            </a:defRPr>
          </a:pPr>
        </a:p>
      </c:txPr>
    </c:legend>
    <c:plotVisOnly val="true"/>
    <c:dispBlanksAs val="gap"/>
    <c:showDLblsOverMax val="false"/>
  </c:chart>
  <c:spPr>
    <a:noFill/>
    <a:ln w="9525" cap="flat" cmpd="sng" algn="ctr">
      <a:no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cap="none" spc="20" baseline="0">
                <a:solidFill>
                  <a:schemeClr val="tx1">
                    <a:lumMod val="50000"/>
                    <a:lumOff val="50000"/>
                  </a:schemeClr>
                </a:solidFill>
                <a:latin typeface="+mn-lt"/>
                <a:ea typeface="+mn-ea"/>
                <a:cs typeface="+mn-cs"/>
              </a:defRPr>
            </a:pPr>
            <a:r>
              <a:rPr b="1">
                <a:solidFill>
                  <a:sysClr val="windowText" lastClr="000000"/>
                </a:solidFill>
              </a:rPr>
              <a:t>收、支决算总计变动情况</a:t>
            </a:r>
            <a:r>
              <a:t>          单位：万元元</a:t>
            </a:r>
          </a:p>
        </c:rich>
      </c:tx>
      <c:layout>
        <c:manualLayout>
          <c:xMode val="edge"/>
          <c:yMode val="edge"/>
          <c:x val="0.209391137040715"/>
          <c:y val="0.00951776649746192"/>
        </c:manualLayout>
      </c:layout>
      <c:overlay val="false"/>
      <c:spPr>
        <a:noFill/>
        <a:ln>
          <a:noFill/>
        </a:ln>
        <a:effectLst/>
      </c:spPr>
    </c:title>
    <c:autoTitleDeleted val="false"/>
    <c:plotArea>
      <c:layout>
        <c:manualLayout>
          <c:layoutTarget val="inner"/>
          <c:xMode val="edge"/>
          <c:yMode val="edge"/>
          <c:x val="0.101265789473684"/>
          <c:y val="0.273582233502538"/>
          <c:w val="0.8938"/>
          <c:h val="0.7169"/>
        </c:manualLayout>
      </c:layout>
      <c:barChart>
        <c:barDir val="col"/>
        <c:grouping val="clustered"/>
        <c:varyColors val="false"/>
        <c:ser>
          <c:idx val="0"/>
          <c:order val="0"/>
          <c:tx>
            <c:strRef>
              <c:f>Sheet1!$B$1</c:f>
              <c:strCache>
                <c:ptCount val="1"/>
                <c:pt idx="0">
                  <c:v>2018年度</c:v>
                </c:pt>
              </c:strCache>
            </c:strRef>
          </c:tx>
          <c:spPr>
            <a:gradFill rotWithShape="true">
              <a:gsLst>
                <a:gs pos="0">
                  <a:srgbClr val="14CD68"/>
                </a:gs>
                <a:gs pos="100000">
                  <a:srgbClr val="0B6E38"/>
                </a:gs>
              </a:gsLst>
              <a:lin ang="16200000" scaled="false"/>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false"/>
          <c:dLbls>
            <c:delete val="true"/>
          </c:dLbls>
          <c:cat>
            <c:strRef>
              <c:extLst>
                <c:ext xmlns:c15="http://schemas.microsoft.com/office/drawing/2012/chart" uri="{02D57815-91ED-43cb-92C2-25804820EDAC}">
                  <c15:fullRef>
                    <c15:sqref>Sheet1!$A$2:$A$5</c15:sqref>
                  </c15:fullRef>
                </c:ext>
              </c:extLst>
              <c:f>Sheet1!$A$2</c:f>
              <c:strCache>
                <c:ptCount val="1"/>
                <c:pt idx="0">
                  <c:v>收支总计情况</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1142.3</c:v>
                </c:pt>
              </c:numCache>
            </c:numRef>
          </c:val>
        </c:ser>
        <c:ser>
          <c:idx val="1"/>
          <c:order val="1"/>
          <c:tx>
            <c:strRef>
              <c:f>Sheet1!$C$1</c:f>
              <c:strCache>
                <c:ptCount val="1"/>
                <c:pt idx="0">
                  <c:v>2019年度</c:v>
                </c:pt>
              </c:strCache>
            </c:strRef>
          </c:tx>
          <c:spPr>
            <a:gradFill rotWithShape="true">
              <a:gsLst>
                <a:gs pos="0">
                  <a:srgbClr val="E30000"/>
                </a:gs>
                <a:gs pos="100000">
                  <a:srgbClr val="760303"/>
                </a:gs>
              </a:gsLst>
              <a:lin ang="16200000" scaled="false"/>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false"/>
          <c:dLbls>
            <c:delete val="true"/>
          </c:dLbls>
          <c:cat>
            <c:strRef>
              <c:extLst>
                <c:ext xmlns:c15="http://schemas.microsoft.com/office/drawing/2012/chart" uri="{02D57815-91ED-43cb-92C2-25804820EDAC}">
                  <c15:fullRef>
                    <c15:sqref>Sheet1!$A$2:$A$5</c15:sqref>
                  </c15:fullRef>
                </c:ext>
              </c:extLst>
              <c:f>Sheet1!$A$2</c:f>
              <c:strCache>
                <c:ptCount val="1"/>
                <c:pt idx="0">
                  <c:v>收支总计情况</c:v>
                </c:pt>
              </c:strCache>
            </c:strRef>
          </c:cat>
          <c:val>
            <c:numRef>
              <c:extLst>
                <c:ext xmlns:c15="http://schemas.microsoft.com/office/drawing/2012/chart" uri="{02D57815-91ED-43cb-92C2-25804820EDAC}">
                  <c15:fullRef>
                    <c15:sqref>Sheet1!$C$2:$C$5</c15:sqref>
                  </c15:fullRef>
                </c:ext>
              </c:extLst>
              <c:f>Sheet1!$C$2</c:f>
              <c:numCache>
                <c:formatCode>General</c:formatCode>
                <c:ptCount val="1"/>
                <c:pt idx="0">
                  <c:v>1080.51</c:v>
                </c:pt>
              </c:numCache>
            </c:numRef>
          </c:val>
        </c:ser>
        <c:dLbls>
          <c:showLegendKey val="false"/>
          <c:showVal val="false"/>
          <c:showCatName val="false"/>
          <c:showSerName val="false"/>
          <c:showPercent val="false"/>
          <c:showBubbleSize val="false"/>
        </c:dLbls>
        <c:gapWidth val="100"/>
        <c:overlap val="-24"/>
        <c:axId val="351686145"/>
        <c:axId val="642370808"/>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
                      </c:pt>
                    </c:strCache>
                  </c:strRef>
                </c:tx>
                <c:spPr>
                  <a:gradFill rotWithShape="true">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true"/>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false"/>
                <c:dLbls>
                  <c:delete val="true"/>
                </c:dLbls>
                <c:cat>
                  <c:strRef>
                    <c:extLst>
                      <c:ext uri="{02D57815-91ED-43cb-92C2-25804820EDAC}">
                        <c15:fullRef>
                          <c15:sqref>Sheet1!$A$2:$A$5</c15:sqref>
                        </c15:fullRef>
                        <c15:formulaRef>
                          <c15:sqref>Sheet1!$A$2</c15:sqref>
                        </c15:formulaRef>
                      </c:ext>
                    </c:extLst>
                    <c:strCache>
                      <c:ptCount val="1"/>
                      <c:pt idx="0">
                        <c:v>收支总计情况</c:v>
                      </c:pt>
                    </c:strCache>
                  </c:strRef>
                </c:cat>
                <c:val>
                  <c:numRef>
                    <c:extLst>
                      <c:ext uri="{02D57815-91ED-43cb-92C2-25804820EDAC}">
                        <c15:fullRef>
                          <c15:sqref>Sheet1!$D$2:$D$5</c15:sqref>
                        </c15:fullRef>
                        <c15:formulaRef>
                          <c15:sqref>Sheet1!$D$2</c15:sqref>
                        </c15:formulaRef>
                      </c:ext>
                    </c:extLst>
                    <c:numCache>
                      <c:formatCode>General</c:formatCode>
                      <c:ptCount val="1"/>
                    </c:numCache>
                  </c:numRef>
                </c:val>
              </c15:ser>
            </c15:filteredBarSeries>
          </c:ext>
        </c:extLst>
      </c:barChart>
      <c:catAx>
        <c:axId val="351686145"/>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crossAx val="642370808"/>
        <c:crosses val="autoZero"/>
        <c:auto val="true"/>
        <c:lblAlgn val="ctr"/>
        <c:lblOffset val="100"/>
        <c:noMultiLvlLbl val="false"/>
      </c:catAx>
      <c:valAx>
        <c:axId val="642370808"/>
        <c:scaling>
          <c:orientation val="minMax"/>
        </c:scaling>
        <c:delete val="false"/>
        <c:axPos val="l"/>
        <c:majorGridlines>
          <c:spPr>
            <a:ln w="9525" cap="flat" cmpd="sng" algn="ctr">
              <a:solidFill>
                <a:schemeClr val="tx1">
                  <a:lumMod val="15000"/>
                  <a:lumOff val="85000"/>
                </a:schemeClr>
              </a:solidFill>
              <a:round/>
            </a:ln>
            <a:effectLst/>
          </c:spPr>
        </c:majorGridlines>
        <c:numFmt formatCode="#,##0_);[Red]\(#,##0\)" sourceLinked="fals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crossAx val="351686145"/>
        <c:crosses val="autoZero"/>
        <c:crossBetween val="between"/>
      </c:valAx>
      <c:spPr>
        <a:noFill/>
        <a:ln>
          <a:noFill/>
        </a:ln>
        <a:effectLst/>
      </c:spPr>
    </c:plotArea>
    <c:legend>
      <c:legendPos val="b"/>
      <c:layout>
        <c:manualLayout>
          <c:xMode val="edge"/>
          <c:yMode val="edge"/>
          <c:x val="0.542763157894737"/>
          <c:y val="0.184644670050761"/>
          <c:w val="0.440953947368421"/>
          <c:h val="0.11294416243654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      单位：万元</a:t>
            </a:r>
          </a:p>
        </c:rich>
      </c:tx>
      <c:layout/>
      <c:overlay val="false"/>
      <c:spPr>
        <a:noFill/>
        <a:ln>
          <a:noFill/>
        </a:ln>
        <a:effectLst/>
      </c:spPr>
    </c:title>
    <c:autoTitleDeleted val="false"/>
    <c:plotArea>
      <c:layout>
        <c:manualLayout>
          <c:layoutTarget val="inner"/>
          <c:xMode val="edge"/>
          <c:yMode val="edge"/>
          <c:x val="0.0921212121212121"/>
          <c:y val="0.161269841269841"/>
          <c:w val="0.883121783876501"/>
          <c:h val="0.736380952380952"/>
        </c:manualLayout>
      </c:layout>
      <c:barChart>
        <c:barDir val="col"/>
        <c:grouping val="clustered"/>
        <c:varyColors val="false"/>
        <c:ser>
          <c:idx val="0"/>
          <c:order val="0"/>
          <c:tx>
            <c:strRef>
              <c:f>Sheet1!$A$2</c:f>
              <c:strCache>
                <c:ptCount val="1"/>
                <c:pt idx="0">
                  <c:v>一般公共预算财政拨款支出</c:v>
                </c:pt>
              </c:strCache>
            </c:strRef>
          </c:tx>
          <c:spPr>
            <a:solidFill>
              <a:srgbClr val="9483DF"/>
            </a:solidFill>
            <a:ln>
              <a:noFill/>
            </a:ln>
            <a:effectLst/>
          </c:spPr>
          <c:invertIfNegative val="false"/>
          <c:dPt>
            <c:idx val="1"/>
            <c:invertIfNegative val="false"/>
            <c:bubble3D val="false"/>
            <c:spPr>
              <a:gradFill>
                <a:gsLst>
                  <a:gs pos="0">
                    <a:srgbClr val="E30000"/>
                  </a:gs>
                  <a:gs pos="100000">
                    <a:srgbClr val="760303"/>
                  </a:gs>
                </a:gsLst>
                <a:lin ang="5400000" scaled="false"/>
              </a:gradFill>
              <a:ln>
                <a:noFill/>
              </a:ln>
              <a:effectLst/>
            </c:spPr>
          </c:dPt>
          <c:dLbls>
            <c:delete val="true"/>
          </c:dLbls>
          <c:cat>
            <c:strRef>
              <c:f>Sheet1!$B$1:$C$1</c:f>
              <c:strCache>
                <c:ptCount val="2"/>
                <c:pt idx="0">
                  <c:v>2018年度</c:v>
                </c:pt>
                <c:pt idx="1">
                  <c:v>2019年度</c:v>
                </c:pt>
              </c:strCache>
            </c:strRef>
          </c:cat>
          <c:val>
            <c:numRef>
              <c:f>Sheet1!$B$2:$C$2</c:f>
              <c:numCache>
                <c:formatCode>General</c:formatCode>
                <c:ptCount val="2"/>
                <c:pt idx="0">
                  <c:v>1142.3</c:v>
                </c:pt>
                <c:pt idx="1">
                  <c:v>1080.51</c:v>
                </c:pt>
              </c:numCache>
            </c:numRef>
          </c:val>
        </c:ser>
        <c:dLbls>
          <c:showLegendKey val="false"/>
          <c:showVal val="false"/>
          <c:showCatName val="false"/>
          <c:showSerName val="false"/>
          <c:showPercent val="false"/>
          <c:showBubbleSize val="false"/>
        </c:dLbls>
        <c:gapWidth val="150"/>
        <c:axId val="821948717"/>
        <c:axId val="327339297"/>
      </c:barChart>
      <c:catAx>
        <c:axId val="821948717"/>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27339297"/>
        <c:crosses val="autoZero"/>
        <c:auto val="true"/>
        <c:lblAlgn val="ctr"/>
        <c:lblOffset val="100"/>
        <c:noMultiLvlLbl val="false"/>
      </c:catAx>
      <c:valAx>
        <c:axId val="327339297"/>
        <c:scaling>
          <c:orientation val="minMax"/>
        </c:scaling>
        <c:delete val="false"/>
        <c:axPos val="l"/>
        <c:numFmt formatCode="General" sourceLinked="true"/>
        <c:majorTickMark val="out"/>
        <c:minorTickMark val="none"/>
        <c:tickLblPos val="nextTo"/>
        <c:spPr>
          <a:noFill/>
          <a:ln>
            <a:noFill/>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82194871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一般公共预算财政拨款支出                   </a:t>
            </a:r>
            <a:r>
              <a:rPr sz="800">
                <a:solidFill>
                  <a:schemeClr val="tx1"/>
                </a:solidFill>
                <a:uFillTx/>
              </a:rPr>
              <a:t>单位：万元</a:t>
            </a:r>
            <a:endParaRPr sz="800">
              <a:solidFill>
                <a:schemeClr val="tx1"/>
              </a:solidFill>
              <a:uFillTx/>
            </a:endParaRPr>
          </a:p>
        </c:rich>
      </c:tx>
      <c:layout>
        <c:manualLayout>
          <c:xMode val="edge"/>
          <c:yMode val="edge"/>
          <c:x val="0.285099685204617"/>
          <c:y val="0.0501672240802676"/>
        </c:manualLayout>
      </c:layout>
      <c:overlay val="false"/>
      <c:spPr>
        <a:noFill/>
        <a:ln>
          <a:noFill/>
        </a:ln>
        <a:effectLst/>
      </c:spPr>
    </c:title>
    <c:autoTitleDeleted val="false"/>
    <c:plotArea>
      <c:layout>
        <c:manualLayout>
          <c:layoutTarget val="inner"/>
          <c:xMode val="edge"/>
          <c:yMode val="edge"/>
          <c:x val="0.330115424973767"/>
          <c:y val="0.168126159006303"/>
          <c:w val="0.342812172088143"/>
          <c:h val="0.689385946402195"/>
        </c:manualLayout>
      </c:layout>
      <c:pieChart>
        <c:varyColors val="true"/>
        <c:ser>
          <c:idx val="0"/>
          <c:order val="0"/>
          <c:tx>
            <c:strRef>
              <c:f>Sheet1!$A$2</c:f>
              <c:strCache>
                <c:ptCount val="1"/>
                <c:pt idx="0">
                  <c:v>一般公共预算财政拨款支出</c:v>
                </c:pt>
              </c:strCache>
            </c:strRef>
          </c:tx>
          <c:spPr>
            <a:effectLst>
              <a:outerShdw blurRad="40000" dist="23000" dir="5400000" rotWithShape="0">
                <a:srgbClr val="000000">
                  <a:alpha val="35000"/>
                </a:srgbClr>
              </a:outerShdw>
            </a:effectLst>
          </c:spPr>
          <c:explosion val="0"/>
          <c:dPt>
            <c:idx val="0"/>
            <c:bubble3D val="false"/>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dPt>
          <c:dPt>
            <c:idx val="1"/>
            <c:bubble3D val="false"/>
            <c:spPr>
              <a:gradFill rotWithShape="true">
                <a:gsLst>
                  <a:gs pos="0">
                    <a:srgbClr val="E30000"/>
                  </a:gs>
                  <a:gs pos="100000">
                    <a:srgbClr val="760303"/>
                  </a:gs>
                </a:gsLst>
                <a:lin ang="16200000" scaled="false"/>
              </a:gradFill>
              <a:ln>
                <a:noFill/>
              </a:ln>
              <a:effectLst>
                <a:outerShdw blurRad="40000" dist="23000" dir="5400000" rotWithShape="0">
                  <a:srgbClr val="000000">
                    <a:alpha val="35000"/>
                  </a:srgbClr>
                </a:outerShdw>
              </a:effectLst>
            </c:spPr>
          </c:dPt>
          <c:dPt>
            <c:idx val="2"/>
            <c:bubble3D val="false"/>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dPt>
          <c:dPt>
            <c:idx val="3"/>
            <c:bubble3D val="false"/>
            <c:spPr>
              <a:gradFill rotWithShape="true">
                <a:gsLst>
                  <a:gs pos="0">
                    <a:srgbClr val="FBFB11"/>
                  </a:gs>
                  <a:gs pos="100000">
                    <a:srgbClr val="838309"/>
                  </a:gs>
                </a:gsLst>
                <a:lin ang="16200000" scaled="false"/>
              </a:gradFill>
              <a:ln>
                <a:noFill/>
              </a:ln>
              <a:effectLst>
                <a:outerShdw blurRad="40000" dist="23000" dir="5400000" rotWithShape="0">
                  <a:srgbClr val="000000">
                    <a:alpha val="35000"/>
                  </a:srgbClr>
                </a:outerShdw>
              </a:effectLst>
            </c:spPr>
          </c:dPt>
          <c:dPt>
            <c:idx val="4"/>
            <c:bubble3D val="false"/>
            <c:spPr>
              <a:gradFill rotWithShape="true">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false"/>
              </a:gradFill>
              <a:ln>
                <a:noFill/>
              </a:ln>
              <a:effectLst>
                <a:outerShdw blurRad="40000" dist="23000" dir="5400000" rotWithShape="0">
                  <a:srgbClr val="000000">
                    <a:alpha val="35000"/>
                  </a:srgbClr>
                </a:outerShdw>
              </a:effectLst>
            </c:spPr>
          </c:dPt>
          <c:dPt>
            <c:idx val="5"/>
            <c:bubble3D val="false"/>
            <c:spPr>
              <a:gradFill rotWithShape="true">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false"/>
              </a:gradFill>
              <a:ln>
                <a:noFill/>
              </a:ln>
              <a:effectLst>
                <a:outerShdw blurRad="40000" dist="23000" dir="5400000" rotWithShape="0">
                  <a:srgbClr val="000000">
                    <a:alpha val="35000"/>
                  </a:srgbClr>
                </a:outerShdw>
              </a:effectLst>
            </c:spPr>
          </c:dPt>
          <c:dPt>
            <c:idx val="6"/>
            <c:bubble3D val="false"/>
            <c:spPr>
              <a:gradFill rotWithShape="true">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false"/>
              </a:gradFill>
              <a:ln>
                <a:noFill/>
              </a:ln>
              <a:effectLst>
                <a:outerShdw blurRad="40000" dist="23000" dir="5400000" rotWithShape="0">
                  <a:srgbClr val="000000">
                    <a:alpha val="35000"/>
                  </a:srgbClr>
                </a:outerShdw>
              </a:effectLst>
            </c:spPr>
          </c:dPt>
          <c:dPt>
            <c:idx val="7"/>
            <c:bubble3D val="false"/>
            <c:spPr>
              <a:gradFill rotWithShape="true">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false"/>
              </a:gradFill>
              <a:ln>
                <a:noFill/>
              </a:ln>
              <a:effectLst>
                <a:outerShdw blurRad="40000" dist="23000" dir="5400000" rotWithShape="0">
                  <a:srgbClr val="000000">
                    <a:alpha val="35000"/>
                  </a:srgbClr>
                </a:outerShdw>
              </a:effectLst>
            </c:spPr>
          </c:dPt>
          <c:dPt>
            <c:idx val="8"/>
            <c:bubble3D val="false"/>
            <c:spPr>
              <a:gradFill rotWithShape="true">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false"/>
              </a:gradFill>
              <a:ln>
                <a:noFill/>
              </a:ln>
              <a:effectLst>
                <a:outerShdw blurRad="40000" dist="23000" dir="5400000" rotWithShape="0">
                  <a:srgbClr val="000000">
                    <a:alpha val="35000"/>
                  </a:srgbClr>
                </a:outerShdw>
              </a:effectLst>
            </c:spPr>
          </c:dPt>
          <c:dLbls>
            <c:dLbl>
              <c:idx val="0"/>
              <c:layout>
                <c:manualLayout>
                  <c:x val="-0.0616982851630679"/>
                  <c:y val="0.00074249331681713"/>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Sheet1!$B$1:$J$1</c:f>
              <c:strCache>
                <c:ptCount val="9"/>
                <c:pt idx="0">
                  <c:v>一般公共服务支出</c:v>
                </c:pt>
                <c:pt idx="1">
                  <c:v>教育支出</c:v>
                </c:pt>
                <c:pt idx="2">
                  <c:v>文化体育与传媒</c:v>
                </c:pt>
                <c:pt idx="3">
                  <c:v>社会保障和就业支出</c:v>
                </c:pt>
                <c:pt idx="4">
                  <c:v>医疗卫生支出</c:v>
                </c:pt>
                <c:pt idx="5">
                  <c:v>住房保障支出</c:v>
                </c:pt>
                <c:pt idx="6">
                  <c:v>交通运输支出</c:v>
                </c:pt>
                <c:pt idx="7">
                  <c:v>城乡社区支出</c:v>
                </c:pt>
                <c:pt idx="8">
                  <c:v>农林水支出</c:v>
                </c:pt>
              </c:strCache>
            </c:strRef>
          </c:cat>
          <c:val>
            <c:numRef>
              <c:f>Sheet1!$B$2:$J$2</c:f>
              <c:numCache>
                <c:formatCode>General</c:formatCode>
                <c:ptCount val="9"/>
                <c:pt idx="0">
                  <c:v>485.49</c:v>
                </c:pt>
                <c:pt idx="1">
                  <c:v>1</c:v>
                </c:pt>
                <c:pt idx="2">
                  <c:v>10</c:v>
                </c:pt>
                <c:pt idx="3">
                  <c:v>52.42</c:v>
                </c:pt>
                <c:pt idx="4">
                  <c:v>27.82</c:v>
                </c:pt>
                <c:pt idx="5">
                  <c:v>31.27</c:v>
                </c:pt>
                <c:pt idx="6">
                  <c:v>10</c:v>
                </c:pt>
                <c:pt idx="7">
                  <c:v>34</c:v>
                </c:pt>
                <c:pt idx="8">
                  <c:v>353.41</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t"/>
      <c:layout>
        <c:manualLayout>
          <c:xMode val="edge"/>
          <c:yMode val="edge"/>
          <c:x val="0.141357959911848"/>
          <c:y val="0.836683417085427"/>
          <c:w val="0.779410221429321"/>
          <c:h val="0.156464138876199"/>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65000"/>
                    <a:lumOff val="35000"/>
                  </a:schemeClr>
                </a:solidFill>
                <a:latin typeface="+mn-lt"/>
                <a:ea typeface="+mn-ea"/>
                <a:cs typeface="+mn-cs"/>
              </a:defRPr>
            </a:pPr>
            <a:r>
              <a:rPr sz="1400">
                <a:solidFill>
                  <a:schemeClr val="tx1">
                    <a:lumMod val="65000"/>
                    <a:lumOff val="35000"/>
                  </a:schemeClr>
                </a:solidFill>
                <a:uFillTx/>
              </a:rPr>
              <a:t>“三公”经费财政拨款支出决算</a:t>
            </a:r>
            <a:r>
              <a:t>      </a:t>
            </a:r>
            <a:r>
              <a:rPr sz="800">
                <a:solidFill>
                  <a:schemeClr val="tx1"/>
                </a:solidFill>
              </a:rPr>
              <a:t>单位：</a:t>
            </a:r>
            <a:r>
              <a:rPr sz="800">
                <a:solidFill>
                  <a:schemeClr val="tx1"/>
                </a:solidFill>
                <a:uFillTx/>
              </a:rPr>
              <a:t>万元</a:t>
            </a:r>
            <a:endParaRPr sz="800">
              <a:solidFill>
                <a:schemeClr val="tx1"/>
              </a:solidFill>
              <a:uFillTx/>
            </a:endParaRPr>
          </a:p>
        </c:rich>
      </c:tx>
      <c:layout>
        <c:manualLayout>
          <c:xMode val="edge"/>
          <c:yMode val="edge"/>
          <c:x val="0.1875"/>
          <c:y val="0.0307613432453217"/>
        </c:manualLayout>
      </c:layout>
      <c:overlay val="false"/>
      <c:spPr>
        <a:noFill/>
        <a:ln>
          <a:noFill/>
        </a:ln>
        <a:effectLst/>
      </c:spPr>
    </c:title>
    <c:autoTitleDeleted val="false"/>
    <c:plotArea>
      <c:layout>
        <c:manualLayout>
          <c:layoutTarget val="inner"/>
          <c:xMode val="edge"/>
          <c:yMode val="edge"/>
          <c:x val="0.323088235294118"/>
          <c:y val="0.194821840553704"/>
          <c:w val="0.362647058823529"/>
          <c:h val="0.632145603691361"/>
        </c:manualLayout>
      </c:layout>
      <c:doughnutChart>
        <c:varyColors val="true"/>
        <c:ser>
          <c:idx val="0"/>
          <c:order val="0"/>
          <c:tx>
            <c:strRef>
              <c:f>Sheet1!$A$2</c:f>
              <c:strCache>
                <c:ptCount val="1"/>
                <c:pt idx="0">
                  <c:v>“三公”经费财政拨款支出决算</c:v>
                </c:pt>
              </c:strCache>
            </c:strRef>
          </c:tx>
          <c:spPr>
            <a:gradFill>
              <a:gsLst>
                <a:gs pos="0">
                  <a:srgbClr val="14CD68"/>
                </a:gs>
                <a:gs pos="100000">
                  <a:srgbClr val="0B6E38"/>
                </a:gs>
              </a:gsLst>
              <a:lin ang="5400000" scaled="false"/>
            </a:gradFill>
          </c:spPr>
          <c:explosion val="0"/>
          <c:dPt>
            <c:idx val="0"/>
            <c:bubble3D val="false"/>
            <c:spPr>
              <a:solidFill>
                <a:schemeClr val="accent2"/>
              </a:solidFill>
              <a:ln>
                <a:noFill/>
              </a:ln>
              <a:effectLst>
                <a:outerShdw blurRad="317500" algn="ctr" rotWithShape="0">
                  <a:prstClr val="black">
                    <a:alpha val="25000"/>
                  </a:prstClr>
                </a:outerShdw>
              </a:effectLst>
            </c:spPr>
          </c:dPt>
          <c:dPt>
            <c:idx val="1"/>
            <c:bubble3D val="false"/>
            <c:spPr>
              <a:gradFill>
                <a:gsLst>
                  <a:gs pos="0">
                    <a:srgbClr val="14CD68"/>
                  </a:gs>
                  <a:gs pos="100000">
                    <a:srgbClr val="0B6E38"/>
                  </a:gs>
                </a:gsLst>
                <a:lin ang="5400000" scaled="false"/>
              </a:gradFill>
              <a:ln>
                <a:noFill/>
              </a:ln>
              <a:effectLst>
                <a:outerShdw blurRad="317500" algn="ctr" rotWithShape="0">
                  <a:prstClr val="black">
                    <a:alpha val="25000"/>
                  </a:prstClr>
                </a:outerShdw>
              </a:effectLst>
            </c:spPr>
          </c:dPt>
          <c:dLbls>
            <c:dLbl>
              <c:idx val="0"/>
              <c:layout>
                <c:manualLayout>
                  <c:x val="0.134558823529412"/>
                  <c:y val="0.0346065111509869"/>
                </c:manualLayout>
              </c:layou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manualLayout>
                  <c:x val="-0.147794117647059"/>
                  <c:y val="0.00384516790566521"/>
                </c:manualLayout>
              </c:layout>
              <c:tx>
                <c:rich>
                  <a:bodyPr rot="0" spcFirstLastPara="0" vertOverflow="ellipsis" vert="horz" wrap="square" lIns="38100" tIns="19050" rIns="38100" bIns="19050" anchor="ctr" anchorCtr="true"/>
                  <a:lstStyle/>
                  <a:p>
                    <a:pPr defTabSz="914400">
                      <a:defRPr lang="zh-CN" sz="900" b="1" i="0" u="none" strike="noStrike" kern="1200" cap="none" spc="0" normalizeH="0" baseline="0">
                        <a:solidFill>
                          <a:schemeClr val="accent1">
                            <a:lumMod val="75000"/>
                          </a:schemeClr>
                        </a:solidFill>
                        <a:uFill>
                          <a:solidFill>
                            <a:schemeClr val="bg1"/>
                          </a:solidFill>
                        </a:uFill>
                        <a:latin typeface="+mn-lt"/>
                        <a:ea typeface="+mn-ea"/>
                        <a:cs typeface="+mn-cs"/>
                      </a:defRPr>
                    </a:pPr>
                    <a:r>
                      <a:rPr>
                        <a:solidFill>
                          <a:schemeClr val="accent2">
                            <a:lumMod val="75000"/>
                          </a:schemeClr>
                        </a:solidFill>
                        <a:uFill>
                          <a:solidFill>
                            <a:schemeClr val="bg1"/>
                          </a:solidFill>
                        </a:uFill>
                      </a:rPr>
                      <a:t>公务接待费支出74%</a:t>
                    </a:r>
                    <a:endParaRPr>
                      <a:solidFill>
                        <a:schemeClr val="accent2">
                          <a:lumMod val="75000"/>
                        </a:schemeClr>
                      </a:solidFill>
                      <a:uFill>
                        <a:solidFill>
                          <a:schemeClr val="bg1"/>
                        </a:solidFill>
                      </a:uFill>
                    </a:endParaRPr>
                  </a:p>
                </c:rich>
              </c:tx>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1" i="0" u="none" strike="noStrike" kern="1200" cap="none" spc="0" normalizeH="0" baseline="0">
                    <a:solidFill>
                      <a:schemeClr val="accent1">
                        <a:lumMod val="75000"/>
                      </a:schemeClr>
                    </a:solidFill>
                    <a:uFill>
                      <a:solidFill>
                        <a:schemeClr val="bg1"/>
                      </a:solidFill>
                    </a:uFill>
                    <a:latin typeface="+mn-lt"/>
                    <a:ea typeface="+mn-ea"/>
                    <a:cs typeface="+mn-cs"/>
                  </a:defRPr>
                </a:pPr>
              </a:p>
            </c:txP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35000"/>
                          <a:lumOff val="65000"/>
                        </a:schemeClr>
                      </a:solidFill>
                      <a:round/>
                    </a:ln>
                    <a:effectLst/>
                  </c:spPr>
                </c15:leaderLines>
              </c:ext>
            </c:extLst>
          </c:dLbls>
          <c:cat>
            <c:strRef>
              <c:f>Sheet1!$B$1:$C$1</c:f>
              <c:strCache>
                <c:ptCount val="2"/>
                <c:pt idx="0">
                  <c:v>公务用车购置及运行维护费支出</c:v>
                </c:pt>
                <c:pt idx="1">
                  <c:v>公务接待费支出</c:v>
                </c:pt>
              </c:strCache>
            </c:strRef>
          </c:cat>
          <c:val>
            <c:numRef>
              <c:f>Sheet1!$B$2:$C$2</c:f>
              <c:numCache>
                <c:formatCode>General</c:formatCode>
                <c:ptCount val="2"/>
                <c:pt idx="0">
                  <c:v>3</c:v>
                </c:pt>
                <c:pt idx="1">
                  <c:v>8</c:v>
                </c:pt>
              </c:numCache>
            </c:numRef>
          </c:val>
        </c:ser>
        <c:dLbls>
          <c:showLegendKey val="false"/>
          <c:showVal val="false"/>
          <c:showCatName val="true"/>
          <c:showSerName val="false"/>
          <c:showPercent val="true"/>
          <c:showBubbleSize val="false"/>
          <c:showLeaderLines val="true"/>
        </c:dLbls>
        <c:firstSliceAng val="0"/>
        <c:holeSize val="70"/>
      </c:doughnutChart>
      <c:spPr>
        <a:noFill/>
        <a:ln>
          <a:noFill/>
        </a:ln>
        <a:effectLst/>
      </c:spPr>
    </c:plotArea>
    <c:legend>
      <c:legendPos val="b"/>
      <c:layout/>
      <c:overlay val="false"/>
      <c:spPr>
        <a:solidFill>
          <a:schemeClr val="lt1">
            <a:alpha val="78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65000"/>
                  <a:lumOff val="35000"/>
                </a:schemeClr>
              </a:solidFill>
              <a:latin typeface="+mn-lt"/>
              <a:ea typeface="+mn-ea"/>
              <a:cs typeface="+mn-cs"/>
            </a:defRPr>
          </a:pPr>
        </a:p>
      </c:txPr>
    </c:legend>
    <c:plotVisOnly val="true"/>
    <c:dispBlanksAs val="gap"/>
    <c:showDLblsOverMax val="false"/>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false"/>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false"/>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36</TotalTime>
  <ScaleCrop>false</ScaleCrop>
  <LinksUpToDate>false</LinksUpToDate>
  <CharactersWithSpaces>8536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仁可女青</cp:lastModifiedBy>
  <cp:lastPrinted>2020-07-23T10:58:00Z</cp:lastPrinted>
  <dcterms:modified xsi:type="dcterms:W3CDTF">2022-02-22T17:27:00Z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