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eastAsia="方正小标宋简体"/>
          <w:snapToGrid w:val="0"/>
          <w:color w:val="auto"/>
          <w:sz w:val="44"/>
          <w:szCs w:val="44"/>
        </w:rPr>
      </w:pPr>
    </w:p>
    <w:p>
      <w:pPr>
        <w:spacing w:line="578" w:lineRule="exact"/>
        <w:jc w:val="center"/>
        <w:rPr>
          <w:rFonts w:hint="eastAsia" w:eastAsia="方正小标宋简体"/>
          <w:snapToGrid w:val="0"/>
          <w:color w:val="auto"/>
          <w:sz w:val="44"/>
          <w:szCs w:val="44"/>
          <w:lang w:eastAsia="zh-CN"/>
        </w:rPr>
      </w:pPr>
      <w:r>
        <w:rPr>
          <w:rFonts w:hint="eastAsia" w:eastAsia="方正小标宋简体"/>
          <w:snapToGrid w:val="0"/>
          <w:color w:val="auto"/>
          <w:sz w:val="44"/>
          <w:szCs w:val="44"/>
          <w:lang w:eastAsia="zh-CN"/>
        </w:rPr>
        <w:t>宣汉县“十四五”养老服务发展规划</w:t>
      </w:r>
    </w:p>
    <w:p>
      <w:pPr>
        <w:shd w:val="solid" w:color="FFFFFF" w:fill="auto"/>
        <w:autoSpaceDN w:val="0"/>
        <w:spacing w:line="578" w:lineRule="exact"/>
        <w:jc w:val="center"/>
        <w:rPr>
          <w:rFonts w:hint="default" w:eastAsia="方正小标宋简体"/>
          <w:bCs/>
          <w:color w:val="auto"/>
          <w:sz w:val="44"/>
          <w:szCs w:val="44"/>
          <w:lang w:val="en-US" w:eastAsia="zh-CN"/>
        </w:rPr>
      </w:pPr>
      <w:r>
        <w:rPr>
          <w:rFonts w:hint="eastAsia" w:eastAsia="方正小标宋简体"/>
          <w:bCs/>
          <w:color w:val="auto"/>
          <w:sz w:val="44"/>
          <w:szCs w:val="44"/>
          <w:lang w:eastAsia="zh-CN"/>
        </w:rPr>
        <w:t>（</w:t>
      </w:r>
      <w:r>
        <w:rPr>
          <w:rFonts w:hint="eastAsia" w:eastAsia="方正小标宋简体"/>
          <w:bCs/>
          <w:color w:val="auto"/>
          <w:sz w:val="44"/>
          <w:szCs w:val="44"/>
          <w:lang w:val="en-US" w:eastAsia="zh-CN"/>
        </w:rPr>
        <w:t>征求意见稿）</w:t>
      </w:r>
    </w:p>
    <w:p>
      <w:pPr>
        <w:shd w:val="solid" w:color="FFFFFF" w:fill="auto"/>
        <w:autoSpaceDN w:val="0"/>
        <w:spacing w:line="578" w:lineRule="exact"/>
        <w:jc w:val="center"/>
        <w:rPr>
          <w:rFonts w:eastAsia="方正小标宋简体"/>
          <w:bCs/>
          <w:color w:val="auto"/>
          <w:sz w:val="44"/>
          <w:szCs w:val="44"/>
        </w:rPr>
      </w:pPr>
    </w:p>
    <w:p>
      <w:pPr>
        <w:shd w:val="solid" w:color="FFFFFF" w:fill="auto"/>
        <w:autoSpaceDN w:val="0"/>
        <w:spacing w:line="578" w:lineRule="exact"/>
        <w:jc w:val="center"/>
        <w:rPr>
          <w:rFonts w:eastAsia="方正小标宋简体"/>
          <w:bCs/>
          <w:color w:val="auto"/>
          <w:sz w:val="44"/>
          <w:szCs w:val="44"/>
        </w:rPr>
      </w:pPr>
      <w:r>
        <w:rPr>
          <w:rFonts w:eastAsia="方正小标宋简体"/>
          <w:bCs/>
          <w:color w:val="auto"/>
          <w:sz w:val="44"/>
          <w:szCs w:val="44"/>
        </w:rPr>
        <w:t>前    言</w:t>
      </w:r>
    </w:p>
    <w:p>
      <w:pPr>
        <w:pStyle w:val="5"/>
        <w:spacing w:line="578" w:lineRule="exact"/>
        <w:ind w:firstLine="640"/>
        <w:rPr>
          <w:color w:val="auto"/>
        </w:rPr>
      </w:pPr>
    </w:p>
    <w:p>
      <w:pPr>
        <w:shd w:val="solid" w:color="FFFFFF" w:fill="auto"/>
        <w:autoSpaceDN w:val="0"/>
        <w:spacing w:line="578" w:lineRule="exact"/>
        <w:ind w:firstLine="640"/>
        <w:rPr>
          <w:color w:val="auto"/>
          <w:szCs w:val="32"/>
        </w:rPr>
      </w:pPr>
      <w:r>
        <w:rPr>
          <w:bCs/>
          <w:color w:val="auto"/>
          <w:szCs w:val="32"/>
        </w:rPr>
        <w:t>“十四五”时期是我国开启全面建设社会主义现代化国家新征程、向第二个百年奋斗目标进军的第一个五年，</w:t>
      </w:r>
      <w:r>
        <w:rPr>
          <w:color w:val="auto"/>
          <w:szCs w:val="32"/>
        </w:rPr>
        <w:t>也是我</w:t>
      </w:r>
      <w:r>
        <w:rPr>
          <w:rFonts w:hint="eastAsia"/>
          <w:color w:val="auto"/>
          <w:szCs w:val="32"/>
          <w:lang w:eastAsia="zh-CN"/>
        </w:rPr>
        <w:t>县</w:t>
      </w:r>
      <w:r>
        <w:rPr>
          <w:color w:val="auto"/>
          <w:szCs w:val="32"/>
        </w:rPr>
        <w:t>积极应对人口老龄化、推进养老服务高质量发展的关键窗口机遇期。为贯彻实施积极应对人口老龄化国家战略，加快构建居家社区机构相协调、医养康养相结合的养老服务体系，有效满足老年人多样化、多层次养老服务需求，根据《中华人民共和国老年人权益保障法》</w:t>
      </w:r>
      <w:r>
        <w:rPr>
          <w:color w:val="auto"/>
          <w:szCs w:val="32"/>
          <w:shd w:val="clear" w:color="auto" w:fill="FFFFFF"/>
        </w:rPr>
        <w:t>《中共中央 国务</w:t>
      </w:r>
      <w:r>
        <w:rPr>
          <w:color w:val="auto"/>
          <w:szCs w:val="32"/>
        </w:rPr>
        <w:t>院关于加强新时代老龄工作的意见》《国家积极应对人口老龄化中长期规划》《</w:t>
      </w:r>
      <w:r>
        <w:rPr>
          <w:rFonts w:hint="eastAsia"/>
          <w:color w:val="auto"/>
          <w:szCs w:val="32"/>
          <w:lang w:eastAsia="zh-CN"/>
        </w:rPr>
        <w:t>“</w:t>
      </w:r>
      <w:r>
        <w:rPr>
          <w:color w:val="auto"/>
          <w:szCs w:val="32"/>
        </w:rPr>
        <w:t>十四五</w:t>
      </w:r>
      <w:r>
        <w:rPr>
          <w:rFonts w:hint="eastAsia"/>
          <w:color w:val="auto"/>
          <w:szCs w:val="32"/>
          <w:lang w:eastAsia="zh-CN"/>
        </w:rPr>
        <w:t>”</w:t>
      </w:r>
      <w:r>
        <w:rPr>
          <w:color w:val="auto"/>
          <w:szCs w:val="32"/>
        </w:rPr>
        <w:t>国家老龄事业发展和养老服务体系规划》《国务院办公厅关于推进养老服务发展的意见》《四川省人民政府办公厅关于推进四川养老服务发展的实施意见》《达州市国民经济和社会发展第十四个五年规划和二〇三五年远景目标纲要》</w:t>
      </w:r>
      <w:r>
        <w:rPr>
          <w:rFonts w:hint="eastAsia"/>
          <w:color w:val="auto"/>
          <w:szCs w:val="32"/>
          <w:lang w:eastAsia="zh-CN"/>
        </w:rPr>
        <w:t>《达州市“十四五”养老服务发展规划》</w:t>
      </w:r>
      <w:r>
        <w:rPr>
          <w:color w:val="auto"/>
          <w:szCs w:val="32"/>
        </w:rPr>
        <w:t>等，结合</w:t>
      </w:r>
      <w:r>
        <w:rPr>
          <w:rFonts w:hint="eastAsia"/>
          <w:color w:val="auto"/>
          <w:szCs w:val="32"/>
          <w:lang w:eastAsia="zh-CN"/>
        </w:rPr>
        <w:t>宣汉</w:t>
      </w:r>
      <w:r>
        <w:rPr>
          <w:color w:val="auto"/>
          <w:szCs w:val="32"/>
        </w:rPr>
        <w:t>实际，制定本规划。本规划时限为2021—2025年，规划范围为</w:t>
      </w:r>
      <w:r>
        <w:rPr>
          <w:rFonts w:hint="eastAsia"/>
          <w:color w:val="auto"/>
          <w:szCs w:val="32"/>
          <w:lang w:eastAsia="zh-CN"/>
        </w:rPr>
        <w:t>宣汉县</w:t>
      </w:r>
      <w:r>
        <w:rPr>
          <w:color w:val="auto"/>
          <w:szCs w:val="32"/>
        </w:rPr>
        <w:t>全域。本规划突出宏观性、系统性、指导性，是“十四五”时期全</w:t>
      </w:r>
      <w:r>
        <w:rPr>
          <w:rFonts w:hint="eastAsia"/>
          <w:color w:val="auto"/>
          <w:szCs w:val="32"/>
          <w:lang w:eastAsia="zh-CN"/>
        </w:rPr>
        <w:t>县</w:t>
      </w:r>
      <w:r>
        <w:rPr>
          <w:color w:val="auto"/>
          <w:szCs w:val="32"/>
        </w:rPr>
        <w:t>养老服务发展的指导性文件。</w:t>
      </w:r>
    </w:p>
    <w:p>
      <w:pPr>
        <w:shd w:val="solid" w:color="FFFFFF" w:fill="auto"/>
        <w:autoSpaceDN w:val="0"/>
        <w:spacing w:line="578" w:lineRule="exact"/>
        <w:jc w:val="center"/>
        <w:rPr>
          <w:rFonts w:eastAsia="方正小标宋简体"/>
          <w:bCs/>
          <w:color w:val="auto"/>
          <w:sz w:val="44"/>
          <w:szCs w:val="44"/>
        </w:rPr>
      </w:pPr>
    </w:p>
    <w:p>
      <w:pPr>
        <w:shd w:val="solid" w:color="FFFFFF" w:fill="auto"/>
        <w:autoSpaceDN w:val="0"/>
        <w:spacing w:line="578" w:lineRule="exact"/>
        <w:jc w:val="center"/>
        <w:rPr>
          <w:rFonts w:eastAsia="方正小标宋简体"/>
          <w:bCs/>
          <w:color w:val="auto"/>
          <w:sz w:val="44"/>
          <w:szCs w:val="44"/>
        </w:rPr>
      </w:pPr>
      <w:r>
        <w:rPr>
          <w:rFonts w:eastAsia="方正小标宋简体"/>
          <w:bCs/>
          <w:color w:val="auto"/>
          <w:sz w:val="44"/>
          <w:szCs w:val="44"/>
        </w:rPr>
        <w:t>第一章  规划背景</w:t>
      </w:r>
    </w:p>
    <w:p>
      <w:pPr>
        <w:spacing w:line="578" w:lineRule="exact"/>
        <w:ind w:firstLine="643"/>
        <w:rPr>
          <w:b/>
          <w:color w:val="auto"/>
          <w:szCs w:val="32"/>
        </w:rPr>
      </w:pPr>
    </w:p>
    <w:p>
      <w:pPr>
        <w:spacing w:line="578" w:lineRule="exact"/>
        <w:jc w:val="center"/>
        <w:rPr>
          <w:rFonts w:eastAsia="黑体"/>
          <w:bCs/>
          <w:color w:val="auto"/>
          <w:szCs w:val="32"/>
        </w:rPr>
      </w:pPr>
      <w:r>
        <w:rPr>
          <w:rFonts w:eastAsia="黑体"/>
          <w:bCs/>
          <w:color w:val="auto"/>
          <w:szCs w:val="32"/>
        </w:rPr>
        <w:t>第一节  发展基础</w:t>
      </w:r>
    </w:p>
    <w:p>
      <w:pPr>
        <w:spacing w:line="578" w:lineRule="exact"/>
        <w:ind w:firstLine="640"/>
        <w:rPr>
          <w:color w:val="auto"/>
          <w:szCs w:val="32"/>
        </w:rPr>
      </w:pPr>
      <w:r>
        <w:rPr>
          <w:color w:val="auto"/>
          <w:szCs w:val="32"/>
        </w:rPr>
        <w:t>“十三五”时期，</w:t>
      </w:r>
      <w:r>
        <w:rPr>
          <w:rFonts w:hint="eastAsia"/>
          <w:color w:val="auto"/>
          <w:szCs w:val="32"/>
          <w:lang w:eastAsia="zh-CN"/>
        </w:rPr>
        <w:t>宣汉县</w:t>
      </w:r>
      <w:r>
        <w:rPr>
          <w:color w:val="auto"/>
          <w:szCs w:val="32"/>
        </w:rPr>
        <w:t>坚持以习近平新时代中国特色社会主义思想为指导，</w:t>
      </w:r>
      <w:r>
        <w:rPr>
          <w:color w:val="auto"/>
          <w:szCs w:val="32"/>
          <w:shd w:val="clear" w:color="auto" w:fill="FFFFFF"/>
        </w:rPr>
        <w:t>深入贯彻习近平总书记对养老服务工作重要指示精神，</w:t>
      </w:r>
      <w:r>
        <w:rPr>
          <w:color w:val="auto"/>
          <w:szCs w:val="32"/>
        </w:rPr>
        <w:t>坚持把发展养老服务业作为积极应对人口老龄化、保障和改善民生、促进服务业发展、推动经济转型升级的重要内容，着力强化制度设计、健全体制机制、营造发展环境、激发社会活力，全</w:t>
      </w:r>
      <w:r>
        <w:rPr>
          <w:rFonts w:hint="eastAsia"/>
          <w:color w:val="auto"/>
          <w:szCs w:val="32"/>
          <w:lang w:eastAsia="zh-CN"/>
        </w:rPr>
        <w:t>县</w:t>
      </w:r>
      <w:r>
        <w:rPr>
          <w:color w:val="auto"/>
          <w:szCs w:val="32"/>
        </w:rPr>
        <w:t>养老服务体系不断完善，经过各方面共同努力，圆满完成各项既定目标任务。</w:t>
      </w:r>
      <w:bookmarkStart w:id="0" w:name="_Toc15013"/>
    </w:p>
    <w:p>
      <w:pPr>
        <w:spacing w:line="578" w:lineRule="exact"/>
        <w:ind w:firstLine="640"/>
        <w:rPr>
          <w:color w:val="auto"/>
          <w:szCs w:val="32"/>
        </w:rPr>
      </w:pPr>
      <w:r>
        <w:rPr>
          <w:rFonts w:eastAsia="楷体_GB2312"/>
          <w:color w:val="auto"/>
          <w:szCs w:val="32"/>
        </w:rPr>
        <w:t>养老服务政策体系不断完善。</w:t>
      </w:r>
      <w:r>
        <w:rPr>
          <w:rFonts w:hint="eastAsia" w:eastAsia="楷体_GB2312"/>
          <w:color w:val="auto"/>
          <w:szCs w:val="32"/>
          <w:lang w:eastAsia="zh-CN"/>
        </w:rPr>
        <w:t>宣</w:t>
      </w:r>
      <w:r>
        <w:rPr>
          <w:rFonts w:hint="eastAsia"/>
          <w:color w:val="auto"/>
          <w:szCs w:val="32"/>
          <w:lang w:eastAsia="zh-CN"/>
        </w:rPr>
        <w:t>汉县</w:t>
      </w:r>
      <w:r>
        <w:rPr>
          <w:color w:val="auto"/>
          <w:szCs w:val="32"/>
        </w:rPr>
        <w:t>高度重视养老服务工作，出台了《关于全面放开养老服务市场提升养老服务质量的实施意见》</w:t>
      </w:r>
      <w:r>
        <w:rPr>
          <w:rFonts w:hint="eastAsia"/>
          <w:color w:val="auto"/>
          <w:szCs w:val="32"/>
        </w:rPr>
        <w:t>《</w:t>
      </w:r>
      <w:r>
        <w:rPr>
          <w:color w:val="auto"/>
          <w:szCs w:val="32"/>
        </w:rPr>
        <w:t>宣汉县农村中心敬老院管理实施细则</w:t>
      </w:r>
      <w:r>
        <w:rPr>
          <w:rFonts w:hint="eastAsia"/>
          <w:color w:val="auto"/>
          <w:szCs w:val="32"/>
        </w:rPr>
        <w:t>》</w:t>
      </w:r>
      <w:r>
        <w:rPr>
          <w:color w:val="auto"/>
          <w:szCs w:val="32"/>
        </w:rPr>
        <w:t>《</w:t>
      </w:r>
      <w:r>
        <w:rPr>
          <w:rFonts w:hint="eastAsia"/>
          <w:color w:val="auto"/>
          <w:szCs w:val="32"/>
          <w:lang w:eastAsia="zh-CN"/>
        </w:rPr>
        <w:t>关于加强城乡社区老年人日间照料中心运营和管理的通知</w:t>
      </w:r>
      <w:r>
        <w:rPr>
          <w:color w:val="auto"/>
          <w:szCs w:val="32"/>
        </w:rPr>
        <w:t>》等政策文件，从行业发展、规范管理、政府投入、要素保障等方面进行制度规范和设计，为养老服务资源优化配置提供了有利条件，营造了良好政策环境。</w:t>
      </w:r>
    </w:p>
    <w:p>
      <w:pPr>
        <w:spacing w:line="578" w:lineRule="exact"/>
        <w:ind w:firstLine="640"/>
        <w:rPr>
          <w:color w:val="auto"/>
          <w:szCs w:val="32"/>
        </w:rPr>
      </w:pPr>
      <w:r>
        <w:rPr>
          <w:rFonts w:eastAsia="楷体_GB2312"/>
          <w:color w:val="auto"/>
          <w:szCs w:val="32"/>
        </w:rPr>
        <w:t>养老服务保障不断加强。</w:t>
      </w:r>
      <w:r>
        <w:rPr>
          <w:color w:val="auto"/>
          <w:szCs w:val="32"/>
        </w:rPr>
        <w:t>全</w:t>
      </w:r>
      <w:r>
        <w:rPr>
          <w:rFonts w:hint="eastAsia"/>
          <w:color w:val="auto"/>
          <w:szCs w:val="32"/>
          <w:lang w:eastAsia="zh-CN"/>
        </w:rPr>
        <w:t>县</w:t>
      </w:r>
      <w:r>
        <w:rPr>
          <w:color w:val="auto"/>
          <w:szCs w:val="32"/>
        </w:rPr>
        <w:t>特困供养人员实现应养尽养，城市特困人员</w:t>
      </w:r>
      <w:r>
        <w:rPr>
          <w:rFonts w:hint="eastAsia"/>
          <w:color w:val="auto"/>
          <w:szCs w:val="32"/>
          <w:lang w:eastAsia="zh-CN"/>
        </w:rPr>
        <w:t>供养金</w:t>
      </w:r>
      <w:r>
        <w:rPr>
          <w:color w:val="auto"/>
          <w:szCs w:val="32"/>
        </w:rPr>
        <w:t>每人每月提高至780元，农村特困人员</w:t>
      </w:r>
      <w:r>
        <w:rPr>
          <w:rFonts w:hint="eastAsia"/>
          <w:color w:val="auto"/>
          <w:szCs w:val="32"/>
          <w:lang w:eastAsia="zh-CN"/>
        </w:rPr>
        <w:t>供养金</w:t>
      </w:r>
      <w:r>
        <w:rPr>
          <w:color w:val="auto"/>
          <w:szCs w:val="32"/>
        </w:rPr>
        <w:t>每人每月提高至520元。建立</w:t>
      </w:r>
      <w:r>
        <w:rPr>
          <w:rFonts w:hint="eastAsia"/>
          <w:color w:val="auto"/>
          <w:szCs w:val="32"/>
          <w:lang w:val="en-US" w:eastAsia="zh-CN"/>
        </w:rPr>
        <w:t>了</w:t>
      </w:r>
      <w:r>
        <w:rPr>
          <w:color w:val="auto"/>
          <w:szCs w:val="32"/>
        </w:rPr>
        <w:t>特困人员照料护理制度，全自理、部分失能、全失能特困人员照料护理标准每人每月50元、200元、400元。将符合条件的经济困难老年人全部纳入低保。按照每人每年不低于300元的标准，采取政府购买服务方式，累计为经济困难居家老年人提供助餐、助浴、助洁、助急、助医等服务</w:t>
      </w:r>
      <w:r>
        <w:rPr>
          <w:rFonts w:hint="eastAsia"/>
          <w:color w:val="auto"/>
          <w:szCs w:val="32"/>
          <w:u w:val="none"/>
          <w:lang w:val="en-US" w:eastAsia="zh-CN"/>
        </w:rPr>
        <w:t>10</w:t>
      </w:r>
      <w:r>
        <w:rPr>
          <w:color w:val="auto"/>
          <w:szCs w:val="32"/>
        </w:rPr>
        <w:t>万人次。全面提高高龄津贴标准，80—89周岁、90—99周岁、100周岁及以上老年人高龄津贴由“十二五”末的每人每月20元、100元、400元提高至60元、120元、600元，累计发放高龄津贴</w:t>
      </w:r>
      <w:r>
        <w:rPr>
          <w:rFonts w:hint="eastAsia"/>
          <w:color w:val="auto"/>
          <w:szCs w:val="32"/>
          <w:u w:val="none"/>
          <w:lang w:val="en-US" w:eastAsia="zh-CN"/>
        </w:rPr>
        <w:t>6374万元</w:t>
      </w:r>
      <w:r>
        <w:rPr>
          <w:color w:val="auto"/>
          <w:szCs w:val="32"/>
        </w:rPr>
        <w:t>。</w:t>
      </w:r>
      <w:r>
        <w:rPr>
          <w:rFonts w:hint="eastAsia"/>
          <w:color w:val="auto"/>
          <w:szCs w:val="32"/>
          <w:lang w:eastAsia="zh-CN"/>
        </w:rPr>
        <w:t>落实</w:t>
      </w:r>
      <w:r>
        <w:rPr>
          <w:color w:val="auto"/>
          <w:szCs w:val="32"/>
        </w:rPr>
        <w:t>“一匾两金”百岁老人关爱制度，为年满</w:t>
      </w:r>
      <w:r>
        <w:rPr>
          <w:snapToGrid w:val="0"/>
          <w:color w:val="auto"/>
          <w:szCs w:val="32"/>
        </w:rPr>
        <w:t>100周岁的老年人每人赠送1块寿星牌匾，为100周岁及以上老年人每人每年发放2000元敬老金和2000元家庭奖励金，累计发放</w:t>
      </w:r>
      <w:r>
        <w:rPr>
          <w:rFonts w:hint="eastAsia"/>
          <w:snapToGrid w:val="0"/>
          <w:color w:val="auto"/>
          <w:szCs w:val="32"/>
          <w:lang w:eastAsia="zh-CN"/>
        </w:rPr>
        <w:t>“</w:t>
      </w:r>
      <w:r>
        <w:rPr>
          <w:snapToGrid w:val="0"/>
          <w:color w:val="auto"/>
          <w:szCs w:val="32"/>
        </w:rPr>
        <w:t>两金</w:t>
      </w:r>
      <w:r>
        <w:rPr>
          <w:rFonts w:hint="eastAsia"/>
          <w:snapToGrid w:val="0"/>
          <w:color w:val="auto"/>
          <w:szCs w:val="32"/>
          <w:lang w:eastAsia="zh-CN"/>
        </w:rPr>
        <w:t>”</w:t>
      </w:r>
      <w:r>
        <w:rPr>
          <w:rFonts w:hint="eastAsia"/>
          <w:snapToGrid w:val="0"/>
          <w:color w:val="auto"/>
          <w:szCs w:val="32"/>
          <w:lang w:val="en-US" w:eastAsia="zh-CN"/>
        </w:rPr>
        <w:t>133</w:t>
      </w:r>
      <w:r>
        <w:rPr>
          <w:snapToGrid w:val="0"/>
          <w:color w:val="auto"/>
          <w:szCs w:val="32"/>
        </w:rPr>
        <w:t>人次</w:t>
      </w:r>
      <w:r>
        <w:rPr>
          <w:rFonts w:hint="eastAsia"/>
          <w:snapToGrid w:val="0"/>
          <w:color w:val="auto"/>
          <w:szCs w:val="32"/>
          <w:u w:val="none"/>
          <w:lang w:val="en-US" w:eastAsia="zh-CN"/>
        </w:rPr>
        <w:t>53.2</w:t>
      </w:r>
      <w:r>
        <w:rPr>
          <w:snapToGrid w:val="0"/>
          <w:color w:val="auto"/>
          <w:szCs w:val="32"/>
        </w:rPr>
        <w:t>万元。</w:t>
      </w:r>
    </w:p>
    <w:p>
      <w:pPr>
        <w:spacing w:line="578" w:lineRule="exact"/>
        <w:ind w:firstLine="640"/>
        <w:rPr>
          <w:snapToGrid w:val="0"/>
          <w:color w:val="auto"/>
          <w:szCs w:val="32"/>
        </w:rPr>
      </w:pPr>
      <w:r>
        <w:rPr>
          <w:rFonts w:eastAsia="楷体_GB2312"/>
          <w:color w:val="auto"/>
          <w:szCs w:val="32"/>
        </w:rPr>
        <w:t>养老服务质量不断提升。</w:t>
      </w:r>
      <w:r>
        <w:rPr>
          <w:snapToGrid w:val="0"/>
          <w:color w:val="auto"/>
          <w:szCs w:val="32"/>
        </w:rPr>
        <w:t>推进养老服务重点项目建设，</w:t>
      </w:r>
      <w:r>
        <w:rPr>
          <w:snapToGrid w:val="0"/>
          <w:color w:val="auto"/>
          <w:szCs w:val="32"/>
          <w:u w:val="none"/>
        </w:rPr>
        <w:t>新建</w:t>
      </w:r>
      <w:r>
        <w:rPr>
          <w:rFonts w:hint="eastAsia"/>
          <w:snapToGrid w:val="0"/>
          <w:color w:val="auto"/>
          <w:szCs w:val="32"/>
          <w:u w:val="none"/>
          <w:lang w:val="en-US" w:eastAsia="zh-CN"/>
        </w:rPr>
        <w:t>3</w:t>
      </w:r>
      <w:r>
        <w:rPr>
          <w:snapToGrid w:val="0"/>
          <w:color w:val="auto"/>
          <w:szCs w:val="32"/>
          <w:u w:val="none"/>
        </w:rPr>
        <w:t>个公办养老机构。</w:t>
      </w:r>
      <w:r>
        <w:rPr>
          <w:snapToGrid w:val="0"/>
          <w:color w:val="auto"/>
          <w:szCs w:val="32"/>
        </w:rPr>
        <w:t>实施农村敬老院改造提升三年行动，对</w:t>
      </w:r>
      <w:r>
        <w:rPr>
          <w:rFonts w:hint="eastAsia"/>
          <w:snapToGrid w:val="0"/>
          <w:color w:val="auto"/>
          <w:szCs w:val="32"/>
          <w:u w:val="none"/>
          <w:lang w:val="en-US" w:eastAsia="zh-CN"/>
        </w:rPr>
        <w:t>13</w:t>
      </w:r>
      <w:r>
        <w:rPr>
          <w:snapToGrid w:val="0"/>
          <w:color w:val="auto"/>
          <w:szCs w:val="32"/>
        </w:rPr>
        <w:t>家公办养老</w:t>
      </w:r>
      <w:r>
        <w:rPr>
          <w:snapToGrid w:val="0"/>
          <w:color w:val="auto"/>
          <w:szCs w:val="32"/>
          <w:u w:val="none"/>
        </w:rPr>
        <w:t>机构</w:t>
      </w:r>
      <w:r>
        <w:rPr>
          <w:rFonts w:hint="eastAsia"/>
          <w:snapToGrid w:val="0"/>
          <w:color w:val="auto"/>
          <w:szCs w:val="32"/>
          <w:u w:val="none"/>
          <w:lang w:val="en-US" w:eastAsia="zh-CN"/>
        </w:rPr>
        <w:t>1282</w:t>
      </w:r>
      <w:r>
        <w:rPr>
          <w:snapToGrid w:val="0"/>
          <w:color w:val="auto"/>
          <w:szCs w:val="32"/>
        </w:rPr>
        <w:t>张床位实施适老化改造。加快构建“1+N”农村公办养老服务联合体，推动农村敬老院在服务对象、发展定位、服务内容、运营方式上逐步实现“四个转变”。全</w:t>
      </w:r>
      <w:r>
        <w:rPr>
          <w:rFonts w:hint="eastAsia"/>
          <w:snapToGrid w:val="0"/>
          <w:color w:val="auto"/>
          <w:szCs w:val="32"/>
          <w:lang w:eastAsia="zh-CN"/>
        </w:rPr>
        <w:t>县</w:t>
      </w:r>
      <w:r>
        <w:rPr>
          <w:snapToGrid w:val="0"/>
          <w:color w:val="auto"/>
          <w:szCs w:val="32"/>
        </w:rPr>
        <w:t>建成养老</w:t>
      </w:r>
      <w:r>
        <w:rPr>
          <w:snapToGrid w:val="0"/>
          <w:color w:val="auto"/>
          <w:szCs w:val="32"/>
          <w:u w:val="none"/>
        </w:rPr>
        <w:t>机构</w:t>
      </w:r>
      <w:r>
        <w:rPr>
          <w:rFonts w:hint="eastAsia"/>
          <w:snapToGrid w:val="0"/>
          <w:color w:val="auto"/>
          <w:szCs w:val="32"/>
          <w:u w:val="none"/>
          <w:lang w:val="en-US" w:eastAsia="zh-CN"/>
        </w:rPr>
        <w:t>34</w:t>
      </w:r>
      <w:r>
        <w:rPr>
          <w:snapToGrid w:val="0"/>
          <w:color w:val="auto"/>
          <w:szCs w:val="32"/>
          <w:u w:val="none"/>
        </w:rPr>
        <w:t>所</w:t>
      </w:r>
      <w:r>
        <w:rPr>
          <w:snapToGrid w:val="0"/>
          <w:color w:val="auto"/>
          <w:szCs w:val="32"/>
        </w:rPr>
        <w:t>、城乡社区日间照料中</w:t>
      </w:r>
      <w:r>
        <w:rPr>
          <w:snapToGrid w:val="0"/>
          <w:color w:val="auto"/>
          <w:szCs w:val="32"/>
          <w:u w:val="none"/>
        </w:rPr>
        <w:t>心</w:t>
      </w:r>
      <w:r>
        <w:rPr>
          <w:rFonts w:hint="eastAsia"/>
          <w:snapToGrid w:val="0"/>
          <w:color w:val="auto"/>
          <w:szCs w:val="32"/>
          <w:u w:val="none"/>
          <w:lang w:val="en-US" w:eastAsia="zh-CN"/>
        </w:rPr>
        <w:t>83</w:t>
      </w:r>
      <w:r>
        <w:rPr>
          <w:snapToGrid w:val="0"/>
          <w:color w:val="auto"/>
          <w:szCs w:val="32"/>
          <w:u w:val="none"/>
        </w:rPr>
        <w:t>个、农村幸福院</w:t>
      </w:r>
      <w:r>
        <w:rPr>
          <w:rFonts w:hint="eastAsia"/>
          <w:snapToGrid w:val="0"/>
          <w:color w:val="auto"/>
          <w:szCs w:val="32"/>
          <w:u w:val="none"/>
          <w:lang w:val="en-US" w:eastAsia="zh-CN"/>
        </w:rPr>
        <w:t>10</w:t>
      </w:r>
      <w:r>
        <w:rPr>
          <w:snapToGrid w:val="0"/>
          <w:color w:val="auto"/>
          <w:szCs w:val="32"/>
          <w:u w:val="none"/>
        </w:rPr>
        <w:t>个</w:t>
      </w:r>
      <w:r>
        <w:rPr>
          <w:snapToGrid w:val="0"/>
          <w:color w:val="auto"/>
          <w:szCs w:val="32"/>
        </w:rPr>
        <w:t>，各类养老床位</w:t>
      </w:r>
      <w:r>
        <w:rPr>
          <w:rFonts w:hint="eastAsia"/>
          <w:snapToGrid w:val="0"/>
          <w:color w:val="auto"/>
          <w:szCs w:val="32"/>
          <w:lang w:val="en-US" w:eastAsia="zh-CN"/>
        </w:rPr>
        <w:t>6244</w:t>
      </w:r>
      <w:r>
        <w:rPr>
          <w:snapToGrid w:val="0"/>
          <w:color w:val="auto"/>
          <w:szCs w:val="32"/>
        </w:rPr>
        <w:t>张。连续四年开展养老院服务质量建设专项行动，</w:t>
      </w:r>
      <w:r>
        <w:rPr>
          <w:rFonts w:hint="eastAsia"/>
          <w:snapToGrid w:val="0"/>
          <w:color w:val="auto"/>
          <w:szCs w:val="32"/>
          <w:lang w:val="en-US" w:eastAsia="zh-CN"/>
        </w:rPr>
        <w:t>34</w:t>
      </w:r>
      <w:r>
        <w:rPr>
          <w:snapToGrid w:val="0"/>
          <w:color w:val="auto"/>
          <w:szCs w:val="32"/>
        </w:rPr>
        <w:t>所养老机构达到《养老机构服务质量基本规范》国家标准，护理型床位占比</w:t>
      </w:r>
      <w:r>
        <w:rPr>
          <w:rFonts w:hint="eastAsia"/>
          <w:snapToGrid w:val="0"/>
          <w:color w:val="auto"/>
          <w:szCs w:val="32"/>
          <w:u w:val="none"/>
          <w:lang w:val="en-US" w:eastAsia="zh-CN"/>
        </w:rPr>
        <w:t>40</w:t>
      </w:r>
      <w:r>
        <w:rPr>
          <w:snapToGrid w:val="0"/>
          <w:color w:val="auto"/>
          <w:szCs w:val="32"/>
        </w:rPr>
        <w:t>%。加强养老机构事中事后监管，推进“双随机、一公开”联合监管和分级分类监管。推进医养结合，建成医养结合机构</w:t>
      </w:r>
      <w:r>
        <w:rPr>
          <w:rFonts w:hint="eastAsia"/>
          <w:snapToGrid w:val="0"/>
          <w:color w:val="auto"/>
          <w:szCs w:val="32"/>
          <w:u w:val="none"/>
          <w:lang w:val="en-US" w:eastAsia="zh-CN"/>
        </w:rPr>
        <w:t>1</w:t>
      </w:r>
      <w:r>
        <w:rPr>
          <w:snapToGrid w:val="0"/>
          <w:color w:val="auto"/>
          <w:szCs w:val="32"/>
        </w:rPr>
        <w:t>家。加强养老服务人才培养，累计培训养老服务从业人员</w:t>
      </w:r>
      <w:r>
        <w:rPr>
          <w:rFonts w:hint="eastAsia"/>
          <w:snapToGrid w:val="0"/>
          <w:color w:val="auto"/>
          <w:szCs w:val="32"/>
          <w:u w:val="none"/>
          <w:lang w:val="en-US" w:eastAsia="zh-CN"/>
        </w:rPr>
        <w:t>1000</w:t>
      </w:r>
      <w:r>
        <w:rPr>
          <w:snapToGrid w:val="0"/>
          <w:color w:val="auto"/>
          <w:szCs w:val="32"/>
        </w:rPr>
        <w:t>余人次。</w:t>
      </w:r>
    </w:p>
    <w:p>
      <w:pPr>
        <w:autoSpaceDN w:val="0"/>
        <w:spacing w:line="578" w:lineRule="exact"/>
        <w:ind w:firstLine="640"/>
        <w:rPr>
          <w:snapToGrid w:val="0"/>
          <w:color w:val="auto"/>
          <w:szCs w:val="32"/>
        </w:rPr>
      </w:pPr>
      <w:r>
        <w:rPr>
          <w:rFonts w:eastAsia="楷体_GB2312"/>
          <w:color w:val="auto"/>
          <w:szCs w:val="32"/>
        </w:rPr>
        <w:t>养老服务市场活力不断增强。</w:t>
      </w:r>
      <w:r>
        <w:rPr>
          <w:snapToGrid w:val="0"/>
          <w:color w:val="auto"/>
          <w:szCs w:val="32"/>
        </w:rPr>
        <w:t>深化养老服务领域“放管服”改革，取消养老机构设立许可，全面实行备案管理。公布</w:t>
      </w:r>
      <w:r>
        <w:rPr>
          <w:snapToGrid w:val="0"/>
          <w:color w:val="auto"/>
          <w:szCs w:val="32"/>
          <w:u w:val="none"/>
        </w:rPr>
        <w:t>了《</w:t>
      </w:r>
      <w:r>
        <w:rPr>
          <w:rFonts w:hint="eastAsia"/>
          <w:snapToGrid w:val="0"/>
          <w:color w:val="auto"/>
          <w:szCs w:val="32"/>
          <w:u w:val="none"/>
          <w:lang w:eastAsia="zh-CN"/>
        </w:rPr>
        <w:t>宣汉县</w:t>
      </w:r>
      <w:r>
        <w:rPr>
          <w:snapToGrid w:val="0"/>
          <w:color w:val="auto"/>
          <w:szCs w:val="32"/>
          <w:u w:val="none"/>
        </w:rPr>
        <w:t>养老服务政策扶持项目清单》，</w:t>
      </w:r>
      <w:r>
        <w:rPr>
          <w:snapToGrid w:val="0"/>
          <w:color w:val="auto"/>
          <w:szCs w:val="32"/>
        </w:rPr>
        <w:t>落实优惠扶持政策，鼓励社会力量举办或运营养老服务设施，推进公办养老机构改革。全</w:t>
      </w:r>
      <w:r>
        <w:rPr>
          <w:rFonts w:hint="eastAsia"/>
          <w:snapToGrid w:val="0"/>
          <w:color w:val="auto"/>
          <w:szCs w:val="32"/>
          <w:lang w:eastAsia="zh-CN"/>
        </w:rPr>
        <w:t>县</w:t>
      </w:r>
      <w:r>
        <w:rPr>
          <w:snapToGrid w:val="0"/>
          <w:color w:val="auto"/>
          <w:szCs w:val="32"/>
        </w:rPr>
        <w:t>培育</w:t>
      </w:r>
      <w:r>
        <w:rPr>
          <w:rFonts w:hint="eastAsia"/>
          <w:snapToGrid w:val="0"/>
          <w:color w:val="auto"/>
          <w:szCs w:val="32"/>
          <w:lang w:eastAsia="zh-CN"/>
        </w:rPr>
        <w:t>民办</w:t>
      </w:r>
      <w:r>
        <w:rPr>
          <w:snapToGrid w:val="0"/>
          <w:color w:val="auto"/>
          <w:szCs w:val="32"/>
        </w:rPr>
        <w:t>养老服务</w:t>
      </w:r>
      <w:r>
        <w:rPr>
          <w:rFonts w:hint="eastAsia"/>
          <w:snapToGrid w:val="0"/>
          <w:color w:val="auto"/>
          <w:szCs w:val="32"/>
          <w:lang w:eastAsia="zh-CN"/>
        </w:rPr>
        <w:t>机构</w:t>
      </w:r>
      <w:r>
        <w:rPr>
          <w:rFonts w:hint="eastAsia"/>
          <w:snapToGrid w:val="0"/>
          <w:color w:val="auto"/>
          <w:szCs w:val="32"/>
          <w:lang w:val="en-US" w:eastAsia="zh-CN"/>
        </w:rPr>
        <w:t>11</w:t>
      </w:r>
      <w:r>
        <w:rPr>
          <w:snapToGrid w:val="0"/>
          <w:color w:val="auto"/>
          <w:szCs w:val="32"/>
        </w:rPr>
        <w:t>家，营商环境不断优化，养老服务业态从以养老为主逐步向养老与医疗、健康、旅游等多业融合转变，呈现出良性发展态势。</w:t>
      </w:r>
      <w:bookmarkEnd w:id="0"/>
      <w:bookmarkStart w:id="1" w:name="_Toc72515885"/>
      <w:bookmarkStart w:id="2" w:name="_Toc72229412"/>
      <w:bookmarkStart w:id="3" w:name="_Toc73692877"/>
    </w:p>
    <w:p>
      <w:pPr>
        <w:pStyle w:val="5"/>
        <w:spacing w:line="578" w:lineRule="exact"/>
        <w:ind w:firstLine="640"/>
        <w:rPr>
          <w:rFonts w:eastAsia="仿宋_GB2312"/>
          <w:color w:val="auto"/>
          <w:sz w:val="32"/>
          <w:szCs w:val="32"/>
        </w:rPr>
      </w:pPr>
    </w:p>
    <w:p>
      <w:pPr>
        <w:spacing w:line="578" w:lineRule="exact"/>
        <w:jc w:val="center"/>
        <w:rPr>
          <w:rFonts w:eastAsia="黑体"/>
          <w:bCs/>
          <w:color w:val="auto"/>
          <w:szCs w:val="32"/>
        </w:rPr>
      </w:pPr>
      <w:bookmarkStart w:id="4" w:name="_Toc30448"/>
      <w:r>
        <w:rPr>
          <w:rFonts w:eastAsia="黑体"/>
          <w:bCs/>
          <w:color w:val="auto"/>
          <w:szCs w:val="32"/>
        </w:rPr>
        <w:t xml:space="preserve">第二节  </w:t>
      </w:r>
      <w:bookmarkEnd w:id="1"/>
      <w:bookmarkEnd w:id="2"/>
      <w:bookmarkEnd w:id="3"/>
      <w:bookmarkEnd w:id="4"/>
      <w:r>
        <w:rPr>
          <w:rFonts w:eastAsia="黑体"/>
          <w:bCs/>
          <w:color w:val="auto"/>
          <w:szCs w:val="32"/>
        </w:rPr>
        <w:t>发展机遇</w:t>
      </w:r>
    </w:p>
    <w:p>
      <w:pPr>
        <w:shd w:val="solid" w:color="FFFFFF" w:fill="auto"/>
        <w:autoSpaceDN w:val="0"/>
        <w:spacing w:line="578" w:lineRule="exact"/>
        <w:ind w:firstLine="640"/>
        <w:rPr>
          <w:color w:val="auto"/>
          <w:szCs w:val="32"/>
          <w:shd w:val="clear" w:color="auto" w:fill="FFFFFF"/>
        </w:rPr>
      </w:pPr>
      <w:r>
        <w:rPr>
          <w:rFonts w:eastAsia="楷体_GB2312"/>
          <w:bCs/>
          <w:color w:val="auto"/>
          <w:szCs w:val="32"/>
          <w:shd w:val="solid" w:color="FFFFFF" w:fill="auto"/>
        </w:rPr>
        <w:t>积极应对人口老龄成为国家战略的重大机遇。</w:t>
      </w:r>
      <w:r>
        <w:rPr>
          <w:color w:val="auto"/>
          <w:szCs w:val="32"/>
          <w:shd w:val="solid" w:color="FFFFFF" w:fill="auto"/>
        </w:rPr>
        <w:t>党中央高度重视养老服务工作，</w:t>
      </w:r>
      <w:r>
        <w:rPr>
          <w:color w:val="auto"/>
          <w:szCs w:val="32"/>
          <w:shd w:val="clear" w:color="auto" w:fill="FFFFFF"/>
        </w:rPr>
        <w:t>习近平总书记多次对养老服务工作作出重要指示批示。</w:t>
      </w:r>
      <w:r>
        <w:rPr>
          <w:color w:val="auto"/>
          <w:szCs w:val="32"/>
          <w:shd w:val="solid" w:color="FFFFFF" w:fill="auto"/>
        </w:rPr>
        <w:t>党的十九届五中全会将积极应对人口老龄化上升为国家战略。</w:t>
      </w:r>
      <w:r>
        <w:rPr>
          <w:color w:val="auto"/>
          <w:szCs w:val="32"/>
          <w:shd w:val="clear" w:color="auto" w:fill="FFFFFF"/>
        </w:rPr>
        <w:t>《中共中央 国务院关于加强新时代老龄工作的意见》对健全养老服务体系作出重大决策部署，为加快养老服务高质量发展提供了根本遵循和行动指南。</w:t>
      </w:r>
    </w:p>
    <w:p>
      <w:pPr>
        <w:adjustRightInd w:val="0"/>
        <w:snapToGrid w:val="0"/>
        <w:spacing w:line="578" w:lineRule="exact"/>
        <w:ind w:firstLine="640" w:firstLineChars="200"/>
        <w:rPr>
          <w:color w:val="auto"/>
          <w:szCs w:val="32"/>
          <w:u w:val="none"/>
        </w:rPr>
      </w:pPr>
      <w:r>
        <w:rPr>
          <w:rFonts w:eastAsia="楷体_GB2312"/>
          <w:snapToGrid w:val="0"/>
          <w:color w:val="auto"/>
          <w:szCs w:val="32"/>
          <w:u w:val="none"/>
        </w:rPr>
        <w:t>新时代养老服务高质量发展导向的政策机遇。</w:t>
      </w:r>
      <w:r>
        <w:rPr>
          <w:snapToGrid w:val="0"/>
          <w:color w:val="auto"/>
          <w:szCs w:val="32"/>
          <w:u w:val="none"/>
        </w:rPr>
        <w:t>国家、省</w:t>
      </w:r>
      <w:r>
        <w:rPr>
          <w:rFonts w:hint="eastAsia"/>
          <w:snapToGrid w:val="0"/>
          <w:color w:val="auto"/>
          <w:szCs w:val="32"/>
          <w:u w:val="none"/>
          <w:lang w:eastAsia="zh-CN"/>
        </w:rPr>
        <w:t>、市</w:t>
      </w:r>
      <w:r>
        <w:rPr>
          <w:rFonts w:hint="eastAsia"/>
          <w:snapToGrid w:val="0"/>
          <w:color w:val="auto"/>
          <w:szCs w:val="32"/>
          <w:u w:val="none"/>
          <w:lang w:val="en-US" w:eastAsia="zh-CN"/>
        </w:rPr>
        <w:t>相继</w:t>
      </w:r>
      <w:r>
        <w:rPr>
          <w:snapToGrid w:val="0"/>
          <w:color w:val="auto"/>
          <w:szCs w:val="32"/>
          <w:u w:val="none"/>
        </w:rPr>
        <w:t>出台推进养老服务发展系列政策措施，国家发展改革委印发“十四五”积极应对人口老龄化工程实施方案，加大养老服务项目、资金投入，支持力度前所未有。</w:t>
      </w:r>
      <w:r>
        <w:rPr>
          <w:rFonts w:hint="eastAsia"/>
          <w:snapToGrid w:val="0"/>
          <w:color w:val="auto"/>
          <w:szCs w:val="32"/>
          <w:u w:val="none"/>
          <w:lang w:eastAsia="zh-CN"/>
        </w:rPr>
        <w:t>宣汉县</w:t>
      </w:r>
      <w:r>
        <w:rPr>
          <w:rFonts w:hint="eastAsia"/>
          <w:snapToGrid w:val="0"/>
          <w:color w:val="auto"/>
          <w:szCs w:val="32"/>
          <w:u w:val="none"/>
          <w:lang w:val="en-US" w:eastAsia="zh-CN"/>
        </w:rPr>
        <w:t>要</w:t>
      </w:r>
      <w:r>
        <w:rPr>
          <w:snapToGrid w:val="0"/>
          <w:color w:val="auto"/>
          <w:szCs w:val="32"/>
          <w:u w:val="none"/>
        </w:rPr>
        <w:t>积极争取中省</w:t>
      </w:r>
      <w:r>
        <w:rPr>
          <w:rFonts w:hint="eastAsia"/>
          <w:snapToGrid w:val="0"/>
          <w:color w:val="auto"/>
          <w:szCs w:val="32"/>
          <w:u w:val="none"/>
          <w:lang w:val="en-US" w:eastAsia="zh-CN"/>
        </w:rPr>
        <w:t>市</w:t>
      </w:r>
      <w:r>
        <w:rPr>
          <w:snapToGrid w:val="0"/>
          <w:color w:val="auto"/>
          <w:szCs w:val="32"/>
          <w:u w:val="none"/>
        </w:rPr>
        <w:t>政策、项目、资金支持，加快推进养老服务高质量发展。</w:t>
      </w:r>
    </w:p>
    <w:p>
      <w:pPr>
        <w:shd w:val="solid" w:color="FFFFFF" w:fill="auto"/>
        <w:autoSpaceDN w:val="0"/>
        <w:spacing w:line="578" w:lineRule="exact"/>
        <w:ind w:firstLine="640" w:firstLineChars="200"/>
        <w:rPr>
          <w:color w:val="auto"/>
          <w:szCs w:val="32"/>
          <w:shd w:val="solid" w:color="FFFFFF" w:fill="auto"/>
        </w:rPr>
      </w:pPr>
      <w:r>
        <w:rPr>
          <w:rFonts w:eastAsia="楷体_GB2312"/>
          <w:snapToGrid w:val="0"/>
          <w:color w:val="auto"/>
          <w:szCs w:val="32"/>
        </w:rPr>
        <w:t>发展潜力蕴含高质量发展的转型机遇。</w:t>
      </w:r>
      <w:r>
        <w:rPr>
          <w:color w:val="auto"/>
          <w:szCs w:val="32"/>
          <w:shd w:val="solid" w:color="FFFFFF" w:fill="auto"/>
        </w:rPr>
        <w:t>2020年，</w:t>
      </w:r>
      <w:r>
        <w:rPr>
          <w:rFonts w:hint="eastAsia"/>
          <w:color w:val="auto"/>
          <w:szCs w:val="32"/>
          <w:shd w:val="solid" w:color="FFFFFF" w:fill="auto"/>
          <w:lang w:eastAsia="zh-CN"/>
        </w:rPr>
        <w:t>宣汉</w:t>
      </w:r>
      <w:r>
        <w:rPr>
          <w:color w:val="auto"/>
          <w:szCs w:val="32"/>
          <w:shd w:val="solid" w:color="FFFFFF" w:fill="auto"/>
        </w:rPr>
        <w:t>实现地区生产总值</w:t>
      </w:r>
      <w:r>
        <w:rPr>
          <w:rFonts w:hint="eastAsia"/>
          <w:color w:val="auto"/>
          <w:szCs w:val="32"/>
          <w:u w:val="none"/>
          <w:shd w:val="solid" w:color="FFFFFF" w:fill="auto"/>
          <w:lang w:val="en-US" w:eastAsia="zh-CN"/>
        </w:rPr>
        <w:t>400.2</w:t>
      </w:r>
      <w:r>
        <w:rPr>
          <w:color w:val="auto"/>
          <w:szCs w:val="32"/>
          <w:u w:val="none"/>
          <w:shd w:val="solid" w:color="FFFFFF" w:fill="auto"/>
        </w:rPr>
        <w:t>亿</w:t>
      </w:r>
      <w:r>
        <w:rPr>
          <w:color w:val="auto"/>
          <w:szCs w:val="32"/>
          <w:shd w:val="solid" w:color="FFFFFF" w:fill="auto"/>
        </w:rPr>
        <w:t>元，2025年将突破</w:t>
      </w:r>
      <w:r>
        <w:rPr>
          <w:rFonts w:hint="eastAsia"/>
          <w:color w:val="auto"/>
          <w:szCs w:val="32"/>
          <w:u w:val="none"/>
          <w:shd w:val="solid" w:color="FFFFFF" w:fill="auto"/>
          <w:lang w:val="en-US" w:eastAsia="zh-CN"/>
        </w:rPr>
        <w:t>1000</w:t>
      </w:r>
      <w:r>
        <w:rPr>
          <w:color w:val="auto"/>
          <w:szCs w:val="32"/>
          <w:shd w:val="solid" w:color="FFFFFF" w:fill="auto"/>
        </w:rPr>
        <w:t>亿元</w:t>
      </w:r>
      <w:r>
        <w:rPr>
          <w:rFonts w:hint="eastAsia"/>
          <w:color w:val="auto"/>
          <w:szCs w:val="32"/>
          <w:shd w:val="solid" w:color="FFFFFF" w:fill="auto"/>
          <w:lang w:eastAsia="zh-CN"/>
        </w:rPr>
        <w:t>，</w:t>
      </w:r>
      <w:r>
        <w:rPr>
          <w:rFonts w:hint="eastAsia"/>
          <w:color w:val="auto"/>
          <w:szCs w:val="32"/>
          <w:shd w:val="solid" w:color="FFFFFF" w:fill="auto"/>
          <w:lang w:val="en-US" w:eastAsia="zh-CN"/>
        </w:rPr>
        <w:t>并全力争创“百强县”</w:t>
      </w:r>
      <w:r>
        <w:rPr>
          <w:color w:val="auto"/>
          <w:szCs w:val="32"/>
          <w:shd w:val="solid" w:color="FFFFFF" w:fill="auto"/>
        </w:rPr>
        <w:t>。</w:t>
      </w:r>
      <w:r>
        <w:rPr>
          <w:rFonts w:hint="eastAsia"/>
          <w:color w:val="auto"/>
          <w:szCs w:val="32"/>
          <w:shd w:val="solid" w:color="FFFFFF" w:fill="auto"/>
          <w:lang w:eastAsia="zh-CN"/>
        </w:rPr>
        <w:t>宣汉</w:t>
      </w:r>
      <w:r>
        <w:rPr>
          <w:color w:val="auto"/>
          <w:szCs w:val="32"/>
          <w:shd w:val="solid" w:color="FFFFFF" w:fill="auto"/>
        </w:rPr>
        <w:t>发展形势向好，社会保障体系不断健全，人民生活水平不断提高，公共服务和民生保障能力不断增强，个人支付能力不断提升。广大老年人的服务需求逐渐从保障生存型向品质生活型转变，消费理念逐渐从日常必需型向享受发展型转变，社会角色逐渐从接受照顾型向社会参与型转变，老年人多样化、品质化、订制化的养老服务需求将不断增长，将对进一步提升养老服务有效需求转换率、释放养老服务消费红利、扩大社会参与养老服务发展创造有利条件。</w:t>
      </w:r>
    </w:p>
    <w:p>
      <w:pPr>
        <w:spacing w:line="578" w:lineRule="exact"/>
        <w:jc w:val="center"/>
        <w:rPr>
          <w:rFonts w:eastAsia="黑体"/>
          <w:bCs/>
          <w:color w:val="auto"/>
          <w:szCs w:val="32"/>
        </w:rPr>
      </w:pPr>
    </w:p>
    <w:p>
      <w:pPr>
        <w:spacing w:line="578" w:lineRule="exact"/>
        <w:jc w:val="center"/>
        <w:rPr>
          <w:rFonts w:eastAsia="黑体"/>
          <w:bCs/>
          <w:color w:val="auto"/>
          <w:szCs w:val="32"/>
        </w:rPr>
      </w:pPr>
      <w:r>
        <w:rPr>
          <w:rFonts w:eastAsia="黑体"/>
          <w:bCs/>
          <w:color w:val="auto"/>
          <w:szCs w:val="32"/>
        </w:rPr>
        <w:t>第三节  严峻形势</w:t>
      </w:r>
    </w:p>
    <w:p>
      <w:pPr>
        <w:shd w:val="solid" w:color="FFFFFF" w:fill="auto"/>
        <w:autoSpaceDN w:val="0"/>
        <w:spacing w:line="578" w:lineRule="exact"/>
        <w:ind w:firstLine="640"/>
        <w:rPr>
          <w:b/>
          <w:color w:val="auto"/>
          <w:szCs w:val="32"/>
          <w:shd w:val="solid" w:color="FFFFFF" w:fill="auto"/>
        </w:rPr>
      </w:pPr>
      <w:r>
        <w:rPr>
          <w:rFonts w:eastAsia="楷体_GB2312"/>
          <w:bCs/>
          <w:color w:val="auto"/>
          <w:szCs w:val="32"/>
          <w:shd w:val="solid" w:color="FFFFFF" w:fill="auto"/>
        </w:rPr>
        <w:t>老龄化进程加速发展。</w:t>
      </w:r>
      <w:r>
        <w:rPr>
          <w:color w:val="auto"/>
          <w:szCs w:val="32"/>
          <w:shd w:val="solid" w:color="FFFFFF" w:fill="auto"/>
        </w:rPr>
        <w:t>根据第七次人口普查，全</w:t>
      </w:r>
      <w:r>
        <w:rPr>
          <w:rFonts w:hint="eastAsia"/>
          <w:color w:val="auto"/>
          <w:szCs w:val="32"/>
          <w:shd w:val="solid" w:color="FFFFFF" w:fill="auto"/>
          <w:lang w:eastAsia="zh-CN"/>
        </w:rPr>
        <w:t>县</w:t>
      </w:r>
      <w:r>
        <w:rPr>
          <w:color w:val="auto"/>
          <w:szCs w:val="32"/>
          <w:shd w:val="solid" w:color="FFFFFF" w:fill="auto"/>
        </w:rPr>
        <w:t>60周岁以上常住老年人口</w:t>
      </w:r>
      <w:r>
        <w:rPr>
          <w:rFonts w:hint="eastAsia"/>
          <w:color w:val="auto"/>
          <w:szCs w:val="32"/>
          <w:shd w:val="solid" w:color="FFFFFF" w:fill="auto"/>
          <w:lang w:val="en-US" w:eastAsia="zh-CN"/>
        </w:rPr>
        <w:t>20.61</w:t>
      </w:r>
      <w:r>
        <w:rPr>
          <w:color w:val="auto"/>
          <w:szCs w:val="32"/>
          <w:shd w:val="solid" w:color="FFFFFF" w:fill="auto"/>
        </w:rPr>
        <w:t>万，占常住人口总数的</w:t>
      </w:r>
      <w:r>
        <w:rPr>
          <w:rFonts w:hint="eastAsia"/>
          <w:color w:val="auto"/>
          <w:szCs w:val="32"/>
          <w:shd w:val="solid" w:color="FFFFFF" w:fill="auto"/>
          <w:lang w:val="en-US" w:eastAsia="zh-CN"/>
        </w:rPr>
        <w:t>21.61</w:t>
      </w:r>
      <w:r>
        <w:rPr>
          <w:color w:val="auto"/>
          <w:szCs w:val="32"/>
          <w:shd w:val="solid" w:color="FFFFFF" w:fill="auto"/>
        </w:rPr>
        <w:t>%，</w:t>
      </w:r>
      <w:r>
        <w:rPr>
          <w:rFonts w:hint="eastAsia"/>
          <w:color w:val="auto"/>
          <w:szCs w:val="32"/>
          <w:lang w:eastAsia="zh-CN"/>
        </w:rPr>
        <w:t>宣汉</w:t>
      </w:r>
      <w:r>
        <w:rPr>
          <w:color w:val="auto"/>
          <w:szCs w:val="32"/>
        </w:rPr>
        <w:t>已进入深度老龄化社会。</w:t>
      </w:r>
      <w:r>
        <w:rPr>
          <w:color w:val="auto"/>
          <w:szCs w:val="32"/>
          <w:shd w:val="solid" w:color="FFFFFF" w:fill="auto"/>
        </w:rPr>
        <w:t>预计到2025年，全</w:t>
      </w:r>
      <w:r>
        <w:rPr>
          <w:rFonts w:hint="eastAsia"/>
          <w:color w:val="auto"/>
          <w:szCs w:val="32"/>
          <w:shd w:val="solid" w:color="FFFFFF" w:fill="auto"/>
          <w:lang w:eastAsia="zh-CN"/>
        </w:rPr>
        <w:t>县</w:t>
      </w:r>
      <w:r>
        <w:rPr>
          <w:color w:val="auto"/>
          <w:szCs w:val="32"/>
          <w:shd w:val="solid" w:color="FFFFFF" w:fill="auto"/>
        </w:rPr>
        <w:t>60周岁及以上常住老年人口总数将达到</w:t>
      </w:r>
      <w:r>
        <w:rPr>
          <w:rFonts w:hint="eastAsia"/>
          <w:color w:val="auto"/>
          <w:szCs w:val="32"/>
          <w:shd w:val="solid" w:color="FFFFFF" w:fill="auto"/>
          <w:lang w:val="en-US" w:eastAsia="zh-CN"/>
        </w:rPr>
        <w:t>25</w:t>
      </w:r>
      <w:r>
        <w:rPr>
          <w:color w:val="auto"/>
          <w:szCs w:val="32"/>
          <w:shd w:val="solid" w:color="FFFFFF" w:fill="auto"/>
        </w:rPr>
        <w:t>万，约占常住人口总数的</w:t>
      </w:r>
      <w:r>
        <w:rPr>
          <w:rFonts w:hint="eastAsia"/>
          <w:color w:val="auto"/>
          <w:szCs w:val="32"/>
          <w:u w:val="none"/>
          <w:shd w:val="solid" w:color="FFFFFF" w:fill="auto"/>
          <w:lang w:val="en-US" w:eastAsia="zh-CN"/>
        </w:rPr>
        <w:t>25</w:t>
      </w:r>
      <w:r>
        <w:rPr>
          <w:color w:val="auto"/>
          <w:szCs w:val="32"/>
          <w:shd w:val="solid" w:color="FFFFFF" w:fill="auto"/>
        </w:rPr>
        <w:t>%以上，老龄化程度进一步加深。</w:t>
      </w:r>
    </w:p>
    <w:p>
      <w:pPr>
        <w:spacing w:line="578" w:lineRule="exact"/>
        <w:ind w:firstLine="640"/>
        <w:rPr>
          <w:color w:val="auto"/>
          <w:szCs w:val="32"/>
          <w:u w:val="none"/>
          <w:shd w:val="solid" w:color="FFFFFF" w:fill="auto"/>
        </w:rPr>
      </w:pPr>
      <w:r>
        <w:rPr>
          <w:rFonts w:eastAsia="楷体_GB2312"/>
          <w:bCs/>
          <w:color w:val="auto"/>
          <w:szCs w:val="32"/>
          <w:u w:val="none"/>
          <w:shd w:val="solid" w:color="FFFFFF" w:fill="auto"/>
        </w:rPr>
        <w:t>失能失智照护刚需凸显。</w:t>
      </w:r>
      <w:r>
        <w:rPr>
          <w:color w:val="auto"/>
          <w:szCs w:val="32"/>
          <w:u w:val="none"/>
          <w:shd w:val="solid" w:color="FFFFFF" w:fill="auto"/>
        </w:rPr>
        <w:t>全</w:t>
      </w:r>
      <w:r>
        <w:rPr>
          <w:rFonts w:hint="eastAsia"/>
          <w:color w:val="auto"/>
          <w:szCs w:val="32"/>
          <w:u w:val="none"/>
          <w:shd w:val="solid" w:color="FFFFFF" w:fill="auto"/>
          <w:lang w:eastAsia="zh-CN"/>
        </w:rPr>
        <w:t>县</w:t>
      </w:r>
      <w:r>
        <w:rPr>
          <w:color w:val="auto"/>
          <w:szCs w:val="32"/>
          <w:u w:val="none"/>
          <w:shd w:val="solid" w:color="FFFFFF" w:fill="auto"/>
        </w:rPr>
        <w:t>80周岁以上高龄老年人口</w:t>
      </w:r>
      <w:r>
        <w:rPr>
          <w:rFonts w:hint="eastAsia"/>
          <w:color w:val="auto"/>
          <w:szCs w:val="32"/>
          <w:u w:val="none"/>
          <w:shd w:val="solid" w:color="FFFFFF" w:fill="auto"/>
          <w:lang w:val="en-US" w:eastAsia="zh-CN"/>
        </w:rPr>
        <w:t>达3.3</w:t>
      </w:r>
      <w:r>
        <w:rPr>
          <w:color w:val="auto"/>
          <w:szCs w:val="32"/>
          <w:u w:val="none"/>
          <w:shd w:val="solid" w:color="FFFFFF" w:fill="auto"/>
        </w:rPr>
        <w:t>万，预计到2025年将超过</w:t>
      </w:r>
      <w:r>
        <w:rPr>
          <w:rFonts w:hint="eastAsia"/>
          <w:color w:val="auto"/>
          <w:szCs w:val="32"/>
          <w:u w:val="none"/>
          <w:shd w:val="solid" w:color="FFFFFF" w:fill="auto"/>
          <w:lang w:val="en-US" w:eastAsia="zh-CN"/>
        </w:rPr>
        <w:t>3.5</w:t>
      </w:r>
      <w:r>
        <w:rPr>
          <w:color w:val="auto"/>
          <w:szCs w:val="32"/>
          <w:u w:val="none"/>
          <w:shd w:val="solid" w:color="FFFFFF" w:fill="auto"/>
        </w:rPr>
        <w:t>万，约占老年人口的</w:t>
      </w:r>
      <w:r>
        <w:rPr>
          <w:rFonts w:hint="eastAsia"/>
          <w:color w:val="auto"/>
          <w:szCs w:val="32"/>
          <w:u w:val="single"/>
          <w:shd w:val="solid" w:color="FFFFFF" w:fill="auto"/>
          <w:lang w:val="en-US" w:eastAsia="zh-CN"/>
        </w:rPr>
        <w:t xml:space="preserve">14 </w:t>
      </w:r>
      <w:r>
        <w:rPr>
          <w:color w:val="auto"/>
          <w:szCs w:val="32"/>
          <w:u w:val="none"/>
          <w:shd w:val="solid" w:color="FFFFFF" w:fill="auto"/>
        </w:rPr>
        <w:t>%。全</w:t>
      </w:r>
      <w:r>
        <w:rPr>
          <w:rFonts w:hint="eastAsia"/>
          <w:color w:val="auto"/>
          <w:szCs w:val="32"/>
          <w:u w:val="none"/>
          <w:shd w:val="solid" w:color="FFFFFF" w:fill="auto"/>
          <w:lang w:eastAsia="zh-CN"/>
        </w:rPr>
        <w:t>县</w:t>
      </w:r>
      <w:r>
        <w:rPr>
          <w:color w:val="auto"/>
          <w:szCs w:val="32"/>
          <w:u w:val="none"/>
          <w:shd w:val="solid" w:color="FFFFFF" w:fill="auto"/>
        </w:rPr>
        <w:t>人均预期寿命</w:t>
      </w:r>
      <w:r>
        <w:rPr>
          <w:rFonts w:hint="eastAsia"/>
          <w:color w:val="auto"/>
          <w:szCs w:val="32"/>
          <w:u w:val="none"/>
          <w:shd w:val="solid" w:color="FFFFFF" w:fill="auto"/>
          <w:lang w:val="en-US" w:eastAsia="zh-CN"/>
        </w:rPr>
        <w:t>78.3</w:t>
      </w:r>
      <w:r>
        <w:rPr>
          <w:color w:val="auto"/>
          <w:szCs w:val="32"/>
          <w:u w:val="none"/>
          <w:shd w:val="solid" w:color="FFFFFF" w:fill="auto"/>
        </w:rPr>
        <w:t>岁。随着高龄老年人数量增多，失能失智比例将会增加，家庭小型化、少子化趋势明显，家庭照护能力相对不足，全社会对于生活照料、康复护理、长期照护、社会支持等专业化养老服务需求持续增加，亟待扩大社会化养老服务供给。</w:t>
      </w:r>
    </w:p>
    <w:p>
      <w:pPr>
        <w:shd w:val="solid" w:color="FFFFFF" w:fill="auto"/>
        <w:autoSpaceDN w:val="0"/>
        <w:spacing w:line="578" w:lineRule="exact"/>
        <w:ind w:firstLine="640"/>
        <w:rPr>
          <w:color w:val="auto"/>
          <w:szCs w:val="32"/>
          <w:u w:val="none"/>
        </w:rPr>
      </w:pPr>
      <w:r>
        <w:rPr>
          <w:rFonts w:eastAsia="楷体_GB2312"/>
          <w:bCs/>
          <w:color w:val="auto"/>
          <w:szCs w:val="32"/>
          <w:shd w:val="solid" w:color="FFFFFF" w:fill="auto"/>
        </w:rPr>
        <w:t>养老服务存在短板和不足。</w:t>
      </w:r>
      <w:r>
        <w:rPr>
          <w:bCs/>
          <w:color w:val="auto"/>
          <w:szCs w:val="32"/>
          <w:shd w:val="solid" w:color="FFFFFF" w:fill="auto"/>
        </w:rPr>
        <w:t>一是养老服务基本保障制度不完善。</w:t>
      </w:r>
      <w:r>
        <w:rPr>
          <w:color w:val="auto"/>
          <w:szCs w:val="32"/>
          <w:shd w:val="solid" w:color="FFFFFF" w:fill="auto"/>
        </w:rPr>
        <w:t>基本养老保障水平不高，困难老年人、农村留守老年人关爱服务机制不完善，长期照护制度尚未建立。</w:t>
      </w:r>
      <w:r>
        <w:rPr>
          <w:bCs/>
          <w:color w:val="auto"/>
          <w:szCs w:val="32"/>
          <w:shd w:val="solid" w:color="FFFFFF" w:fill="auto"/>
        </w:rPr>
        <w:t>二是养老服务供给与需求的适配度不够。</w:t>
      </w:r>
      <w:r>
        <w:rPr>
          <w:color w:val="auto"/>
          <w:szCs w:val="32"/>
          <w:shd w:val="solid" w:color="FFFFFF" w:fill="auto"/>
        </w:rPr>
        <w:t>区域和城乡发展不够协调。县中心城区受用地及场地局限，养老服务设施不足，新建居住（小）区配套建设社区养老服务设施落实不到位，选址新建养老机构落地难。农村养老机构多系利用闲置资产改扩建，基础相对薄弱，设施建设落后，与老年人入住需求不相匹配。社区日间照料中心、</w:t>
      </w:r>
      <w:r>
        <w:rPr>
          <w:color w:val="auto"/>
          <w:szCs w:val="32"/>
        </w:rPr>
        <w:t>农村幸福院</w:t>
      </w:r>
      <w:r>
        <w:rPr>
          <w:color w:val="auto"/>
          <w:szCs w:val="32"/>
          <w:shd w:val="solid" w:color="FFFFFF" w:fill="auto"/>
        </w:rPr>
        <w:t>普遍规模小、</w:t>
      </w:r>
      <w:r>
        <w:rPr>
          <w:color w:val="auto"/>
          <w:szCs w:val="32"/>
        </w:rPr>
        <w:t>功能不完善</w:t>
      </w:r>
      <w:r>
        <w:rPr>
          <w:color w:val="auto"/>
          <w:szCs w:val="32"/>
          <w:shd w:val="solid" w:color="FFFFFF" w:fill="auto"/>
        </w:rPr>
        <w:t>。居家社区养老服务市场发育不充分。</w:t>
      </w:r>
      <w:r>
        <w:rPr>
          <w:bCs/>
          <w:color w:val="auto"/>
          <w:szCs w:val="32"/>
          <w:shd w:val="solid" w:color="FFFFFF" w:fill="auto"/>
        </w:rPr>
        <w:t>三是养老服务品质不高。</w:t>
      </w:r>
      <w:r>
        <w:rPr>
          <w:color w:val="auto"/>
          <w:szCs w:val="32"/>
          <w:shd w:val="solid" w:color="FFFFFF" w:fill="auto"/>
        </w:rPr>
        <w:t>养老服务质量有待提升，服务内容偏重生活照料，不能较好满足老年人医疗保健、康复护理、文体娱乐、精神慰藉等服务需求，专业化水平不够。缺乏有品质、有实力的示范民办养老机构，优质普惠服务供给不足。医养结合融合度不高、品牌特色不明显。智慧养老应用场景少，信息平台建设滞后。养老机构在建筑、消防、食品安全、公共卫生等方面的保障和应急处置能力有待提升。</w:t>
      </w:r>
      <w:r>
        <w:rPr>
          <w:bCs/>
          <w:color w:val="auto"/>
          <w:szCs w:val="32"/>
          <w:shd w:val="solid" w:color="FFFFFF" w:fill="auto"/>
        </w:rPr>
        <w:t>四是养老服务队伍整体素质不优。</w:t>
      </w:r>
      <w:r>
        <w:rPr>
          <w:color w:val="auto"/>
          <w:szCs w:val="32"/>
          <w:shd w:val="solid" w:color="FFFFFF" w:fill="auto"/>
        </w:rPr>
        <w:t>养老服务专业管理人才、社会工作者严重缺乏，取得初级以上职业技能等级证书的养老护理员</w:t>
      </w:r>
      <w:r>
        <w:rPr>
          <w:rFonts w:hint="eastAsia"/>
          <w:color w:val="auto"/>
          <w:szCs w:val="32"/>
          <w:u w:val="none"/>
          <w:shd w:val="solid" w:color="FFFFFF" w:fill="auto"/>
          <w:lang w:val="en-US" w:eastAsia="zh-CN"/>
        </w:rPr>
        <w:t>94</w:t>
      </w:r>
      <w:r>
        <w:rPr>
          <w:color w:val="auto"/>
          <w:szCs w:val="32"/>
          <w:shd w:val="solid" w:color="FFFFFF" w:fill="auto"/>
        </w:rPr>
        <w:t>人，占养老护理员总数的</w:t>
      </w:r>
      <w:r>
        <w:rPr>
          <w:rFonts w:hint="eastAsia"/>
          <w:color w:val="auto"/>
          <w:szCs w:val="32"/>
          <w:shd w:val="solid" w:color="FFFFFF" w:fill="auto"/>
          <w:lang w:val="en-US" w:eastAsia="zh-CN"/>
        </w:rPr>
        <w:t>51.9</w:t>
      </w:r>
      <w:r>
        <w:rPr>
          <w:color w:val="auto"/>
          <w:szCs w:val="32"/>
          <w:shd w:val="solid" w:color="FFFFFF" w:fill="auto"/>
        </w:rPr>
        <w:t>%，</w:t>
      </w:r>
      <w:r>
        <w:rPr>
          <w:color w:val="auto"/>
          <w:szCs w:val="32"/>
          <w:u w:val="none"/>
          <w:shd w:val="solid" w:color="FFFFFF" w:fill="auto"/>
        </w:rPr>
        <w:t>专业护理技能</w:t>
      </w:r>
      <w:r>
        <w:rPr>
          <w:rFonts w:hint="eastAsia"/>
          <w:color w:val="auto"/>
          <w:szCs w:val="32"/>
          <w:u w:val="none"/>
          <w:shd w:val="solid" w:color="FFFFFF" w:fill="auto"/>
          <w:lang w:eastAsia="zh-CN"/>
        </w:rPr>
        <w:t>普遍</w:t>
      </w:r>
      <w:r>
        <w:rPr>
          <w:color w:val="auto"/>
          <w:szCs w:val="32"/>
          <w:u w:val="none"/>
          <w:shd w:val="solid" w:color="FFFFFF" w:fill="auto"/>
        </w:rPr>
        <w:t>偏低，工作强度大、薪酬待遇低，缺乏社会尊重、职业荣誉感低，流动性大、队伍不稳定。</w:t>
      </w:r>
      <w:r>
        <w:rPr>
          <w:bCs/>
          <w:color w:val="auto"/>
          <w:szCs w:val="32"/>
          <w:u w:val="none"/>
          <w:shd w:val="solid" w:color="FFFFFF" w:fill="auto"/>
        </w:rPr>
        <w:t>五是社会力量参与不足。</w:t>
      </w:r>
      <w:r>
        <w:rPr>
          <w:color w:val="auto"/>
          <w:szCs w:val="32"/>
          <w:u w:val="none"/>
          <w:shd w:val="solid" w:color="FFFFFF" w:fill="auto"/>
        </w:rPr>
        <w:t>地方配套政策落地落实难，要素保障不到位，社会力量参与度不够，缺乏内生动力，用地难、融资难、投资大、风险高、回报周期长。养老服务类社会组织较少，尚未建立全</w:t>
      </w:r>
      <w:r>
        <w:rPr>
          <w:rFonts w:hint="eastAsia"/>
          <w:color w:val="auto"/>
          <w:szCs w:val="32"/>
          <w:u w:val="none"/>
          <w:shd w:val="solid" w:color="FFFFFF" w:fill="auto"/>
          <w:lang w:val="en-US" w:eastAsia="zh-CN"/>
        </w:rPr>
        <w:t>县</w:t>
      </w:r>
      <w:r>
        <w:rPr>
          <w:color w:val="auto"/>
          <w:szCs w:val="32"/>
          <w:u w:val="none"/>
          <w:shd w:val="solid" w:color="FFFFFF" w:fill="auto"/>
        </w:rPr>
        <w:t>性养老服务行业协会。志愿服务队伍参与养老服务积极性不高。</w:t>
      </w:r>
      <w:r>
        <w:rPr>
          <w:color w:val="auto"/>
          <w:szCs w:val="32"/>
          <w:u w:val="none"/>
        </w:rPr>
        <w:t>社会力量关爱老年人多在老年节、春节等节日，缺乏常态化、持续性。社会公众对养老服务事业参与和支持不够。</w:t>
      </w:r>
    </w:p>
    <w:p>
      <w:pPr>
        <w:spacing w:line="578" w:lineRule="exact"/>
        <w:jc w:val="center"/>
        <w:outlineLvl w:val="0"/>
        <w:rPr>
          <w:color w:val="auto"/>
          <w:szCs w:val="32"/>
        </w:rPr>
      </w:pPr>
      <w:bookmarkStart w:id="5" w:name="_Toc21755"/>
      <w:r>
        <w:rPr>
          <w:color w:val="auto"/>
          <w:szCs w:val="32"/>
        </w:rPr>
        <w:br w:type="page"/>
      </w:r>
    </w:p>
    <w:p>
      <w:pPr>
        <w:spacing w:line="578" w:lineRule="exact"/>
        <w:jc w:val="center"/>
        <w:outlineLvl w:val="0"/>
        <w:rPr>
          <w:rFonts w:eastAsia="方正小标宋简体"/>
          <w:color w:val="auto"/>
          <w:sz w:val="44"/>
          <w:szCs w:val="44"/>
        </w:rPr>
      </w:pPr>
      <w:r>
        <w:rPr>
          <w:rFonts w:eastAsia="方正小标宋简体"/>
          <w:color w:val="auto"/>
          <w:sz w:val="44"/>
          <w:szCs w:val="44"/>
        </w:rPr>
        <w:t>第二章  总体要求</w:t>
      </w:r>
      <w:bookmarkEnd w:id="5"/>
    </w:p>
    <w:p>
      <w:pPr>
        <w:pStyle w:val="5"/>
        <w:spacing w:line="578" w:lineRule="exact"/>
        <w:rPr>
          <w:rFonts w:eastAsia="仿宋_GB2312"/>
          <w:color w:val="auto"/>
          <w:sz w:val="32"/>
          <w:szCs w:val="32"/>
        </w:rPr>
      </w:pPr>
    </w:p>
    <w:p>
      <w:pPr>
        <w:spacing w:line="578" w:lineRule="exact"/>
        <w:jc w:val="center"/>
        <w:rPr>
          <w:rFonts w:eastAsia="黑体"/>
          <w:bCs/>
          <w:color w:val="auto"/>
          <w:szCs w:val="32"/>
        </w:rPr>
      </w:pPr>
      <w:bookmarkStart w:id="6" w:name="_Toc24176"/>
      <w:r>
        <w:rPr>
          <w:rFonts w:eastAsia="黑体"/>
          <w:bCs/>
          <w:color w:val="auto"/>
          <w:szCs w:val="32"/>
        </w:rPr>
        <w:t>第一节  指导思想</w:t>
      </w:r>
      <w:bookmarkEnd w:id="6"/>
    </w:p>
    <w:p>
      <w:pPr>
        <w:spacing w:line="578" w:lineRule="exact"/>
        <w:ind w:firstLine="640"/>
        <w:rPr>
          <w:color w:val="auto"/>
          <w:szCs w:val="32"/>
          <w:shd w:val="solid" w:color="FFFFFF" w:fill="auto"/>
        </w:rPr>
      </w:pPr>
      <w:r>
        <w:rPr>
          <w:color w:val="auto"/>
          <w:szCs w:val="32"/>
        </w:rPr>
        <w:t>坚持以习近平新时代中国特色社会主义思想为指导，全面贯彻党的十九大和十九届</w:t>
      </w:r>
      <w:r>
        <w:rPr>
          <w:rFonts w:hint="eastAsia"/>
          <w:color w:val="auto"/>
          <w:szCs w:val="32"/>
          <w:lang w:val="en-US" w:eastAsia="zh-CN"/>
        </w:rPr>
        <w:t>历次</w:t>
      </w:r>
      <w:r>
        <w:rPr>
          <w:color w:val="auto"/>
          <w:szCs w:val="32"/>
        </w:rPr>
        <w:t>全会精神，深入贯彻习近平总书记对养老服务工作重要指示批示精神，认真落实党中央国务院和省委省政府、市委市政府有关养老服务工作决策部署，立足新发展阶段、贯彻新发展理念、融入新发展格局，大力实施积极应对人口老龄化国家战略，</w:t>
      </w:r>
      <w:r>
        <w:rPr>
          <w:color w:val="auto"/>
          <w:szCs w:val="32"/>
          <w:shd w:val="solid" w:color="FFFFFF" w:fill="auto"/>
        </w:rPr>
        <w:t>将积极老龄观、健康老龄化理念融入经济社会发展全过程，围绕“老有颐养”，</w:t>
      </w:r>
      <w:r>
        <w:rPr>
          <w:color w:val="auto"/>
          <w:szCs w:val="32"/>
        </w:rPr>
        <w:t>以满足老年人多样化、多层次服务需求为导向，坚持政府引导、普惠优先，强化基本养老服务保障，着力健全养老服务供给、医养康养结合、质量提升、人才培养、养老产业、友好环境、要素保障、综合监管“八大体系”，</w:t>
      </w:r>
      <w:r>
        <w:rPr>
          <w:color w:val="auto"/>
          <w:szCs w:val="32"/>
          <w:shd w:val="solid" w:color="FFFFFF" w:fill="auto"/>
        </w:rPr>
        <w:t>推动养老服务供给结构不断优化、社会有效投资明显扩大、养老服务质量持续改善、养老消费潜力充分释放</w:t>
      </w:r>
      <w:r>
        <w:rPr>
          <w:rFonts w:hint="eastAsia"/>
          <w:color w:val="auto"/>
          <w:szCs w:val="32"/>
          <w:shd w:val="solid" w:color="FFFFFF" w:fill="auto"/>
          <w:lang w:eastAsia="zh-CN"/>
        </w:rPr>
        <w:t>。</w:t>
      </w:r>
      <w:r>
        <w:rPr>
          <w:color w:val="auto"/>
          <w:szCs w:val="32"/>
        </w:rPr>
        <w:t>到2025年，力争把</w:t>
      </w:r>
      <w:r>
        <w:rPr>
          <w:rFonts w:hint="eastAsia"/>
          <w:color w:val="auto"/>
          <w:szCs w:val="32"/>
          <w:lang w:eastAsia="zh-CN"/>
        </w:rPr>
        <w:t>宣汉</w:t>
      </w:r>
      <w:r>
        <w:rPr>
          <w:color w:val="auto"/>
          <w:szCs w:val="32"/>
        </w:rPr>
        <w:t>建设成为区域养老服务高地、幸福颐养中</w:t>
      </w:r>
      <w:r>
        <w:rPr>
          <w:color w:val="auto"/>
          <w:szCs w:val="32"/>
          <w:shd w:val="solid" w:color="FFFFFF" w:fill="auto"/>
        </w:rPr>
        <w:t>心，为奋力打造</w:t>
      </w:r>
      <w:r>
        <w:rPr>
          <w:rFonts w:hint="eastAsia"/>
          <w:color w:val="auto"/>
          <w:szCs w:val="32"/>
          <w:shd w:val="solid" w:color="FFFFFF" w:fill="auto"/>
          <w:lang w:eastAsia="zh-CN"/>
        </w:rPr>
        <w:t>经济百强县</w:t>
      </w:r>
      <w:r>
        <w:rPr>
          <w:color w:val="auto"/>
          <w:szCs w:val="32"/>
          <w:shd w:val="solid" w:color="FFFFFF" w:fill="auto"/>
        </w:rPr>
        <w:t>作出积极贡献。</w:t>
      </w:r>
    </w:p>
    <w:p>
      <w:pPr>
        <w:pStyle w:val="17"/>
        <w:spacing w:line="578" w:lineRule="exact"/>
        <w:rPr>
          <w:rFonts w:ascii="Times New Roman" w:hAnsi="Times New Roman" w:eastAsia="仿宋_GB2312" w:cs="Times New Roman"/>
          <w:color w:val="auto"/>
        </w:rPr>
      </w:pPr>
    </w:p>
    <w:p>
      <w:pPr>
        <w:spacing w:line="578" w:lineRule="exact"/>
        <w:jc w:val="center"/>
        <w:outlineLvl w:val="1"/>
        <w:rPr>
          <w:rFonts w:eastAsia="黑体"/>
          <w:bCs/>
          <w:color w:val="auto"/>
          <w:szCs w:val="32"/>
        </w:rPr>
      </w:pPr>
      <w:bookmarkStart w:id="7" w:name="_Toc4740"/>
      <w:r>
        <w:rPr>
          <w:rFonts w:eastAsia="黑体"/>
          <w:bCs/>
          <w:color w:val="auto"/>
          <w:szCs w:val="32"/>
        </w:rPr>
        <w:t>第二节  基本原则</w:t>
      </w:r>
      <w:bookmarkEnd w:id="7"/>
    </w:p>
    <w:p>
      <w:pPr>
        <w:spacing w:line="578" w:lineRule="exact"/>
        <w:ind w:firstLine="640"/>
        <w:rPr>
          <w:color w:val="auto"/>
          <w:szCs w:val="32"/>
        </w:rPr>
      </w:pPr>
      <w:r>
        <w:rPr>
          <w:rFonts w:eastAsia="楷体_GB2312"/>
          <w:color w:val="auto"/>
          <w:szCs w:val="32"/>
        </w:rPr>
        <w:t>——坚持政府主导，引领发展。</w:t>
      </w:r>
      <w:r>
        <w:rPr>
          <w:color w:val="auto"/>
          <w:szCs w:val="32"/>
        </w:rPr>
        <w:t>建立健全党委领导、政府主导、部门负责、社会参与的养老服务工作机制。充分发挥政府在推进养老服务发展中的主导作用，提供基本公益性产品和服务。充分发挥市场机制作用，提供多元化产品和服务。注重发挥家庭养老、个人自我养老的作用，鼓励老年人扩大社会参与，形成多元主体责任共担、老龄化风险梯次应对、养老服务积极参与的新局面。</w:t>
      </w:r>
    </w:p>
    <w:p>
      <w:pPr>
        <w:shd w:val="solid" w:color="FFFFFF" w:fill="auto"/>
        <w:autoSpaceDN w:val="0"/>
        <w:spacing w:line="578" w:lineRule="exact"/>
        <w:ind w:firstLine="640"/>
        <w:rPr>
          <w:color w:val="auto"/>
          <w:szCs w:val="32"/>
          <w:shd w:val="solid" w:color="FFFFFF" w:fill="auto"/>
        </w:rPr>
      </w:pPr>
      <w:r>
        <w:rPr>
          <w:rFonts w:eastAsia="楷体_GB2312"/>
          <w:color w:val="auto"/>
          <w:szCs w:val="32"/>
        </w:rPr>
        <w:t>——坚持兜牢底线，普惠发展。</w:t>
      </w:r>
      <w:r>
        <w:rPr>
          <w:color w:val="auto"/>
          <w:szCs w:val="32"/>
        </w:rPr>
        <w:t>聚焦老年人在养老问题上的“急难愁盼”，大力</w:t>
      </w:r>
      <w:r>
        <w:rPr>
          <w:color w:val="auto"/>
          <w:szCs w:val="32"/>
          <w:shd w:val="solid" w:color="FFFFFF" w:fill="auto"/>
        </w:rPr>
        <w:t>推进养老服务体系建设</w:t>
      </w:r>
      <w:r>
        <w:rPr>
          <w:color w:val="auto"/>
          <w:szCs w:val="32"/>
        </w:rPr>
        <w:t>。</w:t>
      </w:r>
      <w:r>
        <w:rPr>
          <w:color w:val="auto"/>
          <w:szCs w:val="32"/>
          <w:shd w:val="solid" w:color="FFFFFF" w:fill="auto"/>
        </w:rPr>
        <w:t>强化政府保基本</w:t>
      </w:r>
      <w:ins w:id="0" w:author="陆离" w:date="2022-04-11T18:39:00Z">
        <w:r>
          <w:rPr>
            <w:color w:val="auto"/>
            <w:szCs w:val="32"/>
            <w:shd w:val="solid" w:color="FFFFFF" w:fill="auto"/>
          </w:rPr>
          <w:t>、</w:t>
        </w:r>
      </w:ins>
      <w:r>
        <w:rPr>
          <w:color w:val="auto"/>
          <w:szCs w:val="32"/>
          <w:shd w:val="solid" w:color="FFFFFF" w:fill="auto"/>
        </w:rPr>
        <w:t>兜底线职能，全面落实应保尽保、应养尽养，确保基本养老服务保障到位。大力发展普惠型养老服务，充分调动社会力量积极性，</w:t>
      </w:r>
      <w:r>
        <w:rPr>
          <w:color w:val="auto"/>
          <w:szCs w:val="32"/>
        </w:rPr>
        <w:t>为群众提供方便可及、价格可负担、质量有保障的养老服务</w:t>
      </w:r>
      <w:r>
        <w:rPr>
          <w:color w:val="auto"/>
          <w:szCs w:val="32"/>
          <w:shd w:val="solid" w:color="FFFFFF" w:fill="auto"/>
        </w:rPr>
        <w:t>。</w:t>
      </w:r>
    </w:p>
    <w:p>
      <w:pPr>
        <w:spacing w:line="578" w:lineRule="exact"/>
        <w:ind w:firstLine="640" w:firstLineChars="200"/>
        <w:rPr>
          <w:color w:val="auto"/>
          <w:szCs w:val="32"/>
          <w:shd w:val="solid" w:color="FFFFFF" w:fill="auto"/>
        </w:rPr>
      </w:pPr>
      <w:r>
        <w:rPr>
          <w:rFonts w:eastAsia="楷体_GB2312"/>
          <w:color w:val="auto"/>
          <w:szCs w:val="32"/>
        </w:rPr>
        <w:t>——</w:t>
      </w:r>
      <w:r>
        <w:rPr>
          <w:rFonts w:eastAsia="楷体_GB2312"/>
          <w:color w:val="auto"/>
          <w:szCs w:val="32"/>
          <w:shd w:val="solid" w:color="FFFFFF" w:fill="auto"/>
        </w:rPr>
        <w:t>坚持系统谋划，协调发展。</w:t>
      </w:r>
      <w:r>
        <w:rPr>
          <w:color w:val="auto"/>
          <w:szCs w:val="32"/>
          <w:shd w:val="solid" w:color="FFFFFF" w:fill="auto"/>
        </w:rPr>
        <w:t>统筹处理好养老服务当前与长远、局部与整体、城市与农村、总量与结构、速度与质量、发展与安全、设施建设与服务管理之间的关系，推动养老服务量质齐升。</w:t>
      </w:r>
      <w:r>
        <w:rPr>
          <w:color w:val="auto"/>
          <w:szCs w:val="32"/>
        </w:rPr>
        <w:t>统筹好老年人经济保障、服务保障、精神关爱、作用发挥等制度安排。</w:t>
      </w:r>
      <w:r>
        <w:rPr>
          <w:color w:val="auto"/>
          <w:szCs w:val="32"/>
          <w:shd w:val="solid" w:color="FFFFFF" w:fill="auto"/>
        </w:rPr>
        <w:t>大力发展“银发经济”，培育养老服务新业态、新模式，推动养老服务事业与产业、基本公共服务与多样化服务协调发展，着力提升发展的整体性、均衡性。</w:t>
      </w:r>
    </w:p>
    <w:p>
      <w:pPr>
        <w:spacing w:line="578" w:lineRule="exact"/>
        <w:ind w:firstLine="640"/>
        <w:rPr>
          <w:color w:val="auto"/>
          <w:szCs w:val="32"/>
        </w:rPr>
      </w:pPr>
      <w:r>
        <w:rPr>
          <w:rFonts w:eastAsia="楷体_GB2312"/>
          <w:color w:val="auto"/>
          <w:szCs w:val="32"/>
        </w:rPr>
        <w:t>——坚持示范带动，品质发展</w:t>
      </w:r>
      <w:r>
        <w:rPr>
          <w:color w:val="auto"/>
          <w:szCs w:val="32"/>
        </w:rPr>
        <w:t>。以项目为抓手，以质量为导向，加快推进县、乡镇（街道）、村（社区）养老服务设施建设，优化资源配置。发挥公办养老机构示范辐射作用，积极发展社会养老服务。推进居家社区机构养老有机融合，提升品质，促进养老服务专业化、品牌化、智能化发展。</w:t>
      </w:r>
    </w:p>
    <w:p>
      <w:pPr>
        <w:autoSpaceDN w:val="0"/>
        <w:spacing w:line="578" w:lineRule="exact"/>
        <w:ind w:firstLine="640"/>
        <w:rPr>
          <w:color w:val="auto"/>
          <w:szCs w:val="32"/>
        </w:rPr>
      </w:pPr>
      <w:r>
        <w:rPr>
          <w:rFonts w:eastAsia="楷体_GB2312"/>
          <w:color w:val="auto"/>
          <w:szCs w:val="32"/>
        </w:rPr>
        <w:t>——坚持深化改革，创新发展。</w:t>
      </w:r>
      <w:r>
        <w:rPr>
          <w:color w:val="auto"/>
          <w:szCs w:val="32"/>
        </w:rPr>
        <w:t>以养老服务供给侧结构性改革为主线，运用改革思维解决养老服务发展中遇到的矛盾和问题。深化“放管服”改革，优化营商环境，完善优惠扶持政策。健全综合监管机制。推动养老服务在技术、业态、模式等方面创新，探索可复制、可推广的经验做法和创新成果。</w:t>
      </w:r>
    </w:p>
    <w:p>
      <w:pPr>
        <w:pStyle w:val="5"/>
        <w:spacing w:line="578" w:lineRule="exact"/>
        <w:ind w:firstLine="640"/>
        <w:rPr>
          <w:rFonts w:eastAsia="仿宋_GB2312"/>
          <w:color w:val="auto"/>
          <w:sz w:val="32"/>
          <w:szCs w:val="32"/>
        </w:rPr>
      </w:pPr>
    </w:p>
    <w:p>
      <w:pPr>
        <w:spacing w:line="578" w:lineRule="exact"/>
        <w:jc w:val="center"/>
        <w:outlineLvl w:val="1"/>
        <w:rPr>
          <w:rFonts w:eastAsia="黑体"/>
          <w:bCs/>
          <w:color w:val="auto"/>
          <w:szCs w:val="32"/>
        </w:rPr>
      </w:pPr>
      <w:bookmarkStart w:id="8" w:name="_Toc4965"/>
      <w:r>
        <w:rPr>
          <w:rFonts w:eastAsia="黑体"/>
          <w:bCs/>
          <w:color w:val="auto"/>
          <w:szCs w:val="32"/>
        </w:rPr>
        <w:t>第三节  发展目标</w:t>
      </w:r>
      <w:bookmarkEnd w:id="8"/>
    </w:p>
    <w:p>
      <w:pPr>
        <w:spacing w:line="578" w:lineRule="exact"/>
        <w:ind w:firstLine="640"/>
        <w:rPr>
          <w:color w:val="auto"/>
          <w:szCs w:val="32"/>
        </w:rPr>
      </w:pPr>
      <w:r>
        <w:rPr>
          <w:color w:val="auto"/>
          <w:szCs w:val="32"/>
          <w:shd w:val="solid" w:color="FFFFFF" w:fill="auto"/>
        </w:rPr>
        <w:t>到2025年，全面建立与</w:t>
      </w:r>
      <w:r>
        <w:rPr>
          <w:rFonts w:hint="eastAsia"/>
          <w:color w:val="auto"/>
          <w:szCs w:val="32"/>
          <w:shd w:val="solid" w:color="FFFFFF" w:fill="auto"/>
          <w:lang w:eastAsia="zh-CN"/>
        </w:rPr>
        <w:t>宣汉</w:t>
      </w:r>
      <w:r>
        <w:rPr>
          <w:color w:val="auto"/>
          <w:szCs w:val="32"/>
          <w:shd w:val="solid" w:color="FFFFFF" w:fill="auto"/>
        </w:rPr>
        <w:t>人口老龄化进程相适应、与经济社会发展水平相协调、与养老服务需求相匹配，居家社区机构相协调、医养康养相结合的养老服务体系，</w:t>
      </w:r>
      <w:r>
        <w:rPr>
          <w:color w:val="auto"/>
          <w:szCs w:val="32"/>
        </w:rPr>
        <w:t>实现人人享有基本养老服务，努力让广大老年人的获得感成色更足、幸福感更有保障、满意度更可持续。全</w:t>
      </w:r>
      <w:r>
        <w:rPr>
          <w:rFonts w:hint="eastAsia"/>
          <w:color w:val="auto"/>
          <w:szCs w:val="32"/>
          <w:lang w:eastAsia="zh-CN"/>
        </w:rPr>
        <w:t>县</w:t>
      </w:r>
      <w:r>
        <w:rPr>
          <w:color w:val="auto"/>
          <w:szCs w:val="32"/>
        </w:rPr>
        <w:t>各类养老床位总数力争达到</w:t>
      </w:r>
      <w:r>
        <w:rPr>
          <w:rFonts w:hint="eastAsia"/>
          <w:color w:val="auto"/>
          <w:szCs w:val="32"/>
          <w:lang w:val="en-US" w:eastAsia="zh-CN"/>
        </w:rPr>
        <w:t>7千</w:t>
      </w:r>
      <w:r>
        <w:rPr>
          <w:color w:val="auto"/>
          <w:szCs w:val="32"/>
        </w:rPr>
        <w:t>张，养老机构护理型床位占比不低于55%。</w:t>
      </w:r>
    </w:p>
    <w:p>
      <w:pPr>
        <w:shd w:val="solid" w:color="FFFFFF" w:fill="auto"/>
        <w:autoSpaceDN w:val="0"/>
        <w:spacing w:line="578" w:lineRule="exact"/>
        <w:ind w:firstLine="640"/>
        <w:rPr>
          <w:color w:val="auto"/>
          <w:szCs w:val="32"/>
          <w:shd w:val="solid" w:color="FFFFFF" w:fill="auto"/>
        </w:rPr>
      </w:pPr>
      <w:r>
        <w:rPr>
          <w:rFonts w:eastAsia="楷体_GB2312"/>
          <w:color w:val="auto"/>
          <w:szCs w:val="32"/>
          <w:shd w:val="solid" w:color="FFFFFF" w:fill="auto"/>
        </w:rPr>
        <w:t>基本保障更加有力</w:t>
      </w:r>
      <w:r>
        <w:rPr>
          <w:color w:val="auto"/>
          <w:szCs w:val="32"/>
          <w:shd w:val="solid" w:color="FFFFFF" w:fill="auto"/>
        </w:rPr>
        <w:t>。基本养老服务清单、老年人能力与需求综合评估标准、基本养老服务补贴制度建立健全，兜底性养老保障更加有力，家庭养老照护能力提升，普惠养老服务持续拓展。</w:t>
      </w:r>
    </w:p>
    <w:p>
      <w:pPr>
        <w:autoSpaceDN w:val="0"/>
        <w:spacing w:line="578" w:lineRule="exact"/>
        <w:ind w:firstLine="640"/>
        <w:rPr>
          <w:color w:val="auto"/>
          <w:szCs w:val="32"/>
          <w:shd w:val="solid" w:color="FFFFFF" w:fill="auto"/>
        </w:rPr>
      </w:pPr>
      <w:r>
        <w:rPr>
          <w:rFonts w:eastAsia="楷体_GB2312"/>
          <w:color w:val="auto"/>
          <w:szCs w:val="32"/>
          <w:shd w:val="solid" w:color="FFFFFF" w:fill="auto"/>
        </w:rPr>
        <w:t>服务供给不断扩大。</w:t>
      </w:r>
      <w:r>
        <w:rPr>
          <w:color w:val="auto"/>
          <w:szCs w:val="32"/>
          <w:shd w:val="solid" w:color="FFFFFF" w:fill="auto"/>
        </w:rPr>
        <w:t>围绕老年人身边有照护、家边有站点、周边有服务“三边”服务需求，形成县乡村</w:t>
      </w:r>
      <w:r>
        <w:rPr>
          <w:rFonts w:hint="eastAsia"/>
          <w:color w:val="auto"/>
          <w:szCs w:val="32"/>
          <w:shd w:val="solid" w:color="FFFFFF" w:fill="auto"/>
          <w:lang w:eastAsia="zh-CN"/>
        </w:rPr>
        <w:t>三</w:t>
      </w:r>
      <w:r>
        <w:rPr>
          <w:color w:val="auto"/>
          <w:szCs w:val="32"/>
          <w:shd w:val="solid" w:color="FFFFFF" w:fill="auto"/>
        </w:rPr>
        <w:t>级养老服务网络，</w:t>
      </w:r>
      <w:r>
        <w:rPr>
          <w:color w:val="auto"/>
          <w:szCs w:val="32"/>
        </w:rPr>
        <w:t>构建“三边</w:t>
      </w:r>
      <w:r>
        <w:rPr>
          <w:rFonts w:hint="eastAsia"/>
          <w:color w:val="auto"/>
          <w:szCs w:val="32"/>
          <w:lang w:eastAsia="zh-CN"/>
        </w:rPr>
        <w:t>三</w:t>
      </w:r>
      <w:r>
        <w:rPr>
          <w:color w:val="auto"/>
          <w:szCs w:val="32"/>
        </w:rPr>
        <w:t>级”养老服务格局</w:t>
      </w:r>
      <w:r>
        <w:rPr>
          <w:color w:val="auto"/>
          <w:szCs w:val="32"/>
          <w:shd w:val="solid" w:color="FFFFFF" w:fill="auto"/>
        </w:rPr>
        <w:t>。居家养老服务内容日益丰富，社区养老服务功能逐步完善，机构养老供给结构不断优化，护理型床位满足需求，个人、家庭、社区、机构之间养老资源有效衔接。</w:t>
      </w:r>
    </w:p>
    <w:p>
      <w:pPr>
        <w:autoSpaceDN w:val="0"/>
        <w:spacing w:line="578" w:lineRule="exact"/>
        <w:ind w:firstLine="640"/>
        <w:rPr>
          <w:color w:val="auto"/>
          <w:szCs w:val="32"/>
          <w:shd w:val="solid" w:color="FFFFFF" w:fill="auto"/>
        </w:rPr>
      </w:pPr>
      <w:r>
        <w:rPr>
          <w:rFonts w:eastAsia="楷体_GB2312"/>
          <w:color w:val="auto"/>
          <w:szCs w:val="32"/>
          <w:shd w:val="solid" w:color="FFFFFF" w:fill="auto"/>
        </w:rPr>
        <w:t>发展能级显著跃升。</w:t>
      </w:r>
      <w:r>
        <w:rPr>
          <w:color w:val="auto"/>
          <w:szCs w:val="32"/>
          <w:shd w:val="solid" w:color="FFFFFF" w:fill="auto"/>
        </w:rPr>
        <w:t>养老服务质量不断提升，养老机构全部达到《养老机构服务质量基本规范》国家标准。多层次多样化养老服务优质规范发展，示范性养老服务机构、服务品牌持续增加。医养康养结合服务水平全面提升，老年健康支撑体系更加健全。</w:t>
      </w:r>
    </w:p>
    <w:p>
      <w:pPr>
        <w:autoSpaceDN w:val="0"/>
        <w:spacing w:line="578" w:lineRule="exact"/>
        <w:ind w:firstLine="640"/>
        <w:rPr>
          <w:color w:val="auto"/>
          <w:szCs w:val="32"/>
          <w:shd w:val="solid" w:color="FFFFFF" w:fill="auto"/>
        </w:rPr>
      </w:pPr>
      <w:r>
        <w:rPr>
          <w:rFonts w:eastAsia="楷体_GB2312"/>
          <w:color w:val="auto"/>
          <w:szCs w:val="32"/>
          <w:shd w:val="solid" w:color="FFFFFF" w:fill="auto"/>
        </w:rPr>
        <w:t>养老产业多元发展。</w:t>
      </w:r>
      <w:r>
        <w:rPr>
          <w:color w:val="auto"/>
          <w:szCs w:val="32"/>
          <w:shd w:val="solid" w:color="FFFFFF" w:fill="auto"/>
        </w:rPr>
        <w:t>社会力量参与和市场发展活力明显增强，养老服务与相关产业融合发展，服务业态不断丰富，老年群体消费潜能有效激发。老年用品市场逐步发展，科技创新能力不断提升，智能化产品和服务惠及更多老年人。</w:t>
      </w:r>
    </w:p>
    <w:p>
      <w:pPr>
        <w:autoSpaceDN w:val="0"/>
        <w:spacing w:line="578" w:lineRule="exact"/>
        <w:ind w:firstLine="640"/>
        <w:rPr>
          <w:color w:val="auto"/>
          <w:szCs w:val="32"/>
          <w:shd w:val="solid" w:color="FFFFFF" w:fill="auto"/>
        </w:rPr>
      </w:pPr>
      <w:r>
        <w:rPr>
          <w:rFonts w:eastAsia="楷体_GB2312"/>
          <w:color w:val="auto"/>
          <w:szCs w:val="32"/>
          <w:shd w:val="solid" w:color="FFFFFF" w:fill="auto"/>
        </w:rPr>
        <w:t>要素保障持续增强。</w:t>
      </w:r>
      <w:r>
        <w:rPr>
          <w:color w:val="auto"/>
          <w:szCs w:val="32"/>
          <w:shd w:val="solid" w:color="FFFFFF" w:fill="auto"/>
        </w:rPr>
        <w:t>养老服务营商环境持续优化，规划、用地用房保障、人才、财政投入、税费优惠、金融等支持政策逐步完善。从业人员规模和能力不断提升。养老服务领域信用体系建设更加健全，养老服务综合监管机制全面建立。</w:t>
      </w:r>
    </w:p>
    <w:p>
      <w:pPr>
        <w:autoSpaceDN w:val="0"/>
        <w:spacing w:line="578" w:lineRule="exact"/>
        <w:ind w:firstLine="640"/>
        <w:rPr>
          <w:color w:val="auto"/>
          <w:szCs w:val="32"/>
          <w:shd w:val="solid" w:color="FFFFFF" w:fill="auto"/>
        </w:rPr>
      </w:pPr>
      <w:r>
        <w:rPr>
          <w:rFonts w:eastAsia="楷体_GB2312"/>
          <w:color w:val="auto"/>
          <w:szCs w:val="32"/>
          <w:shd w:val="solid" w:color="FFFFFF" w:fill="auto"/>
        </w:rPr>
        <w:t>“老有颐养”初步实现。</w:t>
      </w:r>
      <w:r>
        <w:rPr>
          <w:color w:val="auto"/>
          <w:szCs w:val="32"/>
        </w:rPr>
        <w:t>全龄友好包容社会建设全面推进，</w:t>
      </w:r>
      <w:r>
        <w:rPr>
          <w:color w:val="auto"/>
          <w:szCs w:val="32"/>
          <w:shd w:val="solid" w:color="FFFFFF" w:fill="auto"/>
        </w:rPr>
        <w:t>老年人更好适应并融入智慧社会，</w:t>
      </w:r>
      <w:r>
        <w:rPr>
          <w:color w:val="auto"/>
          <w:szCs w:val="32"/>
        </w:rPr>
        <w:t>敬老爱老助老</w:t>
      </w:r>
      <w:r>
        <w:rPr>
          <w:color w:val="auto"/>
          <w:szCs w:val="32"/>
          <w:shd w:val="solid" w:color="FFFFFF" w:fill="auto"/>
        </w:rPr>
        <w:t>的社会氛围日益浓厚，实现从“养老”到“享老”的提升。</w:t>
      </w:r>
      <w:r>
        <w:rPr>
          <w:color w:val="auto"/>
          <w:szCs w:val="32"/>
        </w:rPr>
        <w:t>积极老龄观、健康老龄化深入人心，</w:t>
      </w:r>
      <w:r>
        <w:rPr>
          <w:color w:val="auto"/>
          <w:szCs w:val="32"/>
          <w:shd w:val="solid" w:color="FFFFFF" w:fill="auto"/>
        </w:rPr>
        <w:t>老年人社会参与程度不断提高。全社会积极应对人口老龄化、自觉支持养老服务事业的意识意愿显著增强。</w:t>
      </w:r>
    </w:p>
    <w:p>
      <w:pPr>
        <w:pStyle w:val="2"/>
        <w:spacing w:line="300" w:lineRule="exact"/>
        <w:rPr>
          <w:rFonts w:ascii="Times New Roman" w:hAnsi="Times New Roman" w:cs="Times New Roman"/>
          <w:color w:val="auto"/>
        </w:rPr>
      </w:pPr>
    </w:p>
    <w:p>
      <w:pPr>
        <w:pStyle w:val="2"/>
        <w:spacing w:line="550" w:lineRule="exact"/>
        <w:jc w:val="center"/>
        <w:rPr>
          <w:rFonts w:ascii="Times New Roman" w:hAnsi="Times New Roman" w:cs="Times New Roman"/>
          <w:color w:val="auto"/>
        </w:rPr>
      </w:pPr>
      <w:r>
        <w:rPr>
          <w:rFonts w:ascii="Times New Roman" w:hAnsi="Times New Roman" w:eastAsia="方正小标宋简体" w:cs="Times New Roman"/>
          <w:bCs/>
          <w:color w:val="auto"/>
          <w:sz w:val="28"/>
          <w:szCs w:val="28"/>
        </w:rPr>
        <w:t>专栏一  “十四五”时期达州市养老服务发展主要指标</w:t>
      </w:r>
    </w:p>
    <w:tbl>
      <w:tblPr>
        <w:tblStyle w:val="1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9"/>
        <w:gridCol w:w="5495"/>
        <w:gridCol w:w="900"/>
        <w:gridCol w:w="90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649" w:type="dxa"/>
            <w:noWrap w:val="0"/>
            <w:vAlign w:val="center"/>
          </w:tcPr>
          <w:p>
            <w:pPr>
              <w:jc w:val="center"/>
              <w:textAlignment w:val="center"/>
              <w:rPr>
                <w:rFonts w:eastAsia="黑体"/>
                <w:color w:val="auto"/>
                <w:sz w:val="24"/>
              </w:rPr>
            </w:pPr>
            <w:r>
              <w:rPr>
                <w:rFonts w:eastAsia="黑体"/>
                <w:color w:val="auto"/>
                <w:sz w:val="24"/>
              </w:rPr>
              <w:t>序号</w:t>
            </w:r>
          </w:p>
        </w:tc>
        <w:tc>
          <w:tcPr>
            <w:tcW w:w="5495" w:type="dxa"/>
            <w:noWrap w:val="0"/>
            <w:vAlign w:val="center"/>
          </w:tcPr>
          <w:p>
            <w:pPr>
              <w:jc w:val="center"/>
              <w:textAlignment w:val="center"/>
              <w:rPr>
                <w:rFonts w:eastAsia="黑体"/>
                <w:color w:val="auto"/>
                <w:sz w:val="24"/>
              </w:rPr>
            </w:pPr>
            <w:r>
              <w:rPr>
                <w:rFonts w:eastAsia="黑体"/>
                <w:color w:val="auto"/>
                <w:sz w:val="24"/>
              </w:rPr>
              <w:t>主要指标</w:t>
            </w:r>
          </w:p>
        </w:tc>
        <w:tc>
          <w:tcPr>
            <w:tcW w:w="900" w:type="dxa"/>
            <w:noWrap w:val="0"/>
            <w:vAlign w:val="center"/>
          </w:tcPr>
          <w:p>
            <w:pPr>
              <w:jc w:val="center"/>
              <w:textAlignment w:val="center"/>
              <w:rPr>
                <w:rFonts w:eastAsia="黑体"/>
                <w:color w:val="auto"/>
                <w:sz w:val="24"/>
              </w:rPr>
            </w:pPr>
            <w:r>
              <w:rPr>
                <w:rFonts w:eastAsia="黑体"/>
                <w:color w:val="auto"/>
                <w:sz w:val="24"/>
              </w:rPr>
              <w:t>2020年</w:t>
            </w:r>
          </w:p>
          <w:p>
            <w:pPr>
              <w:jc w:val="center"/>
              <w:textAlignment w:val="center"/>
              <w:rPr>
                <w:rFonts w:eastAsia="黑体"/>
                <w:color w:val="auto"/>
                <w:sz w:val="24"/>
              </w:rPr>
            </w:pPr>
            <w:r>
              <w:rPr>
                <w:rFonts w:eastAsia="黑体"/>
                <w:color w:val="auto"/>
                <w:sz w:val="24"/>
              </w:rPr>
              <w:t>基期值</w:t>
            </w:r>
          </w:p>
        </w:tc>
        <w:tc>
          <w:tcPr>
            <w:tcW w:w="900" w:type="dxa"/>
            <w:noWrap w:val="0"/>
            <w:vAlign w:val="center"/>
          </w:tcPr>
          <w:p>
            <w:pPr>
              <w:jc w:val="center"/>
              <w:textAlignment w:val="center"/>
              <w:rPr>
                <w:rFonts w:eastAsia="黑体"/>
                <w:color w:val="auto"/>
                <w:sz w:val="24"/>
              </w:rPr>
            </w:pPr>
            <w:r>
              <w:rPr>
                <w:rFonts w:eastAsia="黑体"/>
                <w:color w:val="auto"/>
                <w:sz w:val="24"/>
              </w:rPr>
              <w:t>2025年</w:t>
            </w:r>
          </w:p>
          <w:p>
            <w:pPr>
              <w:jc w:val="center"/>
              <w:textAlignment w:val="center"/>
              <w:rPr>
                <w:rFonts w:eastAsia="黑体"/>
                <w:color w:val="auto"/>
                <w:sz w:val="24"/>
              </w:rPr>
            </w:pPr>
            <w:r>
              <w:rPr>
                <w:rFonts w:eastAsia="黑体"/>
                <w:color w:val="auto"/>
                <w:sz w:val="24"/>
              </w:rPr>
              <w:t>目标值</w:t>
            </w:r>
          </w:p>
        </w:tc>
        <w:tc>
          <w:tcPr>
            <w:tcW w:w="901" w:type="dxa"/>
            <w:noWrap w:val="0"/>
            <w:vAlign w:val="center"/>
          </w:tcPr>
          <w:p>
            <w:pPr>
              <w:jc w:val="center"/>
              <w:textAlignment w:val="center"/>
              <w:rPr>
                <w:rFonts w:eastAsia="黑体"/>
                <w:color w:val="auto"/>
                <w:sz w:val="24"/>
              </w:rPr>
            </w:pPr>
            <w:r>
              <w:rPr>
                <w:rFonts w:eastAsia="黑体"/>
                <w:color w:val="auto"/>
                <w:sz w:val="24"/>
              </w:rPr>
              <w:t>指标</w:t>
            </w:r>
          </w:p>
          <w:p>
            <w:pPr>
              <w:jc w:val="center"/>
              <w:textAlignment w:val="center"/>
              <w:rPr>
                <w:rFonts w:eastAsia="黑体"/>
                <w:color w:val="auto"/>
                <w:sz w:val="24"/>
              </w:rPr>
            </w:pPr>
            <w:r>
              <w:rPr>
                <w:rFonts w:eastAsia="黑体"/>
                <w:color w:val="auto"/>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1</w:t>
            </w:r>
          </w:p>
        </w:tc>
        <w:tc>
          <w:tcPr>
            <w:tcW w:w="5495" w:type="dxa"/>
            <w:noWrap w:val="0"/>
            <w:vAlign w:val="center"/>
          </w:tcPr>
          <w:p>
            <w:pPr>
              <w:jc w:val="left"/>
              <w:textAlignment w:val="center"/>
              <w:rPr>
                <w:color w:val="auto"/>
                <w:sz w:val="24"/>
              </w:rPr>
            </w:pPr>
            <w:r>
              <w:rPr>
                <w:color w:val="auto"/>
                <w:sz w:val="24"/>
              </w:rPr>
              <w:t>养老服务床位总量（</w:t>
            </w:r>
            <w:r>
              <w:rPr>
                <w:rFonts w:hint="eastAsia"/>
                <w:color w:val="auto"/>
                <w:sz w:val="24"/>
                <w:lang w:eastAsia="zh-CN"/>
              </w:rPr>
              <w:t>千</w:t>
            </w:r>
            <w:r>
              <w:rPr>
                <w:color w:val="auto"/>
                <w:sz w:val="24"/>
              </w:rPr>
              <w:t>）</w:t>
            </w:r>
          </w:p>
        </w:tc>
        <w:tc>
          <w:tcPr>
            <w:tcW w:w="900" w:type="dxa"/>
            <w:noWrap w:val="0"/>
            <w:vAlign w:val="center"/>
          </w:tcPr>
          <w:p>
            <w:pPr>
              <w:jc w:val="center"/>
              <w:textAlignment w:val="center"/>
              <w:rPr>
                <w:rFonts w:hint="default" w:eastAsia="仿宋_GB2312"/>
                <w:color w:val="auto"/>
                <w:sz w:val="24"/>
                <w:lang w:val="en-US" w:eastAsia="zh-CN"/>
              </w:rPr>
            </w:pPr>
            <w:r>
              <w:rPr>
                <w:rFonts w:hint="eastAsia"/>
                <w:color w:val="auto"/>
                <w:sz w:val="24"/>
                <w:lang w:val="en-US" w:eastAsia="zh-CN"/>
              </w:rPr>
              <w:t>4.9</w:t>
            </w:r>
          </w:p>
        </w:tc>
        <w:tc>
          <w:tcPr>
            <w:tcW w:w="900" w:type="dxa"/>
            <w:noWrap w:val="0"/>
            <w:vAlign w:val="center"/>
          </w:tcPr>
          <w:p>
            <w:pPr>
              <w:jc w:val="center"/>
              <w:textAlignment w:val="center"/>
              <w:rPr>
                <w:rFonts w:hint="eastAsia" w:eastAsia="仿宋_GB2312"/>
                <w:color w:val="auto"/>
                <w:sz w:val="24"/>
                <w:lang w:eastAsia="zh-CN"/>
              </w:rPr>
            </w:pPr>
            <w:r>
              <w:rPr>
                <w:color w:val="auto"/>
                <w:sz w:val="24"/>
              </w:rPr>
              <w:t>≥</w:t>
            </w:r>
            <w:r>
              <w:rPr>
                <w:rFonts w:hint="eastAsia"/>
                <w:color w:val="auto"/>
                <w:sz w:val="24"/>
                <w:lang w:val="en-US" w:eastAsia="zh-CN"/>
              </w:rPr>
              <w:t>7</w:t>
            </w:r>
          </w:p>
        </w:tc>
        <w:tc>
          <w:tcPr>
            <w:tcW w:w="901" w:type="dxa"/>
            <w:noWrap w:val="0"/>
            <w:vAlign w:val="center"/>
          </w:tcPr>
          <w:p>
            <w:pPr>
              <w:jc w:val="center"/>
              <w:textAlignment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2</w:t>
            </w:r>
          </w:p>
        </w:tc>
        <w:tc>
          <w:tcPr>
            <w:tcW w:w="5495" w:type="dxa"/>
            <w:noWrap w:val="0"/>
            <w:vAlign w:val="center"/>
          </w:tcPr>
          <w:p>
            <w:pPr>
              <w:textAlignment w:val="center"/>
              <w:rPr>
                <w:color w:val="auto"/>
                <w:sz w:val="24"/>
              </w:rPr>
            </w:pPr>
            <w:r>
              <w:rPr>
                <w:color w:val="auto"/>
                <w:sz w:val="24"/>
              </w:rPr>
              <w:t>生活不能自理兜底保障对象集中供养率（%）</w:t>
            </w:r>
          </w:p>
        </w:tc>
        <w:tc>
          <w:tcPr>
            <w:tcW w:w="900" w:type="dxa"/>
            <w:noWrap w:val="0"/>
            <w:vAlign w:val="center"/>
          </w:tcPr>
          <w:p>
            <w:pPr>
              <w:jc w:val="center"/>
              <w:textAlignment w:val="center"/>
              <w:rPr>
                <w:color w:val="auto"/>
                <w:sz w:val="24"/>
              </w:rPr>
            </w:pPr>
            <w:r>
              <w:rPr>
                <w:color w:val="auto"/>
                <w:sz w:val="24"/>
              </w:rPr>
              <w:t>30</w:t>
            </w:r>
          </w:p>
        </w:tc>
        <w:tc>
          <w:tcPr>
            <w:tcW w:w="900" w:type="dxa"/>
            <w:noWrap w:val="0"/>
            <w:vAlign w:val="center"/>
          </w:tcPr>
          <w:p>
            <w:pPr>
              <w:jc w:val="center"/>
              <w:textAlignment w:val="center"/>
              <w:rPr>
                <w:color w:val="auto"/>
                <w:sz w:val="24"/>
              </w:rPr>
            </w:pPr>
            <w:r>
              <w:rPr>
                <w:color w:val="auto"/>
                <w:sz w:val="24"/>
              </w:rPr>
              <w:t>≥60</w:t>
            </w:r>
          </w:p>
        </w:tc>
        <w:tc>
          <w:tcPr>
            <w:tcW w:w="901" w:type="dxa"/>
            <w:noWrap w:val="0"/>
            <w:vAlign w:val="center"/>
          </w:tcPr>
          <w:p>
            <w:pPr>
              <w:jc w:val="cente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3</w:t>
            </w:r>
          </w:p>
        </w:tc>
        <w:tc>
          <w:tcPr>
            <w:tcW w:w="5495" w:type="dxa"/>
            <w:noWrap w:val="0"/>
            <w:vAlign w:val="center"/>
          </w:tcPr>
          <w:p>
            <w:pPr>
              <w:textAlignment w:val="center"/>
              <w:rPr>
                <w:color w:val="auto"/>
                <w:sz w:val="24"/>
              </w:rPr>
            </w:pPr>
            <w:r>
              <w:rPr>
                <w:color w:val="auto"/>
                <w:sz w:val="24"/>
              </w:rPr>
              <w:t>有集中供养意愿的兜底保障对象集中供养率（%）</w:t>
            </w:r>
          </w:p>
        </w:tc>
        <w:tc>
          <w:tcPr>
            <w:tcW w:w="900" w:type="dxa"/>
            <w:noWrap w:val="0"/>
            <w:vAlign w:val="center"/>
          </w:tcPr>
          <w:p>
            <w:pPr>
              <w:jc w:val="center"/>
              <w:textAlignment w:val="center"/>
              <w:rPr>
                <w:color w:val="auto"/>
                <w:sz w:val="24"/>
              </w:rPr>
            </w:pPr>
            <w:r>
              <w:rPr>
                <w:color w:val="auto"/>
                <w:sz w:val="24"/>
              </w:rPr>
              <w:t>100</w:t>
            </w:r>
          </w:p>
        </w:tc>
        <w:tc>
          <w:tcPr>
            <w:tcW w:w="900" w:type="dxa"/>
            <w:noWrap w:val="0"/>
            <w:vAlign w:val="center"/>
          </w:tcPr>
          <w:p>
            <w:pPr>
              <w:jc w:val="center"/>
              <w:textAlignment w:val="center"/>
              <w:rPr>
                <w:color w:val="auto"/>
                <w:sz w:val="24"/>
              </w:rPr>
            </w:pPr>
            <w:r>
              <w:rPr>
                <w:color w:val="auto"/>
                <w:sz w:val="24"/>
              </w:rPr>
              <w:t>100</w:t>
            </w:r>
          </w:p>
        </w:tc>
        <w:tc>
          <w:tcPr>
            <w:tcW w:w="901" w:type="dxa"/>
            <w:noWrap w:val="0"/>
            <w:vAlign w:val="center"/>
          </w:tcPr>
          <w:p>
            <w:pPr>
              <w:jc w:val="cente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4</w:t>
            </w:r>
          </w:p>
        </w:tc>
        <w:tc>
          <w:tcPr>
            <w:tcW w:w="5495" w:type="dxa"/>
            <w:noWrap w:val="0"/>
            <w:vAlign w:val="center"/>
          </w:tcPr>
          <w:p>
            <w:pPr>
              <w:textAlignment w:val="center"/>
              <w:rPr>
                <w:color w:val="auto"/>
                <w:sz w:val="24"/>
              </w:rPr>
            </w:pPr>
            <w:r>
              <w:rPr>
                <w:color w:val="auto"/>
                <w:sz w:val="24"/>
              </w:rPr>
              <w:t>特殊困难老年人月探访率（%）</w:t>
            </w:r>
          </w:p>
        </w:tc>
        <w:tc>
          <w:tcPr>
            <w:tcW w:w="900" w:type="dxa"/>
            <w:noWrap w:val="0"/>
            <w:vAlign w:val="center"/>
          </w:tcPr>
          <w:p>
            <w:pPr>
              <w:jc w:val="center"/>
              <w:textAlignment w:val="center"/>
              <w:rPr>
                <w:color w:val="auto"/>
                <w:sz w:val="24"/>
              </w:rPr>
            </w:pPr>
            <w:r>
              <w:rPr>
                <w:color w:val="auto"/>
                <w:sz w:val="24"/>
              </w:rPr>
              <w:t>80</w:t>
            </w:r>
          </w:p>
        </w:tc>
        <w:tc>
          <w:tcPr>
            <w:tcW w:w="900" w:type="dxa"/>
            <w:noWrap w:val="0"/>
            <w:vAlign w:val="center"/>
          </w:tcPr>
          <w:p>
            <w:pPr>
              <w:jc w:val="center"/>
              <w:textAlignment w:val="center"/>
              <w:rPr>
                <w:color w:val="auto"/>
                <w:sz w:val="24"/>
              </w:rPr>
            </w:pPr>
            <w:r>
              <w:rPr>
                <w:color w:val="auto"/>
                <w:sz w:val="24"/>
              </w:rPr>
              <w:t>100</w:t>
            </w:r>
          </w:p>
        </w:tc>
        <w:tc>
          <w:tcPr>
            <w:tcW w:w="901" w:type="dxa"/>
            <w:noWrap w:val="0"/>
            <w:vAlign w:val="center"/>
          </w:tcPr>
          <w:p>
            <w:pPr>
              <w:jc w:val="center"/>
              <w:textAlignment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5</w:t>
            </w:r>
          </w:p>
        </w:tc>
        <w:tc>
          <w:tcPr>
            <w:tcW w:w="5495" w:type="dxa"/>
            <w:noWrap w:val="0"/>
            <w:vAlign w:val="center"/>
          </w:tcPr>
          <w:p>
            <w:pPr>
              <w:textAlignment w:val="center"/>
              <w:rPr>
                <w:color w:val="auto"/>
                <w:sz w:val="24"/>
              </w:rPr>
            </w:pPr>
            <w:r>
              <w:rPr>
                <w:color w:val="auto"/>
                <w:sz w:val="24"/>
              </w:rPr>
              <w:t>乡镇（街道）层面区域性养老服务中心覆盖率（%）</w:t>
            </w:r>
          </w:p>
        </w:tc>
        <w:tc>
          <w:tcPr>
            <w:tcW w:w="900" w:type="dxa"/>
            <w:noWrap w:val="0"/>
            <w:vAlign w:val="center"/>
          </w:tcPr>
          <w:p>
            <w:pPr>
              <w:jc w:val="center"/>
              <w:textAlignment w:val="center"/>
              <w:rPr>
                <w:color w:val="auto"/>
                <w:sz w:val="24"/>
              </w:rPr>
            </w:pPr>
            <w:r>
              <w:rPr>
                <w:color w:val="auto"/>
                <w:sz w:val="24"/>
              </w:rPr>
              <w:t>30</w:t>
            </w:r>
          </w:p>
        </w:tc>
        <w:tc>
          <w:tcPr>
            <w:tcW w:w="900" w:type="dxa"/>
            <w:noWrap w:val="0"/>
            <w:vAlign w:val="center"/>
          </w:tcPr>
          <w:p>
            <w:pPr>
              <w:jc w:val="center"/>
              <w:textAlignment w:val="center"/>
              <w:rPr>
                <w:color w:val="auto"/>
                <w:sz w:val="24"/>
              </w:rPr>
            </w:pPr>
            <w:r>
              <w:rPr>
                <w:color w:val="auto"/>
                <w:sz w:val="24"/>
              </w:rPr>
              <w:t>≥60</w:t>
            </w:r>
          </w:p>
        </w:tc>
        <w:tc>
          <w:tcPr>
            <w:tcW w:w="901" w:type="dxa"/>
            <w:noWrap w:val="0"/>
            <w:vAlign w:val="center"/>
          </w:tcPr>
          <w:p>
            <w:pPr>
              <w:jc w:val="center"/>
              <w:textAlignment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6</w:t>
            </w:r>
          </w:p>
        </w:tc>
        <w:tc>
          <w:tcPr>
            <w:tcW w:w="5495" w:type="dxa"/>
            <w:noWrap w:val="0"/>
            <w:vAlign w:val="center"/>
          </w:tcPr>
          <w:p>
            <w:pPr>
              <w:textAlignment w:val="center"/>
              <w:rPr>
                <w:color w:val="auto"/>
                <w:sz w:val="24"/>
              </w:rPr>
            </w:pPr>
            <w:r>
              <w:rPr>
                <w:color w:val="auto"/>
                <w:sz w:val="24"/>
              </w:rPr>
              <w:t>新建城区、新建居住区配套建设社区养老服务设施达标率（%）</w:t>
            </w:r>
          </w:p>
        </w:tc>
        <w:tc>
          <w:tcPr>
            <w:tcW w:w="900" w:type="dxa"/>
            <w:noWrap w:val="0"/>
            <w:vAlign w:val="center"/>
          </w:tcPr>
          <w:p>
            <w:pPr>
              <w:jc w:val="center"/>
              <w:textAlignment w:val="center"/>
              <w:rPr>
                <w:color w:val="auto"/>
                <w:sz w:val="24"/>
              </w:rPr>
            </w:pPr>
            <w:r>
              <w:rPr>
                <w:color w:val="auto"/>
                <w:sz w:val="22"/>
                <w:szCs w:val="22"/>
              </w:rPr>
              <w:t>—</w:t>
            </w:r>
          </w:p>
        </w:tc>
        <w:tc>
          <w:tcPr>
            <w:tcW w:w="900" w:type="dxa"/>
            <w:noWrap w:val="0"/>
            <w:vAlign w:val="center"/>
          </w:tcPr>
          <w:p>
            <w:pPr>
              <w:jc w:val="center"/>
              <w:textAlignment w:val="center"/>
              <w:rPr>
                <w:color w:val="auto"/>
                <w:sz w:val="24"/>
              </w:rPr>
            </w:pPr>
            <w:r>
              <w:rPr>
                <w:color w:val="auto"/>
                <w:sz w:val="24"/>
              </w:rPr>
              <w:t>100</w:t>
            </w:r>
          </w:p>
        </w:tc>
        <w:tc>
          <w:tcPr>
            <w:tcW w:w="901" w:type="dxa"/>
            <w:noWrap w:val="0"/>
            <w:vAlign w:val="center"/>
          </w:tcPr>
          <w:p>
            <w:pPr>
              <w:jc w:val="cente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7</w:t>
            </w:r>
          </w:p>
        </w:tc>
        <w:tc>
          <w:tcPr>
            <w:tcW w:w="5495" w:type="dxa"/>
            <w:noWrap w:val="0"/>
            <w:vAlign w:val="center"/>
          </w:tcPr>
          <w:p>
            <w:pPr>
              <w:textAlignment w:val="center"/>
              <w:rPr>
                <w:color w:val="auto"/>
                <w:sz w:val="24"/>
              </w:rPr>
            </w:pPr>
            <w:r>
              <w:rPr>
                <w:color w:val="auto"/>
                <w:sz w:val="24"/>
              </w:rPr>
              <w:t>社区日间照料机构覆盖率（%）</w:t>
            </w:r>
          </w:p>
        </w:tc>
        <w:tc>
          <w:tcPr>
            <w:tcW w:w="900" w:type="dxa"/>
            <w:noWrap w:val="0"/>
            <w:vAlign w:val="center"/>
          </w:tcPr>
          <w:p>
            <w:pPr>
              <w:jc w:val="center"/>
              <w:textAlignment w:val="center"/>
              <w:rPr>
                <w:color w:val="auto"/>
                <w:sz w:val="24"/>
              </w:rPr>
            </w:pPr>
            <w:r>
              <w:rPr>
                <w:color w:val="auto"/>
                <w:sz w:val="24"/>
              </w:rPr>
              <w:t>70</w:t>
            </w:r>
          </w:p>
        </w:tc>
        <w:tc>
          <w:tcPr>
            <w:tcW w:w="900" w:type="dxa"/>
            <w:noWrap w:val="0"/>
            <w:vAlign w:val="center"/>
          </w:tcPr>
          <w:p>
            <w:pPr>
              <w:jc w:val="center"/>
              <w:textAlignment w:val="center"/>
              <w:rPr>
                <w:color w:val="auto"/>
                <w:sz w:val="24"/>
              </w:rPr>
            </w:pPr>
            <w:r>
              <w:rPr>
                <w:color w:val="auto"/>
                <w:sz w:val="24"/>
              </w:rPr>
              <w:t>≥90</w:t>
            </w:r>
          </w:p>
        </w:tc>
        <w:tc>
          <w:tcPr>
            <w:tcW w:w="901" w:type="dxa"/>
            <w:noWrap w:val="0"/>
            <w:vAlign w:val="center"/>
          </w:tcPr>
          <w:p>
            <w:pPr>
              <w:jc w:val="cente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8</w:t>
            </w:r>
          </w:p>
        </w:tc>
        <w:tc>
          <w:tcPr>
            <w:tcW w:w="5495" w:type="dxa"/>
            <w:noWrap w:val="0"/>
            <w:vAlign w:val="center"/>
          </w:tcPr>
          <w:p>
            <w:pPr>
              <w:textAlignment w:val="center"/>
              <w:rPr>
                <w:color w:val="auto"/>
                <w:sz w:val="24"/>
              </w:rPr>
            </w:pPr>
            <w:r>
              <w:rPr>
                <w:color w:val="auto"/>
                <w:sz w:val="24"/>
              </w:rPr>
              <w:t>养老机构护理型床位占比（%）</w:t>
            </w:r>
          </w:p>
        </w:tc>
        <w:tc>
          <w:tcPr>
            <w:tcW w:w="900" w:type="dxa"/>
            <w:noWrap w:val="0"/>
            <w:vAlign w:val="center"/>
          </w:tcPr>
          <w:p>
            <w:pPr>
              <w:jc w:val="center"/>
              <w:textAlignment w:val="center"/>
              <w:rPr>
                <w:color w:val="auto"/>
                <w:sz w:val="24"/>
              </w:rPr>
            </w:pPr>
            <w:r>
              <w:rPr>
                <w:color w:val="auto"/>
                <w:sz w:val="24"/>
              </w:rPr>
              <w:t>30</w:t>
            </w:r>
          </w:p>
        </w:tc>
        <w:tc>
          <w:tcPr>
            <w:tcW w:w="900" w:type="dxa"/>
            <w:noWrap w:val="0"/>
            <w:vAlign w:val="center"/>
          </w:tcPr>
          <w:p>
            <w:pPr>
              <w:jc w:val="center"/>
              <w:textAlignment w:val="center"/>
              <w:rPr>
                <w:color w:val="auto"/>
                <w:sz w:val="24"/>
              </w:rPr>
            </w:pPr>
            <w:r>
              <w:rPr>
                <w:color w:val="auto"/>
                <w:sz w:val="24"/>
              </w:rPr>
              <w:t>≥55</w:t>
            </w:r>
          </w:p>
        </w:tc>
        <w:tc>
          <w:tcPr>
            <w:tcW w:w="901" w:type="dxa"/>
            <w:noWrap w:val="0"/>
            <w:vAlign w:val="center"/>
          </w:tcPr>
          <w:p>
            <w:pPr>
              <w:jc w:val="cente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9</w:t>
            </w:r>
          </w:p>
        </w:tc>
        <w:tc>
          <w:tcPr>
            <w:tcW w:w="5495" w:type="dxa"/>
            <w:noWrap w:val="0"/>
            <w:vAlign w:val="center"/>
          </w:tcPr>
          <w:p>
            <w:pPr>
              <w:textAlignment w:val="center"/>
              <w:rPr>
                <w:color w:val="auto"/>
                <w:sz w:val="24"/>
              </w:rPr>
            </w:pPr>
            <w:r>
              <w:rPr>
                <w:color w:val="auto"/>
                <w:sz w:val="24"/>
              </w:rPr>
              <w:t>65岁以上老年人健康管理率（%）</w:t>
            </w:r>
          </w:p>
        </w:tc>
        <w:tc>
          <w:tcPr>
            <w:tcW w:w="900" w:type="dxa"/>
            <w:noWrap w:val="0"/>
            <w:vAlign w:val="center"/>
          </w:tcPr>
          <w:p>
            <w:pPr>
              <w:jc w:val="center"/>
              <w:textAlignment w:val="center"/>
              <w:rPr>
                <w:color w:val="auto"/>
                <w:sz w:val="24"/>
              </w:rPr>
            </w:pPr>
            <w:r>
              <w:rPr>
                <w:color w:val="auto"/>
                <w:sz w:val="22"/>
                <w:szCs w:val="22"/>
              </w:rPr>
              <w:t>—</w:t>
            </w:r>
          </w:p>
        </w:tc>
        <w:tc>
          <w:tcPr>
            <w:tcW w:w="900" w:type="dxa"/>
            <w:noWrap w:val="0"/>
            <w:vAlign w:val="center"/>
          </w:tcPr>
          <w:p>
            <w:pPr>
              <w:jc w:val="center"/>
              <w:textAlignment w:val="center"/>
              <w:rPr>
                <w:rFonts w:hint="default" w:eastAsia="仿宋_GB2312"/>
                <w:color w:val="auto"/>
                <w:sz w:val="24"/>
                <w:lang w:val="en-US" w:eastAsia="zh-CN"/>
              </w:rPr>
            </w:pPr>
            <w:r>
              <w:rPr>
                <w:color w:val="auto"/>
                <w:sz w:val="24"/>
              </w:rPr>
              <w:t>≥75</w:t>
            </w:r>
          </w:p>
        </w:tc>
        <w:tc>
          <w:tcPr>
            <w:tcW w:w="901" w:type="dxa"/>
            <w:noWrap w:val="0"/>
            <w:vAlign w:val="center"/>
          </w:tcPr>
          <w:p>
            <w:pPr>
              <w:jc w:val="cente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10</w:t>
            </w:r>
          </w:p>
        </w:tc>
        <w:tc>
          <w:tcPr>
            <w:tcW w:w="5495" w:type="dxa"/>
            <w:noWrap w:val="0"/>
            <w:vAlign w:val="center"/>
          </w:tcPr>
          <w:p>
            <w:pPr>
              <w:textAlignment w:val="center"/>
              <w:rPr>
                <w:color w:val="auto"/>
                <w:sz w:val="24"/>
              </w:rPr>
            </w:pPr>
            <w:r>
              <w:rPr>
                <w:color w:val="auto"/>
                <w:sz w:val="24"/>
              </w:rPr>
              <w:t>设立老年医学科的二级及以上综合性医院占比（%）</w:t>
            </w:r>
          </w:p>
        </w:tc>
        <w:tc>
          <w:tcPr>
            <w:tcW w:w="900" w:type="dxa"/>
            <w:noWrap w:val="0"/>
            <w:vAlign w:val="center"/>
          </w:tcPr>
          <w:p>
            <w:pPr>
              <w:jc w:val="center"/>
              <w:textAlignment w:val="center"/>
              <w:rPr>
                <w:color w:val="auto"/>
                <w:sz w:val="24"/>
              </w:rPr>
            </w:pPr>
            <w:r>
              <w:rPr>
                <w:color w:val="auto"/>
                <w:sz w:val="22"/>
                <w:szCs w:val="22"/>
              </w:rPr>
              <w:t>—</w:t>
            </w:r>
          </w:p>
        </w:tc>
        <w:tc>
          <w:tcPr>
            <w:tcW w:w="900" w:type="dxa"/>
            <w:noWrap w:val="0"/>
            <w:vAlign w:val="center"/>
          </w:tcPr>
          <w:p>
            <w:pPr>
              <w:jc w:val="center"/>
              <w:textAlignment w:val="center"/>
              <w:rPr>
                <w:color w:val="auto"/>
                <w:sz w:val="24"/>
              </w:rPr>
            </w:pPr>
            <w:r>
              <w:rPr>
                <w:color w:val="auto"/>
                <w:sz w:val="24"/>
              </w:rPr>
              <w:t>≥</w:t>
            </w:r>
            <w:r>
              <w:rPr>
                <w:rFonts w:hint="eastAsia"/>
                <w:color w:val="auto"/>
                <w:sz w:val="24"/>
                <w:lang w:val="en-US" w:eastAsia="zh-CN"/>
              </w:rPr>
              <w:t>80</w:t>
            </w:r>
          </w:p>
        </w:tc>
        <w:tc>
          <w:tcPr>
            <w:tcW w:w="901" w:type="dxa"/>
            <w:noWrap w:val="0"/>
            <w:vAlign w:val="center"/>
          </w:tcPr>
          <w:p>
            <w:pP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11</w:t>
            </w:r>
          </w:p>
        </w:tc>
        <w:tc>
          <w:tcPr>
            <w:tcW w:w="5495" w:type="dxa"/>
            <w:noWrap w:val="0"/>
            <w:vAlign w:val="center"/>
          </w:tcPr>
          <w:p>
            <w:pPr>
              <w:textAlignment w:val="center"/>
              <w:rPr>
                <w:color w:val="auto"/>
                <w:sz w:val="24"/>
              </w:rPr>
            </w:pPr>
            <w:r>
              <w:rPr>
                <w:color w:val="auto"/>
                <w:sz w:val="24"/>
              </w:rPr>
              <w:t>每千名老年人配备社会工作者人数（人）</w:t>
            </w:r>
          </w:p>
        </w:tc>
        <w:tc>
          <w:tcPr>
            <w:tcW w:w="900" w:type="dxa"/>
            <w:noWrap w:val="0"/>
            <w:vAlign w:val="center"/>
          </w:tcPr>
          <w:p>
            <w:pPr>
              <w:jc w:val="center"/>
              <w:textAlignment w:val="center"/>
              <w:rPr>
                <w:color w:val="auto"/>
                <w:sz w:val="24"/>
              </w:rPr>
            </w:pPr>
            <w:r>
              <w:rPr>
                <w:color w:val="auto"/>
                <w:sz w:val="22"/>
                <w:szCs w:val="22"/>
              </w:rPr>
              <w:t>—</w:t>
            </w:r>
          </w:p>
        </w:tc>
        <w:tc>
          <w:tcPr>
            <w:tcW w:w="900" w:type="dxa"/>
            <w:noWrap w:val="0"/>
            <w:vAlign w:val="center"/>
          </w:tcPr>
          <w:p>
            <w:pPr>
              <w:jc w:val="center"/>
              <w:textAlignment w:val="center"/>
              <w:rPr>
                <w:color w:val="auto"/>
                <w:sz w:val="24"/>
              </w:rPr>
            </w:pPr>
            <w:r>
              <w:rPr>
                <w:color w:val="auto"/>
                <w:sz w:val="24"/>
              </w:rPr>
              <w:t>≥1</w:t>
            </w:r>
          </w:p>
        </w:tc>
        <w:tc>
          <w:tcPr>
            <w:tcW w:w="901" w:type="dxa"/>
            <w:noWrap w:val="0"/>
            <w:vAlign w:val="center"/>
          </w:tcPr>
          <w:p>
            <w:pPr>
              <w:jc w:val="cente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12</w:t>
            </w:r>
          </w:p>
        </w:tc>
        <w:tc>
          <w:tcPr>
            <w:tcW w:w="5495" w:type="dxa"/>
            <w:noWrap w:val="0"/>
            <w:vAlign w:val="center"/>
          </w:tcPr>
          <w:p>
            <w:pPr>
              <w:textAlignment w:val="center"/>
              <w:rPr>
                <w:color w:val="auto"/>
                <w:sz w:val="24"/>
              </w:rPr>
            </w:pPr>
            <w:r>
              <w:rPr>
                <w:color w:val="auto"/>
                <w:sz w:val="24"/>
              </w:rPr>
              <w:t>每百张养老床位配备社会工作者（人）</w:t>
            </w:r>
          </w:p>
        </w:tc>
        <w:tc>
          <w:tcPr>
            <w:tcW w:w="900" w:type="dxa"/>
            <w:noWrap w:val="0"/>
            <w:vAlign w:val="center"/>
          </w:tcPr>
          <w:p>
            <w:pPr>
              <w:jc w:val="center"/>
              <w:textAlignment w:val="center"/>
              <w:rPr>
                <w:color w:val="auto"/>
                <w:sz w:val="24"/>
              </w:rPr>
            </w:pPr>
            <w:r>
              <w:rPr>
                <w:color w:val="auto"/>
                <w:sz w:val="22"/>
                <w:szCs w:val="22"/>
              </w:rPr>
              <w:t>—</w:t>
            </w:r>
          </w:p>
        </w:tc>
        <w:tc>
          <w:tcPr>
            <w:tcW w:w="900" w:type="dxa"/>
            <w:noWrap w:val="0"/>
            <w:vAlign w:val="center"/>
          </w:tcPr>
          <w:p>
            <w:pPr>
              <w:jc w:val="center"/>
              <w:textAlignment w:val="center"/>
              <w:rPr>
                <w:color w:val="auto"/>
                <w:sz w:val="24"/>
              </w:rPr>
            </w:pPr>
            <w:r>
              <w:rPr>
                <w:color w:val="auto"/>
                <w:sz w:val="24"/>
              </w:rPr>
              <w:t>≥1</w:t>
            </w:r>
          </w:p>
        </w:tc>
        <w:tc>
          <w:tcPr>
            <w:tcW w:w="901" w:type="dxa"/>
            <w:noWrap w:val="0"/>
            <w:vAlign w:val="center"/>
          </w:tcPr>
          <w:p>
            <w:pPr>
              <w:jc w:val="cente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13</w:t>
            </w:r>
          </w:p>
        </w:tc>
        <w:tc>
          <w:tcPr>
            <w:tcW w:w="5495" w:type="dxa"/>
            <w:noWrap w:val="0"/>
            <w:vAlign w:val="center"/>
          </w:tcPr>
          <w:p>
            <w:pPr>
              <w:textAlignment w:val="center"/>
              <w:rPr>
                <w:color w:val="auto"/>
                <w:sz w:val="24"/>
              </w:rPr>
            </w:pPr>
            <w:r>
              <w:rPr>
                <w:color w:val="auto"/>
                <w:sz w:val="24"/>
              </w:rPr>
              <w:t>养老服务人员培训率（%）</w:t>
            </w:r>
          </w:p>
        </w:tc>
        <w:tc>
          <w:tcPr>
            <w:tcW w:w="900" w:type="dxa"/>
            <w:noWrap w:val="0"/>
            <w:vAlign w:val="center"/>
          </w:tcPr>
          <w:p>
            <w:pPr>
              <w:jc w:val="center"/>
              <w:textAlignment w:val="center"/>
              <w:rPr>
                <w:color w:val="auto"/>
                <w:sz w:val="24"/>
              </w:rPr>
            </w:pPr>
            <w:r>
              <w:rPr>
                <w:color w:val="auto"/>
                <w:sz w:val="24"/>
              </w:rPr>
              <w:t>90</w:t>
            </w:r>
          </w:p>
        </w:tc>
        <w:tc>
          <w:tcPr>
            <w:tcW w:w="900" w:type="dxa"/>
            <w:noWrap w:val="0"/>
            <w:vAlign w:val="center"/>
          </w:tcPr>
          <w:p>
            <w:pPr>
              <w:jc w:val="center"/>
              <w:textAlignment w:val="center"/>
              <w:rPr>
                <w:color w:val="auto"/>
                <w:sz w:val="24"/>
              </w:rPr>
            </w:pPr>
            <w:r>
              <w:rPr>
                <w:color w:val="auto"/>
                <w:sz w:val="24"/>
              </w:rPr>
              <w:t>100</w:t>
            </w:r>
          </w:p>
        </w:tc>
        <w:tc>
          <w:tcPr>
            <w:tcW w:w="901" w:type="dxa"/>
            <w:noWrap w:val="0"/>
            <w:vAlign w:val="center"/>
          </w:tcPr>
          <w:p>
            <w:pPr>
              <w:jc w:val="cente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14</w:t>
            </w:r>
          </w:p>
        </w:tc>
        <w:tc>
          <w:tcPr>
            <w:tcW w:w="5495" w:type="dxa"/>
            <w:noWrap w:val="0"/>
            <w:vAlign w:val="center"/>
          </w:tcPr>
          <w:p>
            <w:pPr>
              <w:textAlignment w:val="center"/>
              <w:rPr>
                <w:color w:val="auto"/>
                <w:sz w:val="24"/>
              </w:rPr>
            </w:pPr>
            <w:r>
              <w:rPr>
                <w:color w:val="auto"/>
                <w:sz w:val="24"/>
              </w:rPr>
              <w:t>县级老年大学覆盖率（%）</w:t>
            </w:r>
          </w:p>
        </w:tc>
        <w:tc>
          <w:tcPr>
            <w:tcW w:w="900" w:type="dxa"/>
            <w:noWrap w:val="0"/>
            <w:vAlign w:val="center"/>
          </w:tcPr>
          <w:p>
            <w:pPr>
              <w:jc w:val="center"/>
              <w:textAlignment w:val="center"/>
              <w:rPr>
                <w:rFonts w:hint="default" w:eastAsia="仿宋_GB2312"/>
                <w:color w:val="auto"/>
                <w:sz w:val="24"/>
                <w:lang w:val="en-US" w:eastAsia="zh-CN"/>
              </w:rPr>
            </w:pPr>
            <w:r>
              <w:rPr>
                <w:rFonts w:hint="eastAsia"/>
                <w:color w:val="auto"/>
                <w:sz w:val="24"/>
                <w:lang w:val="en-US" w:eastAsia="zh-CN"/>
              </w:rPr>
              <w:t>100</w:t>
            </w:r>
          </w:p>
        </w:tc>
        <w:tc>
          <w:tcPr>
            <w:tcW w:w="900" w:type="dxa"/>
            <w:noWrap w:val="0"/>
            <w:vAlign w:val="center"/>
          </w:tcPr>
          <w:p>
            <w:pPr>
              <w:jc w:val="center"/>
              <w:textAlignment w:val="center"/>
              <w:rPr>
                <w:color w:val="auto"/>
                <w:sz w:val="24"/>
              </w:rPr>
            </w:pPr>
            <w:r>
              <w:rPr>
                <w:color w:val="auto"/>
                <w:sz w:val="24"/>
              </w:rPr>
              <w:t>100</w:t>
            </w:r>
          </w:p>
        </w:tc>
        <w:tc>
          <w:tcPr>
            <w:tcW w:w="901" w:type="dxa"/>
            <w:noWrap w:val="0"/>
            <w:vAlign w:val="center"/>
          </w:tcPr>
          <w:p>
            <w:pPr>
              <w:jc w:val="center"/>
              <w:textAlignment w:val="center"/>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15</w:t>
            </w:r>
          </w:p>
        </w:tc>
        <w:tc>
          <w:tcPr>
            <w:tcW w:w="5495" w:type="dxa"/>
            <w:noWrap w:val="0"/>
            <w:vAlign w:val="center"/>
          </w:tcPr>
          <w:p>
            <w:pPr>
              <w:textAlignment w:val="center"/>
              <w:rPr>
                <w:color w:val="auto"/>
                <w:sz w:val="24"/>
              </w:rPr>
            </w:pPr>
            <w:r>
              <w:rPr>
                <w:color w:val="auto"/>
                <w:sz w:val="24"/>
              </w:rPr>
              <w:t>老年志愿服务者占老年人口比例（%）</w:t>
            </w:r>
          </w:p>
        </w:tc>
        <w:tc>
          <w:tcPr>
            <w:tcW w:w="900" w:type="dxa"/>
            <w:noWrap w:val="0"/>
            <w:vAlign w:val="center"/>
          </w:tcPr>
          <w:p>
            <w:pPr>
              <w:jc w:val="center"/>
              <w:textAlignment w:val="center"/>
              <w:rPr>
                <w:color w:val="auto"/>
                <w:sz w:val="24"/>
              </w:rPr>
            </w:pPr>
            <w:r>
              <w:rPr>
                <w:color w:val="auto"/>
                <w:sz w:val="24"/>
              </w:rPr>
              <w:t>10</w:t>
            </w:r>
          </w:p>
        </w:tc>
        <w:tc>
          <w:tcPr>
            <w:tcW w:w="900" w:type="dxa"/>
            <w:noWrap w:val="0"/>
            <w:vAlign w:val="center"/>
          </w:tcPr>
          <w:p>
            <w:pPr>
              <w:jc w:val="center"/>
              <w:textAlignment w:val="center"/>
              <w:rPr>
                <w:color w:val="auto"/>
                <w:sz w:val="24"/>
              </w:rPr>
            </w:pPr>
            <w:r>
              <w:rPr>
                <w:color w:val="auto"/>
                <w:sz w:val="24"/>
              </w:rPr>
              <w:t>≥12</w:t>
            </w:r>
          </w:p>
        </w:tc>
        <w:tc>
          <w:tcPr>
            <w:tcW w:w="901" w:type="dxa"/>
            <w:noWrap w:val="0"/>
            <w:vAlign w:val="center"/>
          </w:tcPr>
          <w:p>
            <w:pPr>
              <w:jc w:val="center"/>
              <w:textAlignment w:val="center"/>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9" w:type="dxa"/>
            <w:noWrap w:val="0"/>
            <w:vAlign w:val="center"/>
          </w:tcPr>
          <w:p>
            <w:pPr>
              <w:jc w:val="center"/>
              <w:textAlignment w:val="center"/>
              <w:rPr>
                <w:color w:val="auto"/>
                <w:sz w:val="24"/>
              </w:rPr>
            </w:pPr>
            <w:r>
              <w:rPr>
                <w:color w:val="auto"/>
                <w:sz w:val="24"/>
              </w:rPr>
              <w:t>16</w:t>
            </w:r>
          </w:p>
        </w:tc>
        <w:tc>
          <w:tcPr>
            <w:tcW w:w="5495" w:type="dxa"/>
            <w:noWrap w:val="0"/>
            <w:vAlign w:val="center"/>
          </w:tcPr>
          <w:p>
            <w:pPr>
              <w:textAlignment w:val="center"/>
              <w:rPr>
                <w:color w:val="auto"/>
                <w:sz w:val="24"/>
              </w:rPr>
            </w:pPr>
            <w:r>
              <w:rPr>
                <w:color w:val="auto"/>
                <w:sz w:val="24"/>
              </w:rPr>
              <w:t>培育养老服务骨干企业（个）</w:t>
            </w:r>
          </w:p>
        </w:tc>
        <w:tc>
          <w:tcPr>
            <w:tcW w:w="900" w:type="dxa"/>
            <w:noWrap w:val="0"/>
            <w:vAlign w:val="center"/>
          </w:tcPr>
          <w:p>
            <w:pPr>
              <w:jc w:val="center"/>
              <w:textAlignment w:val="center"/>
              <w:rPr>
                <w:color w:val="auto"/>
                <w:sz w:val="24"/>
              </w:rPr>
            </w:pPr>
            <w:r>
              <w:rPr>
                <w:color w:val="auto"/>
                <w:sz w:val="24"/>
              </w:rPr>
              <w:t>11</w:t>
            </w:r>
          </w:p>
        </w:tc>
        <w:tc>
          <w:tcPr>
            <w:tcW w:w="900" w:type="dxa"/>
            <w:noWrap w:val="0"/>
            <w:vAlign w:val="center"/>
          </w:tcPr>
          <w:p>
            <w:pPr>
              <w:jc w:val="center"/>
              <w:textAlignment w:val="center"/>
              <w:rPr>
                <w:color w:val="auto"/>
                <w:sz w:val="24"/>
              </w:rPr>
            </w:pPr>
            <w:r>
              <w:rPr>
                <w:color w:val="auto"/>
                <w:sz w:val="24"/>
              </w:rPr>
              <w:t>≥15</w:t>
            </w:r>
          </w:p>
        </w:tc>
        <w:tc>
          <w:tcPr>
            <w:tcW w:w="901" w:type="dxa"/>
            <w:noWrap w:val="0"/>
            <w:vAlign w:val="center"/>
          </w:tcPr>
          <w:p>
            <w:pPr>
              <w:jc w:val="center"/>
              <w:textAlignment w:val="center"/>
              <w:rPr>
                <w:color w:val="auto"/>
                <w:sz w:val="24"/>
              </w:rPr>
            </w:pPr>
            <w:r>
              <w:rPr>
                <w:color w:val="auto"/>
                <w:sz w:val="24"/>
              </w:rPr>
              <w:t>预期性</w:t>
            </w:r>
          </w:p>
        </w:tc>
      </w:tr>
    </w:tbl>
    <w:p>
      <w:pPr>
        <w:spacing w:line="578" w:lineRule="exact"/>
        <w:jc w:val="center"/>
        <w:outlineLvl w:val="0"/>
        <w:rPr>
          <w:rFonts w:eastAsia="方正小标宋简体"/>
          <w:color w:val="auto"/>
          <w:sz w:val="44"/>
          <w:szCs w:val="44"/>
        </w:rPr>
      </w:pPr>
      <w:bookmarkStart w:id="9" w:name="_Toc26600"/>
    </w:p>
    <w:p>
      <w:pPr>
        <w:spacing w:line="550" w:lineRule="exact"/>
        <w:jc w:val="center"/>
        <w:outlineLvl w:val="0"/>
        <w:rPr>
          <w:rFonts w:eastAsia="方正小标宋简体"/>
          <w:color w:val="auto"/>
          <w:sz w:val="44"/>
          <w:szCs w:val="44"/>
        </w:rPr>
      </w:pPr>
      <w:r>
        <w:rPr>
          <w:rFonts w:eastAsia="方正小标宋简体"/>
          <w:color w:val="auto"/>
          <w:sz w:val="44"/>
          <w:szCs w:val="44"/>
        </w:rPr>
        <w:br w:type="page"/>
      </w:r>
    </w:p>
    <w:p>
      <w:pPr>
        <w:spacing w:line="550" w:lineRule="exact"/>
        <w:jc w:val="center"/>
        <w:outlineLvl w:val="0"/>
        <w:rPr>
          <w:rFonts w:eastAsia="方正小标宋简体"/>
          <w:color w:val="auto"/>
          <w:sz w:val="44"/>
          <w:szCs w:val="44"/>
        </w:rPr>
      </w:pPr>
      <w:r>
        <w:rPr>
          <w:rFonts w:eastAsia="方正小标宋简体"/>
          <w:color w:val="auto"/>
          <w:sz w:val="44"/>
          <w:szCs w:val="44"/>
        </w:rPr>
        <w:t>第三章  主要任务</w:t>
      </w:r>
    </w:p>
    <w:p>
      <w:pPr>
        <w:pStyle w:val="5"/>
        <w:spacing w:line="550" w:lineRule="exact"/>
        <w:ind w:firstLine="640"/>
        <w:rPr>
          <w:rFonts w:eastAsia="仿宋_GB2312"/>
          <w:color w:val="auto"/>
          <w:sz w:val="32"/>
          <w:szCs w:val="32"/>
        </w:rPr>
      </w:pPr>
    </w:p>
    <w:p>
      <w:pPr>
        <w:numPr>
          <w:ilvl w:val="0"/>
          <w:numId w:val="1"/>
        </w:numPr>
        <w:spacing w:line="550" w:lineRule="exact"/>
        <w:ind w:left="0"/>
        <w:jc w:val="center"/>
        <w:textAlignment w:val="baseline"/>
        <w:outlineLvl w:val="1"/>
        <w:rPr>
          <w:rFonts w:eastAsia="黑体"/>
          <w:bCs/>
          <w:color w:val="auto"/>
          <w:szCs w:val="32"/>
        </w:rPr>
      </w:pPr>
      <w:r>
        <w:rPr>
          <w:rFonts w:eastAsia="黑体"/>
          <w:bCs/>
          <w:color w:val="auto"/>
          <w:szCs w:val="32"/>
        </w:rPr>
        <w:t xml:space="preserve"> 完善基本养老服务</w:t>
      </w:r>
      <w:bookmarkEnd w:id="9"/>
      <w:r>
        <w:rPr>
          <w:rFonts w:eastAsia="黑体"/>
          <w:bCs/>
          <w:color w:val="auto"/>
          <w:szCs w:val="32"/>
        </w:rPr>
        <w:t>保障制度</w:t>
      </w:r>
      <w:bookmarkStart w:id="10" w:name="_Toc17900"/>
    </w:p>
    <w:p>
      <w:pPr>
        <w:spacing w:line="550" w:lineRule="exact"/>
        <w:ind w:left="0" w:firstLine="640"/>
        <w:rPr>
          <w:ins w:id="1" w:author="陆离" w:date="2022-04-11T18:27:00Z"/>
          <w:rFonts w:eastAsia="楷体_GB2312"/>
          <w:color w:val="auto"/>
          <w:szCs w:val="32"/>
        </w:rPr>
      </w:pPr>
      <w:r>
        <w:rPr>
          <w:rFonts w:eastAsia="楷体_GB2312"/>
          <w:color w:val="auto"/>
          <w:szCs w:val="32"/>
        </w:rPr>
        <w:t>完善兜底性养老服务保障制度</w:t>
      </w:r>
      <w:bookmarkEnd w:id="10"/>
      <w:r>
        <w:rPr>
          <w:rFonts w:eastAsia="楷体_GB2312"/>
          <w:color w:val="auto"/>
          <w:szCs w:val="32"/>
        </w:rPr>
        <w:t>。</w:t>
      </w:r>
      <w:r>
        <w:rPr>
          <w:color w:val="auto"/>
          <w:szCs w:val="32"/>
        </w:rPr>
        <w:t>健全城乡特困人员供养制度，提升特困人员供养服务设施（敬老院）集中供养和失能照护能力，强化兜底保障作用，确保</w:t>
      </w:r>
      <w:r>
        <w:rPr>
          <w:color w:val="auto"/>
          <w:szCs w:val="32"/>
          <w:shd w:val="solid" w:color="FFFFFF" w:fill="auto"/>
        </w:rPr>
        <w:t>有集中供养意愿的特困人员集中供养率达100%。发挥社会救助兜底线作用，将符合条件的困难老年人纳入低保、特困人员救助、临时救助等政策保障范围。完善医疗救助制度，将特困人员纳入城乡医疗救助重点救助对象范围，对其在定点医疗机构发生的政策范围内的住院医疗费用，年度救助限额内予以全额救助。完善经济困难老年人养老服务政策，探索建立低保家庭失能失智老年人入住养老机构补贴制度。完善</w:t>
      </w:r>
      <w:r>
        <w:rPr>
          <w:color w:val="auto"/>
          <w:szCs w:val="32"/>
        </w:rPr>
        <w:t>农村留守老年人关爱服务制度，特殊困难老年人月探访率</w:t>
      </w:r>
      <w:r>
        <w:rPr>
          <w:color w:val="auto"/>
          <w:szCs w:val="32"/>
          <w:shd w:val="solid" w:color="FFFFFF" w:fill="auto"/>
        </w:rPr>
        <w:t>达100%。探索通过政府购买服务等方式为经济困难的失能老年人等提供必要的访视、照料服务。</w:t>
      </w:r>
    </w:p>
    <w:p>
      <w:pPr>
        <w:spacing w:line="550" w:lineRule="exact"/>
        <w:ind w:firstLine="640"/>
        <w:rPr>
          <w:ins w:id="2" w:author="陆离" w:date="2022-04-11T18:40:00Z"/>
          <w:rFonts w:eastAsia="楷体_GB2312"/>
          <w:color w:val="auto"/>
          <w:szCs w:val="32"/>
          <w:shd w:val="solid" w:color="FFFFFF" w:fill="auto"/>
        </w:rPr>
      </w:pPr>
      <w:r>
        <w:rPr>
          <w:rFonts w:eastAsia="楷体_GB2312"/>
          <w:color w:val="auto"/>
          <w:szCs w:val="32"/>
        </w:rPr>
        <w:t>建立基本养老服务清单制度</w:t>
      </w:r>
      <w:r>
        <w:rPr>
          <w:color w:val="auto"/>
          <w:szCs w:val="32"/>
        </w:rPr>
        <w:t>。</w:t>
      </w:r>
      <w:r>
        <w:rPr>
          <w:color w:val="auto"/>
          <w:szCs w:val="32"/>
          <w:shd w:val="solid" w:color="FFFFFF" w:fill="auto"/>
        </w:rPr>
        <w:t>将购买基本养老服务纳入政府向社会力量购买服务指导性目录。将基本养老服务清单内容纳入基本公共服务范畴，</w:t>
      </w:r>
      <w:r>
        <w:rPr>
          <w:color w:val="auto"/>
          <w:szCs w:val="32"/>
        </w:rPr>
        <w:t>明确服务对象、服务内容、服务标准和支出责任</w:t>
      </w:r>
      <w:r>
        <w:rPr>
          <w:color w:val="auto"/>
          <w:szCs w:val="32"/>
          <w:shd w:val="solid" w:color="FFFFFF" w:fill="auto"/>
        </w:rPr>
        <w:t>。</w:t>
      </w:r>
      <w:r>
        <w:rPr>
          <w:color w:val="auto"/>
          <w:szCs w:val="32"/>
        </w:rPr>
        <w:t>对健康、失能、失智、经济困难等不同老年人群体，分类提供养老保障、生活照料、康复照护、社会救助等适宜服务。</w:t>
      </w:r>
      <w:r>
        <w:rPr>
          <w:color w:val="auto"/>
          <w:szCs w:val="32"/>
          <w:shd w:val="solid" w:color="FFFFFF" w:fill="auto"/>
        </w:rPr>
        <w:t>优先将经济困难的失能、失智、重残、高龄、空巢、留守、计划生育特殊家庭等老年人纳入基本养老服务清单。按照全国统一的老年人能力综合评估标准，开展老年人能力综合评估，评估结果作为领取老年人补贴、接受基本养老服务的参考依据。培育综合评估机构，加强能力建设和规范管理。</w:t>
      </w:r>
      <w:bookmarkStart w:id="11" w:name="_Toc23085"/>
      <w:bookmarkStart w:id="12" w:name="_Toc86752190"/>
      <w:bookmarkStart w:id="13" w:name="_Toc86850792"/>
      <w:bookmarkStart w:id="14" w:name="_Toc86753576"/>
      <w:bookmarkStart w:id="15" w:name="_Toc86753789"/>
      <w:bookmarkStart w:id="16" w:name="_Toc87021143"/>
      <w:bookmarkStart w:id="17" w:name="_Toc86752317"/>
    </w:p>
    <w:p>
      <w:pPr>
        <w:shd w:val="solid" w:color="FFFFFF" w:fill="auto"/>
        <w:autoSpaceDN w:val="0"/>
        <w:spacing w:line="550" w:lineRule="exact"/>
        <w:ind w:firstLine="640"/>
        <w:rPr>
          <w:color w:val="auto"/>
          <w:szCs w:val="32"/>
        </w:rPr>
      </w:pPr>
      <w:r>
        <w:rPr>
          <w:rFonts w:eastAsia="楷体_GB2312"/>
          <w:color w:val="auto"/>
          <w:szCs w:val="32"/>
        </w:rPr>
        <w:t>推动多层次长期照护服务体系建设</w:t>
      </w:r>
      <w:r>
        <w:rPr>
          <w:color w:val="auto"/>
          <w:szCs w:val="32"/>
        </w:rPr>
        <w:t>。</w:t>
      </w:r>
      <w:r>
        <w:rPr>
          <w:color w:val="auto"/>
          <w:szCs w:val="32"/>
          <w:shd w:val="solid" w:color="FFFFFF" w:fill="auto"/>
        </w:rPr>
        <w:t>增加护理型养老床位供给，满足失能失智老年人长期照护服务需求。探索建立社会保险、社会福利和社会救助相衔接的长期照护保障制度。推动建立长期护理保险制度。充分发挥社会救助、社会福利、慈善事业、商业保险补充作用，保障不同层面照护需求。完善高龄津贴、护理补贴、服务补贴等老年人福利补贴制度，探索建立经济困难的高龄、失能老年人长期照护费用补贴制度，并做好与社会救助、残疾人两项补贴等政策有效衔接。鼓励商业保险机构开发长期照护商业保险产品。</w:t>
      </w:r>
      <w:bookmarkEnd w:id="11"/>
      <w:bookmarkEnd w:id="12"/>
      <w:bookmarkEnd w:id="13"/>
      <w:bookmarkEnd w:id="14"/>
      <w:bookmarkEnd w:id="15"/>
      <w:bookmarkEnd w:id="16"/>
      <w:bookmarkEnd w:id="17"/>
    </w:p>
    <w:p>
      <w:pPr>
        <w:pStyle w:val="12"/>
        <w:spacing w:after="0" w:line="550" w:lineRule="exact"/>
        <w:ind w:firstLine="640" w:firstLineChars="200"/>
        <w:rPr>
          <w:color w:val="auto"/>
          <w:szCs w:val="32"/>
        </w:rPr>
      </w:pPr>
    </w:p>
    <w:p>
      <w:pPr>
        <w:numPr>
          <w:ilvl w:val="0"/>
          <w:numId w:val="2"/>
        </w:numPr>
        <w:spacing w:line="550" w:lineRule="exact"/>
        <w:jc w:val="center"/>
        <w:textAlignment w:val="baseline"/>
        <w:outlineLvl w:val="1"/>
        <w:rPr>
          <w:rFonts w:eastAsia="黑体"/>
          <w:bCs/>
          <w:color w:val="auto"/>
          <w:szCs w:val="32"/>
        </w:rPr>
      </w:pPr>
      <w:bookmarkStart w:id="18" w:name="_Toc14334"/>
      <w:bookmarkStart w:id="19" w:name="_Toc10431"/>
      <w:r>
        <w:rPr>
          <w:rFonts w:eastAsia="黑体"/>
          <w:bCs/>
          <w:color w:val="auto"/>
          <w:szCs w:val="32"/>
        </w:rPr>
        <w:t xml:space="preserve">  健全养老服务供给体系</w:t>
      </w:r>
    </w:p>
    <w:p>
      <w:pPr>
        <w:spacing w:line="550" w:lineRule="exact"/>
        <w:ind w:firstLine="640" w:firstLineChars="200"/>
        <w:outlineLvl w:val="1"/>
        <w:rPr>
          <w:rFonts w:eastAsia="楷体_GB2312"/>
          <w:color w:val="auto"/>
          <w:szCs w:val="32"/>
        </w:rPr>
      </w:pPr>
      <w:r>
        <w:rPr>
          <w:rFonts w:hint="eastAsia" w:eastAsia="楷体_GB2312"/>
          <w:color w:val="auto"/>
          <w:szCs w:val="32"/>
          <w:shd w:val="solid" w:color="FFFFFF" w:fill="auto"/>
          <w:lang w:eastAsia="zh-CN"/>
        </w:rPr>
        <w:t>（</w:t>
      </w:r>
      <w:r>
        <w:rPr>
          <w:rFonts w:hint="eastAsia" w:eastAsia="楷体_GB2312"/>
          <w:color w:val="auto"/>
          <w:szCs w:val="32"/>
          <w:shd w:val="solid" w:color="FFFFFF" w:fill="auto"/>
          <w:lang w:val="en-US" w:eastAsia="zh-CN"/>
        </w:rPr>
        <w:t>一）</w:t>
      </w:r>
      <w:r>
        <w:rPr>
          <w:rFonts w:eastAsia="楷体_GB2312"/>
          <w:color w:val="auto"/>
          <w:szCs w:val="32"/>
          <w:shd w:val="solid" w:color="FFFFFF" w:fill="auto"/>
        </w:rPr>
        <w:t>促进居家社区养老服务提质增效</w:t>
      </w:r>
    </w:p>
    <w:p>
      <w:pPr>
        <w:shd w:val="solid" w:color="FFFFFF" w:fill="auto"/>
        <w:autoSpaceDN w:val="0"/>
        <w:spacing w:line="550" w:lineRule="exact"/>
        <w:ind w:firstLine="640"/>
        <w:rPr>
          <w:color w:val="auto"/>
          <w:szCs w:val="32"/>
        </w:rPr>
      </w:pPr>
      <w:r>
        <w:rPr>
          <w:rFonts w:hint="eastAsia"/>
          <w:b/>
          <w:bCs/>
          <w:color w:val="auto"/>
          <w:szCs w:val="32"/>
          <w:lang w:val="en-US" w:eastAsia="zh-CN"/>
        </w:rPr>
        <w:t>1</w:t>
      </w:r>
      <w:r>
        <w:rPr>
          <w:b/>
          <w:bCs/>
          <w:color w:val="auto"/>
          <w:szCs w:val="32"/>
        </w:rPr>
        <w:t>．加强社区养老服务设施建设。</w:t>
      </w:r>
      <w:r>
        <w:rPr>
          <w:color w:val="auto"/>
          <w:szCs w:val="32"/>
        </w:rPr>
        <w:t>充分考虑老年人接受服务的便利性、可及性等因素，优化社区养老服务设施布局，分级分类配建补齐社区养老服务设施。培育一批以照护为主业、辐射社区周边、兼顾上门服务的社区养老服务机构，推动集中管理运营和标准化、品牌化发展。支持社区养老服务机构建设和运营“家庭养老床位”，将服务延伸至家庭。在</w:t>
      </w:r>
      <w:r>
        <w:rPr>
          <w:rFonts w:hint="eastAsia"/>
          <w:color w:val="auto"/>
          <w:szCs w:val="32"/>
          <w:lang w:val="en-US" w:eastAsia="zh-CN"/>
        </w:rPr>
        <w:t>乡镇（</w:t>
      </w:r>
      <w:r>
        <w:rPr>
          <w:color w:val="auto"/>
          <w:szCs w:val="32"/>
        </w:rPr>
        <w:t>街道</w:t>
      </w:r>
      <w:r>
        <w:rPr>
          <w:rFonts w:hint="eastAsia"/>
          <w:color w:val="auto"/>
          <w:szCs w:val="32"/>
          <w:lang w:eastAsia="zh-CN"/>
        </w:rPr>
        <w:t>）</w:t>
      </w:r>
      <w:r>
        <w:rPr>
          <w:color w:val="auto"/>
          <w:szCs w:val="32"/>
        </w:rPr>
        <w:t>层面，建设多功能、综合性为老养老服务中心、社区养老服务综合体，具备全托、日托、上门服务等功能，并对区域内的养老服务资源进行整合，为老年人提供专业化、综合性服务。在社区层面，建设嵌入式、分布式、小型化日间照料中心、养老服务驿站，面积较大的社区可建立多个居家养老服务站点。在住宅小区，严格落实住宅小区配建养老服务设施要求。通过多点布局，形成“一中心多站点”服务网络，打造城市居家社区15分钟养老服务圈。</w:t>
      </w:r>
    </w:p>
    <w:p>
      <w:pPr>
        <w:shd w:val="solid" w:color="FFFFFF" w:fill="auto"/>
        <w:autoSpaceDN w:val="0"/>
        <w:spacing w:line="550" w:lineRule="exact"/>
        <w:ind w:firstLine="640"/>
        <w:rPr>
          <w:color w:val="auto"/>
          <w:szCs w:val="32"/>
        </w:rPr>
      </w:pPr>
      <w:r>
        <w:rPr>
          <w:rFonts w:hint="eastAsia"/>
          <w:b/>
          <w:bCs/>
          <w:color w:val="auto"/>
          <w:szCs w:val="32"/>
          <w:lang w:val="en-US" w:eastAsia="zh-CN"/>
        </w:rPr>
        <w:t>2</w:t>
      </w:r>
      <w:r>
        <w:rPr>
          <w:b/>
          <w:bCs/>
          <w:color w:val="auto"/>
          <w:szCs w:val="32"/>
        </w:rPr>
        <w:t>．提升居家社区养老服务能力。</w:t>
      </w:r>
      <w:r>
        <w:rPr>
          <w:color w:val="auto"/>
          <w:szCs w:val="32"/>
        </w:rPr>
        <w:t>鼓励社会力量承接运营社区养老服务设施。加大居家和社区养老服务组织孵化力度。对政府配套建设的社区养老服务设施，交由养老服务企业或社会组织无偿或低偿运营管理。支持专业化养老机构发挥溢出效应，承接运营</w:t>
      </w:r>
      <w:r>
        <w:rPr>
          <w:rFonts w:hint="eastAsia"/>
          <w:color w:val="auto"/>
          <w:szCs w:val="32"/>
          <w:lang w:val="en-US" w:eastAsia="zh-CN"/>
        </w:rPr>
        <w:t>乡镇（</w:t>
      </w:r>
      <w:r>
        <w:rPr>
          <w:color w:val="auto"/>
          <w:szCs w:val="32"/>
        </w:rPr>
        <w:t>街道</w:t>
      </w:r>
      <w:r>
        <w:rPr>
          <w:rFonts w:hint="eastAsia"/>
          <w:color w:val="auto"/>
          <w:szCs w:val="32"/>
          <w:lang w:eastAsia="zh-CN"/>
        </w:rPr>
        <w:t>）</w:t>
      </w:r>
      <w:r>
        <w:rPr>
          <w:color w:val="auto"/>
          <w:szCs w:val="32"/>
        </w:rPr>
        <w:t>综合为老服务中心、社区养老服务站，上门为居家老年人提供服务，形成“机构带中心、辐射站、进家庭”的运营模式，让老年人根据身体状况在居家、社区、机构间实现接续养老。充分发挥社区党组织作用，探索“社区+物业+养老服务”模式。综合利用社区养老服务设施和闲置房屋等资源，打造一批食材可溯、安全卫生、价格公道的标准化社区老年食堂（助餐服务点），支持建设具有配餐、送餐功能的养老服务“中央厨房”。支持当地养老服务机构、餐饮场所等增加助餐功能，推广邻里互助的助餐模式。建立助餐服务合理回报机制，由经营者根据实际服务成本和适度利润水平确定收费标准，引导更多市场主体参与助餐服务。引导外卖平台等市场主体参与助餐配送。推动助餐机构投保食品安全责任保险。发展老年人助浴服务，加强养老护理员助浴技能培训。支持家政企业开发被褥清洗、收纳整理、消毒除尘等适合老年人需求的保洁服务产品。完善社会组织、专业社工、志愿服务联动机制，建立困难老年人居家社区探访制度。</w:t>
      </w:r>
    </w:p>
    <w:p>
      <w:pPr>
        <w:shd w:val="solid" w:color="FFFFFF" w:fill="auto"/>
        <w:autoSpaceDN w:val="0"/>
        <w:spacing w:line="550" w:lineRule="exact"/>
        <w:ind w:firstLine="640"/>
        <w:rPr>
          <w:color w:val="auto"/>
          <w:szCs w:val="32"/>
        </w:rPr>
      </w:pPr>
      <w:r>
        <w:rPr>
          <w:rFonts w:hint="eastAsia"/>
          <w:b/>
          <w:bCs/>
          <w:color w:val="auto"/>
          <w:szCs w:val="32"/>
          <w:lang w:val="en-US" w:eastAsia="zh-CN"/>
        </w:rPr>
        <w:t>3</w:t>
      </w:r>
      <w:r>
        <w:rPr>
          <w:b/>
          <w:bCs/>
          <w:color w:val="auto"/>
          <w:szCs w:val="32"/>
        </w:rPr>
        <w:t>．实施老年人居家和社区适老化改造工程。</w:t>
      </w:r>
      <w:r>
        <w:rPr>
          <w:color w:val="auto"/>
          <w:szCs w:val="32"/>
        </w:rPr>
        <w:t>在城镇老旧小区改造中，尊重居民意愿，统筹推进适老化设施改造，通过开展场所无障碍改造、消防设施改造、增设为老服务设施、加装电梯等措施，为老年人提供安全、舒适、便利的社区环境。通过政府支持、产业引导、业主众筹等方式，鼓励老年人家庭根据身体状况、实际需求、居住环境等情况，对住宅及家具设施等进行适老化改造。采取政府补贴等方式，对符合条件的特殊困难老年人家庭</w:t>
      </w:r>
      <w:r>
        <w:rPr>
          <w:color w:val="auto"/>
          <w:spacing w:val="-4"/>
          <w:szCs w:val="32"/>
        </w:rPr>
        <w:t>实施居家适老化改造，配备辅助器具和防走失装置等设施设备</w:t>
      </w:r>
      <w:r>
        <w:rPr>
          <w:color w:val="auto"/>
          <w:szCs w:val="32"/>
        </w:rPr>
        <w:t>。</w:t>
      </w:r>
    </w:p>
    <w:p>
      <w:pPr>
        <w:pStyle w:val="2"/>
        <w:rPr>
          <w:rFonts w:ascii="Times New Roman" w:hAnsi="Times New Roman" w:cs="Times New Roman"/>
          <w:color w:val="auto"/>
        </w:rPr>
      </w:pPr>
    </w:p>
    <w:p>
      <w:pPr>
        <w:pStyle w:val="2"/>
        <w:jc w:val="center"/>
        <w:rPr>
          <w:rFonts w:ascii="Times New Roman" w:hAnsi="Times New Roman" w:eastAsia="方正小标宋简体" w:cs="Times New Roman"/>
          <w:color w:val="auto"/>
        </w:rPr>
      </w:pPr>
      <w:r>
        <w:rPr>
          <w:rFonts w:ascii="Times New Roman" w:hAnsi="Times New Roman" w:eastAsia="方正小标宋简体" w:cs="Times New Roman"/>
          <w:bCs/>
          <w:color w:val="auto"/>
          <w:sz w:val="28"/>
          <w:szCs w:val="28"/>
          <w:shd w:val="solid" w:color="FFFFFF" w:fill="auto"/>
        </w:rPr>
        <w:t>专栏2  居家社区养老服务提质增效工程</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06" w:hRule="atLeast"/>
          <w:jc w:val="center"/>
        </w:trPr>
        <w:tc>
          <w:tcPr>
            <w:tcW w:w="8789" w:type="dxa"/>
            <w:noWrap w:val="0"/>
            <w:vAlign w:val="center"/>
          </w:tcPr>
          <w:p>
            <w:pPr>
              <w:spacing w:line="380" w:lineRule="exact"/>
              <w:ind w:firstLine="482"/>
              <w:rPr>
                <w:color w:val="auto"/>
                <w:sz w:val="24"/>
                <w:shd w:val="solid" w:color="FFFFFF" w:fill="auto"/>
              </w:rPr>
            </w:pPr>
            <w:r>
              <w:rPr>
                <w:color w:val="auto"/>
                <w:sz w:val="24"/>
                <w:shd w:val="solid" w:color="FFFFFF" w:fill="auto"/>
              </w:rPr>
              <w:t>1．社区居家养老服务网络建设项目。支持多个公办社区养老服务机构组网建设运营，大力推进社区养老服务综合体、社区养老服务驿站、日间照料中心、老年助餐点建设，构建以社区养老服务综合体为枢纽、N个社区养老服务站点为支撑的居家社区养老服务网络。</w:t>
            </w:r>
          </w:p>
          <w:p>
            <w:pPr>
              <w:spacing w:line="380" w:lineRule="exact"/>
              <w:ind w:firstLine="482"/>
              <w:rPr>
                <w:color w:val="auto"/>
                <w:sz w:val="24"/>
                <w:shd w:val="solid" w:color="FFFFFF" w:fill="auto"/>
              </w:rPr>
            </w:pPr>
            <w:r>
              <w:rPr>
                <w:color w:val="auto"/>
                <w:sz w:val="24"/>
                <w:shd w:val="solid" w:color="FFFFFF" w:fill="auto"/>
              </w:rPr>
              <w:t>2．建设社区养老服务设施骨干网。2022年，全</w:t>
            </w:r>
            <w:r>
              <w:rPr>
                <w:rFonts w:hint="eastAsia"/>
                <w:color w:val="auto"/>
                <w:sz w:val="24"/>
                <w:shd w:val="solid" w:color="FFFFFF" w:fill="auto"/>
                <w:lang w:eastAsia="zh-CN"/>
              </w:rPr>
              <w:t>县</w:t>
            </w:r>
            <w:r>
              <w:rPr>
                <w:color w:val="auto"/>
                <w:sz w:val="24"/>
                <w:shd w:val="solid" w:color="FFFFFF" w:fill="auto"/>
              </w:rPr>
              <w:t>100%街道和有条件的乡镇至少建有1个社区养老服务综合体。到2025年，社区日间照料中心、养老服务驿站、长者之家等社区养老服务设施覆盖率达到90%以上，基本形成城市居家社区15分钟养老服务圈。</w:t>
            </w:r>
          </w:p>
          <w:p>
            <w:pPr>
              <w:shd w:val="solid" w:color="FFFFFF" w:fill="auto"/>
              <w:autoSpaceDN w:val="0"/>
              <w:spacing w:line="380" w:lineRule="exact"/>
              <w:ind w:firstLine="482"/>
              <w:rPr>
                <w:color w:val="auto"/>
                <w:sz w:val="24"/>
                <w:shd w:val="solid" w:color="FFFFFF" w:fill="auto"/>
              </w:rPr>
            </w:pPr>
            <w:r>
              <w:rPr>
                <w:color w:val="auto"/>
                <w:sz w:val="24"/>
                <w:shd w:val="solid" w:color="FFFFFF" w:fill="auto"/>
              </w:rPr>
              <w:t>3．实施居家适老化改造工程。采取政府补贴等方式，对纳入特困供养、低保的高龄、失能、残疾老年人家庭，按照自愿改造原则，实施居家适老化改造。</w:t>
            </w:r>
          </w:p>
          <w:p>
            <w:pPr>
              <w:shd w:val="solid" w:color="FFFFFF" w:fill="auto"/>
              <w:autoSpaceDN w:val="0"/>
              <w:spacing w:line="380" w:lineRule="exact"/>
              <w:ind w:firstLine="482"/>
              <w:rPr>
                <w:color w:val="auto"/>
                <w:sz w:val="24"/>
                <w:shd w:val="solid" w:color="FFFFFF" w:fill="auto"/>
              </w:rPr>
            </w:pPr>
            <w:r>
              <w:rPr>
                <w:color w:val="auto"/>
                <w:sz w:val="24"/>
                <w:shd w:val="solid" w:color="FFFFFF" w:fill="auto"/>
              </w:rPr>
              <w:t>4．开展“家庭养老床位”试点。由服务机构按照养老机构的服务标准，为居家的失能、失智等需要照护服务的老年人，上门提供“类机构”照护服务。</w:t>
            </w:r>
          </w:p>
          <w:p>
            <w:pPr>
              <w:shd w:val="solid" w:color="FFFFFF" w:fill="auto"/>
              <w:autoSpaceDN w:val="0"/>
              <w:spacing w:line="380" w:lineRule="exact"/>
              <w:ind w:firstLine="482"/>
              <w:rPr>
                <w:color w:val="auto"/>
                <w:sz w:val="24"/>
                <w:shd w:val="solid" w:color="FFFFFF" w:fill="auto"/>
              </w:rPr>
            </w:pPr>
            <w:r>
              <w:rPr>
                <w:color w:val="auto"/>
                <w:sz w:val="24"/>
                <w:shd w:val="solid" w:color="FFFFFF" w:fill="auto"/>
              </w:rPr>
              <w:t>5．开展“物业服务＋养老服务”试点。支持物业企业发挥贴近住户的优势，增设居家社区养老服务部门，或与社区养老服务机构合作，为老年人提供助餐、助浴、助洁、助急、助医、照料看护等居家养老服务。</w:t>
            </w:r>
          </w:p>
          <w:p>
            <w:pPr>
              <w:shd w:val="solid" w:color="FFFFFF" w:fill="auto"/>
              <w:autoSpaceDN w:val="0"/>
              <w:spacing w:line="380" w:lineRule="exact"/>
              <w:ind w:firstLine="482"/>
              <w:rPr>
                <w:color w:val="auto"/>
                <w:sz w:val="24"/>
                <w:shd w:val="solid" w:color="FFFFFF" w:fill="auto"/>
              </w:rPr>
            </w:pPr>
            <w:r>
              <w:rPr>
                <w:color w:val="auto"/>
                <w:sz w:val="24"/>
                <w:shd w:val="solid" w:color="FFFFFF" w:fill="auto"/>
              </w:rPr>
              <w:t>6．开展老年人助餐服务。以养老机构和社区日间照料中心为主体、其他社会力量为补充、信息化服务平台为依托，因地制宜采取</w:t>
            </w:r>
            <w:ins w:id="3" w:author="陆离" w:date="2022-04-13T13:58:00Z">
              <w:r>
                <w:rPr>
                  <w:color w:val="auto"/>
                  <w:sz w:val="24"/>
                  <w:shd w:val="solid" w:color="FFFFFF" w:fill="auto"/>
                </w:rPr>
                <w:t>“</w:t>
              </w:r>
            </w:ins>
            <w:r>
              <w:rPr>
                <w:color w:val="auto"/>
                <w:sz w:val="24"/>
                <w:shd w:val="solid" w:color="FFFFFF" w:fill="auto"/>
              </w:rPr>
              <w:t>中央厨房</w:t>
            </w:r>
            <w:ins w:id="4" w:author="陆离" w:date="2022-04-13T13:58:00Z">
              <w:r>
                <w:rPr>
                  <w:color w:val="auto"/>
                  <w:sz w:val="24"/>
                  <w:shd w:val="solid" w:color="FFFFFF" w:fill="auto"/>
                </w:rPr>
                <w:t>”</w:t>
              </w:r>
            </w:ins>
            <w:r>
              <w:rPr>
                <w:color w:val="auto"/>
                <w:sz w:val="24"/>
                <w:shd w:val="solid" w:color="FFFFFF" w:fill="auto"/>
              </w:rPr>
              <w:t>、社区食堂、流动餐车等形式，支持多元化供餐，为老年人提供优质、高效的助餐服务。</w:t>
            </w:r>
          </w:p>
        </w:tc>
      </w:tr>
    </w:tbl>
    <w:p>
      <w:pPr>
        <w:shd w:val="solid" w:color="FFFFFF" w:fill="auto"/>
        <w:autoSpaceDN w:val="0"/>
        <w:spacing w:line="578" w:lineRule="exact"/>
        <w:ind w:firstLine="640"/>
        <w:rPr>
          <w:rFonts w:eastAsia="楷体_GB2312"/>
          <w:color w:val="auto"/>
          <w:szCs w:val="32"/>
          <w:shd w:val="solid" w:color="FFFFFF" w:fill="auto"/>
        </w:rPr>
      </w:pPr>
      <w:r>
        <w:rPr>
          <w:rFonts w:hint="eastAsia" w:eastAsia="楷体_GB2312"/>
          <w:color w:val="auto"/>
          <w:szCs w:val="32"/>
          <w:shd w:val="solid" w:color="FFFFFF" w:fill="auto"/>
          <w:lang w:eastAsia="zh-CN"/>
        </w:rPr>
        <w:t>（</w:t>
      </w:r>
      <w:r>
        <w:rPr>
          <w:rFonts w:hint="eastAsia" w:eastAsia="楷体_GB2312"/>
          <w:color w:val="auto"/>
          <w:szCs w:val="32"/>
          <w:shd w:val="solid" w:color="FFFFFF" w:fill="auto"/>
          <w:lang w:val="en-US" w:eastAsia="zh-CN"/>
        </w:rPr>
        <w:t>二）</w:t>
      </w:r>
      <w:r>
        <w:rPr>
          <w:rFonts w:eastAsia="楷体_GB2312"/>
          <w:color w:val="auto"/>
          <w:szCs w:val="32"/>
          <w:shd w:val="solid" w:color="FFFFFF" w:fill="auto"/>
        </w:rPr>
        <w:t>推动养老机构转型升级</w:t>
      </w:r>
    </w:p>
    <w:p>
      <w:pPr>
        <w:autoSpaceDN w:val="0"/>
        <w:spacing w:line="578" w:lineRule="exact"/>
        <w:ind w:firstLine="640"/>
        <w:rPr>
          <w:snapToGrid w:val="0"/>
          <w:color w:val="auto"/>
          <w:szCs w:val="32"/>
        </w:rPr>
      </w:pPr>
      <w:r>
        <w:rPr>
          <w:rFonts w:hint="eastAsia"/>
          <w:b/>
          <w:bCs/>
          <w:color w:val="auto"/>
          <w:szCs w:val="32"/>
          <w:lang w:val="en-US" w:eastAsia="zh-CN"/>
        </w:rPr>
        <w:t>1</w:t>
      </w:r>
      <w:r>
        <w:rPr>
          <w:b/>
          <w:bCs/>
          <w:color w:val="auto"/>
          <w:szCs w:val="32"/>
        </w:rPr>
        <w:t>．优化养老机构功能结构。</w:t>
      </w:r>
      <w:r>
        <w:rPr>
          <w:snapToGrid w:val="0"/>
          <w:color w:val="auto"/>
          <w:szCs w:val="32"/>
        </w:rPr>
        <w:t>科学规划养老机构建设布局，重点发展满足基本养老服务需求和服务高龄及失能失智老年人的养护型、认知障碍型的养老机构。优先支持新增护理型床位，提升照护服务能力。加快现有公办养老机构改造升级，增设失能失智照护楼或照护单元，在满足政策保障对象入住需求的基础上优先</w:t>
      </w:r>
      <w:r>
        <w:rPr>
          <w:color w:val="auto"/>
          <w:szCs w:val="32"/>
        </w:rPr>
        <w:t>安</w:t>
      </w:r>
      <w:r>
        <w:rPr>
          <w:snapToGrid w:val="0"/>
          <w:color w:val="auto"/>
          <w:szCs w:val="32"/>
        </w:rPr>
        <w:t>排失能老人入住。鼓励社会力量兴办面向失能失智老年人的照护机构或开辟专区。引导养老机构延伸服务范围，为老年人提供居家期上门、康复期护理、稳定期生活照料、安宁疗护一体化的健康养老服务。</w:t>
      </w:r>
    </w:p>
    <w:p>
      <w:pPr>
        <w:autoSpaceDN w:val="0"/>
        <w:spacing w:line="578" w:lineRule="exact"/>
        <w:ind w:firstLine="640"/>
        <w:rPr>
          <w:color w:val="auto"/>
          <w:szCs w:val="32"/>
          <w:shd w:val="solid" w:color="FFFFFF" w:fill="auto"/>
        </w:rPr>
      </w:pPr>
      <w:r>
        <w:rPr>
          <w:rFonts w:hint="eastAsia"/>
          <w:b/>
          <w:bCs/>
          <w:color w:val="auto"/>
          <w:szCs w:val="32"/>
          <w:lang w:val="en-US" w:eastAsia="zh-CN"/>
        </w:rPr>
        <w:t>2</w:t>
      </w:r>
      <w:r>
        <w:rPr>
          <w:b/>
          <w:bCs/>
          <w:color w:val="auto"/>
          <w:szCs w:val="32"/>
        </w:rPr>
        <w:t>．坚持公办养老机构公益属性。</w:t>
      </w:r>
      <w:r>
        <w:rPr>
          <w:color w:val="auto"/>
          <w:szCs w:val="32"/>
          <w:shd w:val="solid" w:color="FFFFFF" w:fill="auto"/>
        </w:rPr>
        <w:t>要根据特困</w:t>
      </w:r>
      <w:r>
        <w:rPr>
          <w:rFonts w:hint="eastAsia"/>
          <w:color w:val="auto"/>
          <w:szCs w:val="32"/>
          <w:shd w:val="solid" w:color="FFFFFF" w:fill="auto"/>
          <w:lang w:val="en-US" w:eastAsia="zh-CN"/>
        </w:rPr>
        <w:t>供养</w:t>
      </w:r>
      <w:r>
        <w:rPr>
          <w:color w:val="auto"/>
          <w:szCs w:val="32"/>
          <w:shd w:val="solid" w:color="FFFFFF" w:fill="auto"/>
        </w:rPr>
        <w:t>老年人规模确定公办养老机构床位总量下限，做好规划建设和保运转等工作。在</w:t>
      </w:r>
      <w:r>
        <w:rPr>
          <w:color w:val="auto"/>
          <w:szCs w:val="32"/>
        </w:rPr>
        <w:t>满足兜底保障需求的基础上，充分发挥普惠和示范作用，重点为经济困难的空巢、留守、失能、失智、高龄老年人以及计划生育特殊家庭老年人等提供低偿托养服务，逐步为社会老年人提供基本养老服务</w:t>
      </w:r>
      <w:r>
        <w:rPr>
          <w:color w:val="auto"/>
          <w:szCs w:val="32"/>
          <w:shd w:val="solid" w:color="FFFFFF" w:fill="auto"/>
        </w:rPr>
        <w:t>。</w:t>
      </w:r>
      <w:r>
        <w:rPr>
          <w:color w:val="auto"/>
          <w:szCs w:val="32"/>
        </w:rPr>
        <w:t>引导公建民营、民办公助等养老机构优先接收特殊困难老年人、作出特殊贡献的老年人。</w:t>
      </w:r>
      <w:r>
        <w:rPr>
          <w:color w:val="auto"/>
          <w:szCs w:val="32"/>
          <w:shd w:val="solid" w:color="FFFFFF" w:fill="auto"/>
        </w:rPr>
        <w:t>理顺农村敬老院管理体制，全</w:t>
      </w:r>
      <w:r>
        <w:rPr>
          <w:rFonts w:hint="eastAsia"/>
          <w:color w:val="auto"/>
          <w:szCs w:val="32"/>
          <w:shd w:val="solid" w:color="FFFFFF" w:fill="auto"/>
          <w:lang w:eastAsia="zh-CN"/>
        </w:rPr>
        <w:t>县</w:t>
      </w:r>
      <w:r>
        <w:rPr>
          <w:color w:val="auto"/>
          <w:szCs w:val="32"/>
          <w:shd w:val="solid" w:color="FFFFFF" w:fill="auto"/>
        </w:rPr>
        <w:t>区域性养老服务中心和乡镇敬老院交由县民政</w:t>
      </w:r>
      <w:r>
        <w:rPr>
          <w:rFonts w:hint="eastAsia"/>
          <w:color w:val="auto"/>
          <w:szCs w:val="32"/>
          <w:shd w:val="solid" w:color="FFFFFF" w:fill="auto"/>
          <w:lang w:eastAsia="zh-CN"/>
        </w:rPr>
        <w:t>局</w:t>
      </w:r>
      <w:r>
        <w:rPr>
          <w:color w:val="auto"/>
          <w:szCs w:val="32"/>
          <w:shd w:val="solid" w:color="FFFFFF" w:fill="auto"/>
        </w:rPr>
        <w:t>直管。</w:t>
      </w:r>
    </w:p>
    <w:p>
      <w:pPr>
        <w:autoSpaceDN w:val="0"/>
        <w:spacing w:line="578" w:lineRule="exact"/>
        <w:ind w:firstLine="641"/>
        <w:rPr>
          <w:color w:val="auto"/>
          <w:szCs w:val="32"/>
        </w:rPr>
      </w:pPr>
      <w:r>
        <w:rPr>
          <w:rFonts w:hint="eastAsia"/>
          <w:b/>
          <w:bCs/>
          <w:color w:val="auto"/>
          <w:szCs w:val="32"/>
          <w:lang w:val="en-US" w:eastAsia="zh-CN"/>
        </w:rPr>
        <w:t>3</w:t>
      </w:r>
      <w:r>
        <w:rPr>
          <w:b/>
          <w:bCs/>
          <w:color w:val="auto"/>
          <w:szCs w:val="32"/>
        </w:rPr>
        <w:t>．</w:t>
      </w:r>
      <w:r>
        <w:rPr>
          <w:b/>
          <w:bCs/>
          <w:color w:val="auto"/>
          <w:szCs w:val="32"/>
          <w:shd w:val="solid" w:color="FFFFFF" w:fill="auto"/>
        </w:rPr>
        <w:t>推动公办养老机构改革。</w:t>
      </w:r>
      <w:r>
        <w:rPr>
          <w:color w:val="auto"/>
          <w:szCs w:val="32"/>
          <w:shd w:val="solid" w:color="FFFFFF" w:fill="auto"/>
        </w:rPr>
        <w:t>按照“宜公则公、宜民则民”原则，稳妥推进公办养老机构改革，鼓励采取租赁、联营、合作、委托管理、购买服务等多种方式实行社会化运营。完善公办养老机构委托经营机制，改革以价格为主的筛选标准，综合考虑从业信誉、服务水平、可持续性等质量指标。引进养老服务领域专业能力较强的运营机构早期介入、全程参与委托经营的养老机构项目工程建设，支持规模化、连锁化运营。探索将具备条件的公办养老机构改制为国有养老服务企业或拓展为连锁服务机构。探索建立城市养老服务联合体，以上带下提升基层服务能力。建立科学合理的公办养老机构价格形成机制。推动公办养老机构非托底保障性服务与同类型社会化服务实现价格接轨。推动公建民营模式逐步实现规范化、制度化，建立有效的托管建设和运营管理机制。加强公建民营养老机构合同执行情况监管。公建民营养老机构运营方应定期向委托部门报告机构资产、运营、服务等情况，及时报告重大情况。</w:t>
      </w:r>
    </w:p>
    <w:p>
      <w:pPr>
        <w:pStyle w:val="11"/>
        <w:widowControl w:val="0"/>
        <w:shd w:val="clear" w:color="auto" w:fill="FFFFFF"/>
        <w:spacing w:before="0" w:beforeAutospacing="0" w:after="0" w:afterAutospacing="0" w:line="578" w:lineRule="exact"/>
        <w:ind w:firstLine="641"/>
        <w:jc w:val="both"/>
        <w:rPr>
          <w:rFonts w:ascii="Times New Roman" w:hAnsi="Times New Roman" w:eastAsia="仿宋_GB2312" w:cs="Times New Roman"/>
          <w:color w:val="auto"/>
          <w:kern w:val="2"/>
          <w:sz w:val="32"/>
          <w:szCs w:val="32"/>
          <w:shd w:val="solid" w:color="FFFFFF" w:fill="auto"/>
        </w:rPr>
      </w:pPr>
      <w:r>
        <w:rPr>
          <w:rFonts w:hint="eastAsia" w:ascii="Times New Roman" w:hAnsi="Times New Roman" w:eastAsia="仿宋_GB2312" w:cs="Times New Roman"/>
          <w:b/>
          <w:bCs/>
          <w:color w:val="auto"/>
          <w:kern w:val="2"/>
          <w:sz w:val="32"/>
          <w:szCs w:val="32"/>
          <w:lang w:val="en-US" w:eastAsia="zh-CN"/>
        </w:rPr>
        <w:t>4</w:t>
      </w:r>
      <w:r>
        <w:rPr>
          <w:rFonts w:ascii="Times New Roman" w:hAnsi="Times New Roman" w:eastAsia="仿宋_GB2312" w:cs="Times New Roman"/>
          <w:b/>
          <w:bCs/>
          <w:color w:val="auto"/>
          <w:kern w:val="2"/>
          <w:sz w:val="32"/>
          <w:szCs w:val="32"/>
        </w:rPr>
        <w:t>．</w:t>
      </w:r>
      <w:r>
        <w:rPr>
          <w:rFonts w:ascii="Times New Roman" w:hAnsi="Times New Roman" w:eastAsia="仿宋_GB2312" w:cs="Times New Roman"/>
          <w:b/>
          <w:bCs/>
          <w:color w:val="auto"/>
          <w:kern w:val="2"/>
          <w:sz w:val="32"/>
          <w:szCs w:val="32"/>
          <w:shd w:val="clear" w:color="auto" w:fill="auto"/>
        </w:rPr>
        <w:t>扩大普惠养老供给。</w:t>
      </w:r>
      <w:r>
        <w:rPr>
          <w:rFonts w:ascii="Times New Roman" w:hAnsi="Times New Roman" w:eastAsia="仿宋_GB2312" w:cs="Times New Roman"/>
          <w:color w:val="auto"/>
          <w:kern w:val="2"/>
          <w:sz w:val="32"/>
          <w:szCs w:val="32"/>
          <w:shd w:val="solid" w:color="FFFFFF" w:fill="auto"/>
        </w:rPr>
        <w:t>引导各类主体提供普惠养老服务，扩大供给，提高质量，提升可持续发展能力。实施普惠养老城企联动专项行动，支持社会力量重点建设面向中低收入群体的普惠型养老服务机构，适度建设面向中高收入家庭的中高端养老机构，满足老年人多层次服务需求。鼓励社会力量投资发展社区型、医养结合型、旅居型等养老机构，形成价格可负担、质量有保障、运行可持续的普惠养老模式。进一步完善市场原则下的普惠价格形成机制。通过市场机制自主形成普惠养老分级服务价格，向失能半失能老年人提供差异化服务，保障老年人享受到优惠的养老服务价格。鼓励国有企业布局养老服务设施网点，培育发展以普惠养老服务为主责主业、承担公共服务功能的国有企业。主要承担养老服务功能的国有企业，重点考核服务质量、成本控制、运营效率等情况。推动党政机关和国有企事业单位所属培训疗养机构转型为普惠养老机构。支持和规范民办养老机构与公办养老机构开展多种类型的合作共建。鼓励养老机构品牌化、连锁化、专业化发展。</w:t>
      </w:r>
    </w:p>
    <w:p>
      <w:pPr>
        <w:pStyle w:val="11"/>
        <w:widowControl w:val="0"/>
        <w:shd w:val="clear" w:color="auto" w:fill="FFFFFF"/>
        <w:spacing w:before="0" w:beforeAutospacing="0" w:after="0" w:afterAutospacing="0" w:line="300" w:lineRule="exact"/>
        <w:ind w:firstLine="641"/>
        <w:jc w:val="both"/>
        <w:rPr>
          <w:rFonts w:ascii="Times New Roman" w:hAnsi="Times New Roman" w:eastAsia="仿宋_GB2312" w:cs="Times New Roman"/>
          <w:color w:val="auto"/>
          <w:kern w:val="2"/>
          <w:sz w:val="32"/>
          <w:szCs w:val="32"/>
          <w:shd w:val="solid" w:color="FFFFFF" w:fill="auto"/>
        </w:rPr>
      </w:pPr>
    </w:p>
    <w:p>
      <w:pPr>
        <w:pStyle w:val="11"/>
        <w:widowControl w:val="0"/>
        <w:shd w:val="clear" w:color="auto" w:fill="FFFFFF"/>
        <w:spacing w:before="0" w:beforeAutospacing="0" w:after="0" w:afterAutospacing="0" w:line="578" w:lineRule="exact"/>
        <w:jc w:val="center"/>
        <w:rPr>
          <w:rFonts w:ascii="Times New Roman" w:hAnsi="Times New Roman" w:eastAsia="方正小标宋简体" w:cs="Times New Roman"/>
          <w:color w:val="auto"/>
          <w:kern w:val="2"/>
          <w:sz w:val="32"/>
          <w:szCs w:val="32"/>
          <w:shd w:val="solid" w:color="FFFFFF" w:fill="auto"/>
        </w:rPr>
      </w:pPr>
      <w:r>
        <w:rPr>
          <w:rFonts w:ascii="Times New Roman" w:hAnsi="Times New Roman" w:eastAsia="方正小标宋简体" w:cs="Times New Roman"/>
          <w:bCs/>
          <w:color w:val="auto"/>
          <w:sz w:val="28"/>
          <w:szCs w:val="28"/>
          <w:shd w:val="solid" w:color="FFFFFF" w:fill="auto"/>
        </w:rPr>
        <w:t>专栏3  养老机构提档升级工程</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67" w:hRule="atLeast"/>
          <w:jc w:val="center"/>
        </w:trPr>
        <w:tc>
          <w:tcPr>
            <w:tcW w:w="8789" w:type="dxa"/>
            <w:noWrap w:val="0"/>
            <w:vAlign w:val="center"/>
          </w:tcPr>
          <w:p>
            <w:pPr>
              <w:shd w:val="solid" w:color="FFFFFF" w:fill="auto"/>
              <w:autoSpaceDN w:val="0"/>
              <w:spacing w:line="360" w:lineRule="exact"/>
              <w:ind w:firstLine="482"/>
              <w:rPr>
                <w:color w:val="auto"/>
                <w:sz w:val="24"/>
                <w:shd w:val="solid" w:color="FFFFFF" w:fill="auto"/>
              </w:rPr>
            </w:pPr>
            <w:r>
              <w:rPr>
                <w:color w:val="auto"/>
                <w:sz w:val="24"/>
                <w:shd w:val="solid" w:color="FFFFFF" w:fill="auto"/>
              </w:rPr>
              <w:t>1．提升专业照护能力。新建</w:t>
            </w:r>
            <w:r>
              <w:rPr>
                <w:rFonts w:hint="eastAsia"/>
                <w:color w:val="auto"/>
                <w:sz w:val="24"/>
                <w:shd w:val="solid" w:color="FFFFFF" w:fill="auto"/>
                <w:lang w:eastAsia="zh-CN"/>
              </w:rPr>
              <w:t>宣汉县</w:t>
            </w:r>
            <w:r>
              <w:rPr>
                <w:rFonts w:hint="eastAsia"/>
                <w:color w:val="auto"/>
                <w:sz w:val="24"/>
                <w:shd w:val="solid" w:color="FFFFFF" w:fill="auto"/>
                <w:lang w:val="en-US" w:eastAsia="zh-CN"/>
              </w:rPr>
              <w:t>老年</w:t>
            </w:r>
            <w:r>
              <w:rPr>
                <w:color w:val="auto"/>
                <w:sz w:val="24"/>
                <w:shd w:val="solid" w:color="FFFFFF" w:fill="auto"/>
              </w:rPr>
              <w:t>养护院</w:t>
            </w:r>
            <w:r>
              <w:rPr>
                <w:rFonts w:hint="eastAsia"/>
                <w:color w:val="auto"/>
                <w:sz w:val="24"/>
                <w:shd w:val="solid" w:color="FFFFFF" w:fill="auto"/>
                <w:lang w:eastAsia="zh-CN"/>
              </w:rPr>
              <w:t>（</w:t>
            </w:r>
            <w:r>
              <w:rPr>
                <w:rFonts w:hint="eastAsia"/>
                <w:color w:val="auto"/>
                <w:sz w:val="24"/>
                <w:shd w:val="solid" w:color="FFFFFF" w:fill="auto"/>
                <w:lang w:val="en-US" w:eastAsia="zh-CN"/>
              </w:rPr>
              <w:t>失能老人照护中心）</w:t>
            </w:r>
            <w:r>
              <w:rPr>
                <w:color w:val="auto"/>
                <w:sz w:val="24"/>
                <w:shd w:val="solid" w:color="FFFFFF" w:fill="auto"/>
              </w:rPr>
              <w:t>，建成集养老、康复、护理、教育、实训等多功能于一体的区域养老服务示范中心。2022年，建有1所示范性老年养护院。“十四五”期间，全</w:t>
            </w:r>
            <w:r>
              <w:rPr>
                <w:rFonts w:hint="eastAsia"/>
                <w:color w:val="auto"/>
                <w:sz w:val="24"/>
                <w:shd w:val="solid" w:color="FFFFFF" w:fill="auto"/>
                <w:lang w:eastAsia="zh-CN"/>
              </w:rPr>
              <w:t>县</w:t>
            </w:r>
            <w:r>
              <w:rPr>
                <w:color w:val="auto"/>
                <w:sz w:val="24"/>
                <w:shd w:val="solid" w:color="FFFFFF" w:fill="auto"/>
              </w:rPr>
              <w:t>新建老年养护院</w:t>
            </w:r>
            <w:r>
              <w:rPr>
                <w:rFonts w:hint="eastAsia"/>
                <w:color w:val="auto"/>
                <w:sz w:val="24"/>
                <w:shd w:val="solid" w:color="FFFFFF" w:fill="auto"/>
                <w:lang w:val="en-US" w:eastAsia="zh-CN"/>
              </w:rPr>
              <w:t>3</w:t>
            </w:r>
            <w:r>
              <w:rPr>
                <w:color w:val="auto"/>
                <w:sz w:val="24"/>
                <w:shd w:val="solid" w:color="FFFFFF" w:fill="auto"/>
              </w:rPr>
              <w:t>所，计划新增床位</w:t>
            </w:r>
            <w:r>
              <w:rPr>
                <w:rFonts w:hint="eastAsia"/>
                <w:color w:val="auto"/>
                <w:sz w:val="24"/>
                <w:shd w:val="solid" w:color="FFFFFF" w:fill="auto"/>
                <w:lang w:val="en-US" w:eastAsia="zh-CN"/>
              </w:rPr>
              <w:t>700</w:t>
            </w:r>
            <w:r>
              <w:rPr>
                <w:color w:val="auto"/>
                <w:sz w:val="24"/>
                <w:shd w:val="solid" w:color="FFFFFF" w:fill="auto"/>
              </w:rPr>
              <w:t>张。</w:t>
            </w:r>
          </w:p>
          <w:p>
            <w:pPr>
              <w:shd w:val="solid" w:color="FFFFFF" w:fill="auto"/>
              <w:autoSpaceDN w:val="0"/>
              <w:spacing w:line="360" w:lineRule="exact"/>
              <w:ind w:firstLine="482"/>
              <w:rPr>
                <w:color w:val="auto"/>
                <w:sz w:val="24"/>
                <w:shd w:val="solid" w:color="FFFFFF" w:fill="auto"/>
              </w:rPr>
            </w:pPr>
            <w:r>
              <w:rPr>
                <w:color w:val="auto"/>
                <w:sz w:val="24"/>
                <w:shd w:val="solid" w:color="FFFFFF" w:fill="auto"/>
              </w:rPr>
              <w:t>2．支持民办养老机构发展。引导社会力量投资建设专业化、功能型、普惠型养老机构，提升信息化、智能化服务水平。县</w:t>
            </w:r>
            <w:r>
              <w:rPr>
                <w:rFonts w:hint="eastAsia"/>
                <w:color w:val="auto"/>
                <w:sz w:val="24"/>
                <w:shd w:val="solid" w:color="FFFFFF" w:fill="auto"/>
                <w:lang w:eastAsia="zh-CN"/>
              </w:rPr>
              <w:t>城</w:t>
            </w:r>
            <w:r>
              <w:rPr>
                <w:color w:val="auto"/>
                <w:sz w:val="24"/>
                <w:shd w:val="solid" w:color="FFFFFF" w:fill="auto"/>
              </w:rPr>
              <w:t>主城区打造1—2家示范性民办养老机构。</w:t>
            </w:r>
          </w:p>
          <w:p>
            <w:pPr>
              <w:shd w:val="solid" w:color="FFFFFF" w:fill="auto"/>
              <w:autoSpaceDN w:val="0"/>
              <w:spacing w:line="360" w:lineRule="exact"/>
              <w:ind w:firstLine="482"/>
              <w:rPr>
                <w:color w:val="auto"/>
                <w:sz w:val="24"/>
                <w:shd w:val="solid" w:color="FFFFFF" w:fill="auto"/>
              </w:rPr>
            </w:pPr>
            <w:r>
              <w:rPr>
                <w:color w:val="auto"/>
                <w:sz w:val="24"/>
                <w:shd w:val="solid" w:color="FFFFFF" w:fill="auto"/>
              </w:rPr>
              <w:t>3. 提高入住率。用好用足现有资源，改善养老机构硬件设施，优化供给结构，满足老年人服务需求，各类养老机构入住率明显提升。</w:t>
            </w:r>
          </w:p>
          <w:p>
            <w:pPr>
              <w:shd w:val="solid" w:color="FFFFFF" w:fill="auto"/>
              <w:autoSpaceDN w:val="0"/>
              <w:spacing w:line="360" w:lineRule="exact"/>
              <w:ind w:firstLine="482"/>
              <w:rPr>
                <w:color w:val="auto"/>
                <w:sz w:val="24"/>
                <w:shd w:val="solid" w:color="FFFFFF" w:fill="auto"/>
              </w:rPr>
            </w:pPr>
            <w:r>
              <w:rPr>
                <w:color w:val="auto"/>
                <w:sz w:val="24"/>
                <w:shd w:val="solid" w:color="FFFFFF" w:fill="auto"/>
              </w:rPr>
              <w:t>4．培育养老服务品牌。鼓励跨区联合、资源共享，推动形成一批具有较强运营、服务能力的养老服务机构。至少培育1个养老服务品牌。</w:t>
            </w:r>
          </w:p>
        </w:tc>
      </w:tr>
    </w:tbl>
    <w:p>
      <w:pPr>
        <w:shd w:val="solid" w:color="FFFFFF" w:fill="auto"/>
        <w:autoSpaceDN w:val="0"/>
        <w:spacing w:line="550" w:lineRule="exact"/>
        <w:ind w:firstLine="641"/>
        <w:rPr>
          <w:rFonts w:eastAsia="楷体_GB2312"/>
          <w:color w:val="auto"/>
          <w:szCs w:val="32"/>
          <w:shd w:val="solid" w:color="FFFFFF" w:fill="auto"/>
        </w:rPr>
      </w:pPr>
      <w:r>
        <w:rPr>
          <w:rFonts w:hint="eastAsia" w:eastAsia="楷体_GB2312"/>
          <w:color w:val="auto"/>
          <w:szCs w:val="32"/>
          <w:shd w:val="solid" w:color="FFFFFF" w:fill="auto"/>
          <w:lang w:eastAsia="zh-CN"/>
        </w:rPr>
        <w:t>（</w:t>
      </w:r>
      <w:r>
        <w:rPr>
          <w:rFonts w:hint="eastAsia" w:eastAsia="楷体_GB2312"/>
          <w:color w:val="auto"/>
          <w:szCs w:val="32"/>
          <w:shd w:val="solid" w:color="FFFFFF" w:fill="auto"/>
          <w:lang w:val="en-US" w:eastAsia="zh-CN"/>
        </w:rPr>
        <w:t>三）</w:t>
      </w:r>
      <w:r>
        <w:rPr>
          <w:rFonts w:eastAsia="楷体_GB2312"/>
          <w:color w:val="auto"/>
          <w:szCs w:val="32"/>
          <w:shd w:val="solid" w:color="FFFFFF" w:fill="auto"/>
        </w:rPr>
        <w:t>补齐农村养老服务短板</w:t>
      </w:r>
    </w:p>
    <w:p>
      <w:pPr>
        <w:spacing w:line="550" w:lineRule="exact"/>
        <w:ind w:firstLine="641"/>
        <w:rPr>
          <w:color w:val="auto"/>
          <w:szCs w:val="32"/>
        </w:rPr>
      </w:pPr>
      <w:r>
        <w:rPr>
          <w:rFonts w:hint="eastAsia"/>
          <w:b/>
          <w:bCs/>
          <w:color w:val="auto"/>
          <w:szCs w:val="32"/>
          <w:lang w:val="en-US" w:eastAsia="zh-CN"/>
        </w:rPr>
        <w:t>1</w:t>
      </w:r>
      <w:r>
        <w:rPr>
          <w:b/>
          <w:bCs/>
          <w:color w:val="auto"/>
          <w:szCs w:val="32"/>
        </w:rPr>
        <w:t>．健全农村养老服务网络。</w:t>
      </w:r>
      <w:r>
        <w:rPr>
          <w:snapToGrid w:val="0"/>
          <w:color w:val="auto"/>
          <w:szCs w:val="32"/>
        </w:rPr>
        <w:t>将补齐农村养老基础设施短板、促进乡镇养老机构转型升级纳入乡村振兴战略和两项改革“后半篇”文章统筹推进。结合县域内片区划分，按照新建投用一批、改造提升一批、整合重组一批“三个一批”思路，优化养老设施布局，扩大服务有效供给。构建“1+N+N”农村养老服务体系，即至少建有1所以农村特困失能、残疾和计划生育家庭特殊老年人专业照护为主的县级特困人员供养服务设施（敬老院），在中</w:t>
      </w:r>
      <w:bookmarkStart w:id="37" w:name="_GoBack"/>
      <w:bookmarkEnd w:id="37"/>
      <w:r>
        <w:rPr>
          <w:snapToGrid w:val="0"/>
          <w:color w:val="auto"/>
          <w:szCs w:val="32"/>
        </w:rPr>
        <w:t>心镇、涉改乡镇片区化、集约化整合资源，打造N个区域性养老服务中心，依托农村日间照料中心、幸福院建设N个村级互助养老服务站（点）。区域性养老服务中心、敬老院在保障特困人员集中供养的前提下，拓展社会代养、日托照料、居家服务等多种功能。到2025年，基本形成以县级失能特困人员养护院为中心、乡镇级区域性养老服务中心为骨干、村级互助养老服务点为网点的农村三级养老服务网络。</w:t>
      </w:r>
    </w:p>
    <w:p>
      <w:pPr>
        <w:shd w:val="solid" w:color="FFFFFF" w:fill="auto"/>
        <w:autoSpaceDN w:val="0"/>
        <w:spacing w:line="550" w:lineRule="exact"/>
        <w:ind w:firstLine="641"/>
        <w:rPr>
          <w:snapToGrid w:val="0"/>
          <w:color w:val="auto"/>
          <w:szCs w:val="32"/>
        </w:rPr>
      </w:pPr>
      <w:r>
        <w:rPr>
          <w:rFonts w:hint="eastAsia"/>
          <w:b/>
          <w:bCs/>
          <w:color w:val="auto"/>
          <w:szCs w:val="32"/>
          <w:lang w:val="en-US" w:eastAsia="zh-CN"/>
        </w:rPr>
        <w:t>2</w:t>
      </w:r>
      <w:r>
        <w:rPr>
          <w:b/>
          <w:bCs/>
          <w:color w:val="auto"/>
          <w:szCs w:val="32"/>
        </w:rPr>
        <w:t>．实施养老机构消防安全达标工程。</w:t>
      </w:r>
      <w:r>
        <w:rPr>
          <w:snapToGrid w:val="0"/>
          <w:color w:val="auto"/>
          <w:szCs w:val="32"/>
        </w:rPr>
        <w:t>深入推进养老机构消防安全专项整治三年行动。对全</w:t>
      </w:r>
      <w:r>
        <w:rPr>
          <w:rFonts w:hint="eastAsia"/>
          <w:snapToGrid w:val="0"/>
          <w:color w:val="auto"/>
          <w:szCs w:val="32"/>
          <w:lang w:eastAsia="zh-CN"/>
        </w:rPr>
        <w:t>县</w:t>
      </w:r>
      <w:r>
        <w:rPr>
          <w:snapToGrid w:val="0"/>
          <w:color w:val="auto"/>
          <w:szCs w:val="32"/>
        </w:rPr>
        <w:t>存量养老机构实施消防安全改造，2023年</w:t>
      </w:r>
      <w:r>
        <w:rPr>
          <w:rFonts w:hint="eastAsia"/>
          <w:snapToGrid w:val="0"/>
          <w:color w:val="auto"/>
          <w:szCs w:val="32"/>
          <w:lang w:val="en-US" w:eastAsia="zh-CN"/>
        </w:rPr>
        <w:t>全面改造结束</w:t>
      </w:r>
      <w:r>
        <w:rPr>
          <w:snapToGrid w:val="0"/>
          <w:color w:val="auto"/>
          <w:szCs w:val="32"/>
        </w:rPr>
        <w:t>。落实资金等保障措施，建立隐患、整改、责任“三个清单”，按照《养老机构服务安全基本规范》等标准对标整改，确保重大消防安全隐患全部清零。坚持人防、物防、技防相结合，经常性组织开展消防安全宣传教育培训和应急疏散演练。推动设有自动消防设施的养老机构接入消防物联网监控系统。</w:t>
      </w:r>
    </w:p>
    <w:p>
      <w:pPr>
        <w:shd w:val="solid" w:color="FFFFFF" w:fill="auto"/>
        <w:autoSpaceDN w:val="0"/>
        <w:spacing w:line="550" w:lineRule="exact"/>
        <w:ind w:firstLine="641"/>
        <w:rPr>
          <w:color w:val="auto"/>
          <w:szCs w:val="32"/>
          <w:shd w:val="solid" w:color="FFFFFF" w:fill="auto"/>
        </w:rPr>
      </w:pPr>
      <w:r>
        <w:rPr>
          <w:rFonts w:hint="eastAsia"/>
          <w:b/>
          <w:bCs/>
          <w:color w:val="auto"/>
          <w:szCs w:val="32"/>
          <w:shd w:val="solid" w:color="FFFFFF" w:fill="auto"/>
          <w:lang w:val="en-US" w:eastAsia="zh-CN"/>
        </w:rPr>
        <w:t>3</w:t>
      </w:r>
      <w:r>
        <w:rPr>
          <w:b/>
          <w:bCs/>
          <w:color w:val="auto"/>
          <w:szCs w:val="32"/>
        </w:rPr>
        <w:t>．</w:t>
      </w:r>
      <w:r>
        <w:rPr>
          <w:b/>
          <w:bCs/>
          <w:color w:val="auto"/>
          <w:szCs w:val="32"/>
          <w:shd w:val="solid" w:color="FFFFFF" w:fill="auto"/>
        </w:rPr>
        <w:t>推进互助养老服务。</w:t>
      </w:r>
      <w:r>
        <w:rPr>
          <w:color w:val="auto"/>
          <w:szCs w:val="32"/>
          <w:shd w:val="solid" w:color="FFFFFF" w:fill="auto"/>
        </w:rPr>
        <w:t>合理规划建设村级互助养老点，尽量选择交通方便、公共资源相对便捷可及的地方设置村级互助养老点。规模较大、人口相对集中的村、农村聚居点，利用各类闲置资源，单独设置互助养老服务点；规模较小、人口较分散的村，可依托村党群服务中心等公共资源，综合设置互助养老服务点。互助养老服务点面积不低于100平方米，为老年人提供日间托养、生活照料、休闲娱乐、精神慰藉等基本养老服务，有条件的地方可提供助餐服务。鼓励利用农村闲置房屋发展一批设施完备、服务优良的乡村养老基地。鼓励老年协会管理运营村级互助养老服务站点。探索农村互助养老运营机制，完善政府补助、社会捐助、个人（子女）缴费相结合的经费筹措办法。</w:t>
      </w:r>
    </w:p>
    <w:p>
      <w:pPr>
        <w:autoSpaceDN w:val="0"/>
        <w:spacing w:line="550" w:lineRule="exact"/>
        <w:ind w:firstLine="641"/>
        <w:rPr>
          <w:color w:val="auto"/>
          <w:spacing w:val="-4"/>
          <w:szCs w:val="32"/>
        </w:rPr>
      </w:pPr>
      <w:r>
        <w:rPr>
          <w:rFonts w:hint="eastAsia"/>
          <w:b/>
          <w:bCs/>
          <w:color w:val="auto"/>
          <w:spacing w:val="-4"/>
          <w:szCs w:val="32"/>
          <w:lang w:val="en-US" w:eastAsia="zh-CN"/>
        </w:rPr>
        <w:t>4</w:t>
      </w:r>
      <w:r>
        <w:rPr>
          <w:b/>
          <w:bCs/>
          <w:color w:val="auto"/>
          <w:szCs w:val="32"/>
        </w:rPr>
        <w:t>．</w:t>
      </w:r>
      <w:r>
        <w:rPr>
          <w:b/>
          <w:bCs/>
          <w:color w:val="auto"/>
          <w:spacing w:val="-4"/>
          <w:szCs w:val="32"/>
        </w:rPr>
        <w:t>健全农村养老服务关爱服务网络。</w:t>
      </w:r>
      <w:r>
        <w:rPr>
          <w:color w:val="auto"/>
          <w:spacing w:val="-4"/>
          <w:szCs w:val="32"/>
        </w:rPr>
        <w:t>大力宣传《中华人民共和国老年人权益保障法》，提升农村老年人赡（扶）养人的守法意识，监督赡（扶）养人履行赡（扶）养义务。完善农村生活困难老年人、留守老年人信息档案。健全农村地区经济困难的高龄、失能、失智、留守等特殊困难老年人关爱巡访制度，推动实施网格化管理，帮助解决基本生活安全问题。加强农村为老服务组织建设，加快培育专业化为老服务社会组织，支持成立农村养老志愿服务队伍、培养农村养老服务志愿者。动员机关事业单位与农村养老机构、志愿服务组织和志愿者与农村老年人开展结对帮扶。</w:t>
      </w:r>
    </w:p>
    <w:p>
      <w:pPr>
        <w:pStyle w:val="2"/>
        <w:rPr>
          <w:rFonts w:ascii="Times New Roman" w:hAnsi="Times New Roman" w:eastAsia="黑体" w:cs="Times New Roman"/>
          <w:bCs/>
          <w:color w:val="auto"/>
          <w:sz w:val="28"/>
          <w:szCs w:val="28"/>
          <w:shd w:val="solid" w:color="FFFFFF" w:fill="auto"/>
        </w:rPr>
      </w:pPr>
    </w:p>
    <w:p>
      <w:pPr>
        <w:pStyle w:val="2"/>
        <w:jc w:val="center"/>
        <w:rPr>
          <w:rFonts w:ascii="Times New Roman" w:hAnsi="Times New Roman" w:cs="Times New Roman"/>
          <w:color w:val="auto"/>
        </w:rPr>
      </w:pPr>
      <w:r>
        <w:rPr>
          <w:rFonts w:ascii="Times New Roman" w:hAnsi="Times New Roman" w:eastAsia="黑体" w:cs="Times New Roman"/>
          <w:bCs/>
          <w:color w:val="auto"/>
          <w:sz w:val="28"/>
          <w:szCs w:val="28"/>
          <w:shd w:val="solid" w:color="FFFFFF" w:fill="auto"/>
        </w:rPr>
        <w:t>专栏4  农村养老服务补短板工程</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384" w:hRule="atLeast"/>
          <w:jc w:val="center"/>
        </w:trPr>
        <w:tc>
          <w:tcPr>
            <w:tcW w:w="8640" w:type="dxa"/>
            <w:noWrap w:val="0"/>
            <w:vAlign w:val="center"/>
          </w:tcPr>
          <w:p>
            <w:pPr>
              <w:shd w:val="solid" w:color="FFFFFF" w:fill="auto"/>
              <w:autoSpaceDN w:val="0"/>
              <w:spacing w:line="320" w:lineRule="exact"/>
              <w:ind w:firstLine="482"/>
              <w:rPr>
                <w:color w:val="auto"/>
                <w:sz w:val="24"/>
                <w:shd w:val="solid" w:color="FFFFFF" w:fill="auto"/>
              </w:rPr>
            </w:pPr>
            <w:r>
              <w:rPr>
                <w:color w:val="auto"/>
                <w:sz w:val="24"/>
                <w:shd w:val="solid" w:color="FFFFFF" w:fill="auto"/>
              </w:rPr>
              <w:t>1．推进农村特困失能人员集中照护，实现县有“院”。2022年，</w:t>
            </w:r>
            <w:r>
              <w:rPr>
                <w:rFonts w:hint="eastAsia"/>
                <w:color w:val="auto"/>
                <w:sz w:val="24"/>
                <w:shd w:val="solid" w:color="FFFFFF" w:fill="auto"/>
                <w:lang w:eastAsia="zh-CN"/>
              </w:rPr>
              <w:t>新</w:t>
            </w:r>
            <w:r>
              <w:rPr>
                <w:color w:val="auto"/>
                <w:sz w:val="24"/>
                <w:shd w:val="solid" w:color="FFFFFF" w:fill="auto"/>
              </w:rPr>
              <w:t>建1所以农村失能特困人员、残疾和计划生育特殊家庭老年人专业照护为主的县级特困人员供养服务设施（敬老院）。到2025年，生活不能自理的特困人员集中供养率达到60%以上。对辖区内有集中照护需求无集中照护能力的乡镇，由县民政</w:t>
            </w:r>
            <w:r>
              <w:rPr>
                <w:rFonts w:hint="eastAsia"/>
                <w:color w:val="auto"/>
                <w:sz w:val="24"/>
                <w:shd w:val="solid" w:color="FFFFFF" w:fill="auto"/>
                <w:lang w:eastAsia="zh-CN"/>
              </w:rPr>
              <w:t>局</w:t>
            </w:r>
            <w:r>
              <w:rPr>
                <w:color w:val="auto"/>
                <w:sz w:val="24"/>
                <w:shd w:val="solid" w:color="FFFFFF" w:fill="auto"/>
              </w:rPr>
              <w:t>在全县范围内进行统筹安置。</w:t>
            </w:r>
          </w:p>
          <w:p>
            <w:pPr>
              <w:shd w:val="solid" w:color="FFFFFF" w:fill="auto"/>
              <w:autoSpaceDN w:val="0"/>
              <w:spacing w:line="320" w:lineRule="exact"/>
              <w:ind w:firstLine="482"/>
              <w:rPr>
                <w:color w:val="auto"/>
                <w:sz w:val="24"/>
                <w:shd w:val="solid" w:color="FFFFFF" w:fill="auto"/>
              </w:rPr>
            </w:pPr>
            <w:r>
              <w:rPr>
                <w:color w:val="auto"/>
                <w:sz w:val="24"/>
                <w:shd w:val="solid" w:color="FFFFFF" w:fill="auto"/>
              </w:rPr>
              <w:t>2．推进农村敬老院提档升级和区域性养老服务中心建设，实现镇有“中心”。2022年，乡镇（街道）层面区域养老服务中心建有率达到40%，到2025年，达到60%以上，与社区养老服务机构功能互补。</w:t>
            </w:r>
          </w:p>
          <w:p>
            <w:pPr>
              <w:shd w:val="solid" w:color="FFFFFF" w:fill="auto"/>
              <w:autoSpaceDN w:val="0"/>
              <w:spacing w:line="320" w:lineRule="exact"/>
              <w:ind w:firstLine="482"/>
              <w:rPr>
                <w:color w:val="auto"/>
                <w:sz w:val="24"/>
                <w:shd w:val="solid" w:color="FFFFFF" w:fill="auto"/>
              </w:rPr>
            </w:pPr>
            <w:r>
              <w:rPr>
                <w:color w:val="auto"/>
                <w:sz w:val="24"/>
                <w:shd w:val="solid" w:color="FFFFFF" w:fill="auto"/>
              </w:rPr>
              <w:t>3．推进村级互助养老服务点建设，实现村有“点”。以村级邻里互助点、农村幸福院等为依托，构建农村互助式养老服务网络。支持乡镇敬老院增加养老服务指导功能，将专业养老服务延伸至村级邻里互助点、农村幸福院和居家老年人。</w:t>
            </w:r>
          </w:p>
          <w:p>
            <w:pPr>
              <w:shd w:val="solid" w:color="FFFFFF" w:fill="auto"/>
              <w:autoSpaceDN w:val="0"/>
              <w:spacing w:line="320" w:lineRule="exact"/>
              <w:ind w:firstLine="482"/>
              <w:rPr>
                <w:color w:val="auto"/>
                <w:sz w:val="24"/>
                <w:shd w:val="solid" w:color="FFFFFF" w:fill="auto"/>
              </w:rPr>
            </w:pPr>
            <w:r>
              <w:rPr>
                <w:color w:val="auto"/>
                <w:sz w:val="24"/>
                <w:shd w:val="solid" w:color="FFFFFF" w:fill="auto"/>
              </w:rPr>
              <w:t>4．建立农村留守老年人关爱服务制度。推行“一镇一专干、一村一专员”，每个村至少配备1名巡访员，推行巡访服务全过程信息化处置和闭环运行。</w:t>
            </w:r>
          </w:p>
          <w:p>
            <w:pPr>
              <w:shd w:val="solid" w:color="FFFFFF" w:fill="auto"/>
              <w:autoSpaceDN w:val="0"/>
              <w:spacing w:line="320" w:lineRule="exact"/>
              <w:ind w:firstLine="482"/>
              <w:rPr>
                <w:color w:val="auto"/>
                <w:sz w:val="24"/>
                <w:shd w:val="solid" w:color="FFFFFF" w:fill="auto"/>
              </w:rPr>
            </w:pPr>
            <w:r>
              <w:rPr>
                <w:color w:val="auto"/>
                <w:sz w:val="24"/>
                <w:shd w:val="solid" w:color="FFFFFF" w:fill="auto"/>
              </w:rPr>
              <w:t>5．开展结对帮扶。结合乡村振兴战略，倡导县级部门（单位）对口联系关爱农村敬老院，积极开展走访慰问、身心关爱、环境美化等志愿服务，帮助协调解决机构建设、运营、管理等方面的问题。</w:t>
            </w:r>
          </w:p>
        </w:tc>
      </w:tr>
      <w:bookmarkEnd w:id="18"/>
      <w:bookmarkEnd w:id="19"/>
    </w:tbl>
    <w:p>
      <w:pPr>
        <w:spacing w:line="578" w:lineRule="exact"/>
        <w:jc w:val="center"/>
        <w:outlineLvl w:val="0"/>
        <w:rPr>
          <w:rFonts w:eastAsia="黑体"/>
          <w:bCs/>
          <w:color w:val="auto"/>
          <w:szCs w:val="32"/>
        </w:rPr>
      </w:pPr>
      <w:bookmarkStart w:id="20" w:name="_Toc18642"/>
    </w:p>
    <w:p>
      <w:pPr>
        <w:spacing w:line="578" w:lineRule="exact"/>
        <w:jc w:val="center"/>
        <w:outlineLvl w:val="0"/>
        <w:rPr>
          <w:rFonts w:eastAsia="黑体"/>
          <w:bCs/>
          <w:color w:val="auto"/>
          <w:szCs w:val="32"/>
        </w:rPr>
      </w:pPr>
      <w:r>
        <w:rPr>
          <w:rFonts w:eastAsia="黑体"/>
          <w:bCs/>
          <w:color w:val="auto"/>
          <w:szCs w:val="32"/>
        </w:rPr>
        <w:t>第三节  健全医养康养结合服务体系</w:t>
      </w:r>
      <w:bookmarkEnd w:id="20"/>
    </w:p>
    <w:p>
      <w:pPr>
        <w:shd w:val="solid" w:color="FFFFFF" w:fill="auto"/>
        <w:autoSpaceDN w:val="0"/>
        <w:spacing w:line="578" w:lineRule="exact"/>
        <w:ind w:firstLine="641"/>
        <w:rPr>
          <w:rFonts w:eastAsia="楷体_GB2312"/>
          <w:color w:val="auto"/>
          <w:szCs w:val="32"/>
          <w:shd w:val="solid" w:color="FFFFFF" w:fill="auto"/>
        </w:rPr>
      </w:pPr>
      <w:r>
        <w:rPr>
          <w:rFonts w:hint="eastAsia" w:eastAsia="楷体_GB2312"/>
          <w:color w:val="auto"/>
          <w:szCs w:val="32"/>
          <w:shd w:val="solid" w:color="FFFFFF" w:fill="auto"/>
          <w:lang w:eastAsia="zh-CN"/>
        </w:rPr>
        <w:t>（</w:t>
      </w:r>
      <w:r>
        <w:rPr>
          <w:rFonts w:hint="eastAsia" w:eastAsia="楷体_GB2312"/>
          <w:color w:val="auto"/>
          <w:szCs w:val="32"/>
          <w:shd w:val="solid" w:color="FFFFFF" w:fill="auto"/>
          <w:lang w:val="en-US" w:eastAsia="zh-CN"/>
        </w:rPr>
        <w:t>一）</w:t>
      </w:r>
      <w:r>
        <w:rPr>
          <w:rFonts w:eastAsia="楷体_GB2312"/>
          <w:color w:val="auto"/>
          <w:szCs w:val="32"/>
          <w:shd w:val="solid" w:color="FFFFFF" w:fill="auto"/>
        </w:rPr>
        <w:t>深化医养结合</w:t>
      </w:r>
    </w:p>
    <w:p>
      <w:pPr>
        <w:shd w:val="solid" w:color="FFFFFF" w:fill="auto"/>
        <w:autoSpaceDN w:val="0"/>
        <w:spacing w:line="578" w:lineRule="exact"/>
        <w:ind w:firstLine="641"/>
        <w:rPr>
          <w:color w:val="auto"/>
          <w:szCs w:val="32"/>
          <w:shd w:val="solid" w:color="FFFFFF" w:fill="auto"/>
        </w:rPr>
      </w:pPr>
      <w:r>
        <w:rPr>
          <w:rFonts w:hint="eastAsia"/>
          <w:b/>
          <w:bCs/>
          <w:color w:val="auto"/>
          <w:szCs w:val="32"/>
          <w:shd w:val="solid" w:color="FFFFFF" w:fill="auto"/>
          <w:lang w:val="en-US" w:eastAsia="zh-CN"/>
        </w:rPr>
        <w:t>1</w:t>
      </w:r>
      <w:r>
        <w:rPr>
          <w:b/>
          <w:bCs/>
          <w:color w:val="auto"/>
          <w:szCs w:val="32"/>
        </w:rPr>
        <w:t>．</w:t>
      </w:r>
      <w:r>
        <w:rPr>
          <w:b/>
          <w:bCs/>
          <w:color w:val="auto"/>
          <w:szCs w:val="32"/>
          <w:shd w:val="solid" w:color="FFFFFF" w:fill="auto"/>
        </w:rPr>
        <w:t>丰富医养结合服务模式。</w:t>
      </w:r>
      <w:r>
        <w:rPr>
          <w:color w:val="auto"/>
          <w:szCs w:val="32"/>
          <w:shd w:val="solid" w:color="FFFFFF" w:fill="auto"/>
        </w:rPr>
        <w:t>按照方便就近、互利互惠的原则，推动养老机构与周边医疗卫生机构建立协作合作关系，签订合作协议，健全急救急诊、预约就诊、双向转诊、定期巡诊、业务指导等合作机制，实现医养结合服务覆盖率达100%。医疗机构利用专业的医护团队和设施设备，为合作养老机构中的老年人提供住院、康复、护理、生活照料及临终关怀等一体化的健康养老服务。养老机构内设的符合条件的医疗机构可纳入全</w:t>
      </w:r>
      <w:r>
        <w:rPr>
          <w:rFonts w:hint="eastAsia"/>
          <w:color w:val="auto"/>
          <w:szCs w:val="32"/>
          <w:shd w:val="solid" w:color="FFFFFF" w:fill="auto"/>
          <w:lang w:eastAsia="zh-CN"/>
        </w:rPr>
        <w:t>县</w:t>
      </w:r>
      <w:r>
        <w:rPr>
          <w:color w:val="auto"/>
          <w:szCs w:val="32"/>
          <w:shd w:val="solid" w:color="FFFFFF" w:fill="auto"/>
        </w:rPr>
        <w:t>分级诊疗体系，纳入医联体管理，作为医院收治老年人的后期康复护理场所。推进医养结合与医保政策有效衔接，加大医保政策对医养结合的支持力度，构建“医疗+养老+医保”的医养结合保障体系。合理核定养老机构举办的医疗机构医保限额。到2025年，基本形成覆盖城乡、功能齐全、有序衔接、综合连续的医养结合服务网络。</w:t>
      </w:r>
    </w:p>
    <w:p>
      <w:pPr>
        <w:pStyle w:val="11"/>
        <w:widowControl w:val="0"/>
        <w:shd w:val="clear" w:color="auto" w:fill="FFFFFF"/>
        <w:spacing w:before="0" w:beforeAutospacing="0" w:after="0" w:afterAutospacing="0" w:line="578" w:lineRule="exact"/>
        <w:ind w:firstLine="641"/>
        <w:jc w:val="both"/>
        <w:rPr>
          <w:rFonts w:ascii="Times New Roman" w:hAnsi="Times New Roman" w:eastAsia="仿宋_GB2312" w:cs="Times New Roman"/>
          <w:color w:val="auto"/>
          <w:kern w:val="2"/>
          <w:sz w:val="32"/>
          <w:szCs w:val="32"/>
          <w:shd w:val="solid" w:color="FFFFFF" w:fill="auto"/>
        </w:rPr>
      </w:pPr>
      <w:r>
        <w:rPr>
          <w:rFonts w:hint="eastAsia" w:ascii="Times New Roman" w:hAnsi="Times New Roman" w:eastAsia="仿宋_GB2312" w:cs="Times New Roman"/>
          <w:b/>
          <w:bCs/>
          <w:color w:val="auto"/>
          <w:kern w:val="2"/>
          <w:sz w:val="32"/>
          <w:szCs w:val="32"/>
          <w:shd w:val="solid" w:color="FFFFFF" w:fill="auto"/>
          <w:lang w:val="en-US" w:eastAsia="zh-CN"/>
        </w:rPr>
        <w:t>2</w:t>
      </w:r>
      <w:r>
        <w:rPr>
          <w:rFonts w:ascii="Times New Roman" w:hAnsi="Times New Roman" w:eastAsia="仿宋_GB2312" w:cs="Times New Roman"/>
          <w:b/>
          <w:bCs/>
          <w:color w:val="auto"/>
          <w:kern w:val="2"/>
          <w:sz w:val="32"/>
          <w:szCs w:val="32"/>
          <w:shd w:val="solid" w:color="FFFFFF" w:fill="auto"/>
        </w:rPr>
        <w:t>．增加医养结合服务供给。</w:t>
      </w:r>
      <w:r>
        <w:rPr>
          <w:rFonts w:ascii="Times New Roman" w:hAnsi="Times New Roman" w:eastAsia="仿宋_GB2312" w:cs="Times New Roman"/>
          <w:color w:val="auto"/>
          <w:kern w:val="2"/>
          <w:sz w:val="32"/>
          <w:szCs w:val="32"/>
          <w:shd w:val="solid" w:color="FFFFFF" w:fill="auto"/>
        </w:rPr>
        <w:t>加强养老机构与医疗机构规划衔接，统筹医疗卫生与养老服务资源配置，盘活存量，整合资源。实施社区医养结合能力提升行动。积极开展基本公共卫生服务老年健康与医养结合服务项目。推动社区卫生服务中心与社区养老服务机构、乡镇卫生院与特困人员供养服务设施（敬老院）、村卫生室与农村幸福院毗邻建设，采取</w:t>
      </w:r>
      <w:r>
        <w:rPr>
          <w:rFonts w:hint="eastAsia" w:ascii="Times New Roman" w:hAnsi="Times New Roman" w:eastAsia="仿宋_GB2312" w:cs="Times New Roman"/>
          <w:color w:val="auto"/>
          <w:kern w:val="2"/>
          <w:sz w:val="32"/>
          <w:szCs w:val="32"/>
          <w:shd w:val="solid" w:color="FFFFFF" w:fill="auto"/>
          <w:lang w:eastAsia="zh-CN"/>
        </w:rPr>
        <w:t>设置医务室、签订合作协议、建立巡诊制度等</w:t>
      </w:r>
      <w:r>
        <w:rPr>
          <w:rFonts w:ascii="Times New Roman" w:hAnsi="Times New Roman" w:eastAsia="仿宋_GB2312" w:cs="Times New Roman"/>
          <w:color w:val="auto"/>
          <w:kern w:val="2"/>
          <w:sz w:val="32"/>
          <w:szCs w:val="32"/>
          <w:shd w:val="solid" w:color="FFFFFF" w:fill="auto"/>
        </w:rPr>
        <w:t>多种有效方式实现资源整合、服务衔接。支持二级及以下医疗机构转型，开展康复、护理以及医养结合服务，打造一批医养结合服务中心。探索医、教、养结合模式，建设一批医教养综合体。养老机构申请内部设置诊所、卫生所（室）、医务室、护理站的，取消行政审批，实行备案管理。简化医养结合机构审批登记，医疗卫生机构利用现有资源提供养老服务的，涉及建设、消防、食品安全、卫生防疫等有关条件，可依据医疗卫生机构已具备的上述相应资质直接进行登记备案，不需另行设立新的法人。</w:t>
      </w:r>
    </w:p>
    <w:p>
      <w:pPr>
        <w:pStyle w:val="11"/>
        <w:widowControl w:val="0"/>
        <w:shd w:val="clear" w:color="auto" w:fill="FFFFFF"/>
        <w:spacing w:before="0" w:beforeAutospacing="0" w:after="0" w:afterAutospacing="0" w:line="578" w:lineRule="exact"/>
        <w:ind w:firstLine="641"/>
        <w:jc w:val="both"/>
        <w:rPr>
          <w:rFonts w:ascii="Times New Roman" w:hAnsi="Times New Roman" w:eastAsia="仿宋_GB2312" w:cs="Times New Roman"/>
          <w:color w:val="auto"/>
          <w:kern w:val="2"/>
          <w:sz w:val="32"/>
          <w:szCs w:val="32"/>
          <w:shd w:val="solid" w:color="FFFFFF" w:fill="auto"/>
        </w:rPr>
      </w:pPr>
      <w:r>
        <w:rPr>
          <w:rFonts w:hint="eastAsia" w:ascii="Times New Roman" w:hAnsi="Times New Roman" w:eastAsia="仿宋_GB2312" w:cs="Times New Roman"/>
          <w:b/>
          <w:bCs/>
          <w:color w:val="auto"/>
          <w:kern w:val="2"/>
          <w:sz w:val="32"/>
          <w:szCs w:val="32"/>
          <w:shd w:val="solid" w:color="FFFFFF" w:fill="auto"/>
          <w:lang w:val="en-US" w:eastAsia="zh-CN"/>
        </w:rPr>
        <w:t>3</w:t>
      </w:r>
      <w:r>
        <w:rPr>
          <w:rFonts w:ascii="Times New Roman" w:hAnsi="Times New Roman" w:eastAsia="仿宋_GB2312" w:cs="Times New Roman"/>
          <w:b/>
          <w:bCs/>
          <w:color w:val="auto"/>
          <w:kern w:val="2"/>
          <w:sz w:val="32"/>
          <w:szCs w:val="32"/>
          <w:shd w:val="solid" w:color="FFFFFF" w:fill="auto"/>
        </w:rPr>
        <w:t>．推动养老机构开展医疗卫生服务。</w:t>
      </w:r>
      <w:r>
        <w:rPr>
          <w:rFonts w:ascii="Times New Roman" w:hAnsi="Times New Roman" w:eastAsia="仿宋_GB2312" w:cs="Times New Roman"/>
          <w:color w:val="auto"/>
          <w:kern w:val="2"/>
          <w:sz w:val="32"/>
          <w:szCs w:val="32"/>
          <w:shd w:val="solid" w:color="FFFFFF" w:fill="auto"/>
        </w:rPr>
        <w:t>鼓励养老机构通过服务外包、委托经营等方式，引进医疗机构参与运营管理。支持医疗机构定期选派技术骨干和管理团队，帮助与其合作的养老机构提升医疗护理能力。养老机构内设医疗机构符合条件的，按规定纳入基本医疗保险定点医疗机构协议管理范围。养老机构内设医疗机构在技术准入、专业技术培训和推荐评优等方面，与其他医疗机构同等对待。鼓励卫生技术人员在养老机构开展疾病防控、营养调理、中医养生等非诊疗行为的健康服务。</w:t>
      </w:r>
    </w:p>
    <w:p>
      <w:pPr>
        <w:pStyle w:val="11"/>
        <w:widowControl w:val="0"/>
        <w:shd w:val="clear" w:color="auto" w:fill="FFFFFF"/>
        <w:spacing w:before="0" w:beforeAutospacing="0" w:after="0" w:afterAutospacing="0" w:line="578" w:lineRule="exact"/>
        <w:ind w:firstLine="641"/>
        <w:jc w:val="both"/>
        <w:rPr>
          <w:rFonts w:ascii="Times New Roman" w:hAnsi="Times New Roman" w:eastAsia="仿宋_GB2312" w:cs="Times New Roman"/>
          <w:color w:val="auto"/>
          <w:kern w:val="2"/>
          <w:sz w:val="32"/>
          <w:szCs w:val="32"/>
          <w:shd w:val="solid" w:color="FFFFFF" w:fill="auto"/>
        </w:rPr>
      </w:pPr>
      <w:r>
        <w:rPr>
          <w:rFonts w:hint="eastAsia" w:ascii="Times New Roman" w:hAnsi="Times New Roman" w:eastAsia="仿宋_GB2312" w:cs="Times New Roman"/>
          <w:b/>
          <w:bCs/>
          <w:color w:val="auto"/>
          <w:kern w:val="2"/>
          <w:sz w:val="32"/>
          <w:szCs w:val="32"/>
          <w:shd w:val="solid" w:color="FFFFFF" w:fill="auto"/>
          <w:lang w:val="en-US" w:eastAsia="zh-CN"/>
        </w:rPr>
        <w:t>4</w:t>
      </w:r>
      <w:r>
        <w:rPr>
          <w:rFonts w:ascii="Times New Roman" w:hAnsi="Times New Roman" w:eastAsia="仿宋_GB2312" w:cs="Times New Roman"/>
          <w:b/>
          <w:bCs/>
          <w:color w:val="auto"/>
          <w:kern w:val="2"/>
          <w:sz w:val="32"/>
          <w:szCs w:val="32"/>
          <w:shd w:val="solid" w:color="FFFFFF" w:fill="auto"/>
        </w:rPr>
        <w:t>．增强医疗卫生机构为老服务功能。</w:t>
      </w:r>
      <w:r>
        <w:rPr>
          <w:rFonts w:ascii="Times New Roman" w:hAnsi="Times New Roman" w:eastAsia="仿宋_GB2312" w:cs="Times New Roman"/>
          <w:color w:val="auto"/>
          <w:kern w:val="2"/>
          <w:sz w:val="32"/>
          <w:szCs w:val="32"/>
          <w:shd w:val="solid" w:color="FFFFFF" w:fill="auto"/>
        </w:rPr>
        <w:t>支持老年康复医院、老年医院、老年护理院、安宁疗护医院等医疗机构建设。推动二级及以上综合性医疗机构开设老年医学科，增设老年医疗护理床位，开展老年慢性病防治和康复护理等。支持基层医疗机构开设老年医学科、老年门诊，逐步提高基层医疗机构康复、护理床位占比。支持基层医疗卫生机构、医务人员与老年日间照料中心、居家养老服务中心合作，为社区及居家老年人提供接续性的医疗、康复、护理和健康管理服务。将符合规定的医疗护理服务项目纳入医保支付范围。开展安宁疗护服务。加强对社会公众的生命教育。</w:t>
      </w:r>
    </w:p>
    <w:p>
      <w:pPr>
        <w:pStyle w:val="11"/>
        <w:widowControl w:val="0"/>
        <w:shd w:val="clear" w:color="auto" w:fill="FFFFFF"/>
        <w:spacing w:before="0" w:beforeAutospacing="0" w:after="0" w:afterAutospacing="0" w:line="578" w:lineRule="exact"/>
        <w:ind w:firstLine="641"/>
        <w:jc w:val="both"/>
        <w:rPr>
          <w:rFonts w:ascii="Times New Roman" w:hAnsi="Times New Roman" w:eastAsia="仿宋_GB2312" w:cs="Times New Roman"/>
          <w:color w:val="auto"/>
          <w:kern w:val="2"/>
          <w:sz w:val="32"/>
          <w:szCs w:val="32"/>
          <w:shd w:val="solid" w:color="FFFFFF" w:fill="auto"/>
        </w:rPr>
      </w:pPr>
      <w:r>
        <w:rPr>
          <w:rFonts w:hint="eastAsia" w:ascii="Times New Roman" w:hAnsi="Times New Roman" w:eastAsia="仿宋_GB2312" w:cs="Times New Roman"/>
          <w:b/>
          <w:bCs/>
          <w:color w:val="auto"/>
          <w:kern w:val="2"/>
          <w:sz w:val="32"/>
          <w:szCs w:val="32"/>
          <w:shd w:val="solid" w:color="FFFFFF" w:fill="auto"/>
          <w:lang w:val="en-US" w:eastAsia="zh-CN"/>
        </w:rPr>
        <w:t>5</w:t>
      </w:r>
      <w:r>
        <w:rPr>
          <w:rFonts w:ascii="Times New Roman" w:hAnsi="Times New Roman" w:eastAsia="仿宋_GB2312" w:cs="Times New Roman"/>
          <w:b/>
          <w:bCs/>
          <w:color w:val="auto"/>
          <w:kern w:val="2"/>
          <w:sz w:val="32"/>
          <w:szCs w:val="32"/>
          <w:shd w:val="solid" w:color="FFFFFF" w:fill="auto"/>
        </w:rPr>
        <w:t>．推动医疗服务向居家社区延伸。</w:t>
      </w:r>
      <w:r>
        <w:rPr>
          <w:rFonts w:ascii="Times New Roman" w:hAnsi="Times New Roman" w:eastAsia="仿宋_GB2312" w:cs="Times New Roman"/>
          <w:color w:val="auto"/>
          <w:kern w:val="2"/>
          <w:sz w:val="32"/>
          <w:szCs w:val="32"/>
          <w:shd w:val="solid" w:color="FFFFFF" w:fill="auto"/>
        </w:rPr>
        <w:t>支持有条件的医疗卫生机构为失能、慢性病、高龄、残疾等行动不便或确有困难的老年人提供家庭病床、上门巡诊等居家医疗服务。公立医疗机构为老年人提供上门医疗服务，采取“医疗服务价格+上门服务费”方式收费。提供的医疗服务、药品和医用耗材适用本医疗机构执行的医药价格政策，上门服务费可由公立医疗机构自主确定。鼓励社会力量开办社区护理站。积极开展社区和居家中医药健康服务。</w:t>
      </w:r>
    </w:p>
    <w:p>
      <w:pPr>
        <w:pStyle w:val="11"/>
        <w:widowControl w:val="0"/>
        <w:shd w:val="clear" w:color="auto" w:fill="FFFFFF"/>
        <w:spacing w:before="0" w:beforeAutospacing="0" w:after="0" w:afterAutospacing="0" w:line="578" w:lineRule="exact"/>
        <w:jc w:val="center"/>
        <w:rPr>
          <w:rFonts w:ascii="Times New Roman" w:hAnsi="Times New Roman" w:eastAsia="仿宋_GB2312" w:cs="Times New Roman"/>
          <w:color w:val="auto"/>
          <w:kern w:val="2"/>
          <w:sz w:val="32"/>
          <w:szCs w:val="32"/>
          <w:shd w:val="solid" w:color="FFFFFF" w:fill="auto"/>
        </w:rPr>
      </w:pPr>
      <w:r>
        <w:rPr>
          <w:rFonts w:ascii="Times New Roman" w:hAnsi="Times New Roman" w:eastAsia="黑体" w:cs="Times New Roman"/>
          <w:bCs/>
          <w:color w:val="auto"/>
          <w:sz w:val="28"/>
          <w:szCs w:val="28"/>
          <w:shd w:val="solid" w:color="FFFFFF" w:fill="auto"/>
        </w:rPr>
        <w:t>专栏5  医养结合能力提升工程</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05" w:hRule="atLeast"/>
          <w:jc w:val="center"/>
        </w:trPr>
        <w:tc>
          <w:tcPr>
            <w:tcW w:w="8640" w:type="dxa"/>
            <w:noWrap w:val="0"/>
            <w:vAlign w:val="center"/>
          </w:tcPr>
          <w:p>
            <w:pPr>
              <w:widowControl/>
              <w:numPr>
                <w:ilvl w:val="0"/>
                <w:numId w:val="3"/>
              </w:numPr>
              <w:shd w:val="solid" w:color="FFFFFF" w:fill="auto"/>
              <w:autoSpaceDN w:val="0"/>
              <w:spacing w:line="360" w:lineRule="exact"/>
              <w:ind w:firstLine="480" w:firstLineChars="200"/>
              <w:textAlignment w:val="baseline"/>
              <w:rPr>
                <w:color w:val="auto"/>
                <w:sz w:val="24"/>
                <w:shd w:val="solid" w:color="FFFFFF" w:fill="auto"/>
              </w:rPr>
            </w:pPr>
            <w:r>
              <w:rPr>
                <w:color w:val="auto"/>
                <w:sz w:val="24"/>
                <w:shd w:val="solid" w:color="FFFFFF" w:fill="auto"/>
              </w:rPr>
              <w:t>社区医养结合能力提升行动。依托社区卫生服务中心、乡镇卫生院或养老服务机构、特困人员供养服务设施（敬老院），利用现有资源改建一批</w:t>
            </w:r>
            <w:ins w:id="5" w:author="陆离" w:date="2022-04-11T18:42:00Z">
              <w:r>
                <w:rPr>
                  <w:color w:val="auto"/>
                  <w:sz w:val="24"/>
                  <w:shd w:val="solid" w:color="FFFFFF" w:fill="auto"/>
                </w:rPr>
                <w:t>乡镇、</w:t>
              </w:r>
            </w:ins>
            <w:r>
              <w:rPr>
                <w:color w:val="auto"/>
                <w:sz w:val="24"/>
                <w:shd w:val="solid" w:color="FFFFFF" w:fill="auto"/>
              </w:rPr>
              <w:t>社区医养结合服务设施，重点为失能、慢性病、高龄、残疾等老年人提供健康教育、预防保健、疾病诊治、康复护理、安宁疗护为主，兼顾日常生活照料的医养结合服务。</w:t>
            </w:r>
          </w:p>
          <w:p>
            <w:pPr>
              <w:widowControl/>
              <w:numPr>
                <w:ilvl w:val="0"/>
                <w:numId w:val="4"/>
              </w:numPr>
              <w:shd w:val="solid" w:color="FFFFFF" w:fill="auto"/>
              <w:autoSpaceDN w:val="0"/>
              <w:spacing w:line="360" w:lineRule="exact"/>
              <w:ind w:firstLine="480" w:firstLineChars="200"/>
              <w:textAlignment w:val="baseline"/>
              <w:rPr>
                <w:color w:val="auto"/>
                <w:sz w:val="24"/>
                <w:shd w:val="solid" w:color="FFFFFF" w:fill="auto"/>
              </w:rPr>
            </w:pPr>
            <w:r>
              <w:rPr>
                <w:color w:val="auto"/>
                <w:sz w:val="24"/>
                <w:shd w:val="solid" w:color="FFFFFF" w:fill="auto"/>
              </w:rPr>
              <w:t>医养结合示范</w:t>
            </w:r>
            <w:r>
              <w:rPr>
                <w:rFonts w:hint="eastAsia"/>
                <w:color w:val="auto"/>
                <w:sz w:val="24"/>
                <w:shd w:val="solid" w:color="FFFFFF" w:fill="auto"/>
                <w:lang w:eastAsia="zh-CN"/>
              </w:rPr>
              <w:t>创建</w:t>
            </w:r>
            <w:r>
              <w:rPr>
                <w:color w:val="auto"/>
                <w:sz w:val="24"/>
                <w:shd w:val="solid" w:color="FFFFFF" w:fill="auto"/>
              </w:rPr>
              <w:t>行动。支持建设专业化、规模化、医养结合能力突出的养老服务机构。组织开展医养结合人才能力提升培训。推进医养结合机构建设。实施社区医养结合能力提升项目，支持基层医疗卫生机构建设医养结合服务中心。至少建成1—2个医养结合示范机构</w:t>
            </w:r>
            <w:r>
              <w:rPr>
                <w:rFonts w:hint="eastAsia"/>
                <w:color w:val="auto"/>
                <w:sz w:val="24"/>
                <w:shd w:val="solid" w:color="FFFFFF" w:fill="auto"/>
                <w:lang w:eastAsia="zh-CN"/>
              </w:rPr>
              <w:t>，积极争创全国医养结合示范县</w:t>
            </w:r>
            <w:r>
              <w:rPr>
                <w:color w:val="auto"/>
                <w:sz w:val="24"/>
                <w:shd w:val="solid" w:color="FFFFFF" w:fill="auto"/>
              </w:rPr>
              <w:t>。</w:t>
            </w:r>
          </w:p>
          <w:p>
            <w:pPr>
              <w:widowControl/>
              <w:numPr>
                <w:ilvl w:val="0"/>
                <w:numId w:val="5"/>
              </w:numPr>
              <w:shd w:val="solid" w:color="FFFFFF" w:fill="auto"/>
              <w:autoSpaceDN w:val="0"/>
              <w:spacing w:line="360" w:lineRule="exact"/>
              <w:ind w:firstLine="480" w:firstLineChars="200"/>
              <w:textAlignment w:val="baseline"/>
              <w:rPr>
                <w:color w:val="auto"/>
                <w:sz w:val="24"/>
                <w:shd w:val="solid" w:color="FFFFFF" w:fill="auto"/>
              </w:rPr>
            </w:pPr>
            <w:r>
              <w:rPr>
                <w:color w:val="auto"/>
                <w:sz w:val="24"/>
                <w:shd w:val="solid" w:color="FFFFFF" w:fill="auto"/>
              </w:rPr>
              <w:t>推动养老机构开展医疗卫生服务。全</w:t>
            </w:r>
            <w:r>
              <w:rPr>
                <w:rFonts w:hint="eastAsia"/>
                <w:color w:val="auto"/>
                <w:sz w:val="24"/>
                <w:shd w:val="solid" w:color="FFFFFF" w:fill="auto"/>
                <w:lang w:eastAsia="zh-CN"/>
              </w:rPr>
              <w:t>县</w:t>
            </w:r>
            <w:r>
              <w:rPr>
                <w:color w:val="auto"/>
                <w:sz w:val="24"/>
                <w:shd w:val="solid" w:color="FFFFFF" w:fill="auto"/>
              </w:rPr>
              <w:t>100张以上床位的养老机构，除与医疗机构整合设置的，应内设医疗机构。到2025年底前，建有1所以上具有医养结合功能的县级特困人员供养服务机构。</w:t>
            </w:r>
          </w:p>
          <w:p>
            <w:pPr>
              <w:shd w:val="solid" w:color="FFFFFF" w:fill="auto"/>
              <w:autoSpaceDN w:val="0"/>
              <w:spacing w:line="360" w:lineRule="exact"/>
              <w:ind w:firstLine="480" w:firstLineChars="200"/>
              <w:rPr>
                <w:color w:val="auto"/>
                <w:sz w:val="24"/>
                <w:shd w:val="solid" w:color="FFFFFF" w:fill="auto"/>
              </w:rPr>
            </w:pPr>
            <w:r>
              <w:rPr>
                <w:color w:val="auto"/>
                <w:sz w:val="24"/>
                <w:shd w:val="solid" w:color="FFFFFF" w:fill="auto"/>
              </w:rPr>
              <w:t>4．增强医疗卫生机构养老服务功能。</w:t>
            </w:r>
            <w:r>
              <w:rPr>
                <w:rFonts w:hint="eastAsia"/>
                <w:color w:val="auto"/>
                <w:sz w:val="24"/>
                <w:shd w:val="solid" w:color="FFFFFF" w:fill="auto"/>
                <w:lang w:eastAsia="zh-CN"/>
              </w:rPr>
              <w:t>支持宣汉县人民医院、宣汉县中医院、宣汉县第二人民医院、宣汉县第三人民医院、宣汉同盛医院持续抓好老年医学科建设。督促宣汉县土黄镇中心卫生院实施好医教养中心建设项目，</w:t>
            </w:r>
            <w:r>
              <w:rPr>
                <w:rFonts w:hint="eastAsia"/>
                <w:color w:val="auto"/>
                <w:sz w:val="24"/>
                <w:shd w:val="solid" w:color="FFFFFF" w:fill="auto"/>
                <w:lang w:val="en-US" w:eastAsia="zh-CN"/>
              </w:rPr>
              <w:t>2022年底前投入使用。鼓励宣汉县人民医院开展安宁疗护服务试点</w:t>
            </w:r>
            <w:r>
              <w:rPr>
                <w:color w:val="auto"/>
                <w:spacing w:val="-6"/>
                <w:sz w:val="24"/>
                <w:shd w:val="solid" w:color="FFFFFF" w:fill="auto"/>
              </w:rPr>
              <w:t>。</w:t>
            </w:r>
          </w:p>
        </w:tc>
      </w:tr>
    </w:tbl>
    <w:p>
      <w:pPr>
        <w:spacing w:line="550" w:lineRule="exact"/>
        <w:ind w:firstLine="640" w:firstLineChars="200"/>
        <w:outlineLvl w:val="0"/>
        <w:rPr>
          <w:rFonts w:eastAsia="楷体_GB2312"/>
          <w:color w:val="auto"/>
          <w:szCs w:val="32"/>
        </w:rPr>
      </w:pPr>
      <w:bookmarkStart w:id="21" w:name="_Toc27328"/>
      <w:bookmarkStart w:id="22" w:name="_Toc11637"/>
      <w:r>
        <w:rPr>
          <w:rFonts w:hint="eastAsia" w:eastAsia="楷体_GB2312"/>
          <w:color w:val="auto"/>
          <w:szCs w:val="32"/>
          <w:lang w:eastAsia="zh-CN"/>
        </w:rPr>
        <w:t>（</w:t>
      </w:r>
      <w:r>
        <w:rPr>
          <w:rFonts w:hint="eastAsia" w:eastAsia="楷体_GB2312"/>
          <w:color w:val="auto"/>
          <w:szCs w:val="32"/>
          <w:lang w:val="en-US" w:eastAsia="zh-CN"/>
        </w:rPr>
        <w:t>一）</w:t>
      </w:r>
      <w:r>
        <w:rPr>
          <w:rFonts w:eastAsia="楷体_GB2312"/>
          <w:color w:val="auto"/>
          <w:szCs w:val="32"/>
        </w:rPr>
        <w:t>促进康养融合</w:t>
      </w:r>
    </w:p>
    <w:p>
      <w:pPr>
        <w:pStyle w:val="11"/>
        <w:widowControl w:val="0"/>
        <w:shd w:val="clear" w:color="auto" w:fill="FFFFFF"/>
        <w:spacing w:before="0" w:beforeAutospacing="0" w:after="0" w:afterAutospacing="0" w:line="550" w:lineRule="exact"/>
        <w:ind w:firstLine="643" w:firstLineChars="200"/>
        <w:jc w:val="both"/>
        <w:rPr>
          <w:rFonts w:ascii="Times New Roman" w:hAnsi="Times New Roman" w:eastAsia="仿宋_GB2312" w:cs="Times New Roman"/>
          <w:color w:val="auto"/>
          <w:kern w:val="2"/>
          <w:sz w:val="32"/>
          <w:szCs w:val="32"/>
          <w:shd w:val="solid" w:color="FFFFFF" w:fill="auto"/>
        </w:rPr>
      </w:pPr>
      <w:r>
        <w:rPr>
          <w:rFonts w:hint="eastAsia" w:ascii="Times New Roman" w:hAnsi="Times New Roman" w:eastAsia="仿宋_GB2312" w:cs="Times New Roman"/>
          <w:b/>
          <w:bCs/>
          <w:color w:val="auto"/>
          <w:kern w:val="2"/>
          <w:sz w:val="32"/>
          <w:szCs w:val="32"/>
          <w:shd w:val="solid" w:color="FFFFFF" w:fill="auto"/>
          <w:lang w:val="en-US" w:eastAsia="zh-CN"/>
        </w:rPr>
        <w:t>1</w:t>
      </w:r>
      <w:r>
        <w:rPr>
          <w:rFonts w:ascii="Times New Roman" w:hAnsi="Times New Roman" w:eastAsia="仿宋_GB2312" w:cs="Times New Roman"/>
          <w:b/>
          <w:bCs/>
          <w:color w:val="auto"/>
          <w:kern w:val="2"/>
          <w:sz w:val="32"/>
          <w:szCs w:val="32"/>
          <w:shd w:val="solid" w:color="FFFFFF" w:fill="auto"/>
        </w:rPr>
        <w:t>．完善老年人健康服务体系。</w:t>
      </w:r>
      <w:r>
        <w:rPr>
          <w:rFonts w:ascii="Times New Roman" w:hAnsi="Times New Roman" w:eastAsia="仿宋_GB2312" w:cs="Times New Roman"/>
          <w:color w:val="auto"/>
          <w:kern w:val="2"/>
          <w:sz w:val="32"/>
          <w:szCs w:val="32"/>
          <w:shd w:val="solid" w:color="FFFFFF" w:fill="auto"/>
        </w:rPr>
        <w:t>构建综合连续、覆盖城乡的老年健康服务体系。基层医疗卫生机构对辖区65周岁及以上老年人每年提供1次免费健康管理服务，建立老年人健康档案。做好老年人健康教育、预防保健、疾病诊治、康复护理、长期照护、安宁疗护等服务，实现从健康管理、失能失智照护到安宁疗护的老年人生命周期全覆盖。做实老年人家庭医生签约服务，强化老年人居家医疗服务。加强老年失能预防，推动失能预防关口前移，降低老年人失能发生率。加强老年人群重大传染病的早期筛查、干预。</w:t>
      </w:r>
    </w:p>
    <w:p>
      <w:pPr>
        <w:pStyle w:val="11"/>
        <w:widowControl w:val="0"/>
        <w:shd w:val="clear" w:color="auto" w:fill="FFFFFF"/>
        <w:spacing w:before="0" w:beforeAutospacing="0" w:after="0" w:afterAutospacing="0" w:line="550" w:lineRule="exact"/>
        <w:ind w:firstLine="643" w:firstLineChars="200"/>
        <w:jc w:val="both"/>
        <w:rPr>
          <w:rFonts w:ascii="Times New Roman" w:hAnsi="Times New Roman" w:eastAsia="仿宋_GB2312" w:cs="Times New Roman"/>
          <w:color w:val="auto"/>
          <w:kern w:val="2"/>
          <w:sz w:val="32"/>
          <w:szCs w:val="32"/>
          <w:shd w:val="solid" w:color="FFFFFF" w:fill="auto"/>
        </w:rPr>
      </w:pPr>
      <w:r>
        <w:rPr>
          <w:rFonts w:hint="eastAsia" w:ascii="Times New Roman" w:hAnsi="Times New Roman" w:eastAsia="仿宋_GB2312" w:cs="Times New Roman"/>
          <w:b/>
          <w:bCs/>
          <w:color w:val="auto"/>
          <w:kern w:val="2"/>
          <w:sz w:val="32"/>
          <w:szCs w:val="32"/>
          <w:shd w:val="solid" w:color="FFFFFF" w:fill="auto"/>
          <w:lang w:val="en-US" w:eastAsia="zh-CN"/>
        </w:rPr>
        <w:t>2</w:t>
      </w:r>
      <w:r>
        <w:rPr>
          <w:rFonts w:ascii="Times New Roman" w:hAnsi="Times New Roman" w:eastAsia="仿宋_GB2312" w:cs="Times New Roman"/>
          <w:b/>
          <w:bCs/>
          <w:color w:val="auto"/>
          <w:kern w:val="2"/>
          <w:sz w:val="32"/>
          <w:szCs w:val="32"/>
          <w:shd w:val="solid" w:color="FFFFFF" w:fill="auto"/>
        </w:rPr>
        <w:t>．实施老年健康促进工程。</w:t>
      </w:r>
      <w:r>
        <w:rPr>
          <w:rFonts w:ascii="Times New Roman" w:hAnsi="Times New Roman" w:eastAsia="仿宋_GB2312" w:cs="Times New Roman"/>
          <w:color w:val="auto"/>
          <w:kern w:val="2"/>
          <w:sz w:val="32"/>
          <w:szCs w:val="32"/>
          <w:shd w:val="solid" w:color="FFFFFF" w:fill="auto"/>
        </w:rPr>
        <w:t>加强老年人群重点慢性病的早期筛查、干预及分类指导，开展老年口腔健康、老年营养改善、老年痴呆防治和心理关爱行动。推动老年健康领域科研成果转化，遴选推广一批老年健康适宜技术，提高基层老年健康服务能力。积极开展老年疾病防控的知识宣传。完善老年人心理健康与精神障碍早期预防及干预机制。充分发挥中医药在治未病、老年病、慢性病防治等方面的优势和作用，增强中医药健康养老的活力和可及性。</w:t>
      </w:r>
    </w:p>
    <w:p>
      <w:pPr>
        <w:pStyle w:val="11"/>
        <w:widowControl w:val="0"/>
        <w:shd w:val="clear" w:color="auto" w:fill="FFFFFF"/>
        <w:spacing w:before="0" w:beforeAutospacing="0" w:after="0" w:afterAutospacing="0" w:line="550" w:lineRule="exact"/>
        <w:ind w:firstLine="643" w:firstLineChars="200"/>
        <w:jc w:val="both"/>
        <w:rPr>
          <w:rFonts w:ascii="Times New Roman" w:hAnsi="Times New Roman" w:eastAsia="仿宋_GB2312" w:cs="Times New Roman"/>
          <w:color w:val="auto"/>
          <w:kern w:val="2"/>
          <w:sz w:val="32"/>
          <w:szCs w:val="32"/>
          <w:shd w:val="solid" w:color="FFFFFF" w:fill="auto"/>
        </w:rPr>
      </w:pPr>
      <w:r>
        <w:rPr>
          <w:rFonts w:hint="eastAsia" w:ascii="Times New Roman" w:hAnsi="Times New Roman" w:eastAsia="仿宋_GB2312" w:cs="Times New Roman"/>
          <w:b/>
          <w:bCs/>
          <w:color w:val="auto"/>
          <w:kern w:val="2"/>
          <w:sz w:val="32"/>
          <w:szCs w:val="32"/>
          <w:shd w:val="solid" w:color="FFFFFF" w:fill="auto"/>
          <w:lang w:val="en-US" w:eastAsia="zh-CN"/>
        </w:rPr>
        <w:t>3</w:t>
      </w:r>
      <w:r>
        <w:rPr>
          <w:rFonts w:ascii="Times New Roman" w:hAnsi="Times New Roman" w:eastAsia="仿宋_GB2312" w:cs="Times New Roman"/>
          <w:b/>
          <w:bCs/>
          <w:color w:val="auto"/>
          <w:kern w:val="2"/>
          <w:sz w:val="32"/>
          <w:szCs w:val="32"/>
          <w:shd w:val="solid" w:color="FFFFFF" w:fill="auto"/>
        </w:rPr>
        <w:t>．强化老年人疫情防控。</w:t>
      </w:r>
      <w:r>
        <w:rPr>
          <w:rFonts w:ascii="Times New Roman" w:hAnsi="Times New Roman" w:eastAsia="仿宋_GB2312" w:cs="Times New Roman"/>
          <w:color w:val="auto"/>
          <w:kern w:val="2"/>
          <w:sz w:val="32"/>
          <w:szCs w:val="32"/>
          <w:shd w:val="solid" w:color="FFFFFF" w:fill="auto"/>
        </w:rPr>
        <w:t>制定老年人突发公共卫生事件应急处置预案和指南，分类完善居家、社区和入住养老机构的老年人疫情防控措施。在疫情应急处置中，充分发挥基层党组织和基层自治组织的作用，做好特殊困难老年人的就医帮助、生活照顾、心理慰藉等服务。加强养老机构疫情防控制度和能力建设。</w:t>
      </w:r>
    </w:p>
    <w:p>
      <w:pPr>
        <w:pStyle w:val="11"/>
        <w:widowControl w:val="0"/>
        <w:shd w:val="clear" w:color="auto" w:fill="FFFFFF"/>
        <w:spacing w:before="0" w:beforeAutospacing="0" w:after="0" w:afterAutospacing="0" w:line="550" w:lineRule="exact"/>
        <w:ind w:firstLine="643" w:firstLineChars="200"/>
        <w:jc w:val="both"/>
        <w:rPr>
          <w:rFonts w:ascii="Times New Roman" w:hAnsi="Times New Roman" w:eastAsia="仿宋_GB2312" w:cs="Times New Roman"/>
          <w:color w:val="auto"/>
          <w:kern w:val="2"/>
          <w:sz w:val="32"/>
          <w:szCs w:val="32"/>
          <w:shd w:val="solid" w:color="FFFFFF" w:fill="auto"/>
        </w:rPr>
      </w:pPr>
      <w:r>
        <w:rPr>
          <w:rFonts w:hint="eastAsia" w:ascii="Times New Roman" w:hAnsi="Times New Roman" w:eastAsia="仿宋_GB2312" w:cs="Times New Roman"/>
          <w:b/>
          <w:bCs/>
          <w:color w:val="auto"/>
          <w:kern w:val="2"/>
          <w:sz w:val="32"/>
          <w:szCs w:val="32"/>
          <w:shd w:val="solid" w:color="FFFFFF" w:fill="auto"/>
          <w:lang w:val="en-US" w:eastAsia="zh-CN"/>
        </w:rPr>
        <w:t>4</w:t>
      </w:r>
      <w:r>
        <w:rPr>
          <w:rFonts w:ascii="Times New Roman" w:hAnsi="Times New Roman" w:eastAsia="仿宋_GB2312" w:cs="Times New Roman"/>
          <w:b/>
          <w:bCs/>
          <w:color w:val="auto"/>
          <w:kern w:val="2"/>
          <w:sz w:val="32"/>
          <w:szCs w:val="32"/>
          <w:shd w:val="solid" w:color="FFFFFF" w:fill="auto"/>
        </w:rPr>
        <w:t>．发展健康养老产业。</w:t>
      </w:r>
      <w:r>
        <w:rPr>
          <w:rFonts w:ascii="Times New Roman" w:hAnsi="Times New Roman" w:eastAsia="仿宋_GB2312" w:cs="Times New Roman"/>
          <w:color w:val="auto"/>
          <w:kern w:val="2"/>
          <w:sz w:val="32"/>
          <w:szCs w:val="32"/>
          <w:shd w:val="solid" w:color="FFFFFF" w:fill="auto"/>
        </w:rPr>
        <w:t>以实现健康养老全覆盖为目标，根据各地资源禀赋，促进养老与健康、旅游等产业融合发展，推出一批以度假型养老、候鸟式养老、生态康养、疗养康复、森林康养等为主题的健康养老产品，形成一批康养产业集群。依托</w:t>
      </w:r>
      <w:r>
        <w:rPr>
          <w:rFonts w:hint="eastAsia" w:ascii="Times New Roman" w:hAnsi="Times New Roman" w:eastAsia="仿宋_GB2312" w:cs="Times New Roman"/>
          <w:color w:val="auto"/>
          <w:kern w:val="2"/>
          <w:sz w:val="32"/>
          <w:szCs w:val="32"/>
          <w:shd w:val="solid" w:color="FFFFFF" w:fill="auto"/>
          <w:lang w:eastAsia="zh-CN"/>
        </w:rPr>
        <w:t>巴山大峡谷、月亮坪等</w:t>
      </w:r>
      <w:r>
        <w:rPr>
          <w:rFonts w:ascii="Times New Roman" w:hAnsi="Times New Roman" w:eastAsia="仿宋_GB2312" w:cs="Times New Roman"/>
          <w:color w:val="auto"/>
          <w:kern w:val="2"/>
          <w:sz w:val="32"/>
          <w:szCs w:val="32"/>
          <w:shd w:val="solid" w:color="FFFFFF" w:fill="auto"/>
        </w:rPr>
        <w:t>地自然风光和森林、峡谷、中药材、旅游等资源优势，发展各具特色的旅居康养、避暑养生、医疗保健、康体运动、健康食品等业态，增强休闲养老、旅居养老对老年人的吸引力。鼓励有条件的医疗机构与康养旅养结合机构合作，开展医疗与养生保健服务。发挥中医药在健康养老中的独特优势，推进“中医药＋旅游＋养老”发展。</w:t>
      </w:r>
    </w:p>
    <w:p>
      <w:pPr>
        <w:pStyle w:val="11"/>
        <w:widowControl w:val="0"/>
        <w:shd w:val="clear" w:color="auto" w:fill="FFFFFF"/>
        <w:spacing w:before="0" w:beforeAutospacing="0" w:after="0" w:afterAutospacing="0" w:line="550" w:lineRule="exact"/>
        <w:ind w:firstLine="643" w:firstLineChars="200"/>
        <w:jc w:val="both"/>
        <w:rPr>
          <w:rFonts w:ascii="Times New Roman" w:hAnsi="Times New Roman" w:eastAsia="仿宋_GB2312" w:cs="Times New Roman"/>
          <w:color w:val="auto"/>
          <w:kern w:val="2"/>
          <w:sz w:val="32"/>
          <w:szCs w:val="32"/>
          <w:shd w:val="solid" w:color="FFFFFF" w:fill="auto"/>
        </w:rPr>
      </w:pPr>
      <w:bookmarkStart w:id="23" w:name="_Toc73692894"/>
      <w:r>
        <w:rPr>
          <w:rFonts w:hint="eastAsia" w:ascii="Times New Roman" w:hAnsi="Times New Roman" w:eastAsia="仿宋_GB2312" w:cs="Times New Roman"/>
          <w:b/>
          <w:bCs/>
          <w:color w:val="auto"/>
          <w:kern w:val="2"/>
          <w:sz w:val="32"/>
          <w:szCs w:val="32"/>
          <w:shd w:val="solid" w:color="FFFFFF" w:fill="auto"/>
          <w:lang w:val="en-US" w:eastAsia="zh-CN"/>
        </w:rPr>
        <w:t>5</w:t>
      </w:r>
      <w:r>
        <w:rPr>
          <w:rFonts w:ascii="Times New Roman" w:hAnsi="Times New Roman" w:eastAsia="仿宋_GB2312" w:cs="Times New Roman"/>
          <w:b/>
          <w:bCs/>
          <w:color w:val="auto"/>
          <w:kern w:val="2"/>
          <w:sz w:val="32"/>
          <w:szCs w:val="32"/>
          <w:shd w:val="solid" w:color="FFFFFF" w:fill="auto"/>
        </w:rPr>
        <w:t>．促进养老产业与乡村振兴有效衔接</w:t>
      </w:r>
      <w:bookmarkEnd w:id="23"/>
      <w:r>
        <w:rPr>
          <w:rFonts w:ascii="Times New Roman" w:hAnsi="Times New Roman" w:eastAsia="仿宋_GB2312" w:cs="Times New Roman"/>
          <w:b/>
          <w:bCs/>
          <w:color w:val="auto"/>
          <w:kern w:val="2"/>
          <w:sz w:val="32"/>
          <w:szCs w:val="32"/>
          <w:shd w:val="solid" w:color="FFFFFF" w:fill="auto"/>
        </w:rPr>
        <w:t>。</w:t>
      </w:r>
      <w:r>
        <w:rPr>
          <w:rFonts w:ascii="Times New Roman" w:hAnsi="Times New Roman" w:eastAsia="仿宋_GB2312" w:cs="Times New Roman"/>
          <w:color w:val="auto"/>
          <w:kern w:val="2"/>
          <w:sz w:val="32"/>
          <w:szCs w:val="32"/>
          <w:shd w:val="solid" w:color="FFFFFF" w:fill="auto"/>
        </w:rPr>
        <w:t>建立城乡养老机构对口合作机制，推动城市与农村之间养老服务资源和要素的自由流动，促进城乡养老产业均衡发展。鼓励进城务工人员回乡创业，参与、培育和发展农村养老服务。建设乡村型健康养老基地，促进养老、旅游、康养产业融合发展，助力乡村振兴战略。支持社会力量建设旅居养老服务设施。支持社会力量在农村投资兴办面向失能、失智、高龄老年人的护理型养老机构，鼓励社会资本参与投资高端养老和康养基地建设。</w:t>
      </w:r>
    </w:p>
    <w:p>
      <w:pPr>
        <w:pStyle w:val="11"/>
        <w:widowControl w:val="0"/>
        <w:shd w:val="clear" w:color="auto" w:fill="FFFFFF"/>
        <w:spacing w:before="0" w:beforeAutospacing="0" w:after="0" w:afterAutospacing="0" w:line="578" w:lineRule="exact"/>
        <w:jc w:val="center"/>
        <w:rPr>
          <w:rFonts w:ascii="Times New Roman" w:hAnsi="Times New Roman" w:eastAsia="仿宋_GB2312" w:cs="Times New Roman"/>
          <w:color w:val="auto"/>
          <w:spacing w:val="-6"/>
          <w:kern w:val="2"/>
          <w:sz w:val="32"/>
          <w:szCs w:val="32"/>
          <w:shd w:val="solid" w:color="FFFFFF" w:fill="auto"/>
        </w:rPr>
      </w:pPr>
      <w:r>
        <w:rPr>
          <w:rFonts w:ascii="Times New Roman" w:hAnsi="Times New Roman" w:eastAsia="黑体" w:cs="Times New Roman"/>
          <w:bCs/>
          <w:color w:val="auto"/>
          <w:sz w:val="28"/>
          <w:szCs w:val="28"/>
          <w:shd w:val="solid" w:color="FFFFFF" w:fill="auto"/>
        </w:rPr>
        <w:t xml:space="preserve">专栏6 </w:t>
      </w:r>
      <w:r>
        <w:rPr>
          <w:rFonts w:ascii="Times New Roman" w:hAnsi="Times New Roman" w:eastAsia="黑体" w:cs="Times New Roman"/>
          <w:bCs/>
          <w:color w:val="auto"/>
          <w:shd w:val="solid" w:color="FFFFFF" w:fill="auto"/>
        </w:rPr>
        <w:t xml:space="preserve"> </w:t>
      </w:r>
      <w:r>
        <w:rPr>
          <w:rFonts w:ascii="Times New Roman" w:hAnsi="Times New Roman" w:eastAsia="黑体" w:cs="Times New Roman"/>
          <w:bCs/>
          <w:color w:val="auto"/>
          <w:sz w:val="28"/>
          <w:szCs w:val="28"/>
          <w:shd w:val="solid" w:color="FFFFFF" w:fill="auto"/>
        </w:rPr>
        <w:t>康养结合能力提升工程</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5" w:hRule="atLeast"/>
          <w:jc w:val="center"/>
        </w:trPr>
        <w:tc>
          <w:tcPr>
            <w:tcW w:w="8640" w:type="dxa"/>
            <w:noWrap w:val="0"/>
            <w:vAlign w:val="center"/>
          </w:tcPr>
          <w:p>
            <w:pPr>
              <w:widowControl/>
              <w:numPr>
                <w:ilvl w:val="0"/>
                <w:numId w:val="6"/>
              </w:numPr>
              <w:shd w:val="solid" w:color="FFFFFF" w:fill="auto"/>
              <w:autoSpaceDN w:val="0"/>
              <w:spacing w:line="400" w:lineRule="exact"/>
              <w:ind w:firstLine="440" w:firstLineChars="200"/>
              <w:textAlignment w:val="baseline"/>
              <w:rPr>
                <w:color w:val="auto"/>
                <w:sz w:val="24"/>
                <w:shd w:val="solid" w:color="FFFFFF" w:fill="auto"/>
              </w:rPr>
            </w:pPr>
            <w:r>
              <w:rPr>
                <w:color w:val="auto"/>
                <w:sz w:val="22"/>
                <w:szCs w:val="22"/>
              </w:rPr>
              <w:t>老年健康促进工程。开展有针对性的健康教育活动。老年心理关爱行动覆盖</w:t>
            </w:r>
            <w:r>
              <w:rPr>
                <w:rFonts w:hint="eastAsia"/>
                <w:color w:val="auto"/>
                <w:sz w:val="22"/>
                <w:szCs w:val="22"/>
                <w:lang w:eastAsia="zh-CN"/>
              </w:rPr>
              <w:t>全县</w:t>
            </w:r>
            <w:r>
              <w:rPr>
                <w:color w:val="auto"/>
                <w:sz w:val="22"/>
                <w:szCs w:val="22"/>
              </w:rPr>
              <w:t>。全</w:t>
            </w:r>
            <w:r>
              <w:rPr>
                <w:rFonts w:hint="eastAsia"/>
                <w:color w:val="auto"/>
                <w:sz w:val="22"/>
                <w:szCs w:val="22"/>
                <w:lang w:eastAsia="zh-CN"/>
              </w:rPr>
              <w:t>县</w:t>
            </w:r>
            <w:r>
              <w:rPr>
                <w:color w:val="auto"/>
                <w:sz w:val="22"/>
                <w:szCs w:val="22"/>
              </w:rPr>
              <w:t>二级以上综合医院开设老年医学科比例达</w:t>
            </w:r>
            <w:r>
              <w:rPr>
                <w:rFonts w:hint="eastAsia"/>
                <w:color w:val="auto"/>
                <w:sz w:val="22"/>
                <w:szCs w:val="22"/>
                <w:lang w:val="en-US" w:eastAsia="zh-CN"/>
              </w:rPr>
              <w:t>8</w:t>
            </w:r>
            <w:r>
              <w:rPr>
                <w:color w:val="auto"/>
                <w:sz w:val="22"/>
                <w:szCs w:val="22"/>
              </w:rPr>
              <w:t>0%以上，65岁以上老年人健康管理率达75%以上。</w:t>
            </w:r>
          </w:p>
          <w:p>
            <w:pPr>
              <w:widowControl/>
              <w:numPr>
                <w:ilvl w:val="0"/>
                <w:numId w:val="6"/>
              </w:numPr>
              <w:shd w:val="solid" w:color="FFFFFF" w:fill="auto"/>
              <w:autoSpaceDN w:val="0"/>
              <w:spacing w:line="400" w:lineRule="exact"/>
              <w:ind w:firstLine="440" w:firstLineChars="200"/>
              <w:textAlignment w:val="baseline"/>
              <w:rPr>
                <w:color w:val="auto"/>
                <w:sz w:val="24"/>
                <w:shd w:val="solid" w:color="FFFFFF" w:fill="auto"/>
              </w:rPr>
            </w:pPr>
            <w:r>
              <w:rPr>
                <w:color w:val="auto"/>
                <w:sz w:val="22"/>
                <w:szCs w:val="22"/>
              </w:rPr>
              <w:t>引导旅游景区、度假区加强适老化建设和改造，建设康养基地。支持巴山大峡谷、</w:t>
            </w:r>
            <w:r>
              <w:rPr>
                <w:rFonts w:hint="eastAsia"/>
                <w:color w:val="auto"/>
                <w:sz w:val="22"/>
                <w:szCs w:val="22"/>
                <w:lang w:eastAsia="zh-CN"/>
              </w:rPr>
              <w:t>月亮坪</w:t>
            </w:r>
            <w:r>
              <w:rPr>
                <w:color w:val="auto"/>
                <w:sz w:val="22"/>
                <w:szCs w:val="22"/>
              </w:rPr>
              <w:t>等景区景点建设中医药生态康养基地。到2025年，至少建成1个康养产业示范基地（园区）。</w:t>
            </w:r>
          </w:p>
        </w:tc>
      </w:tr>
    </w:tbl>
    <w:p>
      <w:pPr>
        <w:spacing w:line="604" w:lineRule="exact"/>
        <w:jc w:val="center"/>
        <w:outlineLvl w:val="0"/>
        <w:rPr>
          <w:rFonts w:eastAsia="黑体"/>
          <w:bCs/>
          <w:color w:val="auto"/>
          <w:szCs w:val="32"/>
        </w:rPr>
      </w:pPr>
    </w:p>
    <w:p>
      <w:pPr>
        <w:spacing w:line="604" w:lineRule="exact"/>
        <w:jc w:val="center"/>
        <w:outlineLvl w:val="0"/>
        <w:rPr>
          <w:rFonts w:eastAsia="黑体"/>
          <w:bCs/>
          <w:color w:val="auto"/>
          <w:szCs w:val="32"/>
        </w:rPr>
      </w:pPr>
      <w:r>
        <w:rPr>
          <w:rFonts w:eastAsia="黑体"/>
          <w:bCs/>
          <w:color w:val="auto"/>
          <w:szCs w:val="32"/>
        </w:rPr>
        <w:t>第四节  健全养老服务质量发展体系</w:t>
      </w:r>
    </w:p>
    <w:p>
      <w:pPr>
        <w:autoSpaceDN w:val="0"/>
        <w:spacing w:line="604" w:lineRule="exact"/>
        <w:ind w:left="0" w:firstLine="640" w:firstLineChars="200"/>
        <w:rPr>
          <w:ins w:id="6" w:author="陆离" w:date="2022-04-11T18:33:00Z"/>
          <w:color w:val="auto"/>
          <w:szCs w:val="32"/>
        </w:rPr>
      </w:pPr>
      <w:r>
        <w:rPr>
          <w:rFonts w:eastAsia="楷体_GB2312"/>
          <w:color w:val="auto"/>
          <w:szCs w:val="32"/>
        </w:rPr>
        <w:t>推进养老服务标准化建设。</w:t>
      </w:r>
      <w:r>
        <w:rPr>
          <w:color w:val="auto"/>
          <w:szCs w:val="32"/>
        </w:rPr>
        <w:t>落实《养老机构服务质量基本规范》《养老机构服务安全基本规范》《养老机构等级划分与评定》等标准，健全养老机构服务质量长效机制。到2025年，所有养老机构达到《养老机构服务质量基本规范》国家标准。加强建筑、消防、食品、医疗卫生、特种设备等方面的风险隐患排查整治。落实《达州市养老机构食堂食品安全管理办法（试行）》，运用“e食安”加强养老机构食堂食品安全智慧监管，到2025年，全</w:t>
      </w:r>
      <w:r>
        <w:rPr>
          <w:rFonts w:hint="eastAsia"/>
          <w:color w:val="auto"/>
          <w:szCs w:val="32"/>
          <w:lang w:eastAsia="zh-CN"/>
        </w:rPr>
        <w:t>县</w:t>
      </w:r>
      <w:r>
        <w:rPr>
          <w:color w:val="auto"/>
          <w:szCs w:val="32"/>
        </w:rPr>
        <w:t>养老机构食品安全等级B级以上达到70%以上。</w:t>
      </w:r>
    </w:p>
    <w:p>
      <w:pPr>
        <w:shd w:val="solid" w:color="FFFFFF" w:fill="auto"/>
        <w:autoSpaceDN w:val="0"/>
        <w:spacing w:line="604" w:lineRule="exact"/>
        <w:ind w:firstLine="640" w:firstLineChars="200"/>
        <w:rPr>
          <w:color w:val="auto"/>
          <w:szCs w:val="32"/>
          <w:shd w:val="solid" w:color="FFFFFF" w:fill="auto"/>
        </w:rPr>
      </w:pPr>
      <w:r>
        <w:rPr>
          <w:rFonts w:eastAsia="楷体_GB2312"/>
          <w:color w:val="auto"/>
          <w:szCs w:val="32"/>
          <w:shd w:val="solid" w:color="FFFFFF" w:fill="auto"/>
        </w:rPr>
        <w:t>推进养老服务智能化发展。</w:t>
      </w:r>
      <w:r>
        <w:rPr>
          <w:color w:val="auto"/>
          <w:szCs w:val="32"/>
          <w:shd w:val="solid" w:color="FFFFFF" w:fill="auto"/>
        </w:rPr>
        <w:t>实施“互联网+”养老行动，建设</w:t>
      </w:r>
      <w:r>
        <w:rPr>
          <w:rFonts w:hint="eastAsia"/>
          <w:color w:val="auto"/>
          <w:szCs w:val="32"/>
          <w:shd w:val="solid" w:color="FFFFFF" w:fill="auto"/>
          <w:lang w:eastAsia="zh-CN"/>
        </w:rPr>
        <w:t>宣汉县</w:t>
      </w:r>
      <w:r>
        <w:rPr>
          <w:color w:val="auto"/>
          <w:szCs w:val="32"/>
          <w:shd w:val="solid" w:color="FFFFFF" w:fill="auto"/>
        </w:rPr>
        <w:t>智慧养老服务信息平台，推动养老领域公共数据开放共享。建立全</w:t>
      </w:r>
      <w:r>
        <w:rPr>
          <w:rFonts w:hint="eastAsia"/>
          <w:color w:val="auto"/>
          <w:szCs w:val="32"/>
          <w:shd w:val="solid" w:color="FFFFFF" w:fill="auto"/>
          <w:lang w:eastAsia="zh-CN"/>
        </w:rPr>
        <w:t>县</w:t>
      </w:r>
      <w:r>
        <w:rPr>
          <w:color w:val="auto"/>
          <w:szCs w:val="32"/>
          <w:shd w:val="solid" w:color="FFFFFF" w:fill="auto"/>
        </w:rPr>
        <w:t>特殊困难老人、养老机构、养老需求信息库，加强大数据采集、分析和运用，实现养老服务需求和供给精准对接，促进养老服务资源合理分配和高效利用。加强养老服务信息平台的数据管理和安全管控。推进互联网与养老服务的深度融合，汇聚线上线下资源，精准对接需求与供给，为老年人提供“点菜式”就近便捷养老服务。引导有条件的养老服务机构运用现代信息技术，依托互联网、物联网、云计算、大数据、智能养老设备等，开发多种“互联网+”应用，打造多层次智慧养老服务体系，探索养老服务新业态、新模式。</w:t>
      </w:r>
    </w:p>
    <w:p>
      <w:pPr>
        <w:shd w:val="solid" w:color="FFFFFF" w:fill="auto"/>
        <w:autoSpaceDN w:val="0"/>
        <w:spacing w:line="604" w:lineRule="exact"/>
        <w:ind w:firstLine="640"/>
        <w:rPr>
          <w:color w:val="auto"/>
          <w:szCs w:val="32"/>
          <w:shd w:val="solid" w:color="FFFFFF" w:fill="auto"/>
        </w:rPr>
      </w:pPr>
      <w:r>
        <w:rPr>
          <w:rFonts w:eastAsia="楷体_GB2312"/>
          <w:color w:val="auto"/>
          <w:szCs w:val="32"/>
          <w:shd w:val="solid" w:color="FFFFFF" w:fill="auto"/>
        </w:rPr>
        <w:t>推进养老机构精细化管理</w:t>
      </w:r>
      <w:r>
        <w:rPr>
          <w:color w:val="auto"/>
          <w:szCs w:val="32"/>
          <w:shd w:val="solid" w:color="FFFFFF" w:fill="auto"/>
        </w:rPr>
        <w:t>。开展养老服务需求调查，采集相关资料数据，为“十四五”时期养老服务发展提供参考依据。健全入院评估制度，对老年人身体状况进行评估，并根据评估结果确定照料护理等级。加强养老机构运营管理，建立健全各项制度，提升智慧监管和安全风险防范能力。开展养老机构等级评定，等级评定结果及时公布，作为群众选择养老机构的参考，在醒目位置公示各类服务项目收费标准和收费依据，接受社会监督。</w:t>
      </w:r>
    </w:p>
    <w:p>
      <w:pPr>
        <w:pStyle w:val="2"/>
        <w:spacing w:line="578" w:lineRule="exact"/>
        <w:jc w:val="center"/>
        <w:rPr>
          <w:rFonts w:ascii="Times New Roman" w:hAnsi="Times New Roman" w:eastAsia="黑体" w:cs="Times New Roman"/>
          <w:b/>
          <w:color w:val="auto"/>
        </w:rPr>
      </w:pPr>
      <w:r>
        <w:rPr>
          <w:rFonts w:ascii="Times New Roman" w:hAnsi="Times New Roman" w:eastAsia="黑体" w:cs="Times New Roman"/>
          <w:bCs/>
          <w:color w:val="auto"/>
          <w:sz w:val="28"/>
          <w:szCs w:val="28"/>
        </w:rPr>
        <w:t>专栏7  养老服务质量提升工程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4" w:hRule="atLeast"/>
          <w:jc w:val="center"/>
        </w:trPr>
        <w:tc>
          <w:tcPr>
            <w:tcW w:w="881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spacing w:line="400" w:lineRule="exact"/>
              <w:ind w:firstLine="482"/>
              <w:rPr>
                <w:color w:val="auto"/>
                <w:sz w:val="24"/>
                <w:shd w:val="solid" w:color="FFFFFF" w:fill="auto"/>
              </w:rPr>
            </w:pPr>
            <w:r>
              <w:rPr>
                <w:color w:val="auto"/>
                <w:sz w:val="24"/>
                <w:shd w:val="solid" w:color="FFFFFF" w:fill="auto"/>
              </w:rPr>
              <w:t>1．建设全</w:t>
            </w:r>
            <w:r>
              <w:rPr>
                <w:rFonts w:hint="eastAsia"/>
                <w:color w:val="auto"/>
                <w:sz w:val="24"/>
                <w:shd w:val="solid" w:color="FFFFFF" w:fill="auto"/>
                <w:lang w:eastAsia="zh-CN"/>
              </w:rPr>
              <w:t>县</w:t>
            </w:r>
            <w:r>
              <w:rPr>
                <w:color w:val="auto"/>
                <w:sz w:val="24"/>
                <w:shd w:val="solid" w:color="FFFFFF" w:fill="auto"/>
              </w:rPr>
              <w:t>智慧养老服务信息平台。开展智慧健康养老应用示范，至少打造2个智慧养老院或智慧养老社区。80岁以上老年人高龄津贴实现网上申办，让群众少跑路，让数据多跑腿。到2025年，统一规范、互联互通的养老服务信息平台在全</w:t>
            </w:r>
            <w:r>
              <w:rPr>
                <w:rFonts w:hint="eastAsia"/>
                <w:color w:val="auto"/>
                <w:sz w:val="24"/>
                <w:shd w:val="solid" w:color="FFFFFF" w:fill="auto"/>
                <w:lang w:eastAsia="zh-CN"/>
              </w:rPr>
              <w:t>县</w:t>
            </w:r>
            <w:r>
              <w:rPr>
                <w:color w:val="auto"/>
                <w:sz w:val="24"/>
                <w:shd w:val="solid" w:color="FFFFFF" w:fill="auto"/>
              </w:rPr>
              <w:t>范围内实现全覆盖。</w:t>
            </w:r>
          </w:p>
          <w:p>
            <w:pPr>
              <w:shd w:val="solid" w:color="FFFFFF" w:fill="auto"/>
              <w:autoSpaceDN w:val="0"/>
              <w:spacing w:line="400" w:lineRule="exact"/>
              <w:ind w:firstLine="482"/>
              <w:rPr>
                <w:color w:val="auto"/>
                <w:sz w:val="24"/>
                <w:shd w:val="solid" w:color="FFFFFF" w:fill="auto"/>
              </w:rPr>
            </w:pPr>
            <w:r>
              <w:rPr>
                <w:color w:val="auto"/>
                <w:sz w:val="24"/>
                <w:shd w:val="solid" w:color="FFFFFF" w:fill="auto"/>
              </w:rPr>
              <w:t>2．开展养老机构等级评定。到2025年，全</w:t>
            </w:r>
            <w:r>
              <w:rPr>
                <w:rFonts w:hint="eastAsia"/>
                <w:color w:val="auto"/>
                <w:sz w:val="24"/>
                <w:shd w:val="solid" w:color="FFFFFF" w:fill="auto"/>
                <w:lang w:eastAsia="zh-CN"/>
              </w:rPr>
              <w:t>县</w:t>
            </w:r>
            <w:r>
              <w:rPr>
                <w:color w:val="auto"/>
                <w:sz w:val="24"/>
                <w:shd w:val="solid" w:color="FFFFFF" w:fill="auto"/>
              </w:rPr>
              <w:t>60%的养老机构达到一级标准。</w:t>
            </w:r>
          </w:p>
        </w:tc>
      </w:tr>
      <w:bookmarkEnd w:id="21"/>
      <w:bookmarkEnd w:id="22"/>
    </w:tbl>
    <w:p>
      <w:pPr>
        <w:spacing w:line="550" w:lineRule="exact"/>
        <w:jc w:val="center"/>
        <w:rPr>
          <w:bCs/>
          <w:color w:val="auto"/>
          <w:szCs w:val="32"/>
        </w:rPr>
      </w:pPr>
      <w:bookmarkStart w:id="24" w:name="_Toc13182"/>
    </w:p>
    <w:p>
      <w:pPr>
        <w:spacing w:line="578" w:lineRule="exact"/>
        <w:jc w:val="center"/>
        <w:rPr>
          <w:rFonts w:eastAsia="黑体"/>
          <w:bCs/>
          <w:color w:val="auto"/>
          <w:szCs w:val="32"/>
        </w:rPr>
      </w:pPr>
      <w:r>
        <w:rPr>
          <w:rFonts w:eastAsia="黑体"/>
          <w:bCs/>
          <w:color w:val="auto"/>
          <w:szCs w:val="32"/>
        </w:rPr>
        <w:t>第五节  健全养老人才队伍支撑体系</w:t>
      </w:r>
    </w:p>
    <w:p>
      <w:pPr>
        <w:shd w:val="solid" w:color="FFFFFF" w:fill="auto"/>
        <w:autoSpaceDN w:val="0"/>
        <w:spacing w:line="578" w:lineRule="exact"/>
        <w:ind w:firstLine="640" w:firstLineChars="200"/>
        <w:rPr>
          <w:ins w:id="7" w:author="陆离" w:date="2022-04-11T18:34:00Z"/>
          <w:rFonts w:eastAsia="楷体_GB2312"/>
          <w:color w:val="auto"/>
          <w:szCs w:val="32"/>
        </w:rPr>
      </w:pPr>
      <w:r>
        <w:rPr>
          <w:rFonts w:eastAsia="楷体_GB2312"/>
          <w:color w:val="auto"/>
          <w:szCs w:val="32"/>
        </w:rPr>
        <w:t>加强养老服务人才培养。</w:t>
      </w:r>
      <w:r>
        <w:rPr>
          <w:color w:val="auto"/>
          <w:szCs w:val="32"/>
        </w:rPr>
        <w:t>探索“学历教育+职业培训+继续教育+实习实训”四位一体的养老服务行业人才培养模式。鼓励职业</w:t>
      </w:r>
      <w:r>
        <w:rPr>
          <w:rFonts w:hint="eastAsia"/>
          <w:color w:val="auto"/>
          <w:szCs w:val="32"/>
          <w:lang w:eastAsia="zh-CN"/>
        </w:rPr>
        <w:t>学</w:t>
      </w:r>
      <w:r>
        <w:rPr>
          <w:color w:val="auto"/>
          <w:szCs w:val="32"/>
        </w:rPr>
        <w:t>校设置养老服务相关专业或开设相关课程，培养老年医学、康复、护理、营养、心理、社会工作、养老理论研究等专业人才。将养老护理员</w:t>
      </w:r>
      <w:r>
        <w:rPr>
          <w:rFonts w:hint="eastAsia"/>
          <w:color w:val="auto"/>
          <w:szCs w:val="32"/>
          <w:lang w:eastAsia="zh-CN"/>
        </w:rPr>
        <w:t>、医疗护理员</w:t>
      </w:r>
      <w:r>
        <w:rPr>
          <w:color w:val="auto"/>
          <w:szCs w:val="32"/>
        </w:rPr>
        <w:t>培训纳入人力资源社会保障部门职业技能提升培训体系。充分发挥养老服务企业等市场主体作用，推动养老领域产教融合发展。支持</w:t>
      </w:r>
      <w:r>
        <w:rPr>
          <w:rFonts w:hint="eastAsia"/>
          <w:color w:val="auto"/>
          <w:szCs w:val="32"/>
          <w:lang w:eastAsia="zh-CN"/>
        </w:rPr>
        <w:t>学</w:t>
      </w:r>
      <w:r>
        <w:rPr>
          <w:color w:val="auto"/>
          <w:szCs w:val="32"/>
        </w:rPr>
        <w:t>校和优质养老机构公建合办养老服务实训基地，探索有条件的养老机构发展成实习实训点。引导</w:t>
      </w:r>
      <w:r>
        <w:rPr>
          <w:rFonts w:hint="eastAsia"/>
          <w:color w:val="auto"/>
          <w:szCs w:val="32"/>
          <w:lang w:eastAsia="zh-CN"/>
        </w:rPr>
        <w:t>学</w:t>
      </w:r>
      <w:r>
        <w:rPr>
          <w:color w:val="auto"/>
          <w:szCs w:val="32"/>
        </w:rPr>
        <w:t>校建立适应养老行业需求的人才培养模式，培育一批养老服务领域产教融合型企业。</w:t>
      </w:r>
    </w:p>
    <w:p>
      <w:pPr>
        <w:shd w:val="solid" w:color="FFFFFF" w:fill="auto"/>
        <w:autoSpaceDN w:val="0"/>
        <w:spacing w:line="578" w:lineRule="exact"/>
        <w:ind w:firstLine="640" w:firstLineChars="200"/>
        <w:rPr>
          <w:ins w:id="8" w:author="陆离" w:date="2022-04-11T18:34:00Z"/>
          <w:rFonts w:eastAsia="楷体_GB2312"/>
          <w:color w:val="auto"/>
          <w:szCs w:val="32"/>
        </w:rPr>
      </w:pPr>
      <w:r>
        <w:rPr>
          <w:rFonts w:eastAsia="楷体_GB2312"/>
          <w:color w:val="auto"/>
          <w:szCs w:val="32"/>
        </w:rPr>
        <w:t>提升养老服务从业人员职业技能水平。</w:t>
      </w:r>
      <w:r>
        <w:rPr>
          <w:color w:val="auto"/>
          <w:szCs w:val="32"/>
        </w:rPr>
        <w:t>以养老院院长、养老护理员、老年社会工作者为重点，持续开展养老服务人才培训提升行动，</w:t>
      </w:r>
      <w:r>
        <w:rPr>
          <w:color w:val="auto"/>
          <w:szCs w:val="32"/>
          <w:shd w:val="solid" w:color="FFFFFF" w:fill="auto"/>
        </w:rPr>
        <w:t>强化实际操作技能训练、综合职业素质培养。鼓励符合条件的养老服务从业人员参加养老护理员职业技能等级认定和全国社会工作者职业水平考试。</w:t>
      </w:r>
      <w:r>
        <w:rPr>
          <w:rFonts w:hint="eastAsia"/>
          <w:color w:val="auto"/>
          <w:szCs w:val="32"/>
          <w:shd w:val="solid" w:color="FFFFFF" w:fill="auto"/>
          <w:lang w:eastAsia="zh-CN"/>
        </w:rPr>
        <w:t>全县</w:t>
      </w:r>
      <w:r>
        <w:rPr>
          <w:color w:val="auto"/>
          <w:szCs w:val="32"/>
          <w:shd w:val="solid" w:color="FFFFFF" w:fill="auto"/>
        </w:rPr>
        <w:t>每年至少举办2期养老服务从业人员培训班。依托大型养老服务机构，建立养老服务社会工作实训基地。“十四五”期间，全</w:t>
      </w:r>
      <w:r>
        <w:rPr>
          <w:rFonts w:hint="eastAsia"/>
          <w:color w:val="auto"/>
          <w:szCs w:val="32"/>
          <w:shd w:val="solid" w:color="FFFFFF" w:fill="auto"/>
          <w:lang w:eastAsia="zh-CN"/>
        </w:rPr>
        <w:t>县</w:t>
      </w:r>
      <w:r>
        <w:rPr>
          <w:color w:val="auto"/>
          <w:szCs w:val="32"/>
          <w:shd w:val="solid" w:color="FFFFFF" w:fill="auto"/>
        </w:rPr>
        <w:t>累计培训养老服务从业人员</w:t>
      </w:r>
      <w:r>
        <w:rPr>
          <w:rFonts w:hint="eastAsia"/>
          <w:color w:val="auto"/>
          <w:szCs w:val="32"/>
          <w:shd w:val="solid" w:color="FFFFFF" w:fill="auto"/>
          <w:lang w:val="en-US" w:eastAsia="zh-CN"/>
        </w:rPr>
        <w:t>2000</w:t>
      </w:r>
      <w:r>
        <w:rPr>
          <w:color w:val="auto"/>
          <w:szCs w:val="32"/>
          <w:shd w:val="solid" w:color="FFFFFF" w:fill="auto"/>
        </w:rPr>
        <w:t>人次，实现每千名老年人、每百张养老机构床位均配备1名社会工作者。</w:t>
      </w:r>
    </w:p>
    <w:p>
      <w:pPr>
        <w:shd w:val="solid" w:color="FFFFFF" w:fill="auto"/>
        <w:autoSpaceDN w:val="0"/>
        <w:spacing w:line="578" w:lineRule="exact"/>
        <w:ind w:firstLine="640" w:firstLineChars="200"/>
        <w:rPr>
          <w:color w:val="auto"/>
          <w:szCs w:val="32"/>
        </w:rPr>
      </w:pPr>
      <w:r>
        <w:rPr>
          <w:rFonts w:eastAsia="楷体_GB2312"/>
          <w:color w:val="auto"/>
          <w:szCs w:val="32"/>
        </w:rPr>
        <w:t>完善养老服务人员保障激励机制。</w:t>
      </w:r>
      <w:r>
        <w:rPr>
          <w:color w:val="auto"/>
          <w:szCs w:val="32"/>
        </w:rPr>
        <w:t>养老机构应按照有关规定为养老服务从业人员办理社会保险。对签订一年以上劳动合同并参加社会保险的，按规定落实岗位和社保补贴。开展养老护理员职业技能等级评定工作，引导用人单位建立与职业技能等级配套的薪酬激励机制。探索建立养老护理员特殊岗位补贴、从业年限补贴等制度</w:t>
      </w:r>
      <w:r>
        <w:rPr>
          <w:color w:val="auto"/>
          <w:szCs w:val="32"/>
          <w:shd w:val="solid" w:color="FFFFFF" w:fill="auto"/>
        </w:rPr>
        <w:t>。</w:t>
      </w:r>
      <w:r>
        <w:rPr>
          <w:rFonts w:hint="eastAsia"/>
          <w:color w:val="auto"/>
          <w:szCs w:val="32"/>
          <w:shd w:val="solid" w:color="FFFFFF" w:fill="auto"/>
          <w:lang w:eastAsia="zh-CN"/>
        </w:rPr>
        <w:t>推动</w:t>
      </w:r>
      <w:r>
        <w:rPr>
          <w:color w:val="auto"/>
          <w:szCs w:val="32"/>
          <w:shd w:val="solid" w:color="FFFFFF" w:fill="auto"/>
        </w:rPr>
        <w:t>开展全</w:t>
      </w:r>
      <w:r>
        <w:rPr>
          <w:rFonts w:hint="eastAsia"/>
          <w:color w:val="auto"/>
          <w:szCs w:val="32"/>
          <w:shd w:val="solid" w:color="FFFFFF" w:fill="auto"/>
          <w:lang w:eastAsia="zh-CN"/>
        </w:rPr>
        <w:t>县</w:t>
      </w:r>
      <w:r>
        <w:rPr>
          <w:color w:val="auto"/>
          <w:szCs w:val="32"/>
          <w:shd w:val="solid" w:color="FFFFFF" w:fill="auto"/>
        </w:rPr>
        <w:t>养老护理员职业技能竞赛。</w:t>
      </w:r>
      <w:r>
        <w:rPr>
          <w:color w:val="auto"/>
          <w:szCs w:val="32"/>
        </w:rPr>
        <w:t>开展“优秀养老护理员”“优秀养老院长”和</w:t>
      </w:r>
      <w:r>
        <w:rPr>
          <w:rFonts w:hint="eastAsia"/>
          <w:color w:val="auto"/>
          <w:szCs w:val="32"/>
          <w:lang w:eastAsia="zh-CN"/>
        </w:rPr>
        <w:t>“</w:t>
      </w:r>
      <w:r>
        <w:rPr>
          <w:color w:val="auto"/>
          <w:szCs w:val="32"/>
        </w:rPr>
        <w:t>养老服务先进（示范）单</w:t>
      </w:r>
      <w:r>
        <w:rPr>
          <w:color w:val="auto"/>
          <w:spacing w:val="4"/>
          <w:szCs w:val="32"/>
        </w:rPr>
        <w:t>位</w:t>
      </w:r>
      <w:r>
        <w:rPr>
          <w:rFonts w:hint="eastAsia"/>
          <w:color w:val="auto"/>
          <w:spacing w:val="4"/>
          <w:szCs w:val="32"/>
          <w:lang w:eastAsia="zh-CN"/>
        </w:rPr>
        <w:t>”</w:t>
      </w:r>
      <w:r>
        <w:rPr>
          <w:color w:val="auto"/>
          <w:spacing w:val="4"/>
          <w:szCs w:val="32"/>
        </w:rPr>
        <w:t>等选树活动，提升养老服务人员的职业荣誉感和社会认同感</w:t>
      </w:r>
      <w:r>
        <w:rPr>
          <w:color w:val="auto"/>
          <w:szCs w:val="32"/>
        </w:rPr>
        <w:t>。</w:t>
      </w:r>
    </w:p>
    <w:p>
      <w:pPr>
        <w:shd w:val="solid" w:color="FFFFFF" w:fill="auto"/>
        <w:autoSpaceDN w:val="0"/>
        <w:spacing w:line="578" w:lineRule="exact"/>
        <w:ind w:firstLine="640" w:firstLineChars="200"/>
        <w:rPr>
          <w:color w:val="auto"/>
          <w:szCs w:val="32"/>
        </w:rPr>
      </w:pPr>
      <w:r>
        <w:rPr>
          <w:rFonts w:eastAsia="楷体_GB2312"/>
          <w:color w:val="auto"/>
          <w:szCs w:val="32"/>
        </w:rPr>
        <w:t>发展为老志愿服务。</w:t>
      </w:r>
      <w:r>
        <w:rPr>
          <w:color w:val="auto"/>
          <w:szCs w:val="32"/>
        </w:rPr>
        <w:t>鼓励引导基层群众性自治组织、依法成立的志愿服务组织、老年人组织和慈善组织等组织和个人，积极为老年人提供志愿服务。将为老志愿服务纳入中小学综合实践活动和</w:t>
      </w:r>
      <w:r>
        <w:rPr>
          <w:rFonts w:hint="eastAsia"/>
          <w:color w:val="auto"/>
          <w:szCs w:val="32"/>
          <w:lang w:eastAsia="zh-CN"/>
        </w:rPr>
        <w:t>职业学</w:t>
      </w:r>
      <w:r>
        <w:rPr>
          <w:color w:val="auto"/>
          <w:szCs w:val="32"/>
        </w:rPr>
        <w:t>校学生实践内容。引导在校生志愿服务和暑期实践、相关专业技能学生社会实习、社会爱心人士志愿服务等，与老年人生活服务、健康服务、精神慰藉、法律援助等有效对接。支持开展面向老年人的慈善公益活动。依托专业精神卫生机构、社会工作服务机构、专业心理工作者和社会工作者，开展老年心理健康和心理关怀服务。推行“订单式”志愿服务，为老年人提供陪伴聊天、陪同就医（购物）、服务缴费、法律援助、智能设备培训等形式多样的老年关爱服务，建立志愿服务储蓄、回馈、激励与评价机制，提升志愿服务的持续性、规范性与有效性。</w:t>
      </w:r>
      <w:r>
        <w:rPr>
          <w:color w:val="auto"/>
          <w:szCs w:val="32"/>
          <w:shd w:val="solid" w:color="FFFFFF" w:fill="auto"/>
        </w:rPr>
        <w:t>发挥社区、社会组织、社会工作者、社区志愿者、社会慈善资源“五社联动”作用，开展为老志愿服务</w:t>
      </w:r>
      <w:r>
        <w:rPr>
          <w:color w:val="auto"/>
          <w:szCs w:val="32"/>
        </w:rPr>
        <w:t>。试点推广“养老服务顾问”，探索“积分制”“时间银行”和互助养老等模式。</w:t>
      </w:r>
    </w:p>
    <w:p>
      <w:pPr>
        <w:pStyle w:val="2"/>
        <w:spacing w:line="520" w:lineRule="exact"/>
        <w:jc w:val="center"/>
        <w:rPr>
          <w:rFonts w:ascii="Times New Roman" w:hAnsi="Times New Roman" w:cs="Times New Roman"/>
          <w:color w:val="auto"/>
        </w:rPr>
      </w:pPr>
      <w:r>
        <w:rPr>
          <w:rFonts w:ascii="Times New Roman" w:hAnsi="Times New Roman" w:eastAsia="黑体" w:cs="Times New Roman"/>
          <w:bCs/>
          <w:color w:val="auto"/>
          <w:spacing w:val="-6"/>
          <w:sz w:val="28"/>
          <w:szCs w:val="28"/>
          <w:shd w:val="solid" w:color="FFFFFF" w:fill="auto"/>
        </w:rPr>
        <w:t>专栏8  养老服务人才队伍提升工程</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1" w:hRule="atLeast"/>
          <w:jc w:val="center"/>
        </w:trPr>
        <w:tc>
          <w:tcPr>
            <w:tcW w:w="8789" w:type="dxa"/>
            <w:noWrap w:val="0"/>
            <w:vAlign w:val="center"/>
          </w:tcPr>
          <w:p>
            <w:pPr>
              <w:shd w:val="solid" w:color="FFFFFF" w:fill="auto"/>
              <w:autoSpaceDN w:val="0"/>
              <w:spacing w:line="340" w:lineRule="exact"/>
              <w:ind w:firstLine="482"/>
              <w:rPr>
                <w:color w:val="auto"/>
                <w:sz w:val="24"/>
              </w:rPr>
            </w:pPr>
            <w:r>
              <w:rPr>
                <w:color w:val="auto"/>
                <w:sz w:val="24"/>
              </w:rPr>
              <w:t>1．加强养老培训实训基地建设。支持</w:t>
            </w:r>
            <w:r>
              <w:rPr>
                <w:rFonts w:hint="eastAsia"/>
                <w:color w:val="auto"/>
                <w:sz w:val="24"/>
                <w:lang w:eastAsia="zh-CN"/>
              </w:rPr>
              <w:t>宣汉职业中专学校</w:t>
            </w:r>
            <w:r>
              <w:rPr>
                <w:color w:val="auto"/>
                <w:sz w:val="24"/>
              </w:rPr>
              <w:t>开设养老服务、健康服务、护理、康复等相关专业或课程，加强校地、校企合作。以</w:t>
            </w:r>
            <w:r>
              <w:rPr>
                <w:rFonts w:hint="eastAsia"/>
                <w:color w:val="auto"/>
                <w:sz w:val="24"/>
                <w:lang w:eastAsia="zh-CN"/>
              </w:rPr>
              <w:t>宣汉县中心敬老院</w:t>
            </w:r>
            <w:r>
              <w:rPr>
                <w:color w:val="auto"/>
                <w:sz w:val="24"/>
              </w:rPr>
              <w:t>为依托，至少培育1个养老实训基地。</w:t>
            </w:r>
          </w:p>
          <w:p>
            <w:pPr>
              <w:shd w:val="solid" w:color="FFFFFF" w:fill="auto"/>
              <w:autoSpaceDN w:val="0"/>
              <w:spacing w:line="340" w:lineRule="exact"/>
              <w:ind w:firstLine="482"/>
              <w:rPr>
                <w:color w:val="auto"/>
                <w:sz w:val="24"/>
              </w:rPr>
            </w:pPr>
            <w:r>
              <w:rPr>
                <w:color w:val="auto"/>
                <w:sz w:val="24"/>
              </w:rPr>
              <w:t>2．加强养老护理员培养培训。规范养老服务机构从业人员配备，原则上按照全自理老年人10:1、半失能老年人6:1、全失能老年人3:1的比例配备护理人员。到2025年，全</w:t>
            </w:r>
            <w:r>
              <w:rPr>
                <w:rFonts w:hint="eastAsia"/>
                <w:color w:val="auto"/>
                <w:sz w:val="24"/>
                <w:lang w:eastAsia="zh-CN"/>
              </w:rPr>
              <w:t>县</w:t>
            </w:r>
            <w:r>
              <w:rPr>
                <w:color w:val="auto"/>
                <w:sz w:val="24"/>
              </w:rPr>
              <w:t>养老护理人员岗前培训率达100%，新增通过职业技能等级认定的养老护理员</w:t>
            </w:r>
            <w:r>
              <w:rPr>
                <w:rFonts w:hint="eastAsia"/>
                <w:color w:val="auto"/>
                <w:sz w:val="24"/>
                <w:lang w:val="en-US" w:eastAsia="zh-CN"/>
              </w:rPr>
              <w:t>50</w:t>
            </w:r>
            <w:r>
              <w:rPr>
                <w:color w:val="auto"/>
                <w:sz w:val="24"/>
              </w:rPr>
              <w:t>人。</w:t>
            </w:r>
          </w:p>
          <w:p>
            <w:pPr>
              <w:shd w:val="solid" w:color="FFFFFF" w:fill="auto"/>
              <w:autoSpaceDN w:val="0"/>
              <w:spacing w:line="340" w:lineRule="exact"/>
              <w:ind w:firstLine="482"/>
              <w:rPr>
                <w:color w:val="auto"/>
                <w:sz w:val="24"/>
              </w:rPr>
            </w:pPr>
            <w:r>
              <w:rPr>
                <w:color w:val="auto"/>
                <w:sz w:val="24"/>
              </w:rPr>
              <w:t>3．加强涉老社会工作人才培养。支持县级中心敬老院、老年养护院设立社会工作站。养老服务类事业单位可根据工作需要将社会工作专业岗位明确为主体专业技术岗位。引导养老服务机构、居家养老服务组织与社会工作服务机构合作开展服务。</w:t>
            </w:r>
          </w:p>
          <w:p>
            <w:pPr>
              <w:shd w:val="solid" w:color="FFFFFF" w:fill="auto"/>
              <w:autoSpaceDN w:val="0"/>
              <w:spacing w:line="340" w:lineRule="exact"/>
              <w:ind w:firstLine="482"/>
              <w:rPr>
                <w:color w:val="auto"/>
                <w:sz w:val="24"/>
              </w:rPr>
            </w:pPr>
            <w:r>
              <w:rPr>
                <w:color w:val="auto"/>
                <w:sz w:val="24"/>
              </w:rPr>
              <w:t>4．提升养老服务机构负责人管理能力。开展养老服务机构负责人和管理人员培训。组织开展省内外交流活动，学习借鉴养老服务先进经验。到2025年，所有养老服务机构负责人至少轮训3次。</w:t>
            </w:r>
          </w:p>
        </w:tc>
      </w:tr>
    </w:tbl>
    <w:p>
      <w:pPr>
        <w:spacing w:line="578" w:lineRule="exact"/>
        <w:jc w:val="center"/>
        <w:outlineLvl w:val="0"/>
        <w:rPr>
          <w:rFonts w:eastAsia="黑体"/>
          <w:bCs/>
          <w:color w:val="auto"/>
          <w:szCs w:val="32"/>
        </w:rPr>
      </w:pPr>
      <w:r>
        <w:rPr>
          <w:rFonts w:eastAsia="黑体"/>
          <w:bCs/>
          <w:color w:val="auto"/>
          <w:szCs w:val="32"/>
        </w:rPr>
        <w:t>第六节  健全养老服务产业发展体系</w:t>
      </w:r>
    </w:p>
    <w:p>
      <w:pPr>
        <w:autoSpaceDN w:val="0"/>
        <w:spacing w:line="578" w:lineRule="exact"/>
        <w:ind w:firstLine="640"/>
        <w:rPr>
          <w:color w:val="auto"/>
          <w:szCs w:val="32"/>
        </w:rPr>
      </w:pPr>
      <w:r>
        <w:rPr>
          <w:rFonts w:eastAsia="楷体_GB2312"/>
          <w:color w:val="auto"/>
          <w:szCs w:val="32"/>
        </w:rPr>
        <w:t>培育养老服务新业态。</w:t>
      </w:r>
      <w:r>
        <w:rPr>
          <w:color w:val="auto"/>
          <w:szCs w:val="32"/>
        </w:rPr>
        <w:t>实施“养老服务+行业”行动，促进</w:t>
      </w:r>
      <w:r>
        <w:rPr>
          <w:color w:val="auto"/>
          <w:szCs w:val="32"/>
          <w:shd w:val="solid" w:color="FFFFFF" w:fill="auto"/>
        </w:rPr>
        <w:t>养老服务与文化、旅游、餐饮、体育、家政、教育、养生、健康、金融等行业融合发展，创新和丰富养老服务产业新模式与新业态，拓展旅居养老、文化养老、健康养老、养生养老等新型消费领域。</w:t>
      </w:r>
      <w:r>
        <w:rPr>
          <w:color w:val="auto"/>
          <w:szCs w:val="32"/>
        </w:rPr>
        <w:t>加快形成带动性强、产业链长、经济社会效益好的养老服务产业。推动多元发展，强化市场主体培育。鼓励社会资本通过多种方式和途径参与养老与健康服务业设施建设、运营和服务。鼓励发展养老普惠金融，引导金融机构开发兼顾稳健性和收益性，适合老年人客户的养老型理财、信托等金融产品，增加老年人财产性收入。加强标准引导和行业监管。积极培育全</w:t>
      </w:r>
      <w:r>
        <w:rPr>
          <w:rFonts w:hint="eastAsia"/>
          <w:color w:val="auto"/>
          <w:szCs w:val="32"/>
          <w:lang w:eastAsia="zh-CN"/>
        </w:rPr>
        <w:t>县</w:t>
      </w:r>
      <w:r>
        <w:rPr>
          <w:color w:val="auto"/>
          <w:szCs w:val="32"/>
        </w:rPr>
        <w:t>性养老服务行业协会。</w:t>
      </w:r>
    </w:p>
    <w:p>
      <w:pPr>
        <w:shd w:val="solid" w:color="FFFFFF" w:fill="auto"/>
        <w:autoSpaceDN w:val="0"/>
        <w:spacing w:line="578" w:lineRule="exact"/>
        <w:ind w:firstLine="640"/>
        <w:rPr>
          <w:color w:val="auto"/>
          <w:szCs w:val="32"/>
        </w:rPr>
      </w:pPr>
      <w:bookmarkStart w:id="25" w:name="_Toc25761"/>
      <w:r>
        <w:rPr>
          <w:rFonts w:eastAsia="楷体_GB2312"/>
          <w:color w:val="auto"/>
          <w:szCs w:val="32"/>
        </w:rPr>
        <w:t>激发养老服务消费新动能。</w:t>
      </w:r>
      <w:r>
        <w:rPr>
          <w:color w:val="auto"/>
          <w:szCs w:val="32"/>
        </w:rPr>
        <w:t>围绕老年人生活起居、安全保障、保健康复、医疗卫生等需求，大力发展“银发经济”。支持企业研发生产可穿戴设备、便携式健康监测设备、养老监护等智能养老设备及食品、旅游、体育等适老化产品用品，打造展示体验场所，培育老年产品用品市场，全</w:t>
      </w:r>
      <w:r>
        <w:rPr>
          <w:rFonts w:hint="eastAsia"/>
          <w:color w:val="auto"/>
          <w:szCs w:val="32"/>
          <w:lang w:eastAsia="zh-CN"/>
        </w:rPr>
        <w:t>县</w:t>
      </w:r>
      <w:r>
        <w:rPr>
          <w:color w:val="auto"/>
          <w:szCs w:val="32"/>
        </w:rPr>
        <w:t>开办1个老年用品展示体验场所</w:t>
      </w:r>
      <w:r>
        <w:rPr>
          <w:bCs/>
          <w:color w:val="auto"/>
          <w:spacing w:val="-6"/>
          <w:szCs w:val="32"/>
        </w:rPr>
        <w:t>。</w:t>
      </w:r>
      <w:r>
        <w:rPr>
          <w:color w:val="auto"/>
          <w:szCs w:val="32"/>
        </w:rPr>
        <w:t>支持新型材料、</w:t>
      </w:r>
      <w:r>
        <w:rPr>
          <w:rFonts w:hint="eastAsia"/>
          <w:color w:val="auto"/>
          <w:szCs w:val="32"/>
          <w:lang w:val="en-US" w:eastAsia="zh-CN"/>
        </w:rPr>
        <w:t>第五代移动通讯（</w:t>
      </w:r>
      <w:r>
        <w:rPr>
          <w:color w:val="auto"/>
          <w:szCs w:val="32"/>
        </w:rPr>
        <w:t>5G</w:t>
      </w:r>
      <w:r>
        <w:rPr>
          <w:rFonts w:hint="eastAsia"/>
          <w:color w:val="auto"/>
          <w:szCs w:val="32"/>
          <w:lang w:eastAsia="zh-CN"/>
        </w:rPr>
        <w:t>）</w:t>
      </w:r>
      <w:r>
        <w:rPr>
          <w:color w:val="auto"/>
          <w:szCs w:val="32"/>
        </w:rPr>
        <w:t>、</w:t>
      </w:r>
      <w:r>
        <w:rPr>
          <w:rFonts w:hint="eastAsia"/>
          <w:color w:val="auto"/>
          <w:szCs w:val="32"/>
          <w:lang w:val="en-US" w:eastAsia="zh-CN"/>
        </w:rPr>
        <w:t>人工智能（</w:t>
      </w:r>
      <w:r>
        <w:rPr>
          <w:color w:val="auto"/>
          <w:szCs w:val="32"/>
        </w:rPr>
        <w:t>AI</w:t>
      </w:r>
      <w:r>
        <w:rPr>
          <w:rFonts w:hint="eastAsia"/>
          <w:color w:val="auto"/>
          <w:szCs w:val="32"/>
          <w:lang w:eastAsia="zh-CN"/>
        </w:rPr>
        <w:t>）</w:t>
      </w:r>
      <w:r>
        <w:rPr>
          <w:color w:val="auto"/>
          <w:szCs w:val="32"/>
        </w:rPr>
        <w:t>、</w:t>
      </w:r>
      <w:r>
        <w:rPr>
          <w:rFonts w:hint="eastAsia"/>
          <w:color w:val="auto"/>
          <w:szCs w:val="32"/>
          <w:lang w:val="en-US" w:eastAsia="zh-CN"/>
        </w:rPr>
        <w:t>虚拟现实</w:t>
      </w:r>
      <w:r>
        <w:rPr>
          <w:rFonts w:hint="eastAsia"/>
          <w:color w:val="auto"/>
          <w:szCs w:val="32"/>
          <w:lang w:eastAsia="zh-CN"/>
        </w:rPr>
        <w:t>（</w:t>
      </w:r>
      <w:r>
        <w:rPr>
          <w:color w:val="auto"/>
          <w:szCs w:val="32"/>
        </w:rPr>
        <w:t>VR</w:t>
      </w:r>
      <w:r>
        <w:rPr>
          <w:rFonts w:hint="eastAsia"/>
          <w:color w:val="auto"/>
          <w:szCs w:val="32"/>
          <w:lang w:eastAsia="zh-CN"/>
        </w:rPr>
        <w:t>）</w:t>
      </w:r>
      <w:r>
        <w:rPr>
          <w:color w:val="auto"/>
          <w:szCs w:val="32"/>
        </w:rPr>
        <w:t>等新兴技术在养老服务领域的推广应用。积极参加养老服务业暨养老产业博览会。依托乡镇（街道）、社区养老服务机构发展嵌入式康复辅具器具销售和租赁网点，提供用品展示、预约使用、指导教学、售后维修、回收利用等服务。</w:t>
      </w:r>
      <w:bookmarkEnd w:id="25"/>
      <w:r>
        <w:rPr>
          <w:color w:val="auto"/>
          <w:szCs w:val="32"/>
          <w:shd w:val="solid" w:color="FFFFFF" w:fill="auto"/>
        </w:rPr>
        <w:t>鼓励有条件的地方研究将符合条件的基本治疗性康复辅具按规定逐步纳入基本医疗保险支付范围。</w:t>
      </w:r>
    </w:p>
    <w:p>
      <w:pPr>
        <w:spacing w:line="578" w:lineRule="exact"/>
        <w:ind w:firstLine="640"/>
        <w:outlineLvl w:val="1"/>
        <w:rPr>
          <w:color w:val="auto"/>
          <w:szCs w:val="32"/>
        </w:rPr>
      </w:pPr>
      <w:bookmarkStart w:id="26" w:name="_Toc14480"/>
      <w:r>
        <w:rPr>
          <w:rFonts w:eastAsia="楷体_GB2312"/>
          <w:color w:val="auto"/>
          <w:szCs w:val="32"/>
        </w:rPr>
        <w:t>推进区域养老服务协同发展</w:t>
      </w:r>
      <w:bookmarkEnd w:id="26"/>
      <w:r>
        <w:rPr>
          <w:color w:val="auto"/>
          <w:szCs w:val="32"/>
        </w:rPr>
        <w:t>。积极融入成渝地区双城经济圈和万达开川渝统筹发展示范区建设，优化异地养老医保结算制度，提升养老服务便利共享水平。促进养老服务资源要素自由流动，加强养老服务从业人员培训协作和认知障碍照护能力提升协作。探索建立“费随人走”“费随人给”统一标准的异地养老机制。</w:t>
      </w:r>
    </w:p>
    <w:p>
      <w:pPr>
        <w:pStyle w:val="2"/>
        <w:spacing w:line="578" w:lineRule="exact"/>
        <w:jc w:val="center"/>
        <w:rPr>
          <w:rFonts w:ascii="Times New Roman" w:hAnsi="Times New Roman" w:cs="Times New Roman"/>
          <w:color w:val="auto"/>
        </w:rPr>
      </w:pPr>
      <w:r>
        <w:rPr>
          <w:rFonts w:ascii="Times New Roman" w:hAnsi="Times New Roman" w:eastAsia="黑体" w:cs="Times New Roman"/>
          <w:bCs/>
          <w:color w:val="auto"/>
          <w:spacing w:val="-6"/>
          <w:sz w:val="28"/>
          <w:szCs w:val="28"/>
          <w:shd w:val="solid" w:color="FFFFFF" w:fill="auto"/>
        </w:rPr>
        <w:t>专栏9  养老服务产业提升工程</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58" w:hRule="atLeast"/>
          <w:jc w:val="center"/>
        </w:trPr>
        <w:tc>
          <w:tcPr>
            <w:tcW w:w="8789" w:type="dxa"/>
            <w:noWrap w:val="0"/>
            <w:vAlign w:val="center"/>
          </w:tcPr>
          <w:p>
            <w:pPr>
              <w:shd w:val="solid" w:color="FFFFFF" w:fill="auto"/>
              <w:autoSpaceDN w:val="0"/>
              <w:spacing w:line="360" w:lineRule="exact"/>
              <w:ind w:firstLine="482"/>
              <w:rPr>
                <w:color w:val="auto"/>
                <w:sz w:val="24"/>
              </w:rPr>
            </w:pPr>
            <w:r>
              <w:rPr>
                <w:color w:val="auto"/>
                <w:sz w:val="24"/>
              </w:rPr>
              <w:t>1．加强市场主体培育。大力扶植本土养老服务企业，积极引进知名养老服务企业，推动形成事业单位、国企、民企、社会组织多元主体运营竞争、相互促进、共同发展的良好局面，实现公益性与市场性的有机结合。到2025年，至少培育1家龙头养老服务企业，规模以上养老服务企业力争</w:t>
            </w:r>
            <w:r>
              <w:rPr>
                <w:rFonts w:hint="eastAsia"/>
                <w:color w:val="auto"/>
                <w:sz w:val="24"/>
                <w:lang w:eastAsia="zh-CN"/>
              </w:rPr>
              <w:t>培育</w:t>
            </w:r>
            <w:r>
              <w:rPr>
                <w:rFonts w:hint="eastAsia"/>
                <w:color w:val="auto"/>
                <w:sz w:val="24"/>
                <w:lang w:val="en-US" w:eastAsia="zh-CN"/>
              </w:rPr>
              <w:t>1</w:t>
            </w:r>
            <w:r>
              <w:rPr>
                <w:color w:val="auto"/>
                <w:sz w:val="24"/>
              </w:rPr>
              <w:t>家。</w:t>
            </w:r>
          </w:p>
          <w:p>
            <w:pPr>
              <w:shd w:val="solid" w:color="FFFFFF" w:fill="auto"/>
              <w:autoSpaceDN w:val="0"/>
              <w:spacing w:line="360" w:lineRule="exact"/>
              <w:ind w:firstLine="482"/>
              <w:rPr>
                <w:color w:val="auto"/>
                <w:sz w:val="24"/>
              </w:rPr>
            </w:pPr>
            <w:r>
              <w:rPr>
                <w:color w:val="auto"/>
                <w:sz w:val="24"/>
              </w:rPr>
              <w:t>2．发展适老产业。积极开发适合老年人使用的智能化、辅助性以及康复治疗等方面的产品。鼓励企业设立线上线下融合、为老年人服务的专柜和体验店，大力发展养老相关产业融合的新模式新业态。</w:t>
            </w:r>
          </w:p>
          <w:p>
            <w:pPr>
              <w:shd w:val="solid" w:color="FFFFFF" w:fill="auto"/>
              <w:autoSpaceDN w:val="0"/>
              <w:spacing w:line="360" w:lineRule="exact"/>
              <w:ind w:firstLine="482"/>
              <w:rPr>
                <w:color w:val="auto"/>
                <w:sz w:val="24"/>
              </w:rPr>
            </w:pPr>
            <w:r>
              <w:rPr>
                <w:color w:val="auto"/>
                <w:sz w:val="24"/>
              </w:rPr>
              <w:t>3．</w:t>
            </w:r>
            <w:r>
              <w:rPr>
                <w:rFonts w:hint="eastAsia"/>
                <w:color w:val="auto"/>
                <w:sz w:val="24"/>
                <w:lang w:eastAsia="zh-CN"/>
              </w:rPr>
              <w:t>积极融入</w:t>
            </w:r>
            <w:r>
              <w:rPr>
                <w:color w:val="auto"/>
                <w:sz w:val="24"/>
              </w:rPr>
              <w:t>万达开养老服务协同发展机制。搭建合作平台，探索制定养老服务补贴异地结算办法。搭建交流平台，相互参与和支持举办养老服务产业相关博览会，开展人才培训、交流、学习等活动</w:t>
            </w:r>
            <w:r>
              <w:rPr>
                <w:bCs/>
                <w:color w:val="auto"/>
                <w:sz w:val="24"/>
              </w:rPr>
              <w:t>。</w:t>
            </w:r>
          </w:p>
        </w:tc>
      </w:tr>
    </w:tbl>
    <w:p>
      <w:pPr>
        <w:spacing w:line="550" w:lineRule="exact"/>
        <w:jc w:val="center"/>
        <w:outlineLvl w:val="0"/>
        <w:rPr>
          <w:bCs/>
          <w:color w:val="auto"/>
          <w:szCs w:val="32"/>
        </w:rPr>
      </w:pPr>
    </w:p>
    <w:p>
      <w:pPr>
        <w:spacing w:line="550" w:lineRule="exact"/>
        <w:jc w:val="center"/>
        <w:outlineLvl w:val="0"/>
        <w:rPr>
          <w:rFonts w:eastAsia="黑体"/>
          <w:bCs/>
          <w:color w:val="auto"/>
          <w:szCs w:val="32"/>
        </w:rPr>
      </w:pPr>
      <w:r>
        <w:rPr>
          <w:rFonts w:eastAsia="黑体"/>
          <w:bCs/>
          <w:color w:val="auto"/>
          <w:szCs w:val="32"/>
        </w:rPr>
        <w:t>第七节  健全老年友好环境支持体系</w:t>
      </w:r>
      <w:bookmarkEnd w:id="24"/>
    </w:p>
    <w:p>
      <w:pPr>
        <w:autoSpaceDN w:val="0"/>
        <w:spacing w:line="550" w:lineRule="exact"/>
        <w:ind w:firstLine="640" w:firstLineChars="200"/>
        <w:rPr>
          <w:color w:val="auto"/>
          <w:szCs w:val="32"/>
        </w:rPr>
      </w:pPr>
      <w:bookmarkStart w:id="27" w:name="_Toc689"/>
      <w:r>
        <w:rPr>
          <w:rFonts w:eastAsia="楷体_GB2312"/>
          <w:color w:val="auto"/>
          <w:szCs w:val="32"/>
        </w:rPr>
        <w:t>强化老年人权益保障。</w:t>
      </w:r>
      <w:r>
        <w:rPr>
          <w:color w:val="auto"/>
          <w:szCs w:val="32"/>
        </w:rPr>
        <w:t>在制定涉及老年人利益的具体措施时，应当征求老年人的意见。建立完善涉老婚姻家庭、侵权等矛盾纠纷的预警、排查、调解机制。加强老年人权益保障普法宣传，提高老年人运用法律手段维护自身合法权益的意识。加强老年人消费权益保护，依法查处向老年人欺诈销售各类产品和服务的违法行为。严厉打击电信网络诈骗等违法犯罪行为，提升老年人识骗防骗能力。完善老年人监护制度，推动解决无监护老年人的特殊困难老年人监护保障问题。做好涉老矛盾纠纷预警、排查、化解。建立适老型诉讼服务机制。倡导律师事务所、公证机构、基层法律服务机构为老年人减免法律服务费用，为行动不便的老年人提供上门服务。</w:t>
      </w:r>
    </w:p>
    <w:bookmarkEnd w:id="27"/>
    <w:p>
      <w:pPr>
        <w:shd w:val="solid" w:color="FFFFFF" w:fill="auto"/>
        <w:autoSpaceDN w:val="0"/>
        <w:spacing w:line="550" w:lineRule="exact"/>
        <w:ind w:firstLine="640" w:firstLineChars="200"/>
        <w:rPr>
          <w:color w:val="auto"/>
          <w:szCs w:val="32"/>
        </w:rPr>
      </w:pPr>
      <w:bookmarkStart w:id="28" w:name="_Toc10382"/>
      <w:r>
        <w:rPr>
          <w:rFonts w:eastAsia="楷体_GB2312"/>
          <w:color w:val="auto"/>
          <w:szCs w:val="32"/>
        </w:rPr>
        <w:t>打造老年宜居环境</w:t>
      </w:r>
      <w:bookmarkEnd w:id="28"/>
      <w:r>
        <w:rPr>
          <w:rFonts w:eastAsia="楷体_GB2312"/>
          <w:color w:val="auto"/>
          <w:szCs w:val="32"/>
        </w:rPr>
        <w:t>。</w:t>
      </w:r>
      <w:r>
        <w:rPr>
          <w:color w:val="auto"/>
          <w:szCs w:val="32"/>
          <w:shd w:val="solid" w:color="FFFFFF" w:fill="auto"/>
        </w:rPr>
        <w:t>遵循适老性和老年友好型原则，保障老年人日常生活的安全性和便利性。</w:t>
      </w:r>
      <w:r>
        <w:rPr>
          <w:color w:val="auto"/>
          <w:szCs w:val="32"/>
        </w:rPr>
        <w:t>构建安全绿色便利生活环境，推进“老年友好型城市”和“老年宜居社区”建设。推动老年人共建共享绿色社区、美丽宜居村庄和生态文明建设成果。到2025年，</w:t>
      </w:r>
      <w:r>
        <w:rPr>
          <w:rFonts w:hint="eastAsia"/>
          <w:color w:val="auto"/>
          <w:szCs w:val="32"/>
          <w:lang w:eastAsia="zh-CN"/>
        </w:rPr>
        <w:t>至少</w:t>
      </w:r>
      <w:r>
        <w:rPr>
          <w:color w:val="auto"/>
          <w:szCs w:val="32"/>
        </w:rPr>
        <w:t>创建全国示范性老年友好型社区</w:t>
      </w:r>
      <w:r>
        <w:rPr>
          <w:rFonts w:hint="eastAsia"/>
          <w:color w:val="auto"/>
          <w:szCs w:val="32"/>
          <w:lang w:val="en-US" w:eastAsia="zh-CN"/>
        </w:rPr>
        <w:t>1</w:t>
      </w:r>
      <w:r>
        <w:rPr>
          <w:color w:val="auto"/>
          <w:szCs w:val="32"/>
        </w:rPr>
        <w:t>个。引导、支持开发老年宜居住宅和代际亲情住宅。推进</w:t>
      </w:r>
      <w:r>
        <w:rPr>
          <w:rFonts w:hint="eastAsia"/>
          <w:color w:val="auto"/>
          <w:szCs w:val="32"/>
          <w:lang w:val="en-US" w:eastAsia="zh-CN"/>
        </w:rPr>
        <w:t>乡镇</w:t>
      </w:r>
      <w:r>
        <w:rPr>
          <w:rFonts w:hint="eastAsia"/>
          <w:color w:val="auto"/>
          <w:szCs w:val="32"/>
          <w:lang w:eastAsia="zh-CN"/>
        </w:rPr>
        <w:t>（</w:t>
      </w:r>
      <w:r>
        <w:rPr>
          <w:color w:val="auto"/>
          <w:szCs w:val="32"/>
        </w:rPr>
        <w:t>街道</w:t>
      </w:r>
      <w:r>
        <w:rPr>
          <w:rFonts w:hint="eastAsia"/>
          <w:color w:val="auto"/>
          <w:szCs w:val="32"/>
          <w:lang w:eastAsia="zh-CN"/>
        </w:rPr>
        <w:t>）</w:t>
      </w:r>
      <w:r>
        <w:rPr>
          <w:color w:val="auto"/>
          <w:szCs w:val="32"/>
        </w:rPr>
        <w:t>、社区“老年人生活圈”配套设施建设，为老年人提供一站式便捷服务。推动公共场所适老化改造，大力推进无障碍环境建设，加大城市道路、交通设施、公共交通工具等适老化改造力度。建设兼顾老年人需求的智慧社会，对医疗、社保、民政、金融、电信、邮政、出入境、生活缴费高频事项和服务场景，设置必要的线下办事渠道并向基层</w:t>
      </w:r>
      <w:r>
        <w:rPr>
          <w:rFonts w:hint="eastAsia"/>
          <w:color w:val="auto"/>
          <w:szCs w:val="32"/>
          <w:lang w:eastAsia="zh-CN"/>
        </w:rPr>
        <w:t>延伸</w:t>
      </w:r>
      <w:r>
        <w:rPr>
          <w:color w:val="auto"/>
          <w:szCs w:val="32"/>
        </w:rPr>
        <w:t>。推进政务数据共享，优化线上线下政务服务，让老年人办事少跑腿。推进互联网应用适老化改造，改善信息无障碍服务环境。鼓励和引导车站、医院、银行、商（市）场等公共场所配备老花镜、放大镜及具有大屏播放、大字阅读、触屏播报、语音提醒、低位使用的各类方便老年人使用的工具设备，坚持线上服务和线下服务相结合，推进智能化服务适应老年人需求。</w:t>
      </w:r>
    </w:p>
    <w:p>
      <w:pPr>
        <w:spacing w:line="550" w:lineRule="exact"/>
        <w:ind w:firstLine="640" w:firstLineChars="200"/>
        <w:rPr>
          <w:color w:val="auto"/>
          <w:szCs w:val="32"/>
        </w:rPr>
      </w:pPr>
      <w:bookmarkStart w:id="29" w:name="_Toc16924"/>
      <w:r>
        <w:rPr>
          <w:rFonts w:eastAsia="楷体_GB2312"/>
          <w:color w:val="auto"/>
          <w:szCs w:val="32"/>
        </w:rPr>
        <w:t>发展老年教育</w:t>
      </w:r>
      <w:bookmarkEnd w:id="29"/>
      <w:r>
        <w:rPr>
          <w:rFonts w:eastAsia="楷体_GB2312"/>
          <w:color w:val="auto"/>
          <w:szCs w:val="32"/>
        </w:rPr>
        <w:t>。</w:t>
      </w:r>
      <w:r>
        <w:rPr>
          <w:color w:val="auto"/>
          <w:szCs w:val="32"/>
        </w:rPr>
        <w:t>将老年教育纳入全</w:t>
      </w:r>
      <w:r>
        <w:rPr>
          <w:rFonts w:hint="eastAsia"/>
          <w:color w:val="auto"/>
          <w:szCs w:val="32"/>
          <w:lang w:eastAsia="zh-CN"/>
        </w:rPr>
        <w:t>县</w:t>
      </w:r>
      <w:r>
        <w:rPr>
          <w:color w:val="auto"/>
          <w:szCs w:val="32"/>
        </w:rPr>
        <w:t>教育发展规划和终身教育体系，扩大老年教育资源供给。实施老年大学建设提升行动。推动老年大学向基层延伸，优先发展社区老年教育。创新老年教育体制机制，发展“老年开放大学”“网上老年大学”，搭建老年教育资源共享和公共服务平台。探索建立“学分银行”，将寓教于乐与终身学习相结合，提高老年人社会参与能力。支持各类有条件的学校举办老年大学（学校），支持社会力量举办老年大学（学校），推动扩大老年教育资源供给。探索建立市场化运作的老年大学、老年学习乐园，更好满足老年人精神养老、文化养老的需要。利用各种教育机构和多种教学手段，面向老年人开设电脑操作、智能手机使用等智能技术运用课程。支持各类机构举办老年大学、参与老年教育和发展老年人互联网远程教育。</w:t>
      </w:r>
    </w:p>
    <w:p>
      <w:pPr>
        <w:spacing w:line="550" w:lineRule="exact"/>
        <w:ind w:firstLine="640" w:firstLineChars="200"/>
        <w:rPr>
          <w:color w:val="auto"/>
          <w:szCs w:val="32"/>
        </w:rPr>
      </w:pPr>
      <w:r>
        <w:rPr>
          <w:rFonts w:eastAsia="楷体_GB2312"/>
          <w:color w:val="auto"/>
          <w:szCs w:val="32"/>
        </w:rPr>
        <w:t>扩大老年人社会参与。</w:t>
      </w:r>
      <w:bookmarkStart w:id="30" w:name="_Toc20167"/>
      <w:r>
        <w:rPr>
          <w:color w:val="auto"/>
          <w:szCs w:val="32"/>
        </w:rPr>
        <w:t>在全社会倡导积极老龄观，引导老年人根据自身情况，积极参与家庭、社区和社会发展。加强老年人力资源开发。支持技术型老年人参与科技开发和应用、开展咨询服务。充分发挥低龄老年人作用。在学校、医院等单位和社区家政服务、公共场所服务管理等行业，探索适合老年人灵活就业的模式。积极开展“银龄行动”，支持老年人参与文明实践、公益慈善、科教文卫等社会公益事业。鼓励和引导老年人在城乡社区建立基层老年协会、老年体育协会等基层老年社会组织，搭建自我服务、自我管理、自我教育平台。加大对公益性、互助性、服务性、专业性基层老年社会组织支持力度。指导和促进基层老年社会组织规范化建设，提高专业素质、服务能力和社会公信力。</w:t>
      </w:r>
    </w:p>
    <w:p>
      <w:pPr>
        <w:spacing w:line="550" w:lineRule="exact"/>
        <w:ind w:firstLine="640" w:firstLineChars="200"/>
        <w:outlineLvl w:val="2"/>
        <w:rPr>
          <w:color w:val="auto"/>
          <w:szCs w:val="32"/>
        </w:rPr>
      </w:pPr>
      <w:r>
        <w:rPr>
          <w:rFonts w:eastAsia="楷体_GB2312"/>
          <w:color w:val="auto"/>
          <w:szCs w:val="32"/>
        </w:rPr>
        <w:t>发展老年志愿服务。</w:t>
      </w:r>
      <w:r>
        <w:rPr>
          <w:color w:val="auto"/>
          <w:szCs w:val="32"/>
        </w:rPr>
        <w:t>完善老年志愿服务激励机制。支持老年人积极参加基层老年协会等社会组织，广泛参与基层民主监督、社会治安、环境保护、纠纷调解等志愿服务。发挥老年人在家庭教育、家风传承、关心教育下一代等方面的积极作用。倡导有志愿服务能力和意愿的老年人通过结对帮扶，邻里互助，低龄老年人为高龄老年人、健康老年人为失能及残疾老年人服务等形式提供志愿服务。充分发挥老年大学、老年协会作用，培育壮大老年志愿服务队伍。健全老年志愿服务登记制度，打造老年志愿服务品牌。倡导医疗卫生、文化教育、农林科技等方面的老专家、老知识分子参与乡村振兴等志愿服务。</w:t>
      </w:r>
    </w:p>
    <w:p>
      <w:pPr>
        <w:shd w:val="solid" w:color="FFFFFF" w:fill="auto"/>
        <w:autoSpaceDN w:val="0"/>
        <w:spacing w:line="550" w:lineRule="exact"/>
        <w:ind w:firstLine="640" w:firstLineChars="200"/>
        <w:rPr>
          <w:color w:val="auto"/>
          <w:szCs w:val="32"/>
        </w:rPr>
      </w:pPr>
      <w:r>
        <w:rPr>
          <w:rFonts w:eastAsia="楷体_GB2312"/>
          <w:color w:val="auto"/>
          <w:szCs w:val="32"/>
        </w:rPr>
        <w:t>完善家庭养老支持政策</w:t>
      </w:r>
      <w:r>
        <w:rPr>
          <w:color w:val="auto"/>
          <w:szCs w:val="32"/>
        </w:rPr>
        <w:t>。鼓励成年子女与老年父母就近居住或共同生活，履行赡养义务、承担照料责任，防止欺老虐老弃老问题发生，将有能力赡养而拒不赡养老年人的违法行为纳入个人社会信用记录。支持面向家庭照护成员开展护理技能培训。将家庭照护者纳入养老护理职业技能培训等范围。鼓励专业化养老服务机构为长期失能老年人提供照护服务，探索</w:t>
      </w:r>
      <w:r>
        <w:rPr>
          <w:color w:val="auto"/>
          <w:szCs w:val="32"/>
          <w:shd w:val="solid" w:color="FFFFFF" w:fill="auto"/>
        </w:rPr>
        <w:t>建立家庭喘息服务机制</w:t>
      </w:r>
      <w:r>
        <w:rPr>
          <w:color w:val="auto"/>
          <w:szCs w:val="32"/>
        </w:rPr>
        <w:t>。</w:t>
      </w:r>
    </w:p>
    <w:p>
      <w:pPr>
        <w:spacing w:line="550" w:lineRule="exact"/>
        <w:ind w:firstLine="640" w:firstLineChars="200"/>
        <w:outlineLvl w:val="2"/>
        <w:rPr>
          <w:color w:val="auto"/>
          <w:szCs w:val="32"/>
        </w:rPr>
      </w:pPr>
      <w:r>
        <w:rPr>
          <w:rFonts w:eastAsia="楷体_GB2312"/>
          <w:color w:val="auto"/>
          <w:szCs w:val="32"/>
        </w:rPr>
        <w:t>营造敬老社会</w:t>
      </w:r>
      <w:bookmarkEnd w:id="30"/>
      <w:r>
        <w:rPr>
          <w:rFonts w:eastAsia="楷体_GB2312"/>
          <w:color w:val="auto"/>
          <w:szCs w:val="32"/>
        </w:rPr>
        <w:t>氛围。</w:t>
      </w:r>
      <w:r>
        <w:rPr>
          <w:color w:val="auto"/>
          <w:szCs w:val="32"/>
        </w:rPr>
        <w:t>加强人口老龄化国情教育，大力宣传践行社会主义核心价值观，传承弘扬“百善孝为先”的中华民族传统美德。持续开展“敬老月”系列活动和“敬老文明号”创建活动，加强老年优待工作，在落实医疗保健、交通出行、商业服务、文体休闲等优待政策基础上，进一步拓展优待项目、创新优待方式，在醒目位置设置老年人优待标识，推广老年人凭身份证等有效证件享受各项优待政策。落实外埠老年人同等享受本地优待项目。广泛开展“最美老人”“孝亲敬老楷模”等选树活动。发挥广播电视和网络视听媒体作用，加强宣传引导。</w:t>
      </w:r>
    </w:p>
    <w:p>
      <w:pPr>
        <w:pStyle w:val="2"/>
        <w:spacing w:line="578" w:lineRule="exact"/>
        <w:jc w:val="center"/>
        <w:rPr>
          <w:rFonts w:ascii="Times New Roman" w:hAnsi="Times New Roman" w:cs="Times New Roman"/>
          <w:color w:val="auto"/>
        </w:rPr>
      </w:pPr>
      <w:r>
        <w:rPr>
          <w:rFonts w:ascii="Times New Roman" w:hAnsi="Times New Roman" w:eastAsia="黑体" w:cs="Times New Roman"/>
          <w:bCs/>
          <w:color w:val="auto"/>
          <w:spacing w:val="-6"/>
          <w:sz w:val="28"/>
          <w:szCs w:val="28"/>
          <w:shd w:val="solid" w:color="FFFFFF" w:fill="auto"/>
        </w:rPr>
        <w:t xml:space="preserve">专栏10 </w:t>
      </w:r>
      <w:r>
        <w:rPr>
          <w:rFonts w:ascii="Times New Roman" w:hAnsi="Times New Roman" w:eastAsia="黑体" w:cs="Times New Roman"/>
          <w:bCs/>
          <w:color w:val="auto"/>
          <w:spacing w:val="-6"/>
          <w:shd w:val="solid" w:color="FFFFFF" w:fill="auto"/>
        </w:rPr>
        <w:t xml:space="preserve"> </w:t>
      </w:r>
      <w:r>
        <w:rPr>
          <w:rFonts w:ascii="Times New Roman" w:hAnsi="Times New Roman" w:eastAsia="黑体" w:cs="Times New Roman"/>
          <w:bCs/>
          <w:color w:val="auto"/>
          <w:spacing w:val="-6"/>
          <w:sz w:val="28"/>
          <w:szCs w:val="28"/>
          <w:shd w:val="solid" w:color="FFFFFF" w:fill="auto"/>
        </w:rPr>
        <w:t>老年教育服务提升工程</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40" w:hRule="atLeast"/>
          <w:jc w:val="center"/>
        </w:trPr>
        <w:tc>
          <w:tcPr>
            <w:tcW w:w="8789" w:type="dxa"/>
            <w:noWrap w:val="0"/>
            <w:vAlign w:val="center"/>
          </w:tcPr>
          <w:p>
            <w:pPr>
              <w:pStyle w:val="17"/>
              <w:widowControl/>
              <w:numPr>
                <w:ilvl w:val="0"/>
                <w:numId w:val="7"/>
              </w:numPr>
              <w:spacing w:line="360" w:lineRule="exact"/>
              <w:ind w:firstLine="480"/>
              <w:textAlignment w:val="baseline"/>
              <w:rPr>
                <w:rFonts w:ascii="Times New Roman" w:hAnsi="Times New Roman" w:eastAsia="仿宋_GB2312" w:cs="Times New Roman"/>
                <w:color w:val="auto"/>
                <w:sz w:val="24"/>
              </w:rPr>
            </w:pPr>
            <w:r>
              <w:rPr>
                <w:rFonts w:ascii="Times New Roman" w:hAnsi="Times New Roman" w:eastAsia="仿宋_GB2312" w:cs="Times New Roman"/>
                <w:color w:val="auto"/>
                <w:sz w:val="24"/>
              </w:rPr>
              <w:t>老年大学提升行动。至少开设1所老年大学，60%的乡镇（街道）建有老年学校，30%的村（社区）建有老年学习点。到2025年，基本形成县乡村</w:t>
            </w:r>
            <w:r>
              <w:rPr>
                <w:rFonts w:hint="eastAsia" w:ascii="Times New Roman" w:hAnsi="Times New Roman" w:eastAsia="仿宋_GB2312" w:cs="Times New Roman"/>
                <w:color w:val="auto"/>
                <w:sz w:val="24"/>
                <w:lang w:eastAsia="zh-CN"/>
              </w:rPr>
              <w:t>三</w:t>
            </w:r>
            <w:r>
              <w:rPr>
                <w:rFonts w:ascii="Times New Roman" w:hAnsi="Times New Roman" w:eastAsia="仿宋_GB2312" w:cs="Times New Roman"/>
                <w:color w:val="auto"/>
                <w:sz w:val="24"/>
              </w:rPr>
              <w:t>级老年教育网络。</w:t>
            </w:r>
          </w:p>
          <w:p>
            <w:pPr>
              <w:pStyle w:val="17"/>
              <w:widowControl/>
              <w:numPr>
                <w:ilvl w:val="0"/>
                <w:numId w:val="7"/>
              </w:numPr>
              <w:spacing w:line="360" w:lineRule="exact"/>
              <w:ind w:firstLine="480"/>
              <w:textAlignment w:val="baseline"/>
              <w:rPr>
                <w:rFonts w:ascii="Times New Roman" w:hAnsi="Times New Roman" w:eastAsia="仿宋_GB2312" w:cs="Times New Roman"/>
                <w:color w:val="auto"/>
                <w:sz w:val="24"/>
              </w:rPr>
            </w:pPr>
            <w:r>
              <w:rPr>
                <w:rFonts w:ascii="Times New Roman" w:hAnsi="Times New Roman" w:eastAsia="仿宋_GB2312" w:cs="Times New Roman"/>
                <w:color w:val="auto"/>
                <w:sz w:val="24"/>
              </w:rPr>
              <w:t>“智慧助老”行动。在城乡社区开展老年人运用智能技术教育培训。加强智慧助老公益宣传，营造帮助老年人解决运用智能技术困难的良好氛围，提升老年人数字素养，帮助老年人消除“数字鸿沟”。</w:t>
            </w:r>
          </w:p>
          <w:p>
            <w:pPr>
              <w:pStyle w:val="17"/>
              <w:spacing w:line="360" w:lineRule="exact"/>
              <w:ind w:firstLine="480"/>
              <w:rPr>
                <w:rFonts w:ascii="Times New Roman" w:hAnsi="Times New Roman" w:eastAsia="仿宋_GB2312" w:cs="Times New Roman"/>
                <w:color w:val="auto"/>
                <w:sz w:val="24"/>
              </w:rPr>
            </w:pPr>
            <w:r>
              <w:rPr>
                <w:rFonts w:ascii="Times New Roman" w:hAnsi="Times New Roman" w:eastAsia="仿宋_GB2312" w:cs="Times New Roman"/>
                <w:color w:val="auto"/>
                <w:sz w:val="24"/>
              </w:rPr>
              <w:t>3．基层老年协会提升行动。发挥基层党组织作用，加强基层老年协会党建工作。改善基层老年协会活动设施和条件，加强骨干培训和活动指导。通过政府购买服务等方式，引入专业社会工作者、社会组织等对基层老年协会进行培育孵化，打造一批规范化、专业化基层老年协会。做好基层老年协会的登记（备案）工作，加强规范管理。到2025年，全</w:t>
            </w:r>
            <w:r>
              <w:rPr>
                <w:rFonts w:hint="eastAsia" w:ascii="Times New Roman" w:hAnsi="Times New Roman" w:eastAsia="仿宋_GB2312" w:cs="Times New Roman"/>
                <w:color w:val="auto"/>
                <w:sz w:val="24"/>
                <w:lang w:eastAsia="zh-CN"/>
              </w:rPr>
              <w:t>县</w:t>
            </w:r>
            <w:r>
              <w:rPr>
                <w:rFonts w:ascii="Times New Roman" w:hAnsi="Times New Roman" w:eastAsia="仿宋_GB2312" w:cs="Times New Roman"/>
                <w:color w:val="auto"/>
                <w:sz w:val="24"/>
              </w:rPr>
              <w:t>乡镇（街道）老年协会建会率达100%，城镇社区、农村行政村（社区）老年协会建会率达到</w:t>
            </w:r>
            <w:r>
              <w:rPr>
                <w:rFonts w:hint="eastAsia" w:ascii="Times New Roman" w:hAnsi="Times New Roman" w:eastAsia="仿宋_GB2312" w:cs="Times New Roman"/>
                <w:color w:val="auto"/>
                <w:sz w:val="24"/>
                <w:lang w:val="en-US" w:eastAsia="zh-CN"/>
              </w:rPr>
              <w:t>100</w:t>
            </w:r>
            <w:r>
              <w:rPr>
                <w:rFonts w:ascii="Times New Roman" w:hAnsi="Times New Roman" w:eastAsia="仿宋_GB2312" w:cs="Times New Roman"/>
                <w:color w:val="auto"/>
                <w:sz w:val="24"/>
              </w:rPr>
              <w:t>%。</w:t>
            </w:r>
          </w:p>
          <w:p>
            <w:pPr>
              <w:spacing w:line="360" w:lineRule="exact"/>
              <w:ind w:firstLine="480" w:firstLineChars="200"/>
              <w:outlineLvl w:val="2"/>
              <w:rPr>
                <w:color w:val="auto"/>
                <w:sz w:val="24"/>
              </w:rPr>
            </w:pPr>
            <w:r>
              <w:rPr>
                <w:color w:val="auto"/>
                <w:sz w:val="24"/>
              </w:rPr>
              <w:t>4．壮大老年志愿服务队伍。依托老年大学、老年协会等，建立健全</w:t>
            </w:r>
            <w:r>
              <w:rPr>
                <w:rFonts w:hint="eastAsia"/>
                <w:color w:val="auto"/>
                <w:sz w:val="24"/>
                <w:lang w:eastAsia="zh-CN"/>
              </w:rPr>
              <w:t>县乡村</w:t>
            </w:r>
            <w:r>
              <w:rPr>
                <w:rFonts w:hint="eastAsia"/>
                <w:color w:val="auto"/>
                <w:sz w:val="24"/>
                <w:u w:val="none"/>
                <w:lang w:eastAsia="zh-CN"/>
              </w:rPr>
              <w:t>三级</w:t>
            </w:r>
            <w:r>
              <w:rPr>
                <w:color w:val="auto"/>
                <w:sz w:val="24"/>
                <w:u w:val="none"/>
              </w:rPr>
              <w:t>老年志愿服务队伍。积极打造老年志愿服务品</w:t>
            </w:r>
            <w:r>
              <w:rPr>
                <w:color w:val="auto"/>
                <w:sz w:val="24"/>
              </w:rPr>
              <w:t>牌。到2025年，全</w:t>
            </w:r>
            <w:r>
              <w:rPr>
                <w:rFonts w:hint="eastAsia"/>
                <w:color w:val="auto"/>
                <w:sz w:val="24"/>
                <w:lang w:eastAsia="zh-CN"/>
              </w:rPr>
              <w:t>县</w:t>
            </w:r>
            <w:r>
              <w:rPr>
                <w:color w:val="auto"/>
                <w:sz w:val="24"/>
              </w:rPr>
              <w:t>老年志愿者占老年人口的12%以上。</w:t>
            </w:r>
          </w:p>
        </w:tc>
      </w:tr>
    </w:tbl>
    <w:p>
      <w:pPr>
        <w:spacing w:line="550" w:lineRule="exact"/>
        <w:outlineLvl w:val="0"/>
        <w:rPr>
          <w:bCs/>
          <w:color w:val="auto"/>
          <w:szCs w:val="32"/>
        </w:rPr>
      </w:pPr>
    </w:p>
    <w:p>
      <w:pPr>
        <w:spacing w:line="578" w:lineRule="exact"/>
        <w:jc w:val="center"/>
        <w:outlineLvl w:val="0"/>
        <w:rPr>
          <w:rFonts w:eastAsia="黑体"/>
          <w:bCs/>
          <w:color w:val="auto"/>
          <w:szCs w:val="32"/>
        </w:rPr>
      </w:pPr>
      <w:r>
        <w:rPr>
          <w:rFonts w:eastAsia="黑体"/>
          <w:bCs/>
          <w:color w:val="auto"/>
          <w:szCs w:val="32"/>
        </w:rPr>
        <w:t>第八节  健全要素保障政策支持体系</w:t>
      </w:r>
    </w:p>
    <w:p>
      <w:pPr>
        <w:autoSpaceDN w:val="0"/>
        <w:spacing w:line="578" w:lineRule="exact"/>
        <w:ind w:firstLine="640" w:firstLineChars="200"/>
        <w:rPr>
          <w:color w:val="auto"/>
          <w:szCs w:val="32"/>
        </w:rPr>
      </w:pPr>
      <w:r>
        <w:rPr>
          <w:rFonts w:eastAsia="楷体_GB2312"/>
          <w:color w:val="auto"/>
          <w:szCs w:val="32"/>
        </w:rPr>
        <w:t>科学规划布局</w:t>
      </w:r>
      <w:r>
        <w:rPr>
          <w:color w:val="auto"/>
          <w:szCs w:val="32"/>
        </w:rPr>
        <w:t>。在编制国土空间规划时，同步编制养老服务设施建设布局规划，按照人均用地不少于0.1平方米的标准分区分级规划设置养老服务设施，明确养老服务设施的用地位置及规模。合理规划养老服务设施空间布局，对养老服务设施总量不足或规划滞后的，要在国土空间规划编制或修改时予以完善。</w:t>
      </w:r>
    </w:p>
    <w:p>
      <w:pPr>
        <w:shd w:val="clear" w:color="auto" w:fill="FFFFFF"/>
        <w:spacing w:line="578" w:lineRule="exact"/>
        <w:ind w:firstLine="640" w:firstLineChars="200"/>
        <w:jc w:val="both"/>
        <w:rPr>
          <w:ins w:id="9" w:author="陆离" w:date="2022-04-11T18:36:00Z"/>
          <w:rFonts w:eastAsia="楷体_GB2312"/>
          <w:color w:val="auto"/>
          <w:szCs w:val="32"/>
          <w:shd w:val="solid" w:color="FFFFFF" w:fill="auto"/>
        </w:rPr>
      </w:pPr>
      <w:r>
        <w:rPr>
          <w:rFonts w:eastAsia="楷体_GB2312"/>
          <w:color w:val="auto"/>
          <w:szCs w:val="32"/>
        </w:rPr>
        <w:t>落实住宅小区养老服务设施配建要求。</w:t>
      </w:r>
      <w:r>
        <w:rPr>
          <w:color w:val="auto"/>
          <w:szCs w:val="32"/>
        </w:rPr>
        <w:t>严格落实新建住宅小区与配套养老服务设施同步规划、同步建设、同步验收、同步交付“四同步”要求。编制新建城区和居住（小）区规划时，要按照每100户不低于30平方米的标准提出养老服务设施规划要求，不计入要求配建的社区公共服务用房面积。分级分类配建居家社区养老服务设施，新建居住（小）区配建养老服务设施达标率2022年达到80%，2025年达到100%。在住宅小区土地供应时，应将养老服务用房配建标准作为出让地块的规划条件。在项目产权移交时，建设单位应将养老服务设施以及有关建设资料无偿移交至</w:t>
      </w:r>
      <w:r>
        <w:rPr>
          <w:rFonts w:hint="eastAsia"/>
          <w:color w:val="auto"/>
          <w:szCs w:val="32"/>
          <w:lang w:val="en-US" w:eastAsia="zh-CN"/>
        </w:rPr>
        <w:t>县</w:t>
      </w:r>
      <w:r>
        <w:rPr>
          <w:color w:val="auto"/>
          <w:szCs w:val="32"/>
        </w:rPr>
        <w:t>民政</w:t>
      </w:r>
      <w:r>
        <w:rPr>
          <w:rFonts w:hint="eastAsia"/>
          <w:color w:val="auto"/>
          <w:szCs w:val="32"/>
          <w:lang w:eastAsia="zh-CN"/>
        </w:rPr>
        <w:t>局</w:t>
      </w:r>
      <w:r>
        <w:rPr>
          <w:color w:val="auto"/>
          <w:szCs w:val="32"/>
        </w:rPr>
        <w:t>，由</w:t>
      </w:r>
      <w:r>
        <w:rPr>
          <w:rFonts w:hint="eastAsia"/>
          <w:color w:val="auto"/>
          <w:szCs w:val="32"/>
          <w:lang w:val="en-US" w:eastAsia="zh-CN"/>
        </w:rPr>
        <w:t>县</w:t>
      </w:r>
      <w:r>
        <w:rPr>
          <w:color w:val="auto"/>
          <w:szCs w:val="32"/>
        </w:rPr>
        <w:t>民政</w:t>
      </w:r>
      <w:r>
        <w:rPr>
          <w:rFonts w:hint="eastAsia"/>
          <w:color w:val="auto"/>
          <w:szCs w:val="32"/>
          <w:lang w:eastAsia="zh-CN"/>
        </w:rPr>
        <w:t>局</w:t>
      </w:r>
      <w:r>
        <w:rPr>
          <w:color w:val="auto"/>
          <w:szCs w:val="32"/>
        </w:rPr>
        <w:t>履行监管职责，确保养老服务用途。在全</w:t>
      </w:r>
      <w:r>
        <w:rPr>
          <w:rFonts w:hint="eastAsia"/>
          <w:color w:val="auto"/>
          <w:szCs w:val="32"/>
          <w:lang w:eastAsia="zh-CN"/>
        </w:rPr>
        <w:t>县</w:t>
      </w:r>
      <w:r>
        <w:rPr>
          <w:color w:val="auto"/>
          <w:szCs w:val="32"/>
        </w:rPr>
        <w:t>集中</w:t>
      </w:r>
      <w:r>
        <w:rPr>
          <w:color w:val="auto"/>
          <w:szCs w:val="32"/>
          <w:shd w:val="solid" w:color="FFFFFF" w:fill="auto"/>
        </w:rPr>
        <w:t>开展养老服务设施规划建设情况监督检查，重点清查整改规划未编制、新建住宅小区与配套养老服务设施“四同步”未落实、社区养老服务设施未达标、已建成养老服务设施未移交或未有效利用等问题。完善“四同步”工作规则，明确民政部门在“四同步”中的职责</w:t>
      </w:r>
      <w:r>
        <w:rPr>
          <w:color w:val="auto"/>
          <w:szCs w:val="32"/>
        </w:rPr>
        <w:t>。对存在配套养老服务设施缓建、缩建、停建、不建和建而不交等问题的，在整改到位之前建设单位不得组织竣工验收。在城市居住社区补短板和城镇老旧小区改造工作中统筹推进养老服务设施建设。老旧小区无养老服务设施或现有设施未达配建标准的，通过新建、政府回购、租赁、改造等方式因地制宜补足养老设施，并同步开展消防设施改造。制定住宅小区配建养老服务设施规划、建设、移交、管理工作实施方案。</w:t>
      </w:r>
    </w:p>
    <w:p>
      <w:pPr>
        <w:pStyle w:val="11"/>
        <w:widowControl w:val="0"/>
        <w:shd w:val="clear" w:color="auto" w:fill="FFFFFF"/>
        <w:spacing w:before="0" w:beforeAutospacing="0" w:after="0" w:afterAutospacing="0" w:line="578" w:lineRule="exact"/>
        <w:ind w:firstLine="640" w:firstLineChars="200"/>
        <w:jc w:val="both"/>
        <w:rPr>
          <w:ins w:id="10" w:author="陆离" w:date="2022-04-11T18:36:00Z"/>
          <w:rFonts w:ascii="Times New Roman" w:hAnsi="Times New Roman" w:eastAsia="楷体_GB2312" w:cs="Times New Roman"/>
          <w:color w:val="auto"/>
          <w:kern w:val="2"/>
          <w:sz w:val="32"/>
          <w:szCs w:val="32"/>
          <w:shd w:val="solid" w:color="FFFFFF" w:fill="auto"/>
        </w:rPr>
      </w:pPr>
      <w:r>
        <w:rPr>
          <w:rFonts w:ascii="Times New Roman" w:hAnsi="Times New Roman" w:eastAsia="楷体_GB2312" w:cs="Times New Roman"/>
          <w:color w:val="auto"/>
          <w:kern w:val="2"/>
          <w:sz w:val="32"/>
          <w:szCs w:val="32"/>
          <w:shd w:val="solid" w:color="FFFFFF" w:fill="auto"/>
        </w:rPr>
        <w:t>保障用地用房需求。</w:t>
      </w:r>
      <w:r>
        <w:rPr>
          <w:rFonts w:ascii="Times New Roman" w:hAnsi="Times New Roman" w:eastAsia="仿宋_GB2312" w:cs="Times New Roman"/>
          <w:color w:val="auto"/>
          <w:kern w:val="2"/>
          <w:sz w:val="32"/>
          <w:szCs w:val="32"/>
          <w:shd w:val="solid" w:color="FFFFFF" w:fill="auto"/>
        </w:rPr>
        <w:t>根据人口结构现状和老龄化发展趋势，因地制宜提出养老服务设施用地的规模、标准和布局。科学编制供地计划，分阶段供应规划确定的养老服务设施用地，并落实到年度建设用地供应计划，做到应保尽保。涉及新增建设用地的，在土地利用年度计划中优先予以安排。养老服务设施用地符合《划拨用地目录》的，可采取划拨方式供地。举办非营利性养老服务机构，可凭登记机关颁发的社会服务机构登记证书和其他法定材料申请划拨供地，自然资源规划部门要积极落实划拨用地政策。鼓励非营利性养老服务机构以租赁、出让等有偿使用方式取得国有建设用地使用权。对单独成宗供应的营利性养老服务设施用地，应当以租赁、先租后让、出让方式供应，鼓励优先以租赁、先租后让方式供应。支持利用集体建设用地发展养老服务设施，鼓励农村三产留地优先用于发展养老服务。存量商业服务用地等其他用地用于养老服务设施建设的，允许按照适老化设计要求调整户均面积、租赁期限、车位配比及消防审验等土地和规划要求。严禁擅自改变建设用地用途、容积率等规划设计条件，将养老服务设施用地用于房地产开发。</w:t>
      </w:r>
    </w:p>
    <w:p>
      <w:pPr>
        <w:pStyle w:val="11"/>
        <w:widowControl w:val="0"/>
        <w:shd w:val="clear" w:color="auto" w:fill="FFFFFF"/>
        <w:spacing w:before="0" w:beforeAutospacing="0" w:after="0" w:afterAutospacing="0" w:line="578" w:lineRule="exact"/>
        <w:ind w:firstLine="640" w:firstLineChars="200"/>
        <w:jc w:val="both"/>
        <w:rPr>
          <w:rFonts w:ascii="Times New Roman" w:hAnsi="Times New Roman" w:eastAsia="仿宋_GB2312" w:cs="Times New Roman"/>
          <w:color w:val="auto"/>
          <w:kern w:val="2"/>
          <w:sz w:val="32"/>
          <w:szCs w:val="32"/>
          <w:shd w:val="solid" w:color="FFFFFF" w:fill="auto"/>
        </w:rPr>
      </w:pPr>
      <w:r>
        <w:rPr>
          <w:rFonts w:ascii="Times New Roman" w:hAnsi="Times New Roman" w:eastAsia="楷体_GB2312" w:cs="Times New Roman"/>
          <w:color w:val="auto"/>
          <w:kern w:val="2"/>
          <w:sz w:val="32"/>
          <w:szCs w:val="32"/>
          <w:shd w:val="solid" w:color="FFFFFF" w:fill="auto"/>
        </w:rPr>
        <w:t>有效利用闲置资源</w:t>
      </w:r>
      <w:r>
        <w:rPr>
          <w:rFonts w:ascii="Times New Roman" w:hAnsi="Times New Roman" w:eastAsia="仿宋_GB2312" w:cs="Times New Roman"/>
          <w:color w:val="auto"/>
          <w:kern w:val="2"/>
          <w:sz w:val="32"/>
          <w:szCs w:val="32"/>
          <w:shd w:val="solid" w:color="FFFFFF" w:fill="auto"/>
        </w:rPr>
        <w:t>。全面清理两项改革后</w:t>
      </w:r>
      <w:r>
        <w:rPr>
          <w:rFonts w:hint="eastAsia" w:ascii="Times New Roman" w:hAnsi="Times New Roman" w:eastAsia="仿宋_GB2312" w:cs="Times New Roman"/>
          <w:color w:val="auto"/>
          <w:kern w:val="2"/>
          <w:sz w:val="32"/>
          <w:szCs w:val="32"/>
          <w:shd w:val="solid" w:color="FFFFFF" w:fill="auto"/>
          <w:lang w:eastAsia="zh-CN"/>
        </w:rPr>
        <w:t>乡</w:t>
      </w:r>
      <w:r>
        <w:rPr>
          <w:rFonts w:ascii="Times New Roman" w:hAnsi="Times New Roman" w:eastAsia="仿宋_GB2312" w:cs="Times New Roman"/>
          <w:color w:val="auto"/>
          <w:kern w:val="2"/>
          <w:sz w:val="32"/>
          <w:szCs w:val="32"/>
          <w:shd w:val="solid" w:color="FFFFFF" w:fill="auto"/>
        </w:rPr>
        <w:t>镇</w:t>
      </w:r>
      <w:r>
        <w:rPr>
          <w:rFonts w:hint="eastAsia" w:ascii="Times New Roman" w:hAnsi="Times New Roman" w:eastAsia="仿宋_GB2312" w:cs="Times New Roman"/>
          <w:color w:val="auto"/>
          <w:kern w:val="2"/>
          <w:sz w:val="32"/>
          <w:szCs w:val="32"/>
          <w:shd w:val="solid" w:color="FFFFFF" w:fill="auto"/>
          <w:lang w:eastAsia="zh-CN"/>
        </w:rPr>
        <w:t>（街道）</w:t>
      </w:r>
      <w:r>
        <w:rPr>
          <w:rFonts w:ascii="Times New Roman" w:hAnsi="Times New Roman" w:eastAsia="仿宋_GB2312" w:cs="Times New Roman"/>
          <w:color w:val="auto"/>
          <w:kern w:val="2"/>
          <w:sz w:val="32"/>
          <w:szCs w:val="32"/>
          <w:shd w:val="solid" w:color="FFFFFF" w:fill="auto"/>
        </w:rPr>
        <w:t>、村</w:t>
      </w:r>
      <w:r>
        <w:rPr>
          <w:rFonts w:hint="eastAsia" w:ascii="Times New Roman" w:hAnsi="Times New Roman" w:eastAsia="仿宋_GB2312" w:cs="Times New Roman"/>
          <w:color w:val="auto"/>
          <w:kern w:val="2"/>
          <w:sz w:val="32"/>
          <w:szCs w:val="32"/>
          <w:shd w:val="solid" w:color="FFFFFF" w:fill="auto"/>
          <w:lang w:eastAsia="zh-CN"/>
        </w:rPr>
        <w:t>（社区）</w:t>
      </w:r>
      <w:r>
        <w:rPr>
          <w:rFonts w:ascii="Times New Roman" w:hAnsi="Times New Roman" w:eastAsia="仿宋_GB2312" w:cs="Times New Roman"/>
          <w:color w:val="auto"/>
          <w:kern w:val="2"/>
          <w:sz w:val="32"/>
          <w:szCs w:val="32"/>
          <w:shd w:val="solid" w:color="FFFFFF" w:fill="auto"/>
        </w:rPr>
        <w:t>腾退的各类闲置用房，符合条件的优先用于养老服务设施。鼓励利用商业、办公、工业、仓储存量房屋以及社区用房等举办养老机构，符合条件的，可在5年内实行继续按土地原用途和权利类型使用土地的过渡期政策，过渡期后根据有关规定和具体情形办理相关手续。探索“两无偿一优先”发展社区养老设施，社区服务用房40%以上“无偿”用于养老服务，公建配套的养老服务设施“无偿”用于公益性养老服务，行政事业单位的闲置办公用房“优先”用于养老设施。凡利用建筑面积1000平方米以下的独栋建筑或内部楼层改造为养老服务设施的，在符合国家相关标准的前提下，可不出具近期动迁计划说明、临时改变建筑使用功能说明、环评审批文件或备案回执。对无法完整获得旧房历史资料的</w:t>
      </w:r>
      <w:r>
        <w:rPr>
          <w:rFonts w:ascii="Times New Roman" w:hAnsi="Times New Roman" w:eastAsia="仿宋_GB2312" w:cs="Times New Roman"/>
          <w:color w:val="auto"/>
          <w:spacing w:val="-10"/>
          <w:kern w:val="2"/>
          <w:sz w:val="32"/>
          <w:szCs w:val="32"/>
          <w:shd w:val="solid" w:color="FFFFFF" w:fill="auto"/>
        </w:rPr>
        <w:t>项目，可在委托房屋建筑结构安全性鉴定并满足安全条件后实施</w:t>
      </w:r>
      <w:r>
        <w:rPr>
          <w:rFonts w:ascii="Times New Roman" w:hAnsi="Times New Roman" w:eastAsia="仿宋_GB2312" w:cs="Times New Roman"/>
          <w:color w:val="auto"/>
          <w:kern w:val="2"/>
          <w:sz w:val="32"/>
          <w:szCs w:val="32"/>
          <w:shd w:val="solid" w:color="FFFFFF" w:fill="auto"/>
        </w:rPr>
        <w:t>。</w:t>
      </w:r>
    </w:p>
    <w:p>
      <w:pPr>
        <w:pStyle w:val="11"/>
        <w:widowControl w:val="0"/>
        <w:shd w:val="clear" w:color="auto" w:fill="FFFFFF"/>
        <w:spacing w:before="0" w:beforeAutospacing="0" w:after="0" w:afterAutospacing="0" w:line="578" w:lineRule="exact"/>
        <w:ind w:firstLine="640" w:firstLineChars="200"/>
        <w:jc w:val="both"/>
        <w:rPr>
          <w:rFonts w:ascii="Times New Roman" w:hAnsi="Times New Roman" w:eastAsia="仿宋_GB2312" w:cs="Times New Roman"/>
          <w:color w:val="auto"/>
          <w:kern w:val="2"/>
          <w:sz w:val="32"/>
          <w:szCs w:val="32"/>
          <w:shd w:val="solid" w:color="FFFFFF" w:fill="auto"/>
        </w:rPr>
      </w:pPr>
      <w:r>
        <w:rPr>
          <w:rFonts w:ascii="Times New Roman" w:hAnsi="Times New Roman" w:eastAsia="楷体_GB2312" w:cs="Times New Roman"/>
          <w:color w:val="auto"/>
          <w:kern w:val="2"/>
          <w:sz w:val="32"/>
          <w:szCs w:val="32"/>
          <w:shd w:val="solid" w:color="FFFFFF" w:fill="auto"/>
        </w:rPr>
        <w:t>推进“放管服”改革。</w:t>
      </w:r>
      <w:r>
        <w:rPr>
          <w:rFonts w:ascii="Times New Roman" w:hAnsi="Times New Roman" w:eastAsia="仿宋_GB2312" w:cs="Times New Roman"/>
          <w:color w:val="auto"/>
          <w:kern w:val="2"/>
          <w:sz w:val="32"/>
          <w:szCs w:val="32"/>
          <w:shd w:val="solid" w:color="FFFFFF" w:fill="auto"/>
        </w:rPr>
        <w:t>健全开放、竞争、公平、有序的养老服务市场，积极支持社会力量参与提供养老服务。完善养老机构备案办事指南，优化办事流程。推行养老机构登记备案“川渝通办”。及时公布养老服务扶持政策措施清单和投资指南。非营利性养老机构可在其登记管理机关管辖区域内设立多个不具备法人资格的服务网点，养老服务企业在同一行政管辖区增设营业场所可“一照多址”，对已在其他地方取得营业执照的企业，不得要求其在本地开展经营活动时必须设立子公司。</w:t>
      </w:r>
    </w:p>
    <w:p>
      <w:pPr>
        <w:pStyle w:val="11"/>
        <w:widowControl w:val="0"/>
        <w:shd w:val="clear" w:color="auto" w:fill="FFFFFF"/>
        <w:spacing w:before="0" w:beforeAutospacing="0" w:after="0" w:afterAutospacing="0" w:line="578" w:lineRule="exact"/>
        <w:ind w:firstLine="640" w:firstLineChars="200"/>
        <w:jc w:val="both"/>
        <w:rPr>
          <w:ins w:id="11" w:author="陆离" w:date="2022-04-11T18:37:00Z"/>
          <w:rFonts w:ascii="Times New Roman" w:hAnsi="Times New Roman" w:eastAsia="楷体_GB2312" w:cs="Times New Roman"/>
          <w:color w:val="auto"/>
          <w:kern w:val="2"/>
          <w:sz w:val="32"/>
          <w:szCs w:val="32"/>
          <w:shd w:val="solid" w:color="FFFFFF" w:fill="auto"/>
        </w:rPr>
      </w:pPr>
      <w:r>
        <w:rPr>
          <w:rFonts w:ascii="Times New Roman" w:hAnsi="Times New Roman" w:eastAsia="楷体_GB2312" w:cs="Times New Roman"/>
          <w:color w:val="auto"/>
          <w:kern w:val="2"/>
          <w:sz w:val="32"/>
          <w:szCs w:val="32"/>
          <w:shd w:val="solid" w:color="FFFFFF" w:fill="auto"/>
        </w:rPr>
        <w:t>完善财税扶持政策。</w:t>
      </w:r>
      <w:r>
        <w:rPr>
          <w:rFonts w:ascii="Times New Roman" w:hAnsi="Times New Roman" w:eastAsia="仿宋_GB2312" w:cs="Times New Roman"/>
          <w:color w:val="auto"/>
          <w:kern w:val="2"/>
          <w:sz w:val="32"/>
          <w:szCs w:val="32"/>
          <w:shd w:val="solid" w:color="FFFFFF" w:fill="auto"/>
        </w:rPr>
        <w:t>继续落实民办养老机构建设、运营补贴政策。通过补助投资、贷款贴息、运营补贴、购买服务等方式，支持社会力量举办养老机构开展养老服务。养老机构符合现行政策规定的，可享受小微企业、非营利性组织等财税优惠政策。对在社区提供日间照料、康复护理、助餐助行等服务的养老服务机构，按照《关于养老、托育、家政等社区家庭服务业税费优惠政策的公告》（财政部公告2019年第76号）规定，落实税费优惠政策。落实各项行政事业性收费减免政策，养老服务机构用电、用水、用气享受居民价格政策，不得以土地、房屋性质等为理由拒绝执行相关价格政策，因难以计量等操作性原因无法执行的，探索应用大数据等技术手段予以解决。医疗机构设立养老机构符合条件的，享受相关扶持政策措施。</w:t>
      </w:r>
    </w:p>
    <w:p>
      <w:pPr>
        <w:pStyle w:val="11"/>
        <w:widowControl w:val="0"/>
        <w:shd w:val="clear" w:color="auto" w:fill="FFFFFF"/>
        <w:spacing w:before="0" w:beforeAutospacing="0" w:after="0" w:afterAutospacing="0" w:line="578" w:lineRule="exact"/>
        <w:ind w:firstLine="640" w:firstLineChars="200"/>
        <w:jc w:val="both"/>
        <w:rPr>
          <w:rFonts w:ascii="Times New Roman" w:hAnsi="Times New Roman" w:eastAsia="仿宋_GB2312" w:cs="Times New Roman"/>
          <w:color w:val="auto"/>
          <w:kern w:val="2"/>
          <w:sz w:val="32"/>
          <w:szCs w:val="32"/>
          <w:shd w:val="solid" w:color="FFFFFF" w:fill="auto"/>
        </w:rPr>
      </w:pPr>
      <w:r>
        <w:rPr>
          <w:rFonts w:ascii="Times New Roman" w:hAnsi="Times New Roman" w:eastAsia="楷体_GB2312" w:cs="Times New Roman"/>
          <w:color w:val="auto"/>
          <w:kern w:val="2"/>
          <w:sz w:val="32"/>
          <w:szCs w:val="32"/>
          <w:shd w:val="solid" w:color="FFFFFF" w:fill="auto"/>
        </w:rPr>
        <w:t>发展商业养老保险。</w:t>
      </w:r>
      <w:r>
        <w:rPr>
          <w:rFonts w:ascii="Times New Roman" w:hAnsi="Times New Roman" w:eastAsia="仿宋_GB2312" w:cs="Times New Roman"/>
          <w:color w:val="auto"/>
          <w:kern w:val="2"/>
          <w:sz w:val="32"/>
          <w:szCs w:val="32"/>
          <w:shd w:val="solid" w:color="FFFFFF" w:fill="auto"/>
        </w:rPr>
        <w:t>鼓励商业保险公司发展满足长期养老需求的养老保障管理业务，开发符合养老服务机构、养老服务人员和老年人特点的险种。鼓励养老机构投保养老机构责任险。鼓励养老服务人员投保职业责任险、意外伤害险。鼓励老年人投保意外伤害险、疾病健康险等险种。</w:t>
      </w:r>
    </w:p>
    <w:p>
      <w:pPr>
        <w:pStyle w:val="11"/>
        <w:widowControl w:val="0"/>
        <w:shd w:val="clear" w:color="auto" w:fill="FFFFFF"/>
        <w:spacing w:before="0" w:beforeAutospacing="0" w:after="0" w:afterAutospacing="0" w:line="578" w:lineRule="exact"/>
        <w:ind w:firstLine="640" w:firstLineChars="200"/>
        <w:jc w:val="both"/>
        <w:rPr>
          <w:rFonts w:ascii="Times New Roman" w:hAnsi="Times New Roman" w:eastAsia="仿宋_GB2312" w:cs="Times New Roman"/>
          <w:color w:val="auto"/>
          <w:kern w:val="2"/>
          <w:sz w:val="32"/>
          <w:szCs w:val="32"/>
          <w:shd w:val="solid" w:color="FFFFFF" w:fill="auto"/>
        </w:rPr>
      </w:pPr>
      <w:r>
        <w:rPr>
          <w:rFonts w:ascii="Times New Roman" w:hAnsi="Times New Roman" w:eastAsia="楷体_GB2312" w:cs="Times New Roman"/>
          <w:color w:val="auto"/>
          <w:kern w:val="2"/>
          <w:sz w:val="32"/>
          <w:szCs w:val="32"/>
          <w:shd w:val="solid" w:color="FFFFFF" w:fill="auto"/>
        </w:rPr>
        <w:t>加大金融支持。</w:t>
      </w:r>
      <w:r>
        <w:rPr>
          <w:rFonts w:ascii="Times New Roman" w:hAnsi="Times New Roman" w:eastAsia="仿宋_GB2312" w:cs="Times New Roman"/>
          <w:color w:val="auto"/>
          <w:kern w:val="2"/>
          <w:sz w:val="32"/>
          <w:szCs w:val="32"/>
          <w:shd w:val="solid" w:color="FFFFFF" w:fill="auto"/>
        </w:rPr>
        <w:t>鼓励商业银行向产权明晰的民办养老服务机构发放资产（设施）抵押贷款和应收账款质押贷款，允许营利性养老机构以有偿取得的土地、设施等资产进行抵押融资。落实创业担保贷款政策，鼓励金融机构参照贷款基础利率，合理确定贷款利率水平。对建设周期长、现金流稳定的养老服务项目，鼓励银行业金融机构适当延长贷款期限，灵活采取循环贷款、年审制、分期分段式等多种还款方式。支持符合条件的市场化、规范化程度高的养老服务企业进行股权或债券融资。养老服务机构融资过程中，金融机构不得违规收取手续费、评估费、承诺费、资金管理费等。</w:t>
      </w:r>
    </w:p>
    <w:p>
      <w:pPr>
        <w:autoSpaceDN w:val="0"/>
        <w:spacing w:line="578" w:lineRule="exact"/>
        <w:jc w:val="center"/>
        <w:rPr>
          <w:rFonts w:eastAsia="黑体"/>
          <w:bCs/>
          <w:color w:val="auto"/>
          <w:szCs w:val="32"/>
        </w:rPr>
      </w:pPr>
      <w:r>
        <w:rPr>
          <w:rFonts w:eastAsia="黑体"/>
          <w:bCs/>
          <w:color w:val="auto"/>
          <w:szCs w:val="32"/>
        </w:rPr>
        <w:t>第九节  健全养老服务综合监管体系</w:t>
      </w:r>
    </w:p>
    <w:p>
      <w:pPr>
        <w:autoSpaceDN w:val="0"/>
        <w:spacing w:line="578" w:lineRule="exact"/>
        <w:ind w:firstLine="640" w:firstLineChars="200"/>
        <w:rPr>
          <w:color w:val="auto"/>
          <w:szCs w:val="32"/>
        </w:rPr>
      </w:pPr>
      <w:r>
        <w:rPr>
          <w:rFonts w:eastAsia="楷体_GB2312"/>
          <w:color w:val="auto"/>
          <w:szCs w:val="32"/>
        </w:rPr>
        <w:t>强化信用体系建设。</w:t>
      </w:r>
      <w:r>
        <w:rPr>
          <w:color w:val="auto"/>
          <w:szCs w:val="32"/>
        </w:rPr>
        <w:t>建立健全养老服务机构备案信用承诺制度，备案申请人书面承诺养老</w:t>
      </w:r>
      <w:r>
        <w:rPr>
          <w:rFonts w:hint="eastAsia"/>
          <w:color w:val="auto"/>
          <w:szCs w:val="32"/>
          <w:lang w:val="en-US" w:eastAsia="zh-CN"/>
        </w:rPr>
        <w:t>服务</w:t>
      </w:r>
      <w:r>
        <w:rPr>
          <w:color w:val="auto"/>
          <w:szCs w:val="32"/>
        </w:rPr>
        <w:t>机构按照有关法律法规和国家标准开展活动，书面承诺向社会公开，履约情况记入信用记录。贯彻实施《养老服务市场失信联合惩戒对象名单管理办法（试行）》，对养老服务机构、养老服务人员建立信用档案，完善养老服务失信企业及主要负责人退出机制，实现养老服务信息平台与公共信用信息平台的信用信息对接，实施失信联合惩戒。建立养老服务失信提示、警示约谈制度，依法依规向社会公开共享各类养老服务主体失信信息。建立养老服务市场主体信用记录，实现对养老服务违法行为信息的及时披露。制定“履职照单免责、失职照单问责”的养老服务信用责任清单，加大对违规行为的查处惩戒力度。对严重危害老年人生命财产安全、严重破坏养老服务市场公平竞争秩序的失信行为，依法依规予以惩处。</w:t>
      </w:r>
    </w:p>
    <w:p>
      <w:pPr>
        <w:autoSpaceDN w:val="0"/>
        <w:spacing w:line="578" w:lineRule="exact"/>
        <w:ind w:firstLine="640" w:firstLineChars="200"/>
        <w:rPr>
          <w:color w:val="auto"/>
          <w:szCs w:val="32"/>
        </w:rPr>
      </w:pPr>
      <w:r>
        <w:rPr>
          <w:rFonts w:eastAsia="楷体_GB2312"/>
          <w:color w:val="auto"/>
          <w:szCs w:val="32"/>
        </w:rPr>
        <w:t>深入推进协同监管。</w:t>
      </w:r>
      <w:r>
        <w:rPr>
          <w:color w:val="auto"/>
          <w:szCs w:val="32"/>
        </w:rPr>
        <w:t>建立综合监管、专业监管、信用监管、行业自律互为支撑的全方位监管体系，健全</w:t>
      </w:r>
      <w:r>
        <w:rPr>
          <w:color w:val="auto"/>
          <w:szCs w:val="32"/>
          <w:shd w:val="solid" w:color="FFFFFF" w:fill="auto"/>
        </w:rPr>
        <w:t>各司其职、各尽其责的跨部门协同监管机制，完善事中事后监管制度。健全“双随机、一公开”工作机制，加大对违规行为的查处惩戒力度。强化</w:t>
      </w:r>
      <w:r>
        <w:rPr>
          <w:color w:val="auto"/>
          <w:szCs w:val="32"/>
        </w:rPr>
        <w:t>“互联网+监管”运用，</w:t>
      </w:r>
      <w:r>
        <w:rPr>
          <w:color w:val="auto"/>
          <w:szCs w:val="32"/>
          <w:shd w:val="solid" w:color="FFFFFF" w:fill="auto"/>
        </w:rPr>
        <w:t>提升监管信息化水平</w:t>
      </w:r>
      <w:r>
        <w:rPr>
          <w:color w:val="auto"/>
          <w:szCs w:val="32"/>
        </w:rPr>
        <w:t>。健全完善养老服务机构风险隐患主动发现通报机制。制定养老服务综合监管赋权清单，明确监管职责、监管依据、监管流程和监管事项，各相关部门根据职责分工依法履行监管职责，实行清单式监管。建立监管结果与等级评定、补贴、政府购买服务以及行业准入退出等挂钩的联动机制。依法打击无证无照从事养老服务行为。完善养老服务机构</w:t>
      </w:r>
      <w:r>
        <w:rPr>
          <w:rFonts w:hint="eastAsia"/>
          <w:color w:val="auto"/>
          <w:szCs w:val="32"/>
          <w:lang w:eastAsia="zh-CN"/>
        </w:rPr>
        <w:t>退出</w:t>
      </w:r>
      <w:r>
        <w:rPr>
          <w:color w:val="auto"/>
          <w:szCs w:val="32"/>
        </w:rPr>
        <w:t>机制，指导退出机构妥善做好老年人服务协议解除、安置等工作，建立健全养老服务机构关停等特殊情况应急处置机制。对建设、销售以老年人为主要居住群体的住宅或居住小区，要坚持以服务为本的功能定位，建立监管机制，落实信用承诺，强化日常监管，确保经营健康稳定可持续，严禁以养老之名“跑马圈地”。</w:t>
      </w:r>
    </w:p>
    <w:p>
      <w:pPr>
        <w:autoSpaceDN w:val="0"/>
        <w:spacing w:line="578" w:lineRule="exact"/>
        <w:ind w:firstLine="640" w:firstLineChars="200"/>
        <w:rPr>
          <w:color w:val="auto"/>
          <w:szCs w:val="32"/>
        </w:rPr>
      </w:pPr>
      <w:r>
        <w:rPr>
          <w:rFonts w:eastAsia="楷体_GB2312"/>
          <w:color w:val="auto"/>
          <w:szCs w:val="32"/>
        </w:rPr>
        <w:t>规范运营服务行为。</w:t>
      </w:r>
      <w:r>
        <w:rPr>
          <w:color w:val="auto"/>
          <w:szCs w:val="32"/>
        </w:rPr>
        <w:t>指导养老服务机构优化内部管理，规范服务行为，按规定配置视频监控设施。加强对养老服务机构申领使用政府提供的建设运营补贴等资金的监督管理。加大对养老服务机构中纳入医保协议管理的内设定点医疗机构使用医保基金的监督管理力度，依法打击欺诈骗保行为，保障医保基金安全。加强养老机构预收服务费管理。对养老机构为弥补设施建设资金不足，通过销售预付费性质“会员卡”等形式进行营销的，按照包容审慎监管原则，明确限制性条件，采取商业银行第三方存管方式确保资金安全。加大对以养老服务为名非法集资的风险排查力度，做好政策宣传和风险提示，依法打击养老服务机构以养老服务为名的非法集资活动。严禁利用养老服务设施和场地开展与养老服务无关的活动。</w:t>
      </w:r>
    </w:p>
    <w:p>
      <w:pPr>
        <w:autoSpaceDN w:val="0"/>
        <w:spacing w:line="578" w:lineRule="exact"/>
        <w:ind w:firstLine="640" w:firstLineChars="200"/>
        <w:rPr>
          <w:color w:val="auto"/>
          <w:szCs w:val="32"/>
        </w:rPr>
      </w:pPr>
      <w:bookmarkStart w:id="31" w:name="_Toc16360"/>
      <w:r>
        <w:rPr>
          <w:rFonts w:eastAsia="楷体_GB2312"/>
          <w:color w:val="auto"/>
          <w:szCs w:val="32"/>
        </w:rPr>
        <w:t>提升应急救援能力</w:t>
      </w:r>
      <w:bookmarkEnd w:id="31"/>
      <w:bookmarkStart w:id="32" w:name="_Toc87021154"/>
      <w:bookmarkStart w:id="33" w:name="_Toc86850803"/>
      <w:bookmarkStart w:id="34" w:name="_Toc86753588"/>
      <w:bookmarkStart w:id="35" w:name="_Toc86752330"/>
      <w:bookmarkStart w:id="36" w:name="_Toc86753801"/>
      <w:r>
        <w:rPr>
          <w:rFonts w:eastAsia="楷体_GB2312"/>
          <w:color w:val="auto"/>
          <w:szCs w:val="32"/>
        </w:rPr>
        <w:t>。</w:t>
      </w:r>
      <w:r>
        <w:rPr>
          <w:color w:val="auto"/>
          <w:szCs w:val="32"/>
        </w:rPr>
        <w:t>督促指导养老机构制订自然灾害、事故灾难、公共卫生和社会安全等突发公共事件预案，配备必要的应急防护物资、隔离设施，培养培训养老服务应急队伍，定期开展应急演练。加强养老服务人员应急能力培训，将消防安全、疫情防控、避灾避险、应急处置等课程纳入培训范围。加强风险处置和危机应对宣传培训和演练，提升老年人和养老服务从业人员的危机意识和应急能力。依托特困人员供养服务设施建立养老应急救援中心，加强县、乡</w:t>
      </w:r>
      <w:r>
        <w:rPr>
          <w:rFonts w:hint="eastAsia"/>
          <w:color w:val="auto"/>
          <w:szCs w:val="32"/>
          <w:lang w:eastAsia="zh-CN"/>
        </w:rPr>
        <w:t>两</w:t>
      </w:r>
      <w:r>
        <w:rPr>
          <w:color w:val="auto"/>
          <w:szCs w:val="32"/>
        </w:rPr>
        <w:t>级养老服务应急能力建设，构建“分层分类、平战结合、高效协作”的应急救援体系。</w:t>
      </w:r>
    </w:p>
    <w:p>
      <w:pPr>
        <w:pStyle w:val="17"/>
        <w:spacing w:line="578" w:lineRule="exact"/>
        <w:rPr>
          <w:rFonts w:ascii="Times New Roman" w:hAnsi="Times New Roman" w:eastAsia="仿宋_GB2312" w:cs="Times New Roman"/>
          <w:color w:val="auto"/>
        </w:rPr>
      </w:pPr>
      <w:r>
        <w:rPr>
          <w:rFonts w:ascii="Times New Roman" w:hAnsi="Times New Roman" w:eastAsia="楷体_GB2312" w:cs="Times New Roman"/>
          <w:color w:val="auto"/>
        </w:rPr>
        <w:t>压实机构主体责任。</w:t>
      </w:r>
      <w:r>
        <w:rPr>
          <w:rFonts w:ascii="Times New Roman" w:hAnsi="Times New Roman" w:eastAsia="仿宋_GB2312" w:cs="Times New Roman"/>
          <w:color w:val="auto"/>
        </w:rPr>
        <w:t>养老服务机构对依法登记、备案承诺、履约服务、应急管理、质量安全、消防安全、食品安全等事项承担主体责任，主要负责人是第一责任人。养老服务机构应当建立健全内部管理机制，不断提高养老服务、安全管理、风险防控、纠纷解决的能力和水平。</w:t>
      </w:r>
    </w:p>
    <w:bookmarkEnd w:id="32"/>
    <w:bookmarkEnd w:id="33"/>
    <w:bookmarkEnd w:id="34"/>
    <w:bookmarkEnd w:id="35"/>
    <w:bookmarkEnd w:id="36"/>
    <w:p>
      <w:pPr>
        <w:pStyle w:val="5"/>
        <w:spacing w:line="578" w:lineRule="exact"/>
        <w:textAlignment w:val="baseline"/>
        <w:rPr>
          <w:rFonts w:eastAsia="方正小标宋简体"/>
          <w:color w:val="auto"/>
          <w:sz w:val="44"/>
          <w:szCs w:val="44"/>
        </w:rPr>
      </w:pPr>
      <w:r>
        <w:rPr>
          <w:color w:val="auto"/>
        </w:rPr>
        <w:br w:type="column"/>
      </w:r>
      <w:r>
        <w:rPr>
          <w:rFonts w:eastAsia="方正小标宋简体"/>
          <w:color w:val="auto"/>
          <w:sz w:val="44"/>
          <w:szCs w:val="44"/>
        </w:rPr>
        <w:t>第四章  保障措施</w:t>
      </w:r>
    </w:p>
    <w:p>
      <w:pPr>
        <w:pStyle w:val="5"/>
        <w:spacing w:line="578" w:lineRule="exact"/>
        <w:textAlignment w:val="baseline"/>
        <w:rPr>
          <w:rFonts w:eastAsia="仿宋_GB2312"/>
          <w:color w:val="auto"/>
          <w:sz w:val="32"/>
          <w:szCs w:val="32"/>
        </w:rPr>
      </w:pPr>
    </w:p>
    <w:p>
      <w:pPr>
        <w:autoSpaceDN w:val="0"/>
        <w:spacing w:line="578" w:lineRule="exact"/>
        <w:jc w:val="center"/>
        <w:textAlignment w:val="baseline"/>
        <w:rPr>
          <w:rFonts w:eastAsia="黑体"/>
          <w:color w:val="auto"/>
          <w:szCs w:val="32"/>
        </w:rPr>
      </w:pPr>
      <w:r>
        <w:rPr>
          <w:rFonts w:eastAsia="黑体"/>
          <w:color w:val="auto"/>
          <w:szCs w:val="32"/>
        </w:rPr>
        <w:t>第一节  强化组织领导</w:t>
      </w:r>
    </w:p>
    <w:p>
      <w:pPr>
        <w:autoSpaceDE w:val="0"/>
        <w:autoSpaceDN w:val="0"/>
        <w:spacing w:line="578" w:lineRule="exact"/>
        <w:ind w:firstLine="640"/>
        <w:textAlignment w:val="baseline"/>
        <w:rPr>
          <w:color w:val="auto"/>
          <w:szCs w:val="32"/>
        </w:rPr>
      </w:pPr>
      <w:r>
        <w:rPr>
          <w:rFonts w:eastAsia="仿宋_GB2312"/>
          <w:bCs/>
          <w:color w:val="auto"/>
          <w:spacing w:val="0"/>
          <w:szCs w:val="32"/>
        </w:rPr>
        <w:t>把党的领导贯穿到养老服务业发展全过程。</w:t>
      </w:r>
      <w:r>
        <w:rPr>
          <w:bCs/>
          <w:color w:val="auto"/>
          <w:szCs w:val="32"/>
        </w:rPr>
        <w:t>强化政府落实规划的主体责任，加强对规划实施的组织、协调和督导，将规划主要任务指标纳入经济社会发展规划，纳入为民办实事项目，纳入政府工作议事日程和目标责任考核内容。</w:t>
      </w:r>
      <w:r>
        <w:rPr>
          <w:color w:val="auto"/>
          <w:szCs w:val="32"/>
        </w:rPr>
        <w:t>加强县、乡镇（街道）</w:t>
      </w:r>
      <w:r>
        <w:rPr>
          <w:rFonts w:hint="eastAsia"/>
          <w:color w:val="auto"/>
          <w:szCs w:val="32"/>
          <w:lang w:eastAsia="zh-CN"/>
        </w:rPr>
        <w:t>两</w:t>
      </w:r>
      <w:r>
        <w:rPr>
          <w:color w:val="auto"/>
          <w:szCs w:val="32"/>
        </w:rPr>
        <w:t>级工作衔接。</w:t>
      </w:r>
      <w:r>
        <w:rPr>
          <w:rFonts w:hint="eastAsia"/>
          <w:color w:val="auto"/>
          <w:szCs w:val="32"/>
          <w:lang w:val="en-US" w:eastAsia="zh-CN"/>
        </w:rPr>
        <w:t>要</w:t>
      </w:r>
      <w:r>
        <w:rPr>
          <w:color w:val="auto"/>
          <w:szCs w:val="32"/>
        </w:rPr>
        <w:t>建立养老服务联席会议制度，加强工作领导，明确职责分工，形成统筹推进、各负其责、上下联动的工作格局。强化县民政</w:t>
      </w:r>
      <w:r>
        <w:rPr>
          <w:rFonts w:hint="eastAsia"/>
          <w:color w:val="auto"/>
          <w:szCs w:val="32"/>
          <w:lang w:eastAsia="zh-CN"/>
        </w:rPr>
        <w:t>局</w:t>
      </w:r>
      <w:r>
        <w:rPr>
          <w:color w:val="auto"/>
          <w:szCs w:val="32"/>
        </w:rPr>
        <w:t>的牵头责任以及各有关部门的主体责任，围绕规划目标，加强配套制度建设，强化制度对规划实施的保障支撑作用。要把养老服务作为一项基础性、综合性工作，建立健全养老服务工作机构，充实工作力量，结合政府购买基层公共管理和社会服务，在乡镇（街道）、村（社区）开发一批为老服务岗位，着力提升基层经办能力，确保养老服务管理服务工作落实到位。</w:t>
      </w:r>
    </w:p>
    <w:p>
      <w:pPr>
        <w:pStyle w:val="5"/>
        <w:spacing w:line="578" w:lineRule="exact"/>
        <w:ind w:firstLine="640"/>
        <w:textAlignment w:val="baseline"/>
        <w:rPr>
          <w:rFonts w:eastAsia="仿宋_GB2312"/>
          <w:color w:val="auto"/>
          <w:sz w:val="32"/>
          <w:szCs w:val="32"/>
        </w:rPr>
      </w:pPr>
    </w:p>
    <w:p>
      <w:pPr>
        <w:autoSpaceDN w:val="0"/>
        <w:spacing w:line="578" w:lineRule="exact"/>
        <w:jc w:val="center"/>
        <w:textAlignment w:val="baseline"/>
        <w:rPr>
          <w:rFonts w:eastAsia="黑体"/>
          <w:color w:val="auto"/>
          <w:szCs w:val="32"/>
        </w:rPr>
      </w:pPr>
      <w:r>
        <w:rPr>
          <w:rFonts w:eastAsia="黑体"/>
          <w:color w:val="auto"/>
          <w:szCs w:val="32"/>
        </w:rPr>
        <w:t>第二节  强化资金保障</w:t>
      </w:r>
    </w:p>
    <w:p>
      <w:pPr>
        <w:autoSpaceDN w:val="0"/>
        <w:spacing w:line="578" w:lineRule="exact"/>
        <w:ind w:firstLine="640"/>
        <w:textAlignment w:val="baseline"/>
        <w:rPr>
          <w:color w:val="auto"/>
          <w:szCs w:val="32"/>
        </w:rPr>
      </w:pPr>
      <w:r>
        <w:rPr>
          <w:rFonts w:eastAsia="仿宋_GB2312"/>
          <w:bCs/>
          <w:color w:val="auto"/>
          <w:szCs w:val="32"/>
        </w:rPr>
        <w:t>根据经济社会发展水平和财力水平，逐步增加养老服务投入。</w:t>
      </w:r>
      <w:r>
        <w:rPr>
          <w:bCs/>
          <w:color w:val="auto"/>
          <w:szCs w:val="32"/>
          <w:shd w:val="solid" w:color="FFFFFF" w:fill="auto"/>
        </w:rPr>
        <w:t>设立养老服务</w:t>
      </w:r>
      <w:r>
        <w:rPr>
          <w:color w:val="auto"/>
          <w:szCs w:val="32"/>
          <w:shd w:val="solid" w:color="FFFFFF" w:fill="auto"/>
        </w:rPr>
        <w:t>发展专项资金。县财政按照支出责任将</w:t>
      </w:r>
      <w:r>
        <w:rPr>
          <w:color w:val="auto"/>
          <w:szCs w:val="32"/>
        </w:rPr>
        <w:t>养老服务发展所需资金足额纳入年度财政预算</w:t>
      </w:r>
      <w:r>
        <w:rPr>
          <w:color w:val="auto"/>
          <w:szCs w:val="32"/>
          <w:shd w:val="solid" w:color="FFFFFF" w:fill="auto"/>
        </w:rPr>
        <w:t>。用于社会福利事业的彩票公益金要加大倾斜力度，自2022年起将不低于55%的资金用于支持发展养老服务</w:t>
      </w:r>
      <w:r>
        <w:rPr>
          <w:color w:val="auto"/>
          <w:szCs w:val="32"/>
        </w:rPr>
        <w:t>。加大政府购买养老服务力度，完善政府购买服务标准。</w:t>
      </w:r>
      <w:r>
        <w:rPr>
          <w:rFonts w:hint="eastAsia"/>
          <w:color w:val="auto"/>
          <w:szCs w:val="32"/>
          <w:lang w:val="en-US" w:eastAsia="zh-CN"/>
        </w:rPr>
        <w:t>在</w:t>
      </w:r>
      <w:r>
        <w:rPr>
          <w:color w:val="auto"/>
          <w:szCs w:val="32"/>
        </w:rPr>
        <w:t>养老服务设施建设中</w:t>
      </w:r>
      <w:r>
        <w:rPr>
          <w:rFonts w:hint="eastAsia"/>
          <w:color w:val="auto"/>
          <w:szCs w:val="32"/>
          <w:lang w:val="en-US" w:eastAsia="zh-CN"/>
        </w:rPr>
        <w:t>通盘</w:t>
      </w:r>
      <w:r>
        <w:rPr>
          <w:color w:val="auto"/>
          <w:szCs w:val="32"/>
        </w:rPr>
        <w:t>考虑运营问题，确保后续发展可持续。完善对基本养老服务补需方与补供方相结合的财力补贴机制，带动社会有效投资。健全养老服务资金及时拨付、安全监管机制，确保资金使用规范、安全有效。积极引导社会资本、慈善资金投入养老服务领域。鼓励利用政府专项债券支持政府投资的养老服务基础设施建设项目。</w:t>
      </w:r>
    </w:p>
    <w:p>
      <w:pPr>
        <w:pStyle w:val="5"/>
        <w:spacing w:line="578" w:lineRule="exact"/>
        <w:ind w:firstLine="640"/>
        <w:textAlignment w:val="baseline"/>
        <w:rPr>
          <w:rFonts w:eastAsia="仿宋_GB2312"/>
          <w:color w:val="auto"/>
          <w:sz w:val="32"/>
          <w:szCs w:val="32"/>
        </w:rPr>
      </w:pPr>
    </w:p>
    <w:p>
      <w:pPr>
        <w:autoSpaceDN w:val="0"/>
        <w:spacing w:line="578" w:lineRule="exact"/>
        <w:jc w:val="center"/>
        <w:textAlignment w:val="baseline"/>
        <w:rPr>
          <w:rFonts w:eastAsia="黑体"/>
          <w:color w:val="auto"/>
          <w:szCs w:val="32"/>
        </w:rPr>
      </w:pPr>
      <w:r>
        <w:rPr>
          <w:rFonts w:eastAsia="黑体"/>
          <w:color w:val="auto"/>
          <w:szCs w:val="32"/>
        </w:rPr>
        <w:t>第三节  深化改革创新</w:t>
      </w:r>
    </w:p>
    <w:p>
      <w:pPr>
        <w:autoSpaceDN w:val="0"/>
        <w:spacing w:line="578" w:lineRule="exact"/>
        <w:ind w:firstLine="640"/>
        <w:textAlignment w:val="baseline"/>
        <w:rPr>
          <w:color w:val="auto"/>
          <w:szCs w:val="32"/>
        </w:rPr>
      </w:pPr>
      <w:r>
        <w:rPr>
          <w:rFonts w:eastAsia="仿宋_GB2312"/>
          <w:bCs/>
          <w:color w:val="auto"/>
          <w:szCs w:val="32"/>
        </w:rPr>
        <w:t>探索建立“党建+养老服务”工作机制</w:t>
      </w:r>
      <w:r>
        <w:rPr>
          <w:bCs/>
          <w:color w:val="auto"/>
          <w:szCs w:val="32"/>
        </w:rPr>
        <w:t>。督促符合条件的养老服务机构按照应建尽建原则</w:t>
      </w:r>
      <w:r>
        <w:rPr>
          <w:color w:val="auto"/>
          <w:szCs w:val="32"/>
        </w:rPr>
        <w:t>及时建立党组织，实现党组织和党的工作全覆盖，充分发挥基层党组织战斗堡垒作用和党员先锋模范作用。聚焦养老服务发展的重点、难点、痛点、风险点，破解发展难题，打造亮点特色。以整体解决县域养老问题为目标，统筹要素资源，强化改革集成，打造一批县域养老服务示范点。开展居家社区养老服务提升工程。鼓励创新养老服务体制机制，探索可复制、可推广的经验做法。</w:t>
      </w:r>
    </w:p>
    <w:p>
      <w:pPr>
        <w:pStyle w:val="5"/>
        <w:spacing w:line="578" w:lineRule="exact"/>
        <w:ind w:firstLine="640"/>
        <w:textAlignment w:val="baseline"/>
        <w:rPr>
          <w:rFonts w:eastAsia="仿宋_GB2312"/>
          <w:color w:val="auto"/>
          <w:sz w:val="32"/>
          <w:szCs w:val="32"/>
        </w:rPr>
      </w:pPr>
    </w:p>
    <w:p>
      <w:pPr>
        <w:autoSpaceDN w:val="0"/>
        <w:spacing w:line="578" w:lineRule="exact"/>
        <w:jc w:val="center"/>
        <w:textAlignment w:val="baseline"/>
        <w:rPr>
          <w:rFonts w:eastAsia="黑体"/>
          <w:color w:val="auto"/>
          <w:szCs w:val="32"/>
        </w:rPr>
      </w:pPr>
      <w:r>
        <w:rPr>
          <w:rFonts w:eastAsia="黑体"/>
          <w:color w:val="auto"/>
          <w:szCs w:val="32"/>
        </w:rPr>
        <w:t>第四节  强化监测评估</w:t>
      </w:r>
    </w:p>
    <w:p>
      <w:pPr>
        <w:shd w:val="solid" w:color="FFFFFF" w:fill="auto"/>
        <w:autoSpaceDN w:val="0"/>
        <w:spacing w:line="578" w:lineRule="exact"/>
        <w:ind w:firstLine="640"/>
        <w:textAlignment w:val="baseline"/>
        <w:rPr>
          <w:ins w:id="12" w:author="陆离" w:date="2022-04-11T18:55:00Z"/>
          <w:bCs/>
          <w:color w:val="auto"/>
          <w:szCs w:val="32"/>
        </w:rPr>
      </w:pPr>
      <w:r>
        <w:rPr>
          <w:rFonts w:eastAsia="仿宋_GB2312"/>
          <w:bCs/>
          <w:color w:val="auto"/>
          <w:szCs w:val="32"/>
        </w:rPr>
        <w:t>建立养老服务监测分析与发展评价机制，完善养老服务统计分类标准，加强统计监测</w:t>
      </w:r>
      <w:r>
        <w:rPr>
          <w:bCs/>
          <w:color w:val="auto"/>
          <w:szCs w:val="32"/>
        </w:rPr>
        <w:t>。各有关部门要按照本规划要求，细化工作要求，量化相关指标，加强督促检查，推进任务落实，确保责任到位、工作到位、投入到位、见到实效。建立健全第三方评估机制。</w:t>
      </w:r>
      <w:r>
        <w:rPr>
          <w:rFonts w:hint="eastAsia"/>
          <w:bCs/>
          <w:color w:val="auto"/>
          <w:szCs w:val="32"/>
          <w:lang w:eastAsia="zh-CN"/>
        </w:rPr>
        <w:t>县</w:t>
      </w:r>
      <w:r>
        <w:rPr>
          <w:bCs/>
          <w:color w:val="auto"/>
          <w:szCs w:val="32"/>
        </w:rPr>
        <w:t>民政局组织开展规划实施情况动态监测、中期评估和总结评估，推动规划实施。</w:t>
      </w:r>
    </w:p>
    <w:p>
      <w:pPr>
        <w:pStyle w:val="2"/>
        <w:shd w:val="solid" w:color="FFFFFF" w:fill="auto"/>
        <w:autoSpaceDN w:val="0"/>
        <w:spacing w:line="578" w:lineRule="exact"/>
        <w:ind w:firstLine="640"/>
        <w:textAlignment w:val="baseline"/>
        <w:rPr>
          <w:rFonts w:ascii="Times New Roman" w:hAnsi="Times New Roman" w:cs="Times New Roman"/>
          <w:color w:val="auto"/>
          <w:szCs w:val="24"/>
        </w:rPr>
      </w:pPr>
    </w:p>
    <w:p>
      <w:pPr>
        <w:pStyle w:val="17"/>
        <w:spacing w:line="578" w:lineRule="exact"/>
        <w:ind w:firstLine="616" w:firstLineChars="200"/>
        <w:jc w:val="both"/>
        <w:rPr>
          <w:ins w:id="13" w:author="陆离" w:date="2022-04-11T18:55:00Z"/>
          <w:rFonts w:ascii="Times New Roman" w:hAnsi="Times New Roman" w:eastAsia="仿宋_GB2312" w:cs="Times New Roman"/>
          <w:bCs/>
          <w:color w:val="auto"/>
          <w:spacing w:val="-6"/>
          <w:sz w:val="32"/>
          <w:szCs w:val="32"/>
        </w:rPr>
      </w:pPr>
      <w:r>
        <w:rPr>
          <w:rFonts w:hint="eastAsia" w:ascii="Times New Roman" w:hAnsi="Times New Roman" w:eastAsia="仿宋_GB2312" w:cs="Times New Roman"/>
          <w:bCs/>
          <w:color w:val="auto"/>
          <w:spacing w:val="-6"/>
          <w:lang w:val="en-US" w:eastAsia="zh-CN"/>
        </w:rPr>
        <w:t>附件：</w:t>
      </w:r>
      <w:r>
        <w:rPr>
          <w:rFonts w:hint="eastAsia" w:ascii="Times New Roman" w:hAnsi="Times New Roman" w:eastAsia="仿宋_GB2312" w:cs="Times New Roman"/>
          <w:bCs/>
          <w:color w:val="auto"/>
          <w:spacing w:val="-6"/>
          <w:sz w:val="32"/>
          <w:szCs w:val="32"/>
          <w:lang w:eastAsia="zh-CN"/>
        </w:rPr>
        <w:t>宣汉县“</w:t>
      </w:r>
      <w:r>
        <w:rPr>
          <w:rFonts w:hint="eastAsia" w:ascii="Times New Roman" w:hAnsi="Times New Roman" w:eastAsia="仿宋_GB2312" w:cs="Times New Roman"/>
          <w:bCs/>
          <w:color w:val="auto"/>
          <w:spacing w:val="-6"/>
          <w:sz w:val="32"/>
          <w:szCs w:val="32"/>
          <w:lang w:val="en-US" w:eastAsia="zh-CN"/>
        </w:rPr>
        <w:t>十四五”养老服务发展规划重大项目清单</w:t>
      </w:r>
    </w:p>
    <w:p>
      <w:pPr>
        <w:pStyle w:val="2"/>
        <w:spacing w:line="240" w:lineRule="exact"/>
        <w:rPr>
          <w:rFonts w:hint="eastAsia" w:ascii="Times New Roman" w:hAnsi="Times New Roman" w:eastAsia="仿宋_GB2312" w:cs="Times New Roman"/>
          <w:color w:val="auto"/>
        </w:rPr>
      </w:pPr>
    </w:p>
    <w:p>
      <w:pPr>
        <w:pStyle w:val="2"/>
        <w:spacing w:line="240" w:lineRule="exact"/>
        <w:rPr>
          <w:rFonts w:hint="eastAsia" w:ascii="Times New Roman" w:hAnsi="Times New Roman" w:eastAsia="仿宋_GB2312" w:cs="Times New Roman"/>
          <w:color w:val="auto"/>
        </w:rPr>
        <w:sectPr>
          <w:headerReference r:id="rId4" w:type="first"/>
          <w:headerReference r:id="rId3" w:type="default"/>
          <w:footerReference r:id="rId5" w:type="default"/>
          <w:pgSz w:w="11906" w:h="16838"/>
          <w:pgMar w:top="2098" w:right="1474" w:bottom="1985" w:left="1588" w:header="851" w:footer="1701" w:gutter="0"/>
          <w:pgNumType w:fmt="numberInDash"/>
          <w:cols w:space="720" w:num="1"/>
          <w:docGrid w:linePitch="592" w:charSpace="0"/>
        </w:sectPr>
      </w:pPr>
    </w:p>
    <w:p>
      <w:pPr>
        <w:pStyle w:val="17"/>
        <w:spacing w:line="578" w:lineRule="exact"/>
        <w:ind w:firstLine="0" w:firstLineChars="0"/>
        <w:jc w:val="left"/>
        <w:rPr>
          <w:rFonts w:ascii="Times New Roman" w:hAnsi="Times New Roman" w:eastAsia="黑体" w:cs="Times New Roman"/>
          <w:color w:val="auto"/>
        </w:rPr>
      </w:pPr>
    </w:p>
    <w:p>
      <w:pPr>
        <w:pStyle w:val="17"/>
        <w:spacing w:line="578" w:lineRule="exact"/>
        <w:ind w:firstLine="0" w:firstLineChars="0"/>
        <w:jc w:val="left"/>
        <w:rPr>
          <w:rFonts w:ascii="Times New Roman" w:hAnsi="Times New Roman" w:eastAsia="黑体" w:cs="Times New Roman"/>
          <w:color w:val="auto"/>
        </w:rPr>
      </w:pPr>
    </w:p>
    <w:p>
      <w:pPr>
        <w:pStyle w:val="17"/>
        <w:spacing w:line="578" w:lineRule="exact"/>
        <w:ind w:firstLine="0" w:firstLineChars="0"/>
        <w:jc w:val="left"/>
        <w:rPr>
          <w:rFonts w:ascii="Times New Roman" w:hAnsi="Times New Roman" w:eastAsia="黑体" w:cs="Times New Roman"/>
          <w:color w:val="auto"/>
        </w:rPr>
      </w:pPr>
      <w:r>
        <w:rPr>
          <w:rFonts w:ascii="Times New Roman" w:hAnsi="Times New Roman" w:eastAsia="黑体" w:cs="Times New Roman"/>
          <w:color w:val="auto"/>
        </w:rPr>
        <w:t>附件</w:t>
      </w:r>
    </w:p>
    <w:p>
      <w:pPr>
        <w:pStyle w:val="17"/>
        <w:spacing w:line="400" w:lineRule="exact"/>
        <w:ind w:firstLine="0" w:firstLineChars="0"/>
        <w:jc w:val="left"/>
        <w:rPr>
          <w:rFonts w:ascii="Times New Roman" w:hAnsi="Times New Roman" w:eastAsia="黑体" w:cs="Times New Roman"/>
          <w:color w:val="auto"/>
        </w:rPr>
      </w:pPr>
    </w:p>
    <w:p>
      <w:pPr>
        <w:pStyle w:val="17"/>
        <w:spacing w:line="578" w:lineRule="exact"/>
        <w:ind w:firstLine="0" w:firstLineChars="0"/>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宣汉县</w:t>
      </w:r>
      <w:r>
        <w:rPr>
          <w:rFonts w:ascii="Times New Roman" w:hAnsi="Times New Roman" w:eastAsia="方正小标宋简体" w:cs="Times New Roman"/>
          <w:color w:val="auto"/>
          <w:sz w:val="44"/>
          <w:szCs w:val="44"/>
        </w:rPr>
        <w:t>“十四五”养老服务发展规划重大项目清单</w:t>
      </w:r>
    </w:p>
    <w:p>
      <w:pPr>
        <w:pStyle w:val="17"/>
        <w:spacing w:line="320" w:lineRule="exact"/>
        <w:ind w:firstLine="0" w:firstLineChars="0"/>
        <w:jc w:val="center"/>
        <w:rPr>
          <w:rFonts w:ascii="Times New Roman" w:hAnsi="Times New Roman" w:eastAsia="方正小标宋简体" w:cs="Times New Roman"/>
          <w:color w:val="auto"/>
          <w:sz w:val="44"/>
          <w:szCs w:val="44"/>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589"/>
        <w:gridCol w:w="2364"/>
        <w:gridCol w:w="978"/>
        <w:gridCol w:w="1372"/>
        <w:gridCol w:w="1454"/>
        <w:gridCol w:w="3838"/>
        <w:gridCol w:w="1035"/>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blHeader/>
          <w:jc w:val="center"/>
        </w:trPr>
        <w:tc>
          <w:tcPr>
            <w:tcW w:w="589" w:type="dxa"/>
            <w:noWrap w:val="0"/>
            <w:vAlign w:val="center"/>
          </w:tcPr>
          <w:p>
            <w:pPr>
              <w:pStyle w:val="17"/>
              <w:spacing w:line="400" w:lineRule="exact"/>
              <w:ind w:firstLine="0" w:firstLineChars="0"/>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序号</w:t>
            </w:r>
          </w:p>
        </w:tc>
        <w:tc>
          <w:tcPr>
            <w:tcW w:w="2364" w:type="dxa"/>
            <w:noWrap w:val="0"/>
            <w:vAlign w:val="center"/>
          </w:tcPr>
          <w:p>
            <w:pPr>
              <w:pStyle w:val="17"/>
              <w:spacing w:line="400" w:lineRule="exact"/>
              <w:ind w:firstLine="0" w:firstLineChars="0"/>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项目名称</w:t>
            </w:r>
          </w:p>
        </w:tc>
        <w:tc>
          <w:tcPr>
            <w:tcW w:w="978" w:type="dxa"/>
            <w:noWrap w:val="0"/>
            <w:vAlign w:val="center"/>
          </w:tcPr>
          <w:p>
            <w:pPr>
              <w:pStyle w:val="17"/>
              <w:spacing w:line="400" w:lineRule="exact"/>
              <w:ind w:firstLine="0" w:firstLineChars="0"/>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建设性质</w:t>
            </w:r>
          </w:p>
        </w:tc>
        <w:tc>
          <w:tcPr>
            <w:tcW w:w="1372" w:type="dxa"/>
            <w:noWrap w:val="0"/>
            <w:vAlign w:val="center"/>
          </w:tcPr>
          <w:p>
            <w:pPr>
              <w:pStyle w:val="17"/>
              <w:spacing w:line="400" w:lineRule="exact"/>
              <w:ind w:firstLine="0" w:firstLineChars="0"/>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建设年限</w:t>
            </w:r>
          </w:p>
        </w:tc>
        <w:tc>
          <w:tcPr>
            <w:tcW w:w="1454" w:type="dxa"/>
            <w:noWrap w:val="0"/>
            <w:vAlign w:val="center"/>
          </w:tcPr>
          <w:p>
            <w:pPr>
              <w:pStyle w:val="17"/>
              <w:spacing w:line="400" w:lineRule="exact"/>
              <w:ind w:firstLine="0" w:firstLineChars="0"/>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建设地点</w:t>
            </w:r>
          </w:p>
        </w:tc>
        <w:tc>
          <w:tcPr>
            <w:tcW w:w="3838" w:type="dxa"/>
            <w:noWrap w:val="0"/>
            <w:vAlign w:val="center"/>
          </w:tcPr>
          <w:p>
            <w:pPr>
              <w:pStyle w:val="17"/>
              <w:spacing w:line="400" w:lineRule="exact"/>
              <w:ind w:firstLine="0" w:firstLineChars="0"/>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建设规模</w:t>
            </w:r>
          </w:p>
        </w:tc>
        <w:tc>
          <w:tcPr>
            <w:tcW w:w="1035" w:type="dxa"/>
            <w:noWrap w:val="0"/>
            <w:vAlign w:val="center"/>
          </w:tcPr>
          <w:p>
            <w:pPr>
              <w:pStyle w:val="17"/>
              <w:spacing w:line="400" w:lineRule="exact"/>
              <w:ind w:firstLine="0" w:firstLineChars="0"/>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计划投资（万元）</w:t>
            </w:r>
          </w:p>
        </w:tc>
        <w:tc>
          <w:tcPr>
            <w:tcW w:w="1819" w:type="dxa"/>
            <w:noWrap w:val="0"/>
            <w:vAlign w:val="center"/>
          </w:tcPr>
          <w:p>
            <w:pPr>
              <w:pStyle w:val="17"/>
              <w:spacing w:line="400" w:lineRule="exact"/>
              <w:ind w:firstLine="0" w:firstLineChars="0"/>
              <w:jc w:val="center"/>
              <w:rPr>
                <w:rFonts w:ascii="Times New Roman" w:hAnsi="Times New Roman" w:eastAsia="黑体" w:cs="Times New Roman"/>
                <w:color w:val="auto"/>
                <w:sz w:val="21"/>
                <w:szCs w:val="21"/>
              </w:rPr>
            </w:pPr>
            <w:r>
              <w:rPr>
                <w:rFonts w:ascii="Times New Roman" w:hAnsi="Times New Roman" w:eastAsia="黑体" w:cs="Times New Roman"/>
                <w:color w:val="auto"/>
                <w:sz w:val="21"/>
                <w:szCs w:val="21"/>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8" w:hRule="atLeast"/>
          <w:jc w:val="center"/>
        </w:trPr>
        <w:tc>
          <w:tcPr>
            <w:tcW w:w="589" w:type="dxa"/>
            <w:noWrap w:val="0"/>
            <w:vAlign w:val="center"/>
          </w:tcPr>
          <w:p>
            <w:pPr>
              <w:pStyle w:val="17"/>
              <w:spacing w:line="240" w:lineRule="auto"/>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1</w:t>
            </w:r>
          </w:p>
        </w:tc>
        <w:tc>
          <w:tcPr>
            <w:tcW w:w="2364"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宣汉县失能老人</w:t>
            </w:r>
          </w:p>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照护中心建设项目</w:t>
            </w:r>
          </w:p>
        </w:tc>
        <w:tc>
          <w:tcPr>
            <w:tcW w:w="978"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新建</w:t>
            </w:r>
          </w:p>
        </w:tc>
        <w:tc>
          <w:tcPr>
            <w:tcW w:w="1372"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2022-2023</w:t>
            </w:r>
          </w:p>
        </w:tc>
        <w:tc>
          <w:tcPr>
            <w:tcW w:w="1454"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君塘镇团山村</w:t>
            </w:r>
          </w:p>
        </w:tc>
        <w:tc>
          <w:tcPr>
            <w:tcW w:w="3838" w:type="dxa"/>
            <w:noWrap w:val="0"/>
            <w:vAlign w:val="center"/>
          </w:tcPr>
          <w:p>
            <w:pPr>
              <w:pStyle w:val="17"/>
              <w:spacing w:line="240" w:lineRule="auto"/>
              <w:ind w:firstLine="0" w:firstLineChars="0"/>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建设床位300张，建筑面积13350平方米</w:t>
            </w:r>
          </w:p>
        </w:tc>
        <w:tc>
          <w:tcPr>
            <w:tcW w:w="1035"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4800</w:t>
            </w:r>
          </w:p>
        </w:tc>
        <w:tc>
          <w:tcPr>
            <w:tcW w:w="1819" w:type="dxa"/>
            <w:noWrap w:val="0"/>
            <w:vAlign w:val="center"/>
          </w:tcPr>
          <w:p>
            <w:pPr>
              <w:pStyle w:val="17"/>
              <w:spacing w:line="240" w:lineRule="auto"/>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eastAsia="zh-CN"/>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8" w:hRule="atLeast"/>
          <w:jc w:val="center"/>
        </w:trPr>
        <w:tc>
          <w:tcPr>
            <w:tcW w:w="589" w:type="dxa"/>
            <w:noWrap w:val="0"/>
            <w:vAlign w:val="center"/>
          </w:tcPr>
          <w:p>
            <w:pPr>
              <w:pStyle w:val="17"/>
              <w:spacing w:line="240" w:lineRule="auto"/>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2</w:t>
            </w:r>
          </w:p>
        </w:tc>
        <w:tc>
          <w:tcPr>
            <w:tcW w:w="2364"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宣汉县南坝区域养老</w:t>
            </w:r>
          </w:p>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服务中心建设项目</w:t>
            </w:r>
          </w:p>
        </w:tc>
        <w:tc>
          <w:tcPr>
            <w:tcW w:w="978"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新建</w:t>
            </w:r>
          </w:p>
        </w:tc>
        <w:tc>
          <w:tcPr>
            <w:tcW w:w="1372"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2023-2024</w:t>
            </w:r>
          </w:p>
        </w:tc>
        <w:tc>
          <w:tcPr>
            <w:tcW w:w="1454"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南坝镇</w:t>
            </w:r>
          </w:p>
        </w:tc>
        <w:tc>
          <w:tcPr>
            <w:tcW w:w="3838" w:type="dxa"/>
            <w:noWrap w:val="0"/>
            <w:vAlign w:val="center"/>
          </w:tcPr>
          <w:p>
            <w:pPr>
              <w:pStyle w:val="17"/>
              <w:spacing w:line="240" w:lineRule="auto"/>
              <w:ind w:firstLine="0" w:firstLineChars="0"/>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建设床位200张，建筑面积9300平方米</w:t>
            </w:r>
          </w:p>
        </w:tc>
        <w:tc>
          <w:tcPr>
            <w:tcW w:w="1035"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3200</w:t>
            </w:r>
          </w:p>
        </w:tc>
        <w:tc>
          <w:tcPr>
            <w:tcW w:w="1819"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9" w:hRule="atLeast"/>
          <w:jc w:val="center"/>
        </w:trPr>
        <w:tc>
          <w:tcPr>
            <w:tcW w:w="589" w:type="dxa"/>
            <w:noWrap w:val="0"/>
            <w:vAlign w:val="center"/>
          </w:tcPr>
          <w:p>
            <w:pPr>
              <w:pStyle w:val="17"/>
              <w:spacing w:line="240" w:lineRule="auto"/>
              <w:ind w:firstLine="0" w:firstLineChars="0"/>
              <w:jc w:val="center"/>
              <w:rPr>
                <w:rFonts w:hint="eastAsia" w:ascii="Times New Roman" w:hAnsi="Times New Roman" w:eastAsia="仿宋_GB2312" w:cs="Times New Roman"/>
                <w:color w:val="auto"/>
                <w:sz w:val="21"/>
                <w:szCs w:val="21"/>
                <w:lang w:eastAsia="zh-CN"/>
              </w:rPr>
            </w:pPr>
            <w:r>
              <w:rPr>
                <w:rFonts w:hint="eastAsia" w:ascii="Times New Roman" w:hAnsi="Times New Roman" w:eastAsia="仿宋_GB2312" w:cs="Times New Roman"/>
                <w:color w:val="auto"/>
                <w:sz w:val="21"/>
                <w:szCs w:val="21"/>
                <w:lang w:val="en-US" w:eastAsia="zh-CN"/>
              </w:rPr>
              <w:t>3</w:t>
            </w:r>
          </w:p>
        </w:tc>
        <w:tc>
          <w:tcPr>
            <w:tcW w:w="2364"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宣汉县厂溪区域养老</w:t>
            </w:r>
          </w:p>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服务中心建设项目</w:t>
            </w:r>
          </w:p>
        </w:tc>
        <w:tc>
          <w:tcPr>
            <w:tcW w:w="978"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新建</w:t>
            </w:r>
          </w:p>
        </w:tc>
        <w:tc>
          <w:tcPr>
            <w:tcW w:w="1372"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2024-2025</w:t>
            </w:r>
          </w:p>
        </w:tc>
        <w:tc>
          <w:tcPr>
            <w:tcW w:w="1454"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厂溪镇</w:t>
            </w:r>
          </w:p>
        </w:tc>
        <w:tc>
          <w:tcPr>
            <w:tcW w:w="3838" w:type="dxa"/>
            <w:noWrap w:val="0"/>
            <w:vAlign w:val="center"/>
          </w:tcPr>
          <w:p>
            <w:pPr>
              <w:pStyle w:val="17"/>
              <w:spacing w:line="240" w:lineRule="auto"/>
              <w:ind w:firstLine="0" w:firstLineChars="0"/>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建设床位200张，建筑面积9300平方米</w:t>
            </w:r>
          </w:p>
        </w:tc>
        <w:tc>
          <w:tcPr>
            <w:tcW w:w="1035"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3200</w:t>
            </w:r>
          </w:p>
        </w:tc>
        <w:tc>
          <w:tcPr>
            <w:tcW w:w="1819" w:type="dxa"/>
            <w:noWrap w:val="0"/>
            <w:vAlign w:val="center"/>
          </w:tcPr>
          <w:p>
            <w:pPr>
              <w:pStyle w:val="17"/>
              <w:spacing w:line="240" w:lineRule="auto"/>
              <w:ind w:firstLine="0" w:firstLineChars="0"/>
              <w:jc w:val="center"/>
              <w:rPr>
                <w:rFonts w:ascii="Times New Roman" w:hAnsi="Times New Roman" w:eastAsia="仿宋_GB2312" w:cs="Times New Roman"/>
                <w:color w:val="auto"/>
                <w:sz w:val="21"/>
                <w:szCs w:val="21"/>
              </w:rPr>
            </w:pPr>
          </w:p>
        </w:tc>
      </w:tr>
    </w:tbl>
    <w:p>
      <w:pPr>
        <w:spacing w:line="578" w:lineRule="exact"/>
        <w:ind w:right="320" w:rightChars="100"/>
        <w:rPr>
          <w:rFonts w:hint="eastAsia" w:eastAsia="黑体"/>
          <w:snapToGrid w:val="0"/>
          <w:color w:val="auto"/>
          <w:szCs w:val="32"/>
        </w:rPr>
      </w:pPr>
    </w:p>
    <w:sectPr>
      <w:headerReference r:id="rId6" w:type="default"/>
      <w:footerReference r:id="rId7" w:type="default"/>
      <w:pgSz w:w="16840" w:h="11907" w:orient="landscape"/>
      <w:pgMar w:top="1588" w:right="2098" w:bottom="1474" w:left="1985" w:header="851" w:footer="1701" w:gutter="0"/>
      <w:pgNumType w:fmt="numberInDash"/>
      <w:cols w:space="720" w:num="1"/>
      <w:docGrid w:linePitch="59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adjustRightInd w:val="0"/>
      <w:ind w:left="320" w:leftChars="100" w:right="320" w:rightChars="100"/>
      <w:rPr>
        <w:rStyle w:val="15"/>
        <w:rFonts w:hint="eastAsia" w:ascii="宋体"/>
        <w:sz w:val="28"/>
        <w:szCs w:val="28"/>
      </w:rPr>
    </w:pPr>
    <w:r>
      <w:rPr>
        <w:rFonts w:hint="eastAsia" w:ascii="宋体"/>
        <w:sz w:val="28"/>
        <w:szCs w:val="28"/>
      </w:rPr>
      <w:fldChar w:fldCharType="begin"/>
    </w:r>
    <w:r>
      <w:rPr>
        <w:rStyle w:val="15"/>
        <w:rFonts w:hint="eastAsia" w:ascii="宋体"/>
        <w:sz w:val="28"/>
        <w:szCs w:val="28"/>
      </w:rPr>
      <w:instrText xml:space="preserve">PAGE  </w:instrText>
    </w:r>
    <w:r>
      <w:rPr>
        <w:rFonts w:hint="eastAsia" w:ascii="宋体"/>
        <w:sz w:val="28"/>
        <w:szCs w:val="28"/>
      </w:rPr>
      <w:fldChar w:fldCharType="separate"/>
    </w:r>
    <w:r>
      <w:rPr>
        <w:rStyle w:val="15"/>
        <w:rFonts w:ascii="宋体"/>
        <w:sz w:val="28"/>
        <w:szCs w:val="28"/>
      </w:rPr>
      <w:t>- 52 -</w:t>
    </w:r>
    <w:r>
      <w:rPr>
        <w:rFonts w:hint="eastAsia" w:asci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rPr>
        <w:rStyle w:val="15"/>
        <w:rFonts w:ascii="宋体" w:hAnsi="宋体" w:eastAsia="宋体"/>
        <w:sz w:val="28"/>
        <w:szCs w:val="28"/>
      </w:rPr>
    </w:pP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- 53 -</w:t>
    </w:r>
    <w:r>
      <w:rPr>
        <w:rStyle w:val="15"/>
        <w:rFonts w:ascii="宋体" w:hAnsi="宋体" w:eastAsia="宋体"/>
        <w:sz w:val="28"/>
        <w:szCs w:val="28"/>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line="800" w:lineRule="exact"/>
      <w:rPr>
        <w:rFonts w:hint="eastAsia"/>
      </w:rPr>
    </w:pPr>
  </w:p>
  <w:p>
    <w:pPr>
      <w:spacing w:line="20" w:lineRule="exact"/>
      <w:jc w:val="distribute"/>
      <w:rPr>
        <w:rFonts w:hint="eastAsia"/>
        <w:color w:val="FF0000"/>
      </w:rPr>
    </w:pPr>
    <w:r>
      <w:rPr>
        <w:rFonts w:hint="eastAsia"/>
        <w:color w:val="FF0000"/>
        <w:w w:val="95"/>
      </w:rPr>
      <mc:AlternateContent>
        <mc:Choice Requires="wps">
          <w:drawing>
            <wp:anchor distT="0" distB="0" distL="114300" distR="114300" simplePos="0" relativeHeight="251659264" behindDoc="0" locked="0" layoutInCell="1" allowOverlap="1">
              <wp:simplePos x="0" y="0"/>
              <wp:positionH relativeFrom="column">
                <wp:posOffset>-249555</wp:posOffset>
              </wp:positionH>
              <wp:positionV relativeFrom="paragraph">
                <wp:posOffset>71120</wp:posOffset>
              </wp:positionV>
              <wp:extent cx="6117590" cy="0"/>
              <wp:effectExtent l="0" t="31750" r="16510" b="44450"/>
              <wp:wrapNone/>
              <wp:docPr id="3" name="直接连接符 3"/>
              <wp:cNvGraphicFramePr/>
              <a:graphic xmlns:a="http://schemas.openxmlformats.org/drawingml/2006/main">
                <a:graphicData uri="http://schemas.microsoft.com/office/word/2010/wordprocessingShape">
                  <wps:wsp>
                    <wps:cNvCnPr/>
                    <wps:spPr>
                      <a:xfrm>
                        <a:off x="0" y="0"/>
                        <a:ext cx="6117590" cy="0"/>
                      </a:xfrm>
                      <a:prstGeom prst="line">
                        <a:avLst/>
                      </a:prstGeom>
                      <a:ln w="63500" cap="flat" cmpd="thickThin">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65pt;margin-top:5.6pt;height:0pt;width:481.7pt;z-index:251659264;mso-width-relative:page;mso-height-relative:page;" filled="f" stroked="t" coordsize="21600,21600" o:gfxdata="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3IMv7XAAAACQEAAA8AAAAAAAAAAQAgAAAAIgAAAGRycy9kb3ducmV2Lnht&#10;bFBLAQIUABQAAAAIAIdO4kDZA6uc+gEAAOsDAAAOAAAAAAAAAAEAIAAAACYBAABkcnMvZTJvRG9j&#10;LnhtbFBLBQYAAAAABgAGAFkBAACSBQAAAAA=&#10;">
              <v:fill on="f" focussize="0,0"/>
              <v:stroke weight="5pt" color="#FFFFFF" linestyle="thickThin"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9D0F3"/>
    <w:multiLevelType w:val="singleLevel"/>
    <w:tmpl w:val="8549D0F3"/>
    <w:lvl w:ilvl="0" w:tentative="0">
      <w:start w:val="1"/>
      <w:numFmt w:val="decimal"/>
      <w:suff w:val="space"/>
      <w:lvlText w:val="%1."/>
      <w:lvlJc w:val="left"/>
      <w:pPr>
        <w:ind w:left="0" w:firstLine="0"/>
      </w:pPr>
    </w:lvl>
  </w:abstractNum>
  <w:abstractNum w:abstractNumId="1">
    <w:nsid w:val="98111D21"/>
    <w:multiLevelType w:val="singleLevel"/>
    <w:tmpl w:val="98111D21"/>
    <w:lvl w:ilvl="0" w:tentative="0">
      <w:start w:val="1"/>
      <w:numFmt w:val="decimal"/>
      <w:suff w:val="nothing"/>
      <w:lvlText w:val="%1．"/>
      <w:lvlJc w:val="left"/>
      <w:pPr>
        <w:ind w:left="0" w:firstLine="0"/>
      </w:pPr>
    </w:lvl>
  </w:abstractNum>
  <w:abstractNum w:abstractNumId="2">
    <w:nsid w:val="D6F362B5"/>
    <w:multiLevelType w:val="singleLevel"/>
    <w:tmpl w:val="D6F362B5"/>
    <w:lvl w:ilvl="0" w:tentative="0">
      <w:start w:val="3"/>
      <w:numFmt w:val="decimal"/>
      <w:suff w:val="space"/>
      <w:lvlText w:val="%1."/>
      <w:lvlJc w:val="left"/>
      <w:pPr>
        <w:ind w:left="0" w:firstLine="0"/>
      </w:pPr>
    </w:lvl>
  </w:abstractNum>
  <w:abstractNum w:abstractNumId="3">
    <w:nsid w:val="F57A2AEA"/>
    <w:multiLevelType w:val="singleLevel"/>
    <w:tmpl w:val="F57A2AEA"/>
    <w:lvl w:ilvl="0" w:tentative="0">
      <w:start w:val="2"/>
      <w:numFmt w:val="chineseCounting"/>
      <w:suff w:val="space"/>
      <w:lvlText w:val="第%1节"/>
      <w:lvlJc w:val="left"/>
      <w:rPr>
        <w:rFonts w:hint="eastAsia"/>
        <w:color w:val="auto"/>
      </w:rPr>
    </w:lvl>
  </w:abstractNum>
  <w:abstractNum w:abstractNumId="4">
    <w:nsid w:val="F7669974"/>
    <w:multiLevelType w:val="singleLevel"/>
    <w:tmpl w:val="F7669974"/>
    <w:lvl w:ilvl="0" w:tentative="0">
      <w:start w:val="1"/>
      <w:numFmt w:val="decimal"/>
      <w:suff w:val="space"/>
      <w:lvlText w:val="%1."/>
      <w:lvlJc w:val="left"/>
      <w:pPr>
        <w:ind w:left="0" w:firstLine="0"/>
      </w:pPr>
    </w:lvl>
  </w:abstractNum>
  <w:abstractNum w:abstractNumId="5">
    <w:nsid w:val="0FFE460B"/>
    <w:multiLevelType w:val="singleLevel"/>
    <w:tmpl w:val="0FFE460B"/>
    <w:lvl w:ilvl="0" w:tentative="0">
      <w:start w:val="1"/>
      <w:numFmt w:val="chineseCounting"/>
      <w:suff w:val="space"/>
      <w:lvlText w:val="第%1节"/>
      <w:lvlJc w:val="left"/>
      <w:rPr>
        <w:rFonts w:hint="eastAsia"/>
        <w:color w:val="auto"/>
      </w:rPr>
    </w:lvl>
  </w:abstractNum>
  <w:abstractNum w:abstractNumId="6">
    <w:nsid w:val="531CE2C2"/>
    <w:multiLevelType w:val="singleLevel"/>
    <w:tmpl w:val="531CE2C2"/>
    <w:lvl w:ilvl="0" w:tentative="0">
      <w:start w:val="2"/>
      <w:numFmt w:val="decimal"/>
      <w:suff w:val="space"/>
      <w:lvlText w:val="%1."/>
      <w:lvlJc w:val="left"/>
      <w:pPr>
        <w:ind w:left="0" w:firstLine="0"/>
      </w:p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陆离">
    <w15:presenceInfo w15:providerId="None" w15:userId="陆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mZmI0ZmI0MWQ2OTFkNTJkOTVjOWFjNzgyZWFkMGYifQ=="/>
  </w:docVars>
  <w:rsids>
    <w:rsidRoot w:val="2BE26BEB"/>
    <w:rsid w:val="00F54158"/>
    <w:rsid w:val="042F7B7E"/>
    <w:rsid w:val="05D47115"/>
    <w:rsid w:val="0ACC25B3"/>
    <w:rsid w:val="0ADF4CAD"/>
    <w:rsid w:val="0B6463FF"/>
    <w:rsid w:val="0C031D3B"/>
    <w:rsid w:val="10F36FE2"/>
    <w:rsid w:val="12302E1E"/>
    <w:rsid w:val="13196709"/>
    <w:rsid w:val="178A6C54"/>
    <w:rsid w:val="17DF02C7"/>
    <w:rsid w:val="19C0390B"/>
    <w:rsid w:val="1B3B21F0"/>
    <w:rsid w:val="1B597C6B"/>
    <w:rsid w:val="1B797855"/>
    <w:rsid w:val="1D484614"/>
    <w:rsid w:val="1F8C0473"/>
    <w:rsid w:val="23EB386D"/>
    <w:rsid w:val="259A3A7F"/>
    <w:rsid w:val="27CA039B"/>
    <w:rsid w:val="289C3D0A"/>
    <w:rsid w:val="2B4F2C16"/>
    <w:rsid w:val="2BE26BEB"/>
    <w:rsid w:val="2BFC5A79"/>
    <w:rsid w:val="2C9A0165"/>
    <w:rsid w:val="370922AC"/>
    <w:rsid w:val="37B067C2"/>
    <w:rsid w:val="38C369F1"/>
    <w:rsid w:val="38E2747C"/>
    <w:rsid w:val="396C5956"/>
    <w:rsid w:val="3BE12B3C"/>
    <w:rsid w:val="3F646203"/>
    <w:rsid w:val="40D15B08"/>
    <w:rsid w:val="44561FA2"/>
    <w:rsid w:val="451E2FEC"/>
    <w:rsid w:val="45C840D1"/>
    <w:rsid w:val="46DB0F67"/>
    <w:rsid w:val="47FF4413"/>
    <w:rsid w:val="4B5F25AA"/>
    <w:rsid w:val="4C806125"/>
    <w:rsid w:val="4CF12322"/>
    <w:rsid w:val="4E466645"/>
    <w:rsid w:val="4FEF37FC"/>
    <w:rsid w:val="54423DF3"/>
    <w:rsid w:val="55646423"/>
    <w:rsid w:val="56AC62BA"/>
    <w:rsid w:val="571F6AF6"/>
    <w:rsid w:val="582A3F3F"/>
    <w:rsid w:val="5A104071"/>
    <w:rsid w:val="5A5853AE"/>
    <w:rsid w:val="5B41084A"/>
    <w:rsid w:val="5C43729E"/>
    <w:rsid w:val="5DD22C6C"/>
    <w:rsid w:val="60216151"/>
    <w:rsid w:val="609F1086"/>
    <w:rsid w:val="63394642"/>
    <w:rsid w:val="68843F35"/>
    <w:rsid w:val="69101BB4"/>
    <w:rsid w:val="6ABB44D0"/>
    <w:rsid w:val="6C681E3D"/>
    <w:rsid w:val="6CBA38ED"/>
    <w:rsid w:val="6FE91236"/>
    <w:rsid w:val="702436EF"/>
    <w:rsid w:val="75A04F8D"/>
    <w:rsid w:val="768947FB"/>
    <w:rsid w:val="77EF165A"/>
    <w:rsid w:val="78F14C23"/>
    <w:rsid w:val="7BE60995"/>
    <w:rsid w:val="7EA47AA4"/>
    <w:rsid w:val="7EE12A0E"/>
    <w:rsid w:val="7EE34CC4"/>
    <w:rsid w:val="7FFE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黑体"/>
      <w:sz w:val="84"/>
      <w:szCs w:val="20"/>
    </w:rPr>
  </w:style>
  <w:style w:type="paragraph" w:styleId="6">
    <w:name w:val="Body Text Indent"/>
    <w:basedOn w:val="1"/>
    <w:qFormat/>
    <w:uiPriority w:val="0"/>
    <w:pPr>
      <w:ind w:firstLine="628" w:firstLineChars="200"/>
    </w:pPr>
  </w:style>
  <w:style w:type="paragraph" w:styleId="7">
    <w:name w:val="Body Text Indent 2"/>
    <w:basedOn w:val="1"/>
    <w:qFormat/>
    <w:uiPriority w:val="0"/>
    <w:pPr>
      <w:spacing w:after="120" w:afterLines="0" w:line="480" w:lineRule="auto"/>
      <w:ind w:left="420" w:leftChars="200"/>
    </w:pPr>
    <w:rPr>
      <w:rFonts w:ascii="仿宋_GB2312"/>
      <w:szCs w:val="32"/>
    </w:rPr>
  </w:style>
  <w:style w:type="paragraph" w:styleId="8">
    <w:name w:val="footer"/>
    <w:basedOn w:val="1"/>
    <w:qFormat/>
    <w:uiPriority w:val="0"/>
    <w:pPr>
      <w:tabs>
        <w:tab w:val="center" w:pos="4153"/>
        <w:tab w:val="right" w:pos="8306"/>
      </w:tabs>
      <w:snapToGrid w:val="0"/>
      <w:jc w:val="left"/>
    </w:pPr>
    <w:rPr>
      <w:rFonts w:eastAsia="仿宋_GB2312"/>
      <w:kern w:val="2"/>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仿宋_GB2312"/>
      <w:kern w:val="2"/>
      <w:sz w:val="18"/>
      <w:szCs w:val="18"/>
      <w:lang w:val="en-US" w:eastAsia="zh-CN" w:bidi="ar-SA"/>
    </w:rPr>
  </w:style>
  <w:style w:type="paragraph" w:styleId="10">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olor w:val="000000"/>
      <w:kern w:val="0"/>
      <w:sz w:val="24"/>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eastAsia="宋体" w:cs="宋体"/>
      <w:color w:val="666666"/>
      <w:kern w:val="0"/>
      <w:sz w:val="24"/>
    </w:rPr>
  </w:style>
  <w:style w:type="paragraph" w:styleId="12">
    <w:name w:val="Body Text First Indent"/>
    <w:basedOn w:val="5"/>
    <w:qFormat/>
    <w:uiPriority w:val="0"/>
    <w:pPr>
      <w:spacing w:after="120"/>
      <w:ind w:firstLine="420" w:firstLineChars="100"/>
      <w:jc w:val="both"/>
    </w:pPr>
    <w:rPr>
      <w:rFonts w:ascii="Times New Roman" w:hAnsi="Times New Roman" w:eastAsia="仿宋_GB2312"/>
      <w:sz w:val="32"/>
      <w:szCs w:val="24"/>
    </w:rPr>
  </w:style>
  <w:style w:type="character" w:styleId="15">
    <w:name w:val="page number"/>
    <w:qFormat/>
    <w:uiPriority w:val="0"/>
  </w:style>
  <w:style w:type="paragraph" w:customStyle="1" w:styleId="16">
    <w:name w:val="TOC 标题1"/>
    <w:basedOn w:val="3"/>
    <w:next w:val="1"/>
    <w:qFormat/>
    <w:uiPriority w:val="0"/>
    <w:pPr>
      <w:keepNext w:val="0"/>
      <w:keepLines w:val="0"/>
      <w:widowControl/>
      <w:spacing w:before="240" w:after="0" w:line="259" w:lineRule="auto"/>
      <w:ind w:firstLine="200" w:firstLineChars="200"/>
      <w:jc w:val="left"/>
      <w:outlineLvl w:val="9"/>
    </w:pPr>
    <w:rPr>
      <w:rFonts w:ascii="等线 Light" w:eastAsia="等线 Light"/>
      <w:bCs w:val="0"/>
      <w:color w:val="2F5496"/>
      <w:kern w:val="0"/>
      <w:sz w:val="32"/>
      <w:szCs w:val="32"/>
    </w:rPr>
  </w:style>
  <w:style w:type="paragraph" w:customStyle="1" w:styleId="17">
    <w:name w:val="常用样式（方正仿宋简）"/>
    <w:qFormat/>
    <w:uiPriority w:val="0"/>
    <w:pPr>
      <w:widowControl w:val="0"/>
      <w:spacing w:line="560" w:lineRule="exact"/>
      <w:ind w:firstLine="640" w:firstLineChars="200"/>
      <w:jc w:val="both"/>
    </w:pPr>
    <w:rPr>
      <w:rFonts w:ascii="Calibri" w:hAnsi="Calibri" w:eastAsia="方正仿宋简体" w:cs="黑体"/>
      <w:kern w:val="2"/>
      <w:sz w:val="32"/>
      <w:szCs w:val="32"/>
      <w:lang w:val="en-US" w:eastAsia="zh-CN" w:bidi="ar-SA"/>
    </w:rPr>
  </w:style>
  <w:style w:type="paragraph" w:customStyle="1" w:styleId="18">
    <w:name w:val="p0"/>
    <w:basedOn w:val="1"/>
    <w:qFormat/>
    <w:uiPriority w:val="0"/>
    <w:pPr>
      <w:widowControl/>
      <w:spacing w:line="365" w:lineRule="atLeast"/>
      <w:ind w:left="1"/>
    </w:pPr>
    <w:rPr>
      <w:rFonts w:eastAsia="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25927</Words>
  <Characters>26381</Characters>
  <Lines>0</Lines>
  <Paragraphs>0</Paragraphs>
  <TotalTime>142</TotalTime>
  <ScaleCrop>false</ScaleCrop>
  <LinksUpToDate>false</LinksUpToDate>
  <CharactersWithSpaces>26578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2022-05-10T09:42:00Z</dcterms:created>
  <dc:creator>仰望北纬</dc:creator>
  <cp:lastModifiedBy>仰望北纬</cp:lastModifiedBy>
  <dcterms:modified xsi:type="dcterms:W3CDTF">2022-09-01T09:49:33Z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F4D6077BC31E4E0682745B534EBAC3E6</vt:lpwstr>
  </property>
</Properties>
</file>