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宣汉县黄石乡卫生院部门决算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14</w:t>
      </w:r>
      <w:r>
        <w:rPr>
          <w:rFonts w:hint="eastAsia"/>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16</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hint="eastAsia"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cs="仿宋"/>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ind w:firstLine="640" w:firstLineChars="200"/>
        <w:rPr>
          <w:rFonts w:ascii="仿宋" w:hAnsi="仿宋" w:eastAsia="仿宋" w:cs="仿宋"/>
          <w:sz w:val="32"/>
          <w:szCs w:val="32"/>
        </w:rPr>
      </w:pPr>
      <w:r>
        <w:rPr>
          <w:rFonts w:hint="eastAsia" w:ascii="仿宋" w:hAnsi="仿宋" w:eastAsia="仿宋" w:cs="仿宋"/>
          <w:sz w:val="32"/>
          <w:szCs w:val="32"/>
        </w:rPr>
        <w:t>负责本辖区范围内</w:t>
      </w:r>
      <w:r>
        <w:rPr>
          <w:rFonts w:hint="eastAsia" w:ascii="仿宋" w:hAnsi="仿宋" w:eastAsia="仿宋" w:cs="仿宋"/>
          <w:sz w:val="32"/>
          <w:szCs w:val="32"/>
          <w:lang w:eastAsia="zh-CN"/>
        </w:rPr>
        <w:t>基本公共卫生服务和基本医疗卫生服务工作。</w:t>
      </w:r>
      <w:r>
        <w:rPr>
          <w:rFonts w:hint="eastAsia" w:ascii="仿宋" w:hAnsi="仿宋" w:eastAsia="仿宋" w:cs="仿宋"/>
          <w:sz w:val="32"/>
          <w:szCs w:val="32"/>
        </w:rPr>
        <w:t>负责妇产保健、妇女保健、儿童保健等妇幼保健和妇女儿童常见病防治工作；负责计划生育技术服务相关工作；落实重大公共卫生服务项目和基本公共卫生服务项目</w:t>
      </w:r>
      <w:r>
        <w:rPr>
          <w:rFonts w:hint="eastAsia" w:ascii="仿宋" w:hAnsi="仿宋" w:eastAsia="仿宋" w:cs="仿宋"/>
          <w:sz w:val="32"/>
          <w:szCs w:val="32"/>
          <w:lang w:eastAsia="zh-CN"/>
        </w:rPr>
        <w:t>工作</w:t>
      </w:r>
      <w:r>
        <w:rPr>
          <w:rFonts w:hint="eastAsia" w:ascii="仿宋" w:hAnsi="仿宋" w:eastAsia="仿宋" w:cs="仿宋"/>
          <w:sz w:val="32"/>
          <w:szCs w:val="32"/>
        </w:rPr>
        <w:t>；负责村级卫生计划生育服务人员业务培训、指导工作。目前开展了常见病、多发病、突发病等的诊治工作。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450" w:lineRule="atLeast"/>
        <w:ind w:firstLine="600"/>
        <w:rPr>
          <w:rFonts w:hint="eastAsia" w:ascii="仿宋" w:hAnsi="仿宋" w:eastAsia="仿宋" w:cs="仿宋"/>
          <w:sz w:val="32"/>
          <w:szCs w:val="32"/>
        </w:rPr>
      </w:pPr>
      <w:r>
        <w:rPr>
          <w:rFonts w:hint="eastAsia" w:ascii="仿宋" w:hAnsi="仿宋" w:eastAsia="仿宋" w:cs="仿宋"/>
          <w:sz w:val="32"/>
          <w:szCs w:val="32"/>
        </w:rPr>
        <w:t>一是基本公共卫生和家庭医生签约服务及扶贫工作；二是狠抓医疗服务工作质量；三是继续加强</w:t>
      </w:r>
      <w:r>
        <w:rPr>
          <w:rFonts w:hint="eastAsia" w:ascii="仿宋" w:hAnsi="仿宋" w:eastAsia="仿宋" w:cs="仿宋"/>
          <w:sz w:val="32"/>
          <w:szCs w:val="32"/>
          <w:lang w:eastAsia="zh-CN"/>
        </w:rPr>
        <w:t>落实</w:t>
      </w:r>
      <w:r>
        <w:rPr>
          <w:rFonts w:hint="eastAsia" w:ascii="仿宋" w:hAnsi="仿宋" w:eastAsia="仿宋" w:cs="仿宋"/>
          <w:sz w:val="32"/>
          <w:szCs w:val="32"/>
        </w:rPr>
        <w:t>中央八项规定，狠抓党风廉政建设，规范医疗行为，提升职工的综合素质，提升医院形象，忠实践行“全心全意为人民服务”的宗旨。</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宣汉县黄石乡卫生院属一级预算公益一类事业单位。</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373.04万元、支出总计368.04万元。与2017年相比，收入总计减少86.22万元，下降18.77%，主要原因是财政部分预算指标列入下年滚动安排和医疗业务收入收费比上年减少；支出总计减少240.25万元，下降39.5</w:t>
      </w:r>
      <w:r>
        <w:rPr>
          <w:rFonts w:ascii="仿宋" w:hAnsi="仿宋" w:eastAsia="仿宋"/>
          <w:color w:val="000000"/>
          <w:sz w:val="32"/>
          <w:szCs w:val="32"/>
        </w:rPr>
        <w:t>%</w:t>
      </w:r>
      <w:r>
        <w:rPr>
          <w:rFonts w:hint="eastAsia" w:ascii="仿宋" w:hAnsi="仿宋" w:eastAsia="仿宋"/>
          <w:color w:val="000000"/>
          <w:sz w:val="32"/>
          <w:szCs w:val="32"/>
        </w:rPr>
        <w:t>，主要变动原因是上年存在项目建设支出100万元和由于上年因医疗业务收入收费比今年多，同时医疗业务成本支出增加。</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w:t>
      </w:r>
      <w:r>
        <w:rPr>
          <w:rFonts w:hint="eastAsia" w:ascii="仿宋" w:hAnsi="仿宋" w:eastAsia="仿宋"/>
          <w:sz w:val="32"/>
          <w:szCs w:val="32"/>
        </w:rPr>
        <w:t>收入合计373.04万元，其中：财政拨款收入102.32万元，占27%；事业收入257.56万元，占69%；其他收入13.16万元，占4%。</w:t>
      </w:r>
    </w:p>
    <w:p>
      <w:pPr>
        <w:spacing w:line="360" w:lineRule="auto"/>
        <w:ind w:firstLine="640" w:firstLineChars="200"/>
        <w:rPr>
          <w:rFonts w:ascii="仿宋" w:hAnsi="仿宋" w:eastAsia="仿宋"/>
          <w:color w:val="000000" w:themeColor="text1"/>
          <w:sz w:val="32"/>
          <w:szCs w:val="32"/>
        </w:rPr>
      </w:pPr>
      <w:bookmarkStart w:id="70" w:name="_GoBack"/>
      <w:bookmarkEnd w:id="70"/>
      <w:r>
        <w:rPr>
          <w:rFonts w:ascii="仿宋" w:hAnsi="仿宋" w:eastAsia="仿宋"/>
          <w:color w:val="000000" w:themeColor="text1"/>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8年本年支出合计368.04万元，其中：基本支出365.04万元，占99</w:t>
      </w:r>
      <w:r>
        <w:rPr>
          <w:rFonts w:ascii="仿宋" w:hAnsi="仿宋" w:eastAsia="仿宋"/>
          <w:color w:val="000000"/>
          <w:sz w:val="32"/>
          <w:szCs w:val="32"/>
        </w:rPr>
        <w:t>%</w:t>
      </w:r>
      <w:r>
        <w:rPr>
          <w:rFonts w:hint="eastAsia" w:ascii="仿宋" w:hAnsi="仿宋" w:eastAsia="仿宋"/>
          <w:color w:val="000000"/>
          <w:sz w:val="32"/>
          <w:szCs w:val="32"/>
        </w:rPr>
        <w:t>；项目支出3万元，占1%。</w:t>
      </w:r>
    </w:p>
    <w:p>
      <w:pPr>
        <w:spacing w:line="360"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572000" cy="2743200"/>
            <wp:effectExtent l="19050" t="0" r="1905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8年财政拨款收入总计102.32万元</w:t>
      </w:r>
      <w:r>
        <w:rPr>
          <w:rFonts w:hint="eastAsia" w:ascii="仿宋" w:hAnsi="仿宋" w:eastAsia="仿宋"/>
          <w:sz w:val="32"/>
          <w:szCs w:val="32"/>
        </w:rPr>
        <w:t>，与2017年相比减少70.34万元，下降40.74%；2018年支出总计102.32万元.与2017年相比减少170.34万元，下降62.47%。主要变动是</w:t>
      </w:r>
      <w:r>
        <w:rPr>
          <w:rFonts w:hint="eastAsia" w:ascii="仿宋" w:hAnsi="仿宋" w:eastAsia="仿宋"/>
          <w:color w:val="000000"/>
          <w:sz w:val="32"/>
          <w:szCs w:val="32"/>
        </w:rPr>
        <w:t>财政部分预算指标列入下年滚动安排及上年支出存在项目建设100万元</w:t>
      </w:r>
      <w:r>
        <w:rPr>
          <w:rFonts w:hint="eastAsia" w:ascii="仿宋" w:hAnsi="仿宋" w:eastAsia="仿宋"/>
          <w:sz w:val="32"/>
          <w:szCs w:val="32"/>
        </w:rPr>
        <w:t>。</w:t>
      </w:r>
    </w:p>
    <w:p>
      <w:pPr>
        <w:spacing w:line="360"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3688080" cy="1910080"/>
            <wp:effectExtent l="19050" t="0" r="26096"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8年一般公共预算财政拨款支出102.32万元，占本年支出合计的27.8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7年相比，一般公共预算财政拨款减少170.34万元，下降62.47</w:t>
      </w:r>
      <w:r>
        <w:rPr>
          <w:rFonts w:ascii="仿宋" w:hAnsi="仿宋" w:eastAsia="仿宋"/>
          <w:color w:val="000000"/>
          <w:sz w:val="32"/>
          <w:szCs w:val="32"/>
        </w:rPr>
        <w:t>%</w:t>
      </w:r>
      <w:r>
        <w:rPr>
          <w:rFonts w:hint="eastAsia" w:ascii="仿宋" w:hAnsi="仿宋" w:eastAsia="仿宋"/>
          <w:color w:val="000000"/>
          <w:sz w:val="32"/>
          <w:szCs w:val="32"/>
        </w:rPr>
        <w:t>。主要变动原因是财政部分预算指标列入下年滚动安排及上年存在项目建设支出100万元。</w:t>
      </w:r>
    </w:p>
    <w:p>
      <w:pPr>
        <w:spacing w:line="360"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324350" cy="1772285"/>
            <wp:effectExtent l="19050" t="0" r="18719"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政拨款支出102.32万元，主要用于以下方面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医疗卫生与计划生育（类）支出102.32万元，占100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360" w:lineRule="auto"/>
        <w:ind w:firstLine="641"/>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2018年一般公共预算支出决算数为102.32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医疗卫生与计划生育（类）基层医疗卫生机构（款）乡镇卫生院（项）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支出决算为20.24万元，完成预算100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支出决算为25.09万元，完成预算100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支出决算为53.9万元，完成预算100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重大公共卫生专项（项）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支出决算为0.09万元，完成预算100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8年一般公共预算财政拨款基本支出99.32万元，其中：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人员经费51.02万元，主要包括：基本工资、津贴补贴、绩效工资、机关事业单位基本养老保险缴费、职业年金缴费、其他社会保障缴费、生活补助支出等。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公用经费48.3万元，主要包括：办公费、印刷费、水费、电费、差旅费、培训费、会议费、专用材料费、劳务费、公务用车运行费、其他商品和服务支出等。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2018年度 “三公”经费财政拨款支出中公务用车运行费为医疗服务和基本公共卫生服务应急车辆运行维护费1.2万元。</w:t>
      </w:r>
    </w:p>
    <w:p>
      <w:pPr>
        <w:spacing w:line="600" w:lineRule="exact"/>
        <w:ind w:firstLine="640"/>
        <w:outlineLvl w:val="1"/>
        <w:rPr>
          <w:rStyle w:val="25"/>
          <w:rFonts w:ascii="黑体" w:hAnsi="黑体" w:eastAsia="黑体"/>
        </w:rPr>
      </w:pPr>
      <w:bookmarkStart w:id="45" w:name="_Toc15377218"/>
      <w:bookmarkStart w:id="46"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黄石乡卫生院</w:t>
      </w:r>
      <w:r>
        <w:rPr>
          <w:rFonts w:ascii="仿宋_GB2312" w:eastAsia="仿宋_GB2312"/>
          <w:color w:val="000000"/>
          <w:sz w:val="32"/>
          <w:szCs w:val="32"/>
        </w:rPr>
        <w:t>201</w:t>
      </w:r>
      <w:r>
        <w:rPr>
          <w:rFonts w:hint="eastAsia" w:ascii="仿宋_GB2312" w:eastAsia="仿宋_GB2312"/>
          <w:color w:val="000000"/>
          <w:sz w:val="32"/>
          <w:szCs w:val="32"/>
        </w:rPr>
        <w:t>8年没有政府性基金预算拨款支出。</w:t>
      </w:r>
    </w:p>
    <w:p>
      <w:pPr>
        <w:numPr>
          <w:ilvl w:val="0"/>
          <w:numId w:val="2"/>
        </w:numPr>
        <w:spacing w:line="600" w:lineRule="exact"/>
        <w:ind w:firstLine="640"/>
        <w:outlineLvl w:val="1"/>
        <w:rPr>
          <w:rStyle w:val="25"/>
          <w:rFonts w:ascii="黑体" w:hAnsi="黑体" w:eastAsia="黑体"/>
          <w:b w:val="0"/>
        </w:rPr>
      </w:pPr>
      <w:bookmarkStart w:id="47" w:name="_Toc15377219"/>
      <w:bookmarkStart w:id="48" w:name="_Toc15396611"/>
      <w:r>
        <w:rPr>
          <w:rStyle w:val="25"/>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黄石乡卫生院</w:t>
      </w:r>
      <w:r>
        <w:rPr>
          <w:rFonts w:ascii="仿宋_GB2312" w:eastAsia="仿宋_GB2312"/>
          <w:color w:val="000000"/>
          <w:sz w:val="32"/>
          <w:szCs w:val="32"/>
        </w:rPr>
        <w:t>201</w:t>
      </w:r>
      <w:r>
        <w:rPr>
          <w:rFonts w:hint="eastAsia" w:ascii="仿宋_GB2312" w:eastAsia="仿宋_GB2312"/>
          <w:color w:val="000000"/>
          <w:sz w:val="32"/>
          <w:szCs w:val="32"/>
        </w:rPr>
        <w:t>8年没有国有资本经营预算拨款支出。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重大公共卫生项目开展了预算事前绩效评估，对1个项目编制了绩效目标，预算执行过程中，选取1个项目开展绩效监控，年终执行完毕后，对1个项目开展了绩效目标完成情况梳理填报。</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本单位在2018年度部门决算中反映“重大公共卫生专项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绩效目标实际完成情况。</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重大公共卫生专项绩效目标完成情况综述。项目全年预算数3万元，执行数为3万元，完成预算的100%。通过项目实施，提高基层医疗卫生机构的服务能力。发现的主要问题：还缺乏一套完整的工作激励机制，下一步改进措施：建立完整的激励机制，使有限的资金发挥更大的作用。</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宣汉县黄石乡卫生院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提高基层医疗卫生机构能力建设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完成本院及各村卫生室卫生服务能力的提高</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8</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8</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本单位按要求对2018年部门整体支出绩效评价情况开展自评，《宣汉县黄石乡卫生院2018年部门整体支出绩效评价报告》见附件。</w:t>
      </w:r>
    </w:p>
    <w:p>
      <w:pPr>
        <w:spacing w:line="600" w:lineRule="exact"/>
        <w:ind w:firstLine="800" w:firstLineChars="250"/>
        <w:outlineLvl w:val="1"/>
        <w:rPr>
          <w:rStyle w:val="25"/>
          <w:rFonts w:ascii="黑体" w:hAnsi="黑体" w:eastAsia="黑体"/>
        </w:rPr>
      </w:pPr>
      <w:bookmarkStart w:id="49" w:name="_Toc15377221"/>
      <w:bookmarkStart w:id="50"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9"/>
      <w:bookmarkEnd w:id="50"/>
      <w:bookmarkStart w:id="51" w:name="_Toc15377225"/>
      <w:bookmarkStart w:id="52" w:name="_Toc15396613"/>
    </w:p>
    <w:p>
      <w:pPr>
        <w:spacing w:line="600" w:lineRule="exact"/>
        <w:ind w:firstLine="800" w:firstLineChars="250"/>
        <w:outlineLvl w:val="1"/>
        <w:rPr>
          <w:rFonts w:ascii="黑体" w:hAnsi="黑体" w:eastAsia="黑体"/>
          <w:b/>
          <w:bCs/>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pStyle w:val="23"/>
        <w:spacing w:line="600" w:lineRule="exact"/>
        <w:ind w:left="420" w:firstLine="0" w:firstLineChars="0"/>
        <w:rPr>
          <w:rFonts w:ascii="仿宋" w:hAnsi="仿宋" w:eastAsia="仿宋"/>
          <w:sz w:val="32"/>
          <w:szCs w:val="32"/>
        </w:rPr>
      </w:pPr>
    </w:p>
    <w:p>
      <w:pPr>
        <w:numPr>
          <w:ilvl w:val="0"/>
          <w:numId w:val="5"/>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事业收入：指事业单位开展专业业务活动及辅助活动取得的收入。如医疗业务活动收入等。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其他收入：指单位取得的除上述收入以外的各项收入。主要是银行存款利息收入。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医疗卫生与计划生育（类）基层医疗卫生机构（款）乡镇卫生院（项）：指其他工资福利支出和退休人员、遗属生活补助；其他基层医疗卫生机构支出（项）：指基本药物制度补助经费。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医疗卫生与计划生育（类）公共卫生（款）基本公共卫生服务（项）：指基本公共卫生服务补助资金；重大公共卫生专项（项）：指重大公共卫生服务补助资金。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医疗卫生与计划生育（类）行政事业单位医疗（款）事业单位医疗（项）：指退休人员补充医疗保险缴费。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宣汉县黄石乡卫生院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宣汉县黄石乡卫生院属一级预算公益一类事业单位，2018年度</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27" w:firstLineChars="196"/>
        <w:rPr>
          <w:rFonts w:ascii="仿宋_GB2312" w:hAnsi="宋体" w:eastAsia="仿宋_GB2312"/>
          <w:sz w:val="32"/>
          <w:szCs w:val="32"/>
        </w:rPr>
      </w:pPr>
      <w:r>
        <w:rPr>
          <w:rFonts w:hint="eastAsia" w:ascii="仿宋_GB2312" w:hAnsi="宋体" w:eastAsia="仿宋_GB2312"/>
          <w:sz w:val="32"/>
          <w:szCs w:val="32"/>
        </w:rPr>
        <w:t>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rPr>
        <w:t>黄石乡卫生院</w:t>
      </w:r>
      <w:r>
        <w:rPr>
          <w:rFonts w:hint="eastAsia" w:ascii="仿宋_GB2312" w:eastAsia="仿宋_GB2312"/>
          <w:sz w:val="32"/>
          <w:szCs w:val="32"/>
        </w:rPr>
        <w:t>核定编制数16人。</w:t>
      </w:r>
      <w:r>
        <w:rPr>
          <w:rFonts w:hint="eastAsia" w:ascii="仿宋_GB2312" w:hAnsi="宋体" w:eastAsia="仿宋_GB2312"/>
          <w:sz w:val="32"/>
          <w:szCs w:val="32"/>
        </w:rPr>
        <w:t xml:space="preserve">现有在职职工14人，在编在职人员14人，年末退休人员6人已纳入社会保障管理。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2018年财政拨款收入102.32元，支出102.32元，其中：基本公共卫生服务和重大公共卫生项目支出56.9元，退休人员补充医疗保险缴费支出0.09元，综合补助经费等支出45.33元。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将财务管理与日常事务紧密结合，全力做好保障工作。</w:t>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6F0F"/>
    <w:rsid w:val="000222C6"/>
    <w:rsid w:val="0002549F"/>
    <w:rsid w:val="00025FE1"/>
    <w:rsid w:val="00031B48"/>
    <w:rsid w:val="00054A9B"/>
    <w:rsid w:val="0005528C"/>
    <w:rsid w:val="0006487A"/>
    <w:rsid w:val="00065F8F"/>
    <w:rsid w:val="000768F2"/>
    <w:rsid w:val="0009184B"/>
    <w:rsid w:val="0009593C"/>
    <w:rsid w:val="000B047F"/>
    <w:rsid w:val="000B5923"/>
    <w:rsid w:val="000B5A48"/>
    <w:rsid w:val="000B6FF3"/>
    <w:rsid w:val="000C1E9B"/>
    <w:rsid w:val="000C3467"/>
    <w:rsid w:val="000C3CA6"/>
    <w:rsid w:val="000D1267"/>
    <w:rsid w:val="000D1D50"/>
    <w:rsid w:val="000D5782"/>
    <w:rsid w:val="000E585E"/>
    <w:rsid w:val="000E6613"/>
    <w:rsid w:val="000E7119"/>
    <w:rsid w:val="00103C37"/>
    <w:rsid w:val="00114E9B"/>
    <w:rsid w:val="00137C74"/>
    <w:rsid w:val="0014729F"/>
    <w:rsid w:val="00157702"/>
    <w:rsid w:val="00157BAB"/>
    <w:rsid w:val="001654D1"/>
    <w:rsid w:val="0018106D"/>
    <w:rsid w:val="00186670"/>
    <w:rsid w:val="001877A7"/>
    <w:rsid w:val="00191536"/>
    <w:rsid w:val="00196687"/>
    <w:rsid w:val="001A70B1"/>
    <w:rsid w:val="001C0962"/>
    <w:rsid w:val="001C6CE4"/>
    <w:rsid w:val="001D7531"/>
    <w:rsid w:val="001E737D"/>
    <w:rsid w:val="001F0592"/>
    <w:rsid w:val="001F7506"/>
    <w:rsid w:val="002006CD"/>
    <w:rsid w:val="00202B36"/>
    <w:rsid w:val="00204B7A"/>
    <w:rsid w:val="0021101A"/>
    <w:rsid w:val="00220536"/>
    <w:rsid w:val="00230F90"/>
    <w:rsid w:val="00235629"/>
    <w:rsid w:val="00260C38"/>
    <w:rsid w:val="002616C0"/>
    <w:rsid w:val="002662AA"/>
    <w:rsid w:val="00280496"/>
    <w:rsid w:val="00295495"/>
    <w:rsid w:val="002B2613"/>
    <w:rsid w:val="002F1818"/>
    <w:rsid w:val="002F567B"/>
    <w:rsid w:val="003060A1"/>
    <w:rsid w:val="003216A9"/>
    <w:rsid w:val="003628EB"/>
    <w:rsid w:val="0037013F"/>
    <w:rsid w:val="00380C92"/>
    <w:rsid w:val="003A484F"/>
    <w:rsid w:val="003B0BE0"/>
    <w:rsid w:val="003B0C1B"/>
    <w:rsid w:val="003B688C"/>
    <w:rsid w:val="003B7828"/>
    <w:rsid w:val="003C0291"/>
    <w:rsid w:val="003C39AE"/>
    <w:rsid w:val="003C7B60"/>
    <w:rsid w:val="003D1FB2"/>
    <w:rsid w:val="003D66DA"/>
    <w:rsid w:val="003D6E1F"/>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460B"/>
    <w:rsid w:val="005470B4"/>
    <w:rsid w:val="00553F47"/>
    <w:rsid w:val="005542FB"/>
    <w:rsid w:val="005664BB"/>
    <w:rsid w:val="0057481D"/>
    <w:rsid w:val="0058486E"/>
    <w:rsid w:val="005A2308"/>
    <w:rsid w:val="005D1C8B"/>
    <w:rsid w:val="005D4FEB"/>
    <w:rsid w:val="005D5CED"/>
    <w:rsid w:val="005F1A4C"/>
    <w:rsid w:val="00605688"/>
    <w:rsid w:val="006070AF"/>
    <w:rsid w:val="00607E6C"/>
    <w:rsid w:val="006101B1"/>
    <w:rsid w:val="00614E44"/>
    <w:rsid w:val="00622830"/>
    <w:rsid w:val="00630AEF"/>
    <w:rsid w:val="006325F8"/>
    <w:rsid w:val="00634C9A"/>
    <w:rsid w:val="006440E4"/>
    <w:rsid w:val="00644F7A"/>
    <w:rsid w:val="0066343B"/>
    <w:rsid w:val="00664777"/>
    <w:rsid w:val="006748A4"/>
    <w:rsid w:val="00683E73"/>
    <w:rsid w:val="00694756"/>
    <w:rsid w:val="006A3141"/>
    <w:rsid w:val="006A5E34"/>
    <w:rsid w:val="006B2422"/>
    <w:rsid w:val="006B2B9A"/>
    <w:rsid w:val="006C1937"/>
    <w:rsid w:val="006F020C"/>
    <w:rsid w:val="00701F81"/>
    <w:rsid w:val="007123C8"/>
    <w:rsid w:val="007127B7"/>
    <w:rsid w:val="00720765"/>
    <w:rsid w:val="007416B6"/>
    <w:rsid w:val="00746F48"/>
    <w:rsid w:val="0075404D"/>
    <w:rsid w:val="0076182A"/>
    <w:rsid w:val="00767B7E"/>
    <w:rsid w:val="00772439"/>
    <w:rsid w:val="007770C3"/>
    <w:rsid w:val="00784D24"/>
    <w:rsid w:val="00785FBA"/>
    <w:rsid w:val="00786E4A"/>
    <w:rsid w:val="007875EB"/>
    <w:rsid w:val="0079426B"/>
    <w:rsid w:val="007D312A"/>
    <w:rsid w:val="007D3F19"/>
    <w:rsid w:val="007E23B0"/>
    <w:rsid w:val="007E4F83"/>
    <w:rsid w:val="007F1943"/>
    <w:rsid w:val="007F1991"/>
    <w:rsid w:val="007F2C2F"/>
    <w:rsid w:val="007F55FC"/>
    <w:rsid w:val="007F5665"/>
    <w:rsid w:val="00800112"/>
    <w:rsid w:val="00811A49"/>
    <w:rsid w:val="00824DD9"/>
    <w:rsid w:val="008253BB"/>
    <w:rsid w:val="0083706E"/>
    <w:rsid w:val="008423A5"/>
    <w:rsid w:val="00842E90"/>
    <w:rsid w:val="00850625"/>
    <w:rsid w:val="00853718"/>
    <w:rsid w:val="00855221"/>
    <w:rsid w:val="0085557A"/>
    <w:rsid w:val="00860645"/>
    <w:rsid w:val="00861901"/>
    <w:rsid w:val="00871F71"/>
    <w:rsid w:val="00885AF4"/>
    <w:rsid w:val="00886E58"/>
    <w:rsid w:val="008939CD"/>
    <w:rsid w:val="008A16B8"/>
    <w:rsid w:val="008B4357"/>
    <w:rsid w:val="008B768C"/>
    <w:rsid w:val="008C424C"/>
    <w:rsid w:val="008C4DB1"/>
    <w:rsid w:val="008C4EAF"/>
    <w:rsid w:val="008C5176"/>
    <w:rsid w:val="008C7FD0"/>
    <w:rsid w:val="008E1DE7"/>
    <w:rsid w:val="008E707C"/>
    <w:rsid w:val="00900B08"/>
    <w:rsid w:val="00902155"/>
    <w:rsid w:val="00902FA3"/>
    <w:rsid w:val="009051BC"/>
    <w:rsid w:val="00913AC6"/>
    <w:rsid w:val="00916A91"/>
    <w:rsid w:val="00923564"/>
    <w:rsid w:val="0092392E"/>
    <w:rsid w:val="009315F9"/>
    <w:rsid w:val="00946945"/>
    <w:rsid w:val="00946BD3"/>
    <w:rsid w:val="00951248"/>
    <w:rsid w:val="0095152F"/>
    <w:rsid w:val="00954C49"/>
    <w:rsid w:val="0097099F"/>
    <w:rsid w:val="00971997"/>
    <w:rsid w:val="00971FFC"/>
    <w:rsid w:val="0098660A"/>
    <w:rsid w:val="009931C3"/>
    <w:rsid w:val="00995699"/>
    <w:rsid w:val="009B2C43"/>
    <w:rsid w:val="009B4EAE"/>
    <w:rsid w:val="009B6295"/>
    <w:rsid w:val="009B7573"/>
    <w:rsid w:val="009C22F4"/>
    <w:rsid w:val="009C2E98"/>
    <w:rsid w:val="009C756C"/>
    <w:rsid w:val="009D3447"/>
    <w:rsid w:val="009D4711"/>
    <w:rsid w:val="009F1185"/>
    <w:rsid w:val="009F18CD"/>
    <w:rsid w:val="009F2A13"/>
    <w:rsid w:val="00A04EB0"/>
    <w:rsid w:val="00A13CC1"/>
    <w:rsid w:val="00A16847"/>
    <w:rsid w:val="00A237D8"/>
    <w:rsid w:val="00A268C4"/>
    <w:rsid w:val="00A307CD"/>
    <w:rsid w:val="00A330BA"/>
    <w:rsid w:val="00A40A00"/>
    <w:rsid w:val="00A4142F"/>
    <w:rsid w:val="00A56DF2"/>
    <w:rsid w:val="00A67AB5"/>
    <w:rsid w:val="00A754D2"/>
    <w:rsid w:val="00A91760"/>
    <w:rsid w:val="00A93B00"/>
    <w:rsid w:val="00A93C21"/>
    <w:rsid w:val="00AB3179"/>
    <w:rsid w:val="00AC3C6A"/>
    <w:rsid w:val="00AD210C"/>
    <w:rsid w:val="00AD5620"/>
    <w:rsid w:val="00AD7C1B"/>
    <w:rsid w:val="00AE16BA"/>
    <w:rsid w:val="00AE1EBE"/>
    <w:rsid w:val="00AE3D37"/>
    <w:rsid w:val="00B03C9D"/>
    <w:rsid w:val="00B060AE"/>
    <w:rsid w:val="00B06544"/>
    <w:rsid w:val="00B10517"/>
    <w:rsid w:val="00B14E76"/>
    <w:rsid w:val="00B161B8"/>
    <w:rsid w:val="00B17317"/>
    <w:rsid w:val="00B2048C"/>
    <w:rsid w:val="00B310B9"/>
    <w:rsid w:val="00B35F3F"/>
    <w:rsid w:val="00B36CBB"/>
    <w:rsid w:val="00B425E0"/>
    <w:rsid w:val="00B440AA"/>
    <w:rsid w:val="00B44B70"/>
    <w:rsid w:val="00B53C56"/>
    <w:rsid w:val="00B77EA6"/>
    <w:rsid w:val="00B8079C"/>
    <w:rsid w:val="00B81598"/>
    <w:rsid w:val="00B841F1"/>
    <w:rsid w:val="00B8757F"/>
    <w:rsid w:val="00B944D6"/>
    <w:rsid w:val="00BB4DF0"/>
    <w:rsid w:val="00BC289F"/>
    <w:rsid w:val="00BC5361"/>
    <w:rsid w:val="00BC5460"/>
    <w:rsid w:val="00BC6B50"/>
    <w:rsid w:val="00BD0E25"/>
    <w:rsid w:val="00BD1CDE"/>
    <w:rsid w:val="00BD6B83"/>
    <w:rsid w:val="00BD7E1A"/>
    <w:rsid w:val="00BE22EF"/>
    <w:rsid w:val="00BE3131"/>
    <w:rsid w:val="00BF5BD6"/>
    <w:rsid w:val="00C03E31"/>
    <w:rsid w:val="00C11CE8"/>
    <w:rsid w:val="00C33E72"/>
    <w:rsid w:val="00C354B2"/>
    <w:rsid w:val="00C35554"/>
    <w:rsid w:val="00C42709"/>
    <w:rsid w:val="00C533CC"/>
    <w:rsid w:val="00C5751C"/>
    <w:rsid w:val="00C61BFC"/>
    <w:rsid w:val="00C62B85"/>
    <w:rsid w:val="00C65438"/>
    <w:rsid w:val="00C75B61"/>
    <w:rsid w:val="00C91CBB"/>
    <w:rsid w:val="00CA1F6A"/>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22D5"/>
    <w:rsid w:val="00DD73B7"/>
    <w:rsid w:val="00DE3DB7"/>
    <w:rsid w:val="00DF28BC"/>
    <w:rsid w:val="00DF34B9"/>
    <w:rsid w:val="00E01053"/>
    <w:rsid w:val="00E07ACF"/>
    <w:rsid w:val="00E331A1"/>
    <w:rsid w:val="00E33202"/>
    <w:rsid w:val="00E336A9"/>
    <w:rsid w:val="00E50624"/>
    <w:rsid w:val="00E56755"/>
    <w:rsid w:val="00E568DF"/>
    <w:rsid w:val="00E64269"/>
    <w:rsid w:val="00E82267"/>
    <w:rsid w:val="00E838E0"/>
    <w:rsid w:val="00EA010F"/>
    <w:rsid w:val="00EB2D16"/>
    <w:rsid w:val="00ED1B63"/>
    <w:rsid w:val="00ED3C1F"/>
    <w:rsid w:val="00ED4085"/>
    <w:rsid w:val="00ED420E"/>
    <w:rsid w:val="00EE2F57"/>
    <w:rsid w:val="00EF4C34"/>
    <w:rsid w:val="00EF77C6"/>
    <w:rsid w:val="00F05438"/>
    <w:rsid w:val="00F1361C"/>
    <w:rsid w:val="00F160C7"/>
    <w:rsid w:val="00F27F25"/>
    <w:rsid w:val="00F36D8F"/>
    <w:rsid w:val="00F417B1"/>
    <w:rsid w:val="00F602DF"/>
    <w:rsid w:val="00F81FD9"/>
    <w:rsid w:val="00F841AA"/>
    <w:rsid w:val="00FA23E8"/>
    <w:rsid w:val="00FB4C19"/>
    <w:rsid w:val="00FD3CC1"/>
    <w:rsid w:val="00FE0925"/>
    <w:rsid w:val="00FF1E02"/>
    <w:rsid w:val="00FF30B4"/>
    <w:rsid w:val="0E5105A0"/>
    <w:rsid w:val="10042CCF"/>
    <w:rsid w:val="10C055FF"/>
    <w:rsid w:val="16BB723D"/>
    <w:rsid w:val="240371BF"/>
    <w:rsid w:val="28AC3E08"/>
    <w:rsid w:val="29FD04D3"/>
    <w:rsid w:val="2AA074C5"/>
    <w:rsid w:val="319F7F4E"/>
    <w:rsid w:val="48AB6338"/>
    <w:rsid w:val="68E03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a:t>
            </a:r>
            <a:endParaRPr lang="zh-CN" altLang="en-US"/>
          </a:p>
        </c:rich>
      </c:tx>
      <c:layout/>
      <c:overlay val="0"/>
    </c:title>
    <c:autoTitleDeleted val="0"/>
    <c:plotArea>
      <c:layout/>
      <c:barChart>
        <c:barDir val="col"/>
        <c:grouping val="clustered"/>
        <c:varyColors val="0"/>
        <c:ser>
          <c:idx val="0"/>
          <c:order val="0"/>
          <c:invertIfNegative val="0"/>
          <c:dLbls>
            <c:delete val="1"/>
          </c:dLbls>
          <c:cat>
            <c:strRef>
              <c:f>Sheet1!$A$1:$A$4</c:f>
              <c:strCache>
                <c:ptCount val="4"/>
                <c:pt idx="0">
                  <c:v>2018年收入总计373.04万元</c:v>
                </c:pt>
                <c:pt idx="1">
                  <c:v>2017年收入总计459.26万元</c:v>
                </c:pt>
                <c:pt idx="2">
                  <c:v>2018年支出总计368.04万元</c:v>
                </c:pt>
                <c:pt idx="3">
                  <c:v>2017年支出总计608.29万元</c:v>
                </c:pt>
              </c:strCache>
            </c:strRef>
          </c:cat>
          <c:val>
            <c:numRef>
              <c:f>Sheet1!$B$1:$B$4</c:f>
              <c:numCache>
                <c:formatCode>General</c:formatCode>
                <c:ptCount val="4"/>
                <c:pt idx="0">
                  <c:v>373.04</c:v>
                </c:pt>
                <c:pt idx="1">
                  <c:v>459.26</c:v>
                </c:pt>
                <c:pt idx="2">
                  <c:v>368.04</c:v>
                </c:pt>
                <c:pt idx="3">
                  <c:v>608.290000000001</c:v>
                </c:pt>
              </c:numCache>
            </c:numRef>
          </c:val>
        </c:ser>
        <c:dLbls>
          <c:showLegendKey val="0"/>
          <c:showVal val="0"/>
          <c:showCatName val="0"/>
          <c:showSerName val="0"/>
          <c:showPercent val="0"/>
          <c:showBubbleSize val="0"/>
        </c:dLbls>
        <c:gapWidth val="150"/>
        <c:axId val="78840960"/>
        <c:axId val="78842880"/>
      </c:barChart>
      <c:catAx>
        <c:axId val="788409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842880"/>
        <c:crosses val="autoZero"/>
        <c:auto val="1"/>
        <c:lblAlgn val="ctr"/>
        <c:lblOffset val="100"/>
        <c:noMultiLvlLbl val="0"/>
      </c:catAx>
      <c:valAx>
        <c:axId val="7884288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8409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Sheet1!$A$1:$A$4</c:f>
              <c:strCache>
                <c:ptCount val="4"/>
                <c:pt idx="0">
                  <c:v>2018年收入总计373.04万元</c:v>
                </c:pt>
                <c:pt idx="1">
                  <c:v>财政拨款收入102.32万元</c:v>
                </c:pt>
                <c:pt idx="2">
                  <c:v>事业收入257.56万元</c:v>
                </c:pt>
                <c:pt idx="3">
                  <c:v>其他收入13.16万元</c:v>
                </c:pt>
              </c:strCache>
            </c:strRef>
          </c:cat>
          <c:val>
            <c:numRef>
              <c:f>Sheet1!$B$1:$B$4</c:f>
              <c:numCache>
                <c:formatCode>General</c:formatCode>
                <c:ptCount val="4"/>
                <c:pt idx="1">
                  <c:v>102.32</c:v>
                </c:pt>
                <c:pt idx="2">
                  <c:v>257.56</c:v>
                </c:pt>
                <c:pt idx="3">
                  <c:v>13.16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Sheet1!$A$1:$A$3</c:f>
              <c:strCache>
                <c:ptCount val="3"/>
                <c:pt idx="0">
                  <c:v>2018年本年支出合计368.04万元</c:v>
                </c:pt>
                <c:pt idx="1">
                  <c:v>基本支出365.04万元</c:v>
                </c:pt>
                <c:pt idx="2">
                  <c:v>项目支出3万元</c:v>
                </c:pt>
              </c:strCache>
            </c:strRef>
          </c:cat>
          <c:val>
            <c:numRef>
              <c:f>Sheet1!$B$1:$B$3</c:f>
              <c:numCache>
                <c:formatCode>General</c:formatCode>
                <c:ptCount val="3"/>
                <c:pt idx="1">
                  <c:v>365.04</c:v>
                </c:pt>
                <c:pt idx="2">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财政拨款收、支决算总计变动情况</a:t>
            </a:r>
            <a:endParaRPr lang="zh-CN" altLang="en-US" sz="1400"/>
          </a:p>
        </c:rich>
      </c:tx>
      <c:layout/>
      <c:overlay val="0"/>
    </c:title>
    <c:autoTitleDeleted val="0"/>
    <c:plotArea>
      <c:layout>
        <c:manualLayout>
          <c:layoutTarget val="inner"/>
          <c:xMode val="edge"/>
          <c:yMode val="edge"/>
          <c:x val="0.165238407699038"/>
          <c:y val="0.201400554097405"/>
          <c:w val="0.809761592300962"/>
          <c:h val="0.485625182268883"/>
        </c:manualLayout>
      </c:layout>
      <c:barChart>
        <c:barDir val="col"/>
        <c:grouping val="clustered"/>
        <c:varyColors val="0"/>
        <c:ser>
          <c:idx val="0"/>
          <c:order val="0"/>
          <c:invertIfNegative val="0"/>
          <c:dLbls>
            <c:delete val="1"/>
          </c:dLbls>
          <c:cat>
            <c:strRef>
              <c:f>Sheet1!$A$1:$A$4</c:f>
              <c:strCache>
                <c:ptCount val="4"/>
                <c:pt idx="0">
                  <c:v>2018年财政拨款收入总计102.32万元</c:v>
                </c:pt>
                <c:pt idx="1">
                  <c:v>2017年财政拨款收入总计172.66万元</c:v>
                </c:pt>
                <c:pt idx="2">
                  <c:v>2018年财政拨款支出总计102.32万元</c:v>
                </c:pt>
                <c:pt idx="3">
                  <c:v>2017年财政拨款支出总计272.66万元</c:v>
                </c:pt>
              </c:strCache>
            </c:strRef>
          </c:cat>
          <c:val>
            <c:numRef>
              <c:f>Sheet1!$B$1:$B$4</c:f>
              <c:numCache>
                <c:formatCode>General</c:formatCode>
                <c:ptCount val="4"/>
                <c:pt idx="0">
                  <c:v>102.32</c:v>
                </c:pt>
                <c:pt idx="1">
                  <c:v>172.66</c:v>
                </c:pt>
                <c:pt idx="2">
                  <c:v>102.32</c:v>
                </c:pt>
                <c:pt idx="3">
                  <c:v>272.66</c:v>
                </c:pt>
              </c:numCache>
            </c:numRef>
          </c:val>
        </c:ser>
        <c:dLbls>
          <c:showLegendKey val="0"/>
          <c:showVal val="0"/>
          <c:showCatName val="0"/>
          <c:showSerName val="0"/>
          <c:showPercent val="0"/>
          <c:showBubbleSize val="0"/>
        </c:dLbls>
        <c:gapWidth val="150"/>
        <c:axId val="101026432"/>
        <c:axId val="101138816"/>
      </c:barChart>
      <c:catAx>
        <c:axId val="1010264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138816"/>
        <c:crosses val="autoZero"/>
        <c:auto val="1"/>
        <c:lblAlgn val="ctr"/>
        <c:lblOffset val="100"/>
        <c:noMultiLvlLbl val="0"/>
      </c:catAx>
      <c:valAx>
        <c:axId val="101138816"/>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02643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endParaRPr lang="zh-CN" altLang="en-US" sz="1400"/>
          </a:p>
        </c:rich>
      </c:tx>
      <c:layout/>
      <c:overlay val="0"/>
    </c:title>
    <c:autoTitleDeleted val="0"/>
    <c:plotArea>
      <c:layout/>
      <c:barChart>
        <c:barDir val="col"/>
        <c:grouping val="clustered"/>
        <c:varyColors val="0"/>
        <c:ser>
          <c:idx val="0"/>
          <c:order val="0"/>
          <c:invertIfNegative val="0"/>
          <c:dLbls>
            <c:delete val="1"/>
          </c:dLbls>
          <c:cat>
            <c:strRef>
              <c:f>Sheet1!$A$1:$A$2</c:f>
              <c:strCache>
                <c:ptCount val="2"/>
                <c:pt idx="0">
                  <c:v>2018年一般公共预算财政拨款支出102.32万元</c:v>
                </c:pt>
                <c:pt idx="1">
                  <c:v>医疗卫生与计划生育（类）支出272.66万元</c:v>
                </c:pt>
              </c:strCache>
            </c:strRef>
          </c:cat>
          <c:val>
            <c:numRef>
              <c:f>Sheet1!$B$1:$B$2</c:f>
              <c:numCache>
                <c:formatCode>General</c:formatCode>
                <c:ptCount val="2"/>
                <c:pt idx="0">
                  <c:v>102.32</c:v>
                </c:pt>
                <c:pt idx="1">
                  <c:v>272.66</c:v>
                </c:pt>
              </c:numCache>
            </c:numRef>
          </c:val>
        </c:ser>
        <c:dLbls>
          <c:showLegendKey val="0"/>
          <c:showVal val="0"/>
          <c:showCatName val="0"/>
          <c:showSerName val="0"/>
          <c:showPercent val="0"/>
          <c:showBubbleSize val="0"/>
        </c:dLbls>
        <c:gapWidth val="150"/>
        <c:axId val="101218560"/>
        <c:axId val="104736256"/>
      </c:barChart>
      <c:catAx>
        <c:axId val="1012185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736256"/>
        <c:crosses val="autoZero"/>
        <c:auto val="1"/>
        <c:lblAlgn val="ctr"/>
        <c:lblOffset val="100"/>
        <c:noMultiLvlLbl val="0"/>
      </c:catAx>
      <c:valAx>
        <c:axId val="104736256"/>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2185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一般公共预算财政拨款支出决算结构</a:t>
            </a:r>
            <a:endParaRPr lang="zh-CN" altLang="en-US" sz="1600"/>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Sheet1!$A$1:$A$2</c:f>
              <c:strCache>
                <c:ptCount val="2"/>
                <c:pt idx="0">
                  <c:v>2018年一般公共预算财政拨款支出102.32万元</c:v>
                </c:pt>
                <c:pt idx="1">
                  <c:v>医疗卫生与计划生育（类）支出102.32万元</c:v>
                </c:pt>
              </c:strCache>
            </c:strRef>
          </c:cat>
          <c:val>
            <c:numRef>
              <c:f>Sheet1!$B$1:$B$2</c:f>
              <c:numCache>
                <c:formatCode>General</c:formatCode>
                <c:ptCount val="2"/>
                <c:pt idx="1">
                  <c:v>102.32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981</Words>
  <Characters>5597</Characters>
  <Lines>46</Lines>
  <Paragraphs>13</Paragraphs>
  <TotalTime>2</TotalTime>
  <ScaleCrop>false</ScaleCrop>
  <LinksUpToDate>false</LinksUpToDate>
  <CharactersWithSpaces>6565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2022-02-22T02:18:53Z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3DE790CEC80B4FA08C7653851876FEE9</vt:lpwstr>
  </property>
</Properties>
</file>