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36"/>
          <w:szCs w:val="36"/>
        </w:rPr>
      </w:pPr>
      <w:bookmarkStart w:id="1" w:name="_Toc15396597"/>
      <w:bookmarkStart w:id="2" w:name="_Toc15377425"/>
      <w:bookmarkStart w:id="3" w:name="_Toc15377193"/>
      <w:bookmarkStart w:id="4" w:name="_Toc15396475"/>
      <w:bookmarkStart w:id="5" w:name="_Toc15378441"/>
      <w:r>
        <w:rPr>
          <w:rFonts w:ascii="黑体" w:hAnsi="黑体" w:eastAsia="黑体"/>
          <w:color w:val="000000"/>
          <w:sz w:val="36"/>
          <w:szCs w:val="36"/>
        </w:rPr>
        <w:t>201</w:t>
      </w:r>
      <w:r>
        <w:rPr>
          <w:rFonts w:hint="eastAsia" w:ascii="黑体" w:hAnsi="黑体" w:eastAsia="黑体"/>
          <w:color w:val="000000"/>
          <w:sz w:val="36"/>
          <w:szCs w:val="36"/>
        </w:rPr>
        <w:t>9</w:t>
      </w:r>
      <w:r>
        <w:rPr>
          <w:rFonts w:hint="eastAsia" w:ascii="方正小标宋简体" w:hAnsi="宋体" w:eastAsia="方正小标宋简体"/>
          <w:color w:val="000000"/>
          <w:sz w:val="36"/>
          <w:szCs w:val="36"/>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36"/>
          <w:szCs w:val="36"/>
        </w:rPr>
      </w:pPr>
    </w:p>
    <w:p>
      <w:pPr>
        <w:adjustRightInd w:val="0"/>
        <w:snapToGrid w:val="0"/>
        <w:spacing w:line="360" w:lineRule="auto"/>
        <w:jc w:val="center"/>
        <w:outlineLvl w:val="0"/>
        <w:rPr>
          <w:rFonts w:ascii="方正小标宋简体" w:hAnsi="宋体" w:eastAsia="方正小标宋简体"/>
          <w:color w:val="000000"/>
          <w:sz w:val="36"/>
          <w:szCs w:val="36"/>
        </w:rPr>
      </w:pPr>
      <w:bookmarkStart w:id="6" w:name="_Toc15377194"/>
      <w:bookmarkStart w:id="7" w:name="_Toc15378442"/>
      <w:bookmarkStart w:id="8" w:name="_Toc15377426"/>
      <w:bookmarkStart w:id="9" w:name="_Toc15396598"/>
      <w:bookmarkStart w:id="10" w:name="_Toc15396476"/>
      <w:r>
        <w:rPr>
          <w:rFonts w:hint="eastAsia" w:ascii="方正小标宋简体" w:hAnsi="宋体" w:eastAsia="方正小标宋简体"/>
          <w:color w:val="000000"/>
          <w:sz w:val="36"/>
          <w:szCs w:val="36"/>
        </w:rPr>
        <w:t>四川省</w:t>
      </w:r>
      <w:bookmarkEnd w:id="0"/>
      <w:bookmarkStart w:id="11" w:name="_Toc15306268"/>
      <w:r>
        <w:rPr>
          <w:rFonts w:hint="eastAsia" w:ascii="方正小标宋简体" w:hAnsi="宋体" w:eastAsia="方正小标宋简体"/>
          <w:color w:val="000000"/>
          <w:sz w:val="36"/>
          <w:szCs w:val="36"/>
        </w:rPr>
        <w:t>宣汉漆碑乡中心</w:t>
      </w:r>
      <w:r>
        <w:rPr>
          <w:rFonts w:eastAsia="方正小标宋简体" w:asciiTheme="minorHAnsi" w:hAnsiTheme="minorHAnsi"/>
          <w:color w:val="000000"/>
          <w:sz w:val="36"/>
          <w:szCs w:val="36"/>
        </w:rPr>
        <w:t>校</w:t>
      </w:r>
      <w:r>
        <w:rPr>
          <w:rFonts w:hint="eastAsia" w:ascii="方正小标宋简体" w:hAnsi="宋体" w:eastAsia="方正小标宋简体"/>
          <w:color w:val="000000"/>
          <w:sz w:val="36"/>
          <w:szCs w:val="36"/>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公开时间：2020年11月12日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w:t>
      </w:r>
      <w:r>
        <w:rPr>
          <w:rStyle w:val="15"/>
          <w:rFonts w:hint="eastAsia"/>
        </w:rPr>
        <w:t>9年度部门决算情况说明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bookmarkStart w:id="18" w:name="_Toc15377199"/>
      <w:bookmarkStart w:id="19" w:name="_Toc15378446"/>
    </w:p>
    <w:p>
      <w:pPr>
        <w:pStyle w:val="5"/>
        <w:adjustRightInd w:val="0"/>
        <w:snapToGrid w:val="0"/>
        <w:spacing w:before="93" w:line="600" w:lineRule="exact"/>
        <w:ind w:firstLine="588" w:firstLineChars="210"/>
        <w:rPr>
          <w:bCs/>
          <w:color w:val="000000"/>
          <w:sz w:val="32"/>
          <w:szCs w:val="32"/>
          <w:highlight w:val="yellow"/>
        </w:rPr>
      </w:pPr>
      <w:r>
        <w:rPr>
          <w:rFonts w:hint="eastAsia" w:hAnsi="仿宋_GB2312" w:cs="仿宋_GB2312"/>
          <w:sz w:val="28"/>
          <w:szCs w:val="28"/>
        </w:rPr>
        <w:t>宣汉县漆碑乡中心校辖区内一所中心校和七个村小教学点，是一所集小学教育、初中教育为一体的九年一贯制学校。</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pStyle w:val="4"/>
        <w:spacing w:before="0" w:after="0" w:line="578" w:lineRule="exact"/>
        <w:ind w:firstLine="560"/>
        <w:jc w:val="left"/>
        <w:rPr>
          <w:rFonts w:ascii="仿宋_GB2312" w:hAnsi="仿宋_GB2312" w:eastAsia="仿宋_GB2312" w:cs="仿宋_GB2312"/>
          <w:sz w:val="28"/>
          <w:szCs w:val="28"/>
        </w:rPr>
      </w:pPr>
      <w:bookmarkStart w:id="20" w:name="_Toc15396601"/>
      <w:bookmarkStart w:id="21" w:name="_Toc15377200"/>
      <w:r>
        <w:rPr>
          <w:rFonts w:hint="eastAsia" w:ascii="仿宋_GB2312" w:hAnsi="仿宋_GB2312" w:eastAsia="仿宋_GB2312" w:cs="仿宋_GB2312"/>
          <w:sz w:val="28"/>
          <w:szCs w:val="28"/>
        </w:rPr>
        <w:t>学校高举科学发展观大旗，以“办人民满意教育”为宗旨，以“让每一个孩子健康成长，快乐学习”为办学理念，开拓创新，积极探索新形式下农村教育教学工作的新途径和新方法。坚持德育为先，育人为本，加强学生良好行为习惯的养成教育，突出教学工作的中心位置，建立高效、和谐、动态、快乐课堂，提高办学效益。让安全工作为学校保驾护航，营造氛围，落实“一岗双责制度”，确保师生平安，致力校园文化建设，优化育人环境，陶冶情操。</w:t>
      </w:r>
    </w:p>
    <w:p>
      <w:pPr>
        <w:pStyle w:val="4"/>
        <w:spacing w:before="0" w:after="0" w:line="578" w:lineRule="exact"/>
        <w:ind w:firstLine="560"/>
        <w:jc w:val="left"/>
        <w:rPr>
          <w:color w:val="000000"/>
        </w:rPr>
      </w:pPr>
      <w:r>
        <w:rPr>
          <w:rFonts w:hint="eastAsia" w:ascii="仿宋_GB2312" w:hAnsi="仿宋_GB2312" w:eastAsia="仿宋_GB2312" w:cs="仿宋_GB2312"/>
          <w:sz w:val="28"/>
          <w:szCs w:val="28"/>
        </w:rPr>
        <w:t>一年来，学校先后获得“师德先进集体”、“教育教学先进集体”、 “星级平安学校”等殊荣。</w:t>
      </w:r>
    </w:p>
    <w:p>
      <w:pPr>
        <w:pStyle w:val="3"/>
        <w:rPr>
          <w:rStyle w:val="25"/>
          <w:b w:val="0"/>
          <w:bCs w:val="0"/>
        </w:rPr>
      </w:pPr>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pStyle w:val="5"/>
        <w:adjustRightInd w:val="0"/>
        <w:snapToGrid w:val="0"/>
        <w:spacing w:before="93" w:line="600" w:lineRule="exact"/>
        <w:ind w:firstLine="588" w:firstLineChars="210"/>
        <w:rPr>
          <w:color w:val="000000"/>
          <w:sz w:val="32"/>
          <w:szCs w:val="32"/>
        </w:rPr>
      </w:pPr>
      <w:bookmarkStart w:id="22" w:name="_Toc15377204"/>
      <w:bookmarkStart w:id="23" w:name="_Toc15396602"/>
      <w:r>
        <w:rPr>
          <w:rFonts w:hint="eastAsia" w:hAnsi="仿宋_GB2312" w:cs="仿宋_GB2312"/>
          <w:sz w:val="28"/>
          <w:szCs w:val="28"/>
        </w:rPr>
        <w:t>宣汉县漆碑乡中心校属财政全额拨款事业单位1个</w:t>
      </w:r>
      <w:r>
        <w:rPr>
          <w:rFonts w:hint="eastAsia"/>
          <w:color w:val="000000"/>
          <w:sz w:val="32"/>
          <w:szCs w:val="32"/>
        </w:rPr>
        <w:t>。</w:t>
      </w:r>
    </w:p>
    <w:p>
      <w:pPr>
        <w:pStyle w:val="2"/>
        <w:ind w:right="440"/>
        <w:jc w:val="right"/>
        <w:rPr>
          <w:rStyle w:val="24"/>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2019年度收、</w:t>
      </w:r>
      <w:r>
        <w:rPr>
          <w:rFonts w:ascii="仿宋" w:hAnsi="仿宋" w:eastAsia="仿宋"/>
          <w:color w:val="000000"/>
          <w:sz w:val="32"/>
          <w:szCs w:val="32"/>
        </w:rPr>
        <w:t>支</w:t>
      </w:r>
      <w:r>
        <w:rPr>
          <w:rFonts w:hint="eastAsia" w:ascii="仿宋" w:hAnsi="仿宋" w:eastAsia="仿宋"/>
          <w:color w:val="000000"/>
          <w:sz w:val="32"/>
          <w:szCs w:val="32"/>
        </w:rPr>
        <w:t>总</w:t>
      </w:r>
      <w:r>
        <w:rPr>
          <w:rFonts w:ascii="仿宋" w:hAnsi="仿宋" w:eastAsia="仿宋"/>
          <w:color w:val="000000"/>
          <w:sz w:val="32"/>
          <w:szCs w:val="32"/>
        </w:rPr>
        <w:t>计</w:t>
      </w:r>
      <w:r>
        <w:rPr>
          <w:rFonts w:hint="eastAsia" w:ascii="仿宋" w:hAnsi="仿宋" w:eastAsia="仿宋"/>
          <w:color w:val="000000"/>
          <w:sz w:val="32"/>
          <w:szCs w:val="32"/>
        </w:rPr>
        <w:t>969.96万</w:t>
      </w:r>
      <w:r>
        <w:rPr>
          <w:rFonts w:ascii="仿宋" w:hAnsi="仿宋" w:eastAsia="仿宋"/>
          <w:color w:val="000000"/>
          <w:sz w:val="32"/>
          <w:szCs w:val="32"/>
        </w:rPr>
        <w:t>元</w:t>
      </w:r>
      <w:r>
        <w:rPr>
          <w:rFonts w:hint="eastAsia" w:ascii="仿宋" w:hAnsi="仿宋" w:eastAsia="仿宋"/>
          <w:color w:val="000000"/>
          <w:sz w:val="32"/>
          <w:szCs w:val="32"/>
        </w:rPr>
        <w:t>。与2018年相比，收、支总计各增加112.58万元，上升13.13</w:t>
      </w:r>
      <w:r>
        <w:rPr>
          <w:rFonts w:ascii="仿宋" w:hAnsi="仿宋" w:eastAsia="仿宋"/>
          <w:color w:val="000000"/>
          <w:sz w:val="32"/>
          <w:szCs w:val="32"/>
        </w:rPr>
        <w:t>%</w:t>
      </w:r>
      <w:r>
        <w:rPr>
          <w:rFonts w:hint="eastAsia" w:ascii="仿宋" w:hAnsi="仿宋" w:eastAsia="仿宋"/>
          <w:color w:val="000000"/>
          <w:sz w:val="32"/>
          <w:szCs w:val="32"/>
        </w:rPr>
        <w:t>。主要变动原因是维修项目增加了。</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3360" behindDoc="0" locked="0" layoutInCell="1" allowOverlap="1">
            <wp:simplePos x="0" y="0"/>
            <wp:positionH relativeFrom="column">
              <wp:posOffset>13335</wp:posOffset>
            </wp:positionH>
            <wp:positionV relativeFrom="paragraph">
              <wp:posOffset>227965</wp:posOffset>
            </wp:positionV>
            <wp:extent cx="5183505" cy="2120900"/>
            <wp:effectExtent l="4445" t="4445" r="12700" b="825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3"/>
        <w:numPr>
          <w:ilvl w:val="0"/>
          <w:numId w:val="1"/>
        </w:numPr>
        <w:spacing w:line="600"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hint="eastAsia" w:ascii="仿宋_GB2312" w:eastAsia="仿宋_GB2312"/>
          <w:color w:val="FF0000"/>
          <w:sz w:val="32"/>
          <w:szCs w:val="32"/>
        </w:rPr>
        <w:drawing>
          <wp:anchor distT="0" distB="0" distL="114300" distR="114300" simplePos="0" relativeHeight="251665408" behindDoc="0" locked="0" layoutInCell="1" allowOverlap="1">
            <wp:simplePos x="0" y="0"/>
            <wp:positionH relativeFrom="margin">
              <wp:align>left</wp:align>
            </wp:positionH>
            <wp:positionV relativeFrom="paragraph">
              <wp:posOffset>1143000</wp:posOffset>
            </wp:positionV>
            <wp:extent cx="5274310" cy="1586230"/>
            <wp:effectExtent l="0" t="0" r="2540" b="1397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仿宋" w:hAnsi="仿宋" w:eastAsia="仿宋"/>
          <w:color w:val="000000"/>
          <w:sz w:val="32"/>
          <w:szCs w:val="32"/>
        </w:rPr>
        <w:t>201</w:t>
      </w:r>
      <w:r>
        <w:rPr>
          <w:rFonts w:hint="eastAsia" w:ascii="仿宋" w:hAnsi="仿宋" w:eastAsia="仿宋"/>
          <w:color w:val="000000"/>
          <w:sz w:val="32"/>
          <w:szCs w:val="32"/>
        </w:rPr>
        <w:t>9年本年收入合计969.96万元，其中：一般公共预算财政拨款收入969.96万元，占</w:t>
      </w:r>
      <w:r>
        <w:rPr>
          <w:rFonts w:ascii="仿宋" w:hAnsi="仿宋" w:eastAsia="仿宋"/>
          <w:color w:val="000000"/>
          <w:sz w:val="32"/>
          <w:szCs w:val="32"/>
        </w:rPr>
        <w:t>100%</w:t>
      </w:r>
      <w:r>
        <w:rPr>
          <w:rFonts w:hint="eastAsia" w:ascii="仿宋" w:hAnsi="仿宋" w:eastAsia="仿宋"/>
          <w:color w:val="000000"/>
          <w:sz w:val="32"/>
          <w:szCs w:val="32"/>
        </w:rPr>
        <w:t>。</w:t>
      </w:r>
    </w:p>
    <w:p>
      <w:pPr>
        <w:spacing w:line="600" w:lineRule="exact"/>
        <w:ind w:firstLine="640" w:firstLineChars="200"/>
        <w:outlineLvl w:val="1"/>
        <w:rPr>
          <w:rFonts w:ascii="仿宋_GB2312" w:eastAsia="仿宋_GB2312"/>
          <w:color w:val="FF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rPr>
      </w:pPr>
      <w:r>
        <w:rPr>
          <w:rFonts w:ascii="仿宋_GB2312" w:eastAsia="仿宋_GB2312"/>
          <w:color w:val="FF0000"/>
          <w:sz w:val="32"/>
          <w:szCs w:val="32"/>
        </w:rPr>
        <w:drawing>
          <wp:anchor distT="0" distB="0" distL="114300" distR="114300" simplePos="0" relativeHeight="251666432" behindDoc="1" locked="0" layoutInCell="1" allowOverlap="1">
            <wp:simplePos x="0" y="0"/>
            <wp:positionH relativeFrom="column">
              <wp:posOffset>408305</wp:posOffset>
            </wp:positionH>
            <wp:positionV relativeFrom="paragraph">
              <wp:posOffset>1242060</wp:posOffset>
            </wp:positionV>
            <wp:extent cx="5274310" cy="1579245"/>
            <wp:effectExtent l="0" t="0" r="21590" b="20955"/>
            <wp:wrapTight wrapText="bothSides">
              <wp:wrapPolygon>
                <wp:start x="0" y="0"/>
                <wp:lineTo x="0" y="21626"/>
                <wp:lineTo x="21610" y="21626"/>
                <wp:lineTo x="21610" y="0"/>
                <wp:lineTo x="0" y="0"/>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仿宋" w:hAnsi="仿宋" w:eastAsia="仿宋"/>
          <w:color w:val="000000"/>
          <w:sz w:val="32"/>
          <w:szCs w:val="32"/>
        </w:rPr>
        <w:t>201</w:t>
      </w:r>
      <w:r>
        <w:rPr>
          <w:rFonts w:hint="eastAsia" w:ascii="仿宋" w:hAnsi="仿宋" w:eastAsia="仿宋"/>
          <w:color w:val="000000"/>
          <w:sz w:val="32"/>
          <w:szCs w:val="32"/>
        </w:rPr>
        <w:t>9年本年支出合计969.96万元，其中：基本支出</w:t>
      </w:r>
      <w:r>
        <w:rPr>
          <w:rFonts w:hint="eastAsia" w:ascii="仿宋_GB2312" w:eastAsia="仿宋_GB2312"/>
          <w:color w:val="FF0000"/>
          <w:sz w:val="32"/>
          <w:szCs w:val="32"/>
        </w:rPr>
        <w:t>768.87</w:t>
      </w:r>
      <w:r>
        <w:rPr>
          <w:rFonts w:hint="eastAsia" w:ascii="仿宋" w:hAnsi="仿宋" w:eastAsia="仿宋"/>
          <w:color w:val="000000"/>
          <w:sz w:val="32"/>
          <w:szCs w:val="32"/>
        </w:rPr>
        <w:t>万元，占79</w:t>
      </w:r>
      <w:r>
        <w:rPr>
          <w:rFonts w:ascii="仿宋" w:hAnsi="仿宋" w:eastAsia="仿宋"/>
          <w:color w:val="000000"/>
          <w:sz w:val="32"/>
          <w:szCs w:val="32"/>
        </w:rPr>
        <w:t>%</w:t>
      </w:r>
      <w:r>
        <w:rPr>
          <w:rFonts w:hint="eastAsia" w:ascii="仿宋" w:hAnsi="仿宋" w:eastAsia="仿宋"/>
          <w:color w:val="000000"/>
          <w:sz w:val="32"/>
          <w:szCs w:val="32"/>
        </w:rPr>
        <w:t>；项目支出201.09万元，占21</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_GB2312" w:eastAsia="仿宋_GB2312"/>
          <w:color w:val="FF0000"/>
          <w:sz w:val="32"/>
          <w:szCs w:val="32"/>
        </w:rPr>
      </w:pPr>
    </w:p>
    <w:p>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9年财政拨款收、支总计969.96万元。与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8年相比，财政拨款收、支总计增加112.58万元，增长13</w:t>
      </w:r>
      <w:r>
        <w:rPr>
          <w:rFonts w:ascii="仿宋" w:hAnsi="仿宋" w:eastAsia="仿宋"/>
          <w:color w:val="000000"/>
          <w:sz w:val="32"/>
          <w:szCs w:val="32"/>
        </w:rPr>
        <w:t>%</w:t>
      </w:r>
      <w:r>
        <w:rPr>
          <w:rFonts w:hint="eastAsia" w:ascii="仿宋" w:hAnsi="仿宋" w:eastAsia="仿宋"/>
          <w:color w:val="000000"/>
          <w:sz w:val="32"/>
          <w:szCs w:val="32"/>
        </w:rPr>
        <w:t>。主要变动原因是由于维修项目增加。</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8480" behindDoc="0" locked="0" layoutInCell="1" allowOverlap="1">
            <wp:simplePos x="0" y="0"/>
            <wp:positionH relativeFrom="column">
              <wp:posOffset>0</wp:posOffset>
            </wp:positionH>
            <wp:positionV relativeFrom="paragraph">
              <wp:posOffset>381000</wp:posOffset>
            </wp:positionV>
            <wp:extent cx="5274310" cy="1953895"/>
            <wp:effectExtent l="0" t="0" r="2540" b="825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9年一般公共预算财政拨款支出969.96万元，占本年支出合计的</w:t>
      </w:r>
      <w:r>
        <w:rPr>
          <w:rFonts w:ascii="仿宋" w:hAnsi="仿宋" w:eastAsia="仿宋"/>
          <w:color w:val="000000"/>
          <w:sz w:val="32"/>
          <w:szCs w:val="32"/>
        </w:rPr>
        <w:t>100%</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8年相比，一般公共预算财政拨款增加112.58万元，上升13</w:t>
      </w:r>
      <w:r>
        <w:rPr>
          <w:rFonts w:ascii="仿宋" w:hAnsi="仿宋" w:eastAsia="仿宋"/>
          <w:color w:val="000000"/>
          <w:sz w:val="32"/>
          <w:szCs w:val="32"/>
        </w:rPr>
        <w:t>%</w:t>
      </w:r>
      <w:r>
        <w:rPr>
          <w:rFonts w:hint="eastAsia" w:ascii="仿宋" w:hAnsi="仿宋" w:eastAsia="仿宋"/>
          <w:color w:val="000000"/>
          <w:sz w:val="32"/>
          <w:szCs w:val="32"/>
        </w:rPr>
        <w:t>。主要变动原因是维修项目的增加。</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2"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sz w:val="32"/>
          <w:szCs w:val="32"/>
        </w:rPr>
        <w:t>969.96</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14:textFill>
            <w14:solidFill>
              <w14:schemeClr w14:val="tx1"/>
            </w14:solidFill>
          </w14:textFill>
        </w:rPr>
        <w:t>826.4</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万元，占85.2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支出69.62万元，占7.18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医疗卫生支出</w:t>
      </w:r>
      <w:r>
        <w:rPr>
          <w:rFonts w:hint="eastAsia" w:ascii="仿宋" w:hAnsi="仿宋" w:eastAsia="仿宋"/>
          <w:color w:val="000000" w:themeColor="text1"/>
          <w:sz w:val="32"/>
          <w:szCs w:val="32"/>
          <w14:textFill>
            <w14:solidFill>
              <w14:schemeClr w14:val="tx1"/>
            </w14:solidFill>
          </w14:textFill>
        </w:rPr>
        <w:t>25.97万元，占2.68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14:textFill>
            <w14:solidFill>
              <w14:schemeClr w14:val="tx1"/>
            </w14:solidFill>
          </w14:textFill>
        </w:rPr>
        <w:t>47.9</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万元，占4.94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sz w:val="32"/>
          <w:szCs w:val="32"/>
        </w:rPr>
        <w:t xml:space="preserve"> </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72576" behindDoc="0" locked="0" layoutInCell="1" allowOverlap="1">
            <wp:simplePos x="0" y="0"/>
            <wp:positionH relativeFrom="margin">
              <wp:posOffset>-79375</wp:posOffset>
            </wp:positionH>
            <wp:positionV relativeFrom="paragraph">
              <wp:posOffset>137795</wp:posOffset>
            </wp:positionV>
            <wp:extent cx="5929630" cy="2155190"/>
            <wp:effectExtent l="5080" t="4445" r="8890" b="1206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7444"/>
      <w:bookmarkStart w:id="38" w:name="_Toc15377213"/>
      <w:bookmarkStart w:id="39" w:name="_Toc15378460"/>
      <w:r>
        <w:rPr>
          <w:rFonts w:hint="eastAsia" w:ascii="仿宋" w:hAnsi="仿宋" w:eastAsia="仿宋"/>
          <w:b/>
          <w:color w:val="000000" w:themeColor="text1"/>
          <w:sz w:val="32"/>
          <w:szCs w:val="32"/>
          <w14:textFill>
            <w14:solidFill>
              <w14:schemeClr w14:val="tx1"/>
            </w14:solidFill>
          </w14:textFill>
        </w:rPr>
        <w:t>2019年般公共预算支出决算数为</w:t>
      </w:r>
      <w:r>
        <w:rPr>
          <w:rFonts w:hint="eastAsia" w:ascii="仿宋" w:hAnsi="仿宋" w:eastAsia="仿宋"/>
          <w:color w:val="000000"/>
          <w:sz w:val="32"/>
          <w:szCs w:val="32"/>
        </w:rPr>
        <w:t>969.96</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ascii="仿宋" w:hAnsi="仿宋" w:eastAsia="仿宋"/>
          <w:bCs/>
          <w:color w:val="000000"/>
          <w:sz w:val="32"/>
          <w:szCs w:val="32"/>
        </w:rPr>
        <w:t>100%</w:t>
      </w:r>
      <w:r>
        <w:rPr>
          <w:rStyle w:val="14"/>
          <w:rFonts w:hint="eastAsia" w:ascii="仿宋" w:hAnsi="仿宋" w:eastAsia="仿宋"/>
          <w:bCs/>
          <w:color w:val="000000"/>
          <w:sz w:val="32"/>
          <w:szCs w:val="32"/>
        </w:rPr>
        <w:t>。其中：</w:t>
      </w:r>
      <w:bookmarkEnd w:id="37"/>
      <w:bookmarkEnd w:id="38"/>
      <w:bookmarkEnd w:id="39"/>
    </w:p>
    <w:p>
      <w:pPr>
        <w:spacing w:line="600" w:lineRule="exact"/>
        <w:ind w:firstLine="642" w:firstLineChars="200"/>
        <w:rPr>
          <w:rStyle w:val="14"/>
          <w:rFonts w:ascii="仿宋" w:hAnsi="仿宋" w:eastAsia="仿宋"/>
          <w:b w:val="0"/>
          <w:bCs/>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教育（类）普通教育（款）学前</w:t>
      </w:r>
      <w:r>
        <w:rPr>
          <w:rStyle w:val="14"/>
          <w:rFonts w:ascii="仿宋" w:hAnsi="仿宋" w:eastAsia="仿宋"/>
          <w:bCs/>
          <w:color w:val="000000"/>
          <w:sz w:val="32"/>
          <w:szCs w:val="32"/>
        </w:rPr>
        <w:t>教育</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14:textFill>
            <w14:solidFill>
              <w14:schemeClr w14:val="tx1"/>
            </w14:solidFill>
          </w14:textFill>
        </w:rPr>
        <w:t>22.1</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42"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教育（类）普通教育（款）小学</w:t>
      </w:r>
      <w:r>
        <w:rPr>
          <w:rStyle w:val="14"/>
          <w:rFonts w:ascii="仿宋" w:hAnsi="仿宋" w:eastAsia="仿宋"/>
          <w:bCs/>
          <w:color w:val="000000"/>
          <w:sz w:val="32"/>
          <w:szCs w:val="32"/>
        </w:rPr>
        <w:t>教育</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14:textFill>
            <w14:solidFill>
              <w14:schemeClr w14:val="tx1"/>
            </w14:solidFill>
          </w14:textFill>
        </w:rPr>
        <w:t>804.3</w:t>
      </w:r>
      <w:r>
        <w:rPr>
          <w:rFonts w:hint="eastAsia" w:ascii="仿宋" w:hAnsi="仿宋" w:eastAsia="仿宋"/>
          <w:color w:val="000000" w:themeColor="text1"/>
          <w:sz w:val="32"/>
          <w:szCs w:val="32"/>
          <w:lang w:val="en-US" w:eastAsia="zh-CN"/>
          <w14:textFill>
            <w14:solidFill>
              <w14:schemeClr w14:val="tx1"/>
            </w14:solidFill>
          </w14:textFill>
        </w:rPr>
        <w:t>4</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42"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教育（类）普通教育（款）其他普通教育支出（项）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p>
    <w:p>
      <w:pPr>
        <w:spacing w:line="600" w:lineRule="exact"/>
        <w:ind w:firstLine="642" w:firstLineChars="200"/>
        <w:rPr>
          <w:rStyle w:val="14"/>
          <w:rFonts w:ascii="仿宋" w:hAnsi="仿宋" w:eastAsia="仿宋"/>
          <w:bCs/>
          <w:color w:val="000000"/>
          <w:sz w:val="32"/>
          <w:szCs w:val="32"/>
        </w:rPr>
      </w:pPr>
      <w:r>
        <w:rPr>
          <w:rStyle w:val="14"/>
          <w:rFonts w:hint="eastAsia" w:ascii="仿宋" w:hAnsi="仿宋" w:eastAsia="仿宋"/>
          <w:bCs/>
          <w:color w:val="000000"/>
          <w:sz w:val="32"/>
          <w:szCs w:val="32"/>
        </w:rPr>
        <w:t>教育（类）教育费附加安排的支出（款）其他教育费附加安排的支出（项）</w:t>
      </w:r>
      <w:r>
        <w:rPr>
          <w:rStyle w:val="14"/>
          <w:rFonts w:ascii="仿宋" w:hAnsi="仿宋" w:eastAsia="仿宋"/>
          <w:bCs/>
          <w:color w:val="000000"/>
          <w:sz w:val="32"/>
          <w:szCs w:val="32"/>
        </w:rPr>
        <w:t>:</w:t>
      </w:r>
    </w:p>
    <w:p>
      <w:pPr>
        <w:numPr>
          <w:ilvl w:val="0"/>
          <w:numId w:val="2"/>
        </w:numPr>
        <w:spacing w:line="600" w:lineRule="exact"/>
        <w:ind w:firstLine="642"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文化体育与传媒（类）其他文化体育与传媒支出（款）其他文化体育与传媒支出（项）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p>
    <w:p>
      <w:pPr>
        <w:numPr>
          <w:ilvl w:val="0"/>
          <w:numId w:val="2"/>
        </w:numPr>
        <w:spacing w:line="600" w:lineRule="exact"/>
        <w:ind w:firstLine="642"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社会保障和就业（类）行政事业单位离退休（款）机关事业单位基本养老保险缴费支出★（项）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支出决算为69.62万元，完成预算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4"/>
          <w:rFonts w:hint="eastAsia" w:ascii="仿宋" w:hAnsi="仿宋" w:eastAsia="仿宋"/>
          <w:bCs/>
          <w:color w:val="000000"/>
          <w:sz w:val="32"/>
          <w:szCs w:val="32"/>
        </w:rPr>
        <w:t>社会保障和就业（类）行政事业单位离退休（款）机关事业单位职业年金缴费支出★（项）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支出决算为69.62万元，完成预算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42" w:firstLineChars="200"/>
        <w:rPr>
          <w:rStyle w:val="14"/>
          <w:rFonts w:ascii="仿宋" w:hAnsi="仿宋" w:eastAsia="仿宋"/>
          <w:b w:val="0"/>
          <w:bCs/>
          <w:color w:val="000000"/>
          <w:sz w:val="32"/>
          <w:szCs w:val="32"/>
        </w:rPr>
      </w:pPr>
      <w:r>
        <w:rPr>
          <w:rStyle w:val="14"/>
          <w:rFonts w:ascii="仿宋" w:hAnsi="仿宋" w:eastAsia="仿宋"/>
          <w:bCs/>
          <w:color w:val="000000"/>
          <w:sz w:val="32"/>
          <w:szCs w:val="32"/>
        </w:rPr>
        <w:t>4.</w:t>
      </w:r>
      <w:r>
        <w:rPr>
          <w:rStyle w:val="14"/>
          <w:rFonts w:hint="eastAsia" w:ascii="仿宋" w:hAnsi="仿宋" w:eastAsia="仿宋"/>
          <w:bCs/>
          <w:color w:val="000000"/>
          <w:sz w:val="32"/>
          <w:szCs w:val="32"/>
          <w:lang w:eastAsia="zh-CN"/>
        </w:rPr>
        <w:t>卫生健康支出</w:t>
      </w:r>
      <w:r>
        <w:rPr>
          <w:rStyle w:val="14"/>
          <w:rFonts w:hint="eastAsia" w:ascii="仿宋" w:hAnsi="仿宋" w:eastAsia="仿宋"/>
          <w:bCs/>
          <w:color w:val="000000"/>
          <w:sz w:val="32"/>
          <w:szCs w:val="32"/>
        </w:rPr>
        <w:t>（类）行政事业单位医疗★（款）  事业单位医疗★（项）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支出决算为25.97万元，完成预算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40" w:firstLineChars="200"/>
        <w:rPr>
          <w:rStyle w:val="14"/>
          <w:rFonts w:ascii="仿宋" w:hAnsi="仿宋" w:eastAsia="仿宋"/>
          <w:b w:val="0"/>
          <w:bCs/>
          <w:color w:val="000000"/>
          <w:sz w:val="32"/>
          <w:szCs w:val="32"/>
        </w:rPr>
      </w:pPr>
      <w:r>
        <w:rPr>
          <w:rStyle w:val="14"/>
          <w:rFonts w:ascii="仿宋" w:hAnsi="仿宋" w:eastAsia="仿宋"/>
          <w:b w:val="0"/>
          <w:bCs/>
          <w:color w:val="000000"/>
          <w:sz w:val="32"/>
          <w:szCs w:val="32"/>
        </w:rPr>
        <w:t>5</w:t>
      </w:r>
      <w:r>
        <w:rPr>
          <w:rStyle w:val="14"/>
          <w:rFonts w:hint="eastAsia" w:ascii="仿宋" w:hAnsi="仿宋" w:eastAsia="仿宋"/>
          <w:b w:val="0"/>
          <w:bCs/>
          <w:color w:val="000000"/>
          <w:sz w:val="32"/>
          <w:szCs w:val="32"/>
        </w:rPr>
        <w:t>、</w:t>
      </w:r>
      <w:r>
        <w:rPr>
          <w:rStyle w:val="14"/>
          <w:rFonts w:hint="eastAsia" w:ascii="仿宋" w:hAnsi="仿宋" w:eastAsia="仿宋"/>
          <w:bCs/>
          <w:color w:val="000000"/>
          <w:sz w:val="32"/>
          <w:szCs w:val="32"/>
        </w:rPr>
        <w:t>住房保障支出（类）住房改革支出（款）住房公积金（项）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支出决算为47.9</w:t>
      </w:r>
      <w:r>
        <w:rPr>
          <w:rStyle w:val="14"/>
          <w:rFonts w:hint="eastAsia" w:ascii="仿宋" w:hAnsi="仿宋" w:eastAsia="仿宋"/>
          <w:b w:val="0"/>
          <w:bCs/>
          <w:color w:val="000000"/>
          <w:sz w:val="32"/>
          <w:szCs w:val="32"/>
          <w:lang w:val="en-US" w:eastAsia="zh-CN"/>
        </w:rPr>
        <w:t>3</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tabs>
          <w:tab w:val="right" w:pos="8306"/>
        </w:tabs>
        <w:spacing w:line="600" w:lineRule="exact"/>
        <w:ind w:firstLine="64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9年一般公共预算财政拨款基本支出768.87万元，其中：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668.95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99.92万元，主要包括：办公费、印刷费、咨询费、手续费、水费、电费、邮电费、取暖费、物业管理费、差旅费、因公出国（境）费用、维修（护）费、租赁费、会议费、培训费、公务接待费、劳务费、委托业务费、工会经费、福利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9年“三公”经费财政拨款支出决算为2.67万元，完成预算</w:t>
      </w:r>
      <w:r>
        <w:rPr>
          <w:rFonts w:ascii="仿宋" w:hAnsi="仿宋" w:eastAsia="仿宋"/>
          <w:color w:val="000000"/>
          <w:sz w:val="32"/>
          <w:szCs w:val="32"/>
        </w:rPr>
        <w:t>100%</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9年“三公”经费财政拨款支出决算中，公务接待费支出决算2.67万元，占</w:t>
      </w:r>
      <w:r>
        <w:rPr>
          <w:rFonts w:ascii="仿宋" w:hAnsi="仿宋" w:eastAsia="仿宋"/>
          <w:color w:val="000000"/>
          <w:sz w:val="32"/>
          <w:szCs w:val="32"/>
        </w:rPr>
        <w:t>100%</w:t>
      </w:r>
      <w:r>
        <w:rPr>
          <w:rFonts w:hint="eastAsia" w:ascii="仿宋" w:hAnsi="仿宋" w:eastAsia="仿宋"/>
          <w:color w:val="000000"/>
          <w:sz w:val="32"/>
          <w:szCs w:val="32"/>
        </w:rPr>
        <w:t>。</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2.67万元，</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ascii="仿宋_GB2312" w:eastAsia="仿宋_GB2312"/>
          <w:color w:val="000000"/>
          <w:sz w:val="32"/>
          <w:szCs w:val="32"/>
        </w:rPr>
        <w:t>0.</w:t>
      </w:r>
      <w:r>
        <w:rPr>
          <w:rFonts w:hint="eastAsia" w:ascii="仿宋_GB2312" w:eastAsia="仿宋_GB2312"/>
          <w:color w:val="000000"/>
          <w:sz w:val="32"/>
          <w:szCs w:val="32"/>
        </w:rPr>
        <w:t>02万元，下降0.75</w:t>
      </w:r>
      <w:r>
        <w:rPr>
          <w:rFonts w:ascii="仿宋_GB2312" w:eastAsia="仿宋_GB2312"/>
          <w:color w:val="000000"/>
          <w:sz w:val="32"/>
          <w:szCs w:val="32"/>
        </w:rPr>
        <w:t>%</w:t>
      </w:r>
      <w:r>
        <w:rPr>
          <w:rFonts w:hint="eastAsia" w:ascii="仿宋_GB2312" w:eastAsia="仿宋_GB2312"/>
          <w:color w:val="000000"/>
          <w:sz w:val="32"/>
          <w:szCs w:val="32"/>
        </w:rPr>
        <w:t>。主要原因是学校严格</w:t>
      </w:r>
      <w:r>
        <w:rPr>
          <w:rFonts w:ascii="仿宋_GB2312" w:eastAsia="仿宋_GB2312"/>
          <w:color w:val="000000"/>
          <w:sz w:val="32"/>
          <w:szCs w:val="32"/>
        </w:rPr>
        <w:t>执行上级文</w:t>
      </w:r>
      <w:r>
        <w:rPr>
          <w:rFonts w:hint="eastAsia" w:ascii="仿宋_GB2312" w:eastAsia="仿宋_GB2312"/>
          <w:color w:val="000000"/>
          <w:sz w:val="32"/>
          <w:szCs w:val="32"/>
        </w:rPr>
        <w:t>件</w:t>
      </w:r>
      <w:r>
        <w:rPr>
          <w:rFonts w:ascii="仿宋_GB2312" w:eastAsia="仿宋_GB2312"/>
          <w:color w:val="000000"/>
          <w:sz w:val="32"/>
          <w:szCs w:val="32"/>
        </w:rPr>
        <w:t>精神，厉行节约</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主要用于执行公务、开展业务活动开支的交通费、住宿费、用餐费等。国内公务接待45批次，850人次（不包括陪同人员），共计支出</w:t>
      </w:r>
      <w:r>
        <w:rPr>
          <w:rFonts w:hint="eastAsia" w:ascii="仿宋_GB2312" w:eastAsia="仿宋_GB2312"/>
          <w:color w:val="000000"/>
          <w:sz w:val="36"/>
          <w:szCs w:val="36"/>
        </w:rPr>
        <w:t>2.67</w:t>
      </w:r>
      <w:r>
        <w:rPr>
          <w:rFonts w:hint="eastAsia" w:ascii="仿宋_GB2312" w:eastAsia="仿宋_GB2312"/>
          <w:color w:val="000000"/>
          <w:sz w:val="32"/>
          <w:szCs w:val="32"/>
        </w:rPr>
        <w:t>万元，具体内容包括：</w:t>
      </w:r>
      <w:bookmarkStart w:id="46" w:name="_Toc15396610"/>
      <w:bookmarkStart w:id="47" w:name="_Toc15377218"/>
      <w:r>
        <w:rPr>
          <w:rFonts w:hint="eastAsia" w:ascii="仿宋_GB2312" w:eastAsia="仿宋_GB2312"/>
          <w:color w:val="000000"/>
          <w:sz w:val="32"/>
          <w:szCs w:val="32"/>
        </w:rPr>
        <w:t>2019年学校安全检查、食品卫生检查指导、学校发展检查指导等1.91万元，用于接待指导我校教师业务能力培训、对学生能力检测等接待费用0.76万元。</w:t>
      </w:r>
    </w:p>
    <w:p>
      <w:pPr>
        <w:spacing w:line="600" w:lineRule="exact"/>
        <w:ind w:firstLine="640" w:firstLineChars="200"/>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无</w:t>
      </w:r>
    </w:p>
    <w:p>
      <w:pPr>
        <w:numPr>
          <w:ilvl w:val="0"/>
          <w:numId w:val="3"/>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无</w:t>
      </w:r>
    </w:p>
    <w:p>
      <w:pPr>
        <w:pStyle w:val="23"/>
        <w:numPr>
          <w:ilvl w:val="0"/>
          <w:numId w:val="4"/>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spacing w:line="580" w:lineRule="exact"/>
        <w:ind w:firstLine="320" w:firstLineChars="100"/>
        <w:rPr>
          <w:rFonts w:ascii="黑体" w:hAnsi="黑体" w:eastAsia="黑体" w:cstheme="majorBidi"/>
          <w:bCs/>
          <w:sz w:val="32"/>
          <w:szCs w:val="32"/>
        </w:rPr>
      </w:pPr>
      <w:r>
        <w:rPr>
          <w:rFonts w:hint="eastAsia" w:ascii="黑体" w:hAnsi="黑体" w:eastAsia="黑体" w:cstheme="majorBidi"/>
          <w:bCs/>
          <w:sz w:val="32"/>
          <w:szCs w:val="32"/>
        </w:rPr>
        <w:t>（一）</w:t>
      </w: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w:t>
      </w:r>
      <w:r>
        <w:rPr>
          <w:rFonts w:hint="eastAsia" w:ascii="仿宋_GB2312" w:eastAsia="仿宋_GB2312"/>
          <w:color w:val="000000"/>
          <w:sz w:val="32"/>
          <w:szCs w:val="32"/>
        </w:rPr>
        <w:t>一般公共预算</w:t>
      </w:r>
      <w:r>
        <w:rPr>
          <w:rFonts w:hint="eastAsia" w:ascii="仿宋_GB2312" w:hAnsi="仿宋_GB2312" w:eastAsia="仿宋_GB2312" w:cs="仿宋_GB2312"/>
          <w:sz w:val="32"/>
          <w:szCs w:val="32"/>
        </w:rPr>
        <w:t>项目开展了预算事前绩效评估，对</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本部门按要求对2019年部门整体支出开展绩效自评，从评价情况来看各部门工作井然有序,教学工作成绩显著。</w:t>
      </w:r>
    </w:p>
    <w:p>
      <w:pPr>
        <w:spacing w:line="60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下一步改进措施：加强对项目管理，提高项目绩效的社会效益、生态效益及其使用效率。</w:t>
      </w:r>
    </w:p>
    <w:p>
      <w:pPr>
        <w:spacing w:line="580" w:lineRule="exact"/>
        <w:rPr>
          <w:rFonts w:ascii="Calibri" w:hAnsi="Calibri"/>
        </w:rPr>
      </w:pP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w:t>
      </w:r>
    </w:p>
    <w:p>
      <w:pPr>
        <w:spacing w:line="580" w:lineRule="exact"/>
        <w:rPr>
          <w:rFonts w:ascii="仿宋_GB2312" w:hAnsi="仿宋_GB2312" w:eastAsia="仿宋_GB2312" w:cs="仿宋_GB2312"/>
          <w:sz w:val="32"/>
          <w:szCs w:val="32"/>
        </w:rPr>
      </w:pPr>
    </w:p>
    <w:p>
      <w:pPr>
        <w:pStyle w:val="23"/>
        <w:numPr>
          <w:ilvl w:val="0"/>
          <w:numId w:val="5"/>
        </w:numPr>
        <w:spacing w:line="580" w:lineRule="exact"/>
        <w:ind w:firstLineChars="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pStyle w:val="23"/>
        <w:spacing w:line="580" w:lineRule="exact"/>
        <w:ind w:left="420" w:firstLine="64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本部门按要求对2019年部门整体支出绩效评价情况开展自评，《宣汉县漆碑乡</w:t>
      </w:r>
      <w:r>
        <w:rPr>
          <w:rFonts w:ascii="仿宋_GB2312" w:hAnsi="仿宋_GB2312" w:eastAsia="仿宋_GB2312" w:cs="仿宋_GB2312"/>
          <w:sz w:val="32"/>
          <w:szCs w:val="32"/>
        </w:rPr>
        <w:t>中心校</w:t>
      </w:r>
      <w:r>
        <w:rPr>
          <w:rFonts w:hint="eastAsia" w:ascii="仿宋_GB2312" w:hAnsi="仿宋_GB2312" w:eastAsia="仿宋_GB2312" w:cs="仿宋_GB2312"/>
          <w:sz w:val="32"/>
          <w:szCs w:val="32"/>
        </w:rPr>
        <w:t>2019年部门整体支出绩效评价报告》见附件。</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日，无公务用车，无</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万元以上通用设备，无单价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p>
      <w:pPr>
        <w:spacing w:line="600" w:lineRule="atLeast"/>
        <w:ind w:firstLine="642"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2" w:firstLineChars="150"/>
        <w:jc w:val="center"/>
        <w:outlineLvl w:val="0"/>
        <w:rPr>
          <w:rStyle w:val="24"/>
          <w:rFonts w:ascii="黑体" w:hAnsi="黑体" w:eastAsia="黑体"/>
          <w:b w:val="0"/>
        </w:rPr>
      </w:pPr>
      <w:bookmarkStart w:id="52" w:name="_Toc15377225"/>
      <w:bookmarkStart w:id="53"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52"/>
      <w:bookmarkEnd w:id="53"/>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4" w:name="_Toc15377226"/>
      <w:r>
        <w:rPr>
          <w:rFonts w:ascii="宋体"/>
          <w:b/>
          <w:color w:val="000000"/>
          <w:sz w:val="44"/>
          <w:szCs w:val="44"/>
        </w:rPr>
        <w:br w:type="page"/>
      </w:r>
      <w:bookmarkStart w:id="55"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5"/>
    </w:p>
    <w:p>
      <w:pPr>
        <w:spacing w:line="600" w:lineRule="exact"/>
        <w:jc w:val="center"/>
        <w:outlineLvl w:val="0"/>
        <w:rPr>
          <w:rStyle w:val="24"/>
        </w:rPr>
      </w:pPr>
    </w:p>
    <w:p>
      <w:pPr>
        <w:pStyle w:val="3"/>
        <w:rPr>
          <w:rStyle w:val="24"/>
          <w:rFonts w:ascii="仿宋" w:hAnsi="仿宋" w:eastAsia="仿宋"/>
          <w:b w:val="0"/>
          <w:bCs w:val="0"/>
          <w:sz w:val="32"/>
          <w:szCs w:val="32"/>
        </w:rPr>
      </w:pPr>
      <w:bookmarkStart w:id="56" w:name="_Toc15396615"/>
      <w:r>
        <w:rPr>
          <w:rStyle w:val="24"/>
          <w:rFonts w:hint="eastAsia" w:ascii="仿宋" w:hAnsi="仿宋" w:eastAsia="仿宋"/>
          <w:b w:val="0"/>
          <w:bCs w:val="0"/>
          <w:sz w:val="32"/>
          <w:szCs w:val="32"/>
        </w:rPr>
        <w:t>附件1</w:t>
      </w:r>
      <w:bookmarkEnd w:id="56"/>
    </w:p>
    <w:p>
      <w:pPr>
        <w:spacing w:line="600" w:lineRule="exact"/>
        <w:jc w:val="center"/>
        <w:outlineLvl w:val="0"/>
        <w:rPr>
          <w:rFonts w:ascii="黑体" w:hAnsi="黑体" w:eastAsia="黑体" w:cs="方正小标宋简体"/>
          <w:sz w:val="30"/>
          <w:szCs w:val="30"/>
        </w:rPr>
      </w:pPr>
      <w:r>
        <w:rPr>
          <w:rFonts w:hint="eastAsia" w:ascii="黑体" w:hAnsi="黑体" w:eastAsia="黑体" w:cs="方正小标宋简体"/>
          <w:sz w:val="30"/>
          <w:szCs w:val="30"/>
        </w:rPr>
        <w:t>宣汉县漆碑乡</w:t>
      </w:r>
      <w:r>
        <w:rPr>
          <w:rFonts w:ascii="黑体" w:hAnsi="黑体" w:eastAsia="黑体" w:cs="方正小标宋简体"/>
          <w:sz w:val="30"/>
          <w:szCs w:val="30"/>
        </w:rPr>
        <w:t>中心校</w:t>
      </w:r>
      <w:r>
        <w:rPr>
          <w:rFonts w:hint="eastAsia" w:ascii="黑体" w:hAnsi="黑体" w:eastAsia="黑体" w:cs="方正小标宋简体"/>
          <w:sz w:val="30"/>
          <w:szCs w:val="30"/>
        </w:rPr>
        <w:t>2019年部门整体支出绩效评价报告</w:t>
      </w: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宣汉县漆碑乡</w:t>
      </w:r>
      <w:r>
        <w:rPr>
          <w:rFonts w:ascii="仿宋_GB2312" w:hAnsi="Calibri" w:eastAsia="仿宋_GB2312" w:cs="仿宋"/>
          <w:color w:val="000000"/>
          <w:kern w:val="0"/>
          <w:sz w:val="32"/>
          <w:szCs w:val="32"/>
        </w:rPr>
        <w:t>中心校</w:t>
      </w:r>
      <w:r>
        <w:rPr>
          <w:rFonts w:hint="eastAsia" w:ascii="仿宋_GB2312" w:hAnsi="Calibri" w:eastAsia="仿宋_GB2312" w:cs="仿宋"/>
          <w:color w:val="000000"/>
          <w:kern w:val="0"/>
          <w:sz w:val="32"/>
          <w:szCs w:val="32"/>
        </w:rPr>
        <w:t>是一所九年</w:t>
      </w:r>
      <w:r>
        <w:rPr>
          <w:rFonts w:ascii="仿宋_GB2312" w:hAnsi="Calibri" w:eastAsia="仿宋_GB2312" w:cs="仿宋"/>
          <w:color w:val="000000"/>
          <w:kern w:val="0"/>
          <w:sz w:val="32"/>
          <w:szCs w:val="32"/>
        </w:rPr>
        <w:t>一贯制学校</w:t>
      </w:r>
      <w:r>
        <w:rPr>
          <w:rFonts w:hint="eastAsia" w:ascii="仿宋_GB2312" w:hAnsi="Calibri" w:eastAsia="仿宋_GB2312" w:cs="仿宋"/>
          <w:color w:val="000000"/>
          <w:kern w:val="0"/>
          <w:sz w:val="32"/>
          <w:szCs w:val="32"/>
        </w:rPr>
        <w:t>,主管部门为宣汉县教育科技局。</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snapToGrid w:val="0"/>
        <w:spacing w:line="52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宣汉县漆碑乡</w:t>
      </w:r>
      <w:r>
        <w:rPr>
          <w:rFonts w:ascii="仿宋_GB2312" w:hAnsi="Calibri" w:eastAsia="仿宋_GB2312" w:cs="仿宋"/>
          <w:color w:val="000000"/>
          <w:kern w:val="0"/>
          <w:sz w:val="32"/>
          <w:szCs w:val="32"/>
        </w:rPr>
        <w:t>中心校</w:t>
      </w:r>
      <w:r>
        <w:rPr>
          <w:rFonts w:hint="eastAsia" w:ascii="仿宋_GB2312" w:hAnsi="Calibri" w:eastAsia="仿宋_GB2312" w:cs="仿宋"/>
          <w:color w:val="000000"/>
          <w:kern w:val="0"/>
          <w:sz w:val="32"/>
          <w:szCs w:val="32"/>
        </w:rPr>
        <w:t>的基本职能和主要工作是：</w:t>
      </w:r>
      <w:r>
        <w:rPr>
          <w:rFonts w:hint="eastAsia" w:ascii="仿宋_GB2312" w:eastAsia="仿宋_GB2312"/>
          <w:color w:val="000000"/>
          <w:sz w:val="32"/>
          <w:szCs w:val="32"/>
        </w:rPr>
        <w:t>学校高举科学发展观大旗，以“办人民满意教育”为宗旨，以“让每一个孩子健康成长，快乐学习”为办学理念，开拓创新，积极探索新形式下农村教育教学工作的新途径和新方法。坚持德育为先，育人为本，加强学生良好行为习惯的养成教育，突出教学工作的中心位置，建立高效、和谐、动态、快乐课堂，提高办学效益。让安全工作为学校保驾护航，营造氛围，落实“一岗双责制度”，确保师生平安，致力校园文化建设，优化育人环境，陶冶情操。</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napToGrid w:val="0"/>
        <w:spacing w:line="520" w:lineRule="exact"/>
        <w:ind w:firstLine="640" w:firstLineChars="200"/>
        <w:rPr>
          <w:rFonts w:ascii="仿宋" w:hAnsi="仿宋" w:eastAsia="仿宋" w:cs="仿宋_GB2312"/>
          <w:sz w:val="32"/>
          <w:szCs w:val="32"/>
        </w:rPr>
      </w:pPr>
      <w:r>
        <w:rPr>
          <w:rFonts w:hint="eastAsia" w:ascii="仿宋_GB2312" w:eastAsia="仿宋_GB2312"/>
          <w:color w:val="000000"/>
          <w:sz w:val="32"/>
          <w:szCs w:val="32"/>
        </w:rPr>
        <w:t>宣汉县漆碑乡中心校是所集小学教育、初中教育为一体的九年一贯制义务教育学校。辖区内一所中心校和7所村小2个教学点。宣汉县漆碑乡中心校核编54人，现有在岗职工59人，其中在职职工40人，特岗教师19人，遗属6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2019年收入合计969.96万元，全部为一般公共预算财政拨款收入。</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58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2019年一般公共预算财政拨款支出969.96万元，主要用于以下方面:教育支出826.4</w:t>
      </w:r>
      <w:r>
        <w:rPr>
          <w:rFonts w:hint="eastAsia" w:ascii="仿宋_GB2312" w:hAnsi="Calibri" w:eastAsia="仿宋_GB2312" w:cs="仿宋"/>
          <w:color w:val="000000"/>
          <w:kern w:val="0"/>
          <w:sz w:val="32"/>
          <w:szCs w:val="32"/>
          <w:lang w:val="en-US" w:eastAsia="zh-CN"/>
        </w:rPr>
        <w:t>4</w:t>
      </w:r>
      <w:r>
        <w:rPr>
          <w:rFonts w:hint="eastAsia" w:ascii="仿宋_GB2312" w:hAnsi="Calibri" w:eastAsia="仿宋_GB2312" w:cs="仿宋"/>
          <w:color w:val="000000"/>
          <w:kern w:val="0"/>
          <w:sz w:val="32"/>
          <w:szCs w:val="32"/>
        </w:rPr>
        <w:t>万元，社会保障和就业支出69.62万元，医疗卫生与计划生育支出25.97万元，住房保障支出47.9</w:t>
      </w:r>
      <w:r>
        <w:rPr>
          <w:rFonts w:hint="eastAsia" w:ascii="仿宋_GB2312" w:hAnsi="Calibri" w:eastAsia="仿宋_GB2312" w:cs="仿宋"/>
          <w:color w:val="000000"/>
          <w:kern w:val="0"/>
          <w:sz w:val="32"/>
          <w:szCs w:val="32"/>
          <w:lang w:val="en-US" w:eastAsia="zh-CN"/>
        </w:rPr>
        <w:t>3</w:t>
      </w:r>
      <w:r>
        <w:rPr>
          <w:rFonts w:hint="eastAsia" w:ascii="仿宋_GB2312" w:hAnsi="Calibri" w:eastAsia="仿宋_GB2312" w:cs="仿宋"/>
          <w:color w:val="000000"/>
          <w:kern w:val="0"/>
          <w:sz w:val="32"/>
          <w:szCs w:val="32"/>
        </w:rPr>
        <w:t>万元。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2019年度宣汉县漆碑乡</w:t>
      </w:r>
      <w:r>
        <w:rPr>
          <w:rFonts w:ascii="仿宋_GB2312" w:hAnsi="Calibri" w:eastAsia="仿宋_GB2312" w:cs="仿宋"/>
          <w:color w:val="000000"/>
          <w:kern w:val="0"/>
          <w:sz w:val="32"/>
          <w:szCs w:val="32"/>
        </w:rPr>
        <w:t>中心校</w:t>
      </w:r>
      <w:r>
        <w:rPr>
          <w:rFonts w:hint="eastAsia" w:ascii="仿宋_GB2312" w:hAnsi="Calibri" w:eastAsia="仿宋_GB2312" w:cs="仿宋"/>
          <w:color w:val="000000"/>
          <w:kern w:val="0"/>
          <w:sz w:val="32"/>
          <w:szCs w:val="32"/>
        </w:rPr>
        <w:t>履职效益情况良好，认真遵守各项财务规章制度，严格执行各项支出审批程序，确保专款专用，无截留、挤占或挪用现象</w:t>
      </w:r>
      <w:r>
        <w:rPr>
          <w:rFonts w:ascii="仿宋_GB2312" w:hAnsi="Calibri" w:eastAsia="仿宋_GB2312" w:cs="仿宋"/>
          <w:color w:val="000000"/>
          <w:kern w:val="0"/>
          <w:sz w:val="32"/>
          <w:szCs w:val="32"/>
        </w:rPr>
        <w:t>发生</w:t>
      </w:r>
      <w:r>
        <w:rPr>
          <w:rFonts w:hint="eastAsia" w:ascii="仿宋_GB2312" w:hAnsi="Calibri" w:eastAsia="仿宋_GB2312" w:cs="仿宋"/>
          <w:color w:val="000000"/>
          <w:kern w:val="0"/>
          <w:sz w:val="32"/>
          <w:szCs w:val="32"/>
        </w:rPr>
        <w:t>。“三公”经费按预算执行、努力节约经费。项目按计划组织实施，确保专项资金合理使用，切实提高资金效益。部门整体支出绩效情况如下：</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1、在原来相对健全的财务管理制度基础上，适时地、针对性地进行了根据</w:t>
      </w:r>
      <w:r>
        <w:rPr>
          <w:rFonts w:ascii="仿宋_GB2312" w:hAnsi="Calibri" w:eastAsia="仿宋_GB2312" w:cs="仿宋"/>
          <w:color w:val="000000"/>
          <w:kern w:val="0"/>
          <w:sz w:val="32"/>
          <w:szCs w:val="32"/>
        </w:rPr>
        <w:t>实际情况</w:t>
      </w:r>
      <w:r>
        <w:rPr>
          <w:rFonts w:hint="eastAsia" w:ascii="仿宋_GB2312" w:hAnsi="Calibri" w:eastAsia="仿宋_GB2312" w:cs="仿宋"/>
          <w:color w:val="000000"/>
          <w:kern w:val="0"/>
          <w:sz w:val="32"/>
          <w:szCs w:val="32"/>
        </w:rPr>
        <w:t>进行</w:t>
      </w:r>
      <w:r>
        <w:rPr>
          <w:rFonts w:ascii="仿宋_GB2312" w:hAnsi="Calibri" w:eastAsia="仿宋_GB2312" w:cs="仿宋"/>
          <w:color w:val="000000"/>
          <w:kern w:val="0"/>
          <w:sz w:val="32"/>
          <w:szCs w:val="32"/>
        </w:rPr>
        <w:t>修订，</w:t>
      </w:r>
      <w:r>
        <w:rPr>
          <w:rFonts w:hint="eastAsia" w:ascii="仿宋_GB2312" w:hAnsi="Calibri" w:eastAsia="仿宋_GB2312" w:cs="仿宋"/>
          <w:color w:val="000000"/>
          <w:kern w:val="0"/>
          <w:sz w:val="32"/>
          <w:szCs w:val="32"/>
        </w:rPr>
        <w:t>制度的建立更为完善。</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2、认</w:t>
      </w:r>
      <w:r>
        <w:rPr>
          <w:rFonts w:ascii="仿宋_GB2312" w:hAnsi="Calibri" w:eastAsia="仿宋_GB2312" w:cs="仿宋"/>
          <w:color w:val="000000"/>
          <w:kern w:val="0"/>
          <w:sz w:val="32"/>
          <w:szCs w:val="32"/>
        </w:rPr>
        <w:t>真</w:t>
      </w:r>
      <w:r>
        <w:rPr>
          <w:rFonts w:hint="eastAsia" w:ascii="仿宋_GB2312" w:hAnsi="Calibri" w:eastAsia="仿宋_GB2312" w:cs="仿宋"/>
          <w:color w:val="000000"/>
          <w:kern w:val="0"/>
          <w:sz w:val="32"/>
          <w:szCs w:val="32"/>
        </w:rPr>
        <w:t>贯彻落实中央</w:t>
      </w:r>
      <w:bookmarkStart w:id="71" w:name="_GoBack"/>
      <w:bookmarkEnd w:id="71"/>
      <w:r>
        <w:rPr>
          <w:rFonts w:hint="eastAsia" w:ascii="仿宋_GB2312" w:hAnsi="Calibri" w:eastAsia="仿宋_GB2312" w:cs="仿宋"/>
          <w:color w:val="000000"/>
          <w:kern w:val="0"/>
          <w:sz w:val="32"/>
          <w:szCs w:val="32"/>
        </w:rPr>
        <w:t>八项规定和省、市相关文件精神。进一步加强“三公”经费管理，严格执行党政机关公务接待管理规定，尽力压缩“三公”经费等行政支出。</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3、努力</w:t>
      </w:r>
      <w:r>
        <w:rPr>
          <w:rFonts w:ascii="仿宋_GB2312" w:hAnsi="Calibri" w:eastAsia="仿宋_GB2312" w:cs="仿宋"/>
          <w:color w:val="000000"/>
          <w:kern w:val="0"/>
          <w:sz w:val="32"/>
          <w:szCs w:val="32"/>
        </w:rPr>
        <w:t>改善</w:t>
      </w:r>
      <w:r>
        <w:rPr>
          <w:rFonts w:hint="eastAsia" w:ascii="仿宋_GB2312" w:hAnsi="Calibri" w:eastAsia="仿宋_GB2312" w:cs="仿宋"/>
          <w:color w:val="000000"/>
          <w:kern w:val="0"/>
          <w:sz w:val="32"/>
          <w:szCs w:val="32"/>
        </w:rPr>
        <w:t>教师办公条件，给教育教学工作带来了很大的帮助，同时也提高了教师的工作积极性。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一是加强领导责任意识，落实管理责任；二是加强资金管理制度建设，确保机构健全、分工明确；三是加强资金支出管理，严格支出标准和范围，确保专款专用，无截留、挤占或挪用。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将绩效评价结果作为以后年度安排预算的依据，优化资源配置。</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r>
        <w:rPr>
          <w:rFonts w:hint="eastAsia" w:ascii="仿宋" w:hAnsi="仿宋" w:eastAsia="仿宋" w:cs="仿宋_GB2312"/>
          <w:sz w:val="32"/>
          <w:szCs w:val="32"/>
        </w:rPr>
        <w:t>：优良</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由于我校缺编严重，交通闭塞，故而我校本年度聘请了很多临时代课老师，学校用于临聘教师资金较多，严重制约了学校的发展。</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仿宋" w:eastAsia="仿宋_GB2312"/>
          <w:sz w:val="32"/>
          <w:szCs w:val="32"/>
        </w:rPr>
        <w:t>认真加强财务管理、及时进行预算，校长是第一负责人，亲自审核把关，学校</w:t>
      </w:r>
      <w:r>
        <w:rPr>
          <w:rFonts w:hint="eastAsia" w:ascii="仿宋_GB2312" w:hAnsi="Calibri" w:eastAsia="仿宋_GB2312" w:cs="仿宋"/>
          <w:color w:val="000000"/>
          <w:kern w:val="0"/>
          <w:sz w:val="32"/>
          <w:szCs w:val="32"/>
        </w:rPr>
        <w:t>厉行节约，开源节流，严格控制支出，根据学校实际有计划地减少临聘人员，合理地运用资金，促进学校不断向前发展。</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600" w:lineRule="exact"/>
        <w:jc w:val="center"/>
        <w:outlineLvl w:val="0"/>
        <w:rPr>
          <w:rStyle w:val="24"/>
          <w:rFonts w:ascii="黑体" w:hAnsi="黑体" w:eastAsia="黑体"/>
          <w:b w:val="0"/>
        </w:rPr>
      </w:pPr>
      <w:bookmarkStart w:id="57"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4"/>
      <w:bookmarkEnd w:id="57"/>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8"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58"/>
    </w:p>
    <w:p>
      <w:pPr>
        <w:pStyle w:val="3"/>
        <w:rPr>
          <w:rFonts w:ascii="仿宋" w:hAnsi="仿宋" w:eastAsia="仿宋"/>
          <w:color w:val="000000"/>
        </w:rPr>
      </w:pPr>
      <w:bookmarkStart w:id="59" w:name="_Toc15396620"/>
      <w:r>
        <w:rPr>
          <w:rFonts w:hint="eastAsia" w:ascii="仿宋" w:hAnsi="仿宋" w:eastAsia="仿宋"/>
          <w:b w:val="0"/>
          <w:color w:val="000000"/>
        </w:rPr>
        <w:t>二、收</w:t>
      </w:r>
      <w:r>
        <w:rPr>
          <w:rStyle w:val="25"/>
          <w:rFonts w:hint="eastAsia" w:ascii="仿宋" w:hAnsi="仿宋" w:eastAsia="仿宋"/>
          <w:b w:val="0"/>
          <w:bCs w:val="0"/>
        </w:rPr>
        <w:t>入</w:t>
      </w:r>
      <w:bookmarkEnd w:id="59"/>
      <w:r>
        <w:rPr>
          <w:rStyle w:val="25"/>
          <w:rFonts w:hint="eastAsia" w:ascii="仿宋" w:hAnsi="仿宋" w:eastAsia="仿宋"/>
          <w:b w:val="0"/>
          <w:bCs w:val="0"/>
        </w:rPr>
        <w:t>决算表</w:t>
      </w:r>
    </w:p>
    <w:p>
      <w:pPr>
        <w:pStyle w:val="3"/>
        <w:rPr>
          <w:rFonts w:ascii="仿宋" w:hAnsi="仿宋" w:eastAsia="仿宋"/>
          <w:color w:val="000000"/>
        </w:rPr>
      </w:pPr>
      <w:bookmarkStart w:id="60"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w:t>
      </w:r>
      <w:bookmarkEnd w:id="60"/>
      <w:r>
        <w:rPr>
          <w:rStyle w:val="25"/>
          <w:rFonts w:hint="eastAsia" w:ascii="仿宋" w:hAnsi="仿宋" w:eastAsia="仿宋"/>
          <w:b w:val="0"/>
          <w:bCs w:val="0"/>
        </w:rPr>
        <w:t>决算表</w:t>
      </w:r>
    </w:p>
    <w:p>
      <w:pPr>
        <w:pStyle w:val="3"/>
        <w:rPr>
          <w:rFonts w:ascii="仿宋" w:hAnsi="仿宋" w:eastAsia="仿宋"/>
          <w:b w:val="0"/>
          <w:color w:val="000000"/>
        </w:rPr>
      </w:pPr>
      <w:bookmarkStart w:id="61"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1"/>
    </w:p>
    <w:p>
      <w:pPr>
        <w:pStyle w:val="3"/>
        <w:rPr>
          <w:rFonts w:ascii="仿宋" w:hAnsi="仿宋" w:eastAsia="仿宋"/>
          <w:color w:val="000000"/>
        </w:rPr>
      </w:pPr>
      <w:bookmarkStart w:id="62"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2"/>
    </w:p>
    <w:p>
      <w:pPr>
        <w:pStyle w:val="3"/>
        <w:rPr>
          <w:rFonts w:ascii="仿宋" w:hAnsi="仿宋" w:eastAsia="仿宋"/>
          <w:color w:val="000000"/>
        </w:rPr>
      </w:pPr>
      <w:bookmarkStart w:id="63"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3"/>
    </w:p>
    <w:p>
      <w:pPr>
        <w:pStyle w:val="3"/>
        <w:rPr>
          <w:rFonts w:ascii="仿宋" w:hAnsi="仿宋" w:eastAsia="仿宋"/>
          <w:color w:val="000000"/>
        </w:rPr>
      </w:pPr>
      <w:bookmarkStart w:id="64"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4"/>
    </w:p>
    <w:p>
      <w:pPr>
        <w:pStyle w:val="3"/>
        <w:rPr>
          <w:rFonts w:ascii="仿宋" w:hAnsi="仿宋" w:eastAsia="仿宋"/>
          <w:color w:val="000000"/>
        </w:rPr>
      </w:pPr>
      <w:bookmarkStart w:id="65"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5"/>
    </w:p>
    <w:p>
      <w:pPr>
        <w:pStyle w:val="3"/>
        <w:rPr>
          <w:rFonts w:ascii="仿宋" w:hAnsi="仿宋" w:eastAsia="仿宋"/>
          <w:color w:val="000000"/>
        </w:rPr>
      </w:pPr>
      <w:bookmarkStart w:id="66"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6"/>
    </w:p>
    <w:p>
      <w:pPr>
        <w:pStyle w:val="3"/>
        <w:rPr>
          <w:rFonts w:ascii="仿宋" w:hAnsi="仿宋" w:eastAsia="仿宋"/>
          <w:color w:val="000000"/>
        </w:rPr>
      </w:pPr>
      <w:bookmarkStart w:id="67"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7"/>
    </w:p>
    <w:p>
      <w:pPr>
        <w:pStyle w:val="3"/>
        <w:rPr>
          <w:rFonts w:ascii="仿宋" w:hAnsi="仿宋" w:eastAsia="仿宋"/>
          <w:color w:val="000000"/>
        </w:rPr>
      </w:pPr>
      <w:bookmarkStart w:id="68"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68"/>
    </w:p>
    <w:p>
      <w:pPr>
        <w:pStyle w:val="3"/>
        <w:rPr>
          <w:rFonts w:ascii="仿宋" w:hAnsi="仿宋" w:eastAsia="仿宋"/>
          <w:color w:val="000000"/>
        </w:rPr>
      </w:pPr>
      <w:bookmarkStart w:id="69"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69"/>
    </w:p>
    <w:p>
      <w:pPr>
        <w:pStyle w:val="3"/>
        <w:rPr>
          <w:rFonts w:ascii="仿宋" w:hAnsi="仿宋" w:eastAsia="仿宋"/>
          <w:color w:val="000000" w:themeColor="text1"/>
          <w14:textFill>
            <w14:solidFill>
              <w14:schemeClr w14:val="tx1"/>
            </w14:solidFill>
          </w14:textFill>
        </w:rPr>
      </w:pPr>
      <w:bookmarkStart w:id="70"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0"/>
    </w:p>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18</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359AD9"/>
    <w:multiLevelType w:val="singleLevel"/>
    <w:tmpl w:val="CE359AD9"/>
    <w:lvl w:ilvl="0" w:tentative="0">
      <w:start w:val="2"/>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5">
    <w:nsid w:val="48BE5F42"/>
    <w:multiLevelType w:val="multilevel"/>
    <w:tmpl w:val="48BE5F42"/>
    <w:lvl w:ilvl="0" w:tentative="0">
      <w:start w:val="2"/>
      <w:numFmt w:val="japaneseCounting"/>
      <w:lvlText w:val="（%1）"/>
      <w:lvlJc w:val="left"/>
      <w:pPr>
        <w:ind w:left="1080" w:hanging="1080"/>
      </w:pPr>
      <w:rPr>
        <w:rFonts w:hint="default" w:cs="楷体_GB2312"/>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00EE9"/>
    <w:rsid w:val="000222C6"/>
    <w:rsid w:val="0002549F"/>
    <w:rsid w:val="00032764"/>
    <w:rsid w:val="00042827"/>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026DD"/>
    <w:rsid w:val="00114E9B"/>
    <w:rsid w:val="0014729F"/>
    <w:rsid w:val="00157BAB"/>
    <w:rsid w:val="001654D1"/>
    <w:rsid w:val="0018106D"/>
    <w:rsid w:val="001877A7"/>
    <w:rsid w:val="00191536"/>
    <w:rsid w:val="00196687"/>
    <w:rsid w:val="001B5337"/>
    <w:rsid w:val="001C0962"/>
    <w:rsid w:val="001D7531"/>
    <w:rsid w:val="001E737D"/>
    <w:rsid w:val="001F0592"/>
    <w:rsid w:val="001F7506"/>
    <w:rsid w:val="002006CD"/>
    <w:rsid w:val="00202B36"/>
    <w:rsid w:val="002043F5"/>
    <w:rsid w:val="00204B7A"/>
    <w:rsid w:val="0021101A"/>
    <w:rsid w:val="00220536"/>
    <w:rsid w:val="00224FA6"/>
    <w:rsid w:val="00235629"/>
    <w:rsid w:val="00247EB2"/>
    <w:rsid w:val="00260C38"/>
    <w:rsid w:val="002616C0"/>
    <w:rsid w:val="002662AA"/>
    <w:rsid w:val="00280496"/>
    <w:rsid w:val="00295495"/>
    <w:rsid w:val="002A2B82"/>
    <w:rsid w:val="002B25FE"/>
    <w:rsid w:val="002B2613"/>
    <w:rsid w:val="002F1818"/>
    <w:rsid w:val="002F567B"/>
    <w:rsid w:val="00320CE8"/>
    <w:rsid w:val="003216A9"/>
    <w:rsid w:val="0035192A"/>
    <w:rsid w:val="0037013F"/>
    <w:rsid w:val="00380C92"/>
    <w:rsid w:val="00391BBF"/>
    <w:rsid w:val="003A484F"/>
    <w:rsid w:val="003A6094"/>
    <w:rsid w:val="003B0BE0"/>
    <w:rsid w:val="003B0C1B"/>
    <w:rsid w:val="003B33FC"/>
    <w:rsid w:val="003B4C81"/>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D2B79"/>
    <w:rsid w:val="004E0A2D"/>
    <w:rsid w:val="004E206B"/>
    <w:rsid w:val="004E6DF7"/>
    <w:rsid w:val="004F0FBD"/>
    <w:rsid w:val="0050086D"/>
    <w:rsid w:val="00505A47"/>
    <w:rsid w:val="00512FDA"/>
    <w:rsid w:val="005170B0"/>
    <w:rsid w:val="00520DA0"/>
    <w:rsid w:val="005631B7"/>
    <w:rsid w:val="005664BB"/>
    <w:rsid w:val="0057481D"/>
    <w:rsid w:val="0058486E"/>
    <w:rsid w:val="005B2FB9"/>
    <w:rsid w:val="005C730D"/>
    <w:rsid w:val="005D1C8B"/>
    <w:rsid w:val="005D5CED"/>
    <w:rsid w:val="005F1A4C"/>
    <w:rsid w:val="00603D25"/>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C3F20"/>
    <w:rsid w:val="006F020C"/>
    <w:rsid w:val="00703C4F"/>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062A"/>
    <w:rsid w:val="008B768C"/>
    <w:rsid w:val="008C4DB1"/>
    <w:rsid w:val="008C4EAF"/>
    <w:rsid w:val="008C5176"/>
    <w:rsid w:val="008C7FD0"/>
    <w:rsid w:val="008E1DE7"/>
    <w:rsid w:val="008E707C"/>
    <w:rsid w:val="00900B08"/>
    <w:rsid w:val="00902155"/>
    <w:rsid w:val="00902FA3"/>
    <w:rsid w:val="0090792B"/>
    <w:rsid w:val="009127C7"/>
    <w:rsid w:val="00923564"/>
    <w:rsid w:val="0092392E"/>
    <w:rsid w:val="009315F9"/>
    <w:rsid w:val="00946945"/>
    <w:rsid w:val="00950A86"/>
    <w:rsid w:val="00951248"/>
    <w:rsid w:val="0095152F"/>
    <w:rsid w:val="00954C49"/>
    <w:rsid w:val="0097099F"/>
    <w:rsid w:val="00971997"/>
    <w:rsid w:val="00971FFC"/>
    <w:rsid w:val="0098660A"/>
    <w:rsid w:val="009931C3"/>
    <w:rsid w:val="009B2C43"/>
    <w:rsid w:val="009B4EAE"/>
    <w:rsid w:val="009B7573"/>
    <w:rsid w:val="009C22F4"/>
    <w:rsid w:val="009C28B0"/>
    <w:rsid w:val="009C2E98"/>
    <w:rsid w:val="009D3447"/>
    <w:rsid w:val="009D3C5C"/>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19E6"/>
    <w:rsid w:val="00A93B00"/>
    <w:rsid w:val="00A93C21"/>
    <w:rsid w:val="00A9750B"/>
    <w:rsid w:val="00AC3C6A"/>
    <w:rsid w:val="00AD5620"/>
    <w:rsid w:val="00AD7C1B"/>
    <w:rsid w:val="00AE16BA"/>
    <w:rsid w:val="00AE1EBE"/>
    <w:rsid w:val="00B03C9D"/>
    <w:rsid w:val="00B060AE"/>
    <w:rsid w:val="00B10517"/>
    <w:rsid w:val="00B14E76"/>
    <w:rsid w:val="00B161B8"/>
    <w:rsid w:val="00B17CD3"/>
    <w:rsid w:val="00B2048C"/>
    <w:rsid w:val="00B310B9"/>
    <w:rsid w:val="00B35F3F"/>
    <w:rsid w:val="00B36CBB"/>
    <w:rsid w:val="00B425E0"/>
    <w:rsid w:val="00B440AA"/>
    <w:rsid w:val="00B44B70"/>
    <w:rsid w:val="00B53C56"/>
    <w:rsid w:val="00B566A0"/>
    <w:rsid w:val="00B734BF"/>
    <w:rsid w:val="00B77EA6"/>
    <w:rsid w:val="00B81598"/>
    <w:rsid w:val="00B841F1"/>
    <w:rsid w:val="00B944D6"/>
    <w:rsid w:val="00BA0283"/>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3B1C"/>
    <w:rsid w:val="00CC666F"/>
    <w:rsid w:val="00CD1E3F"/>
    <w:rsid w:val="00CE44F6"/>
    <w:rsid w:val="00CE49DA"/>
    <w:rsid w:val="00CE7B61"/>
    <w:rsid w:val="00D00095"/>
    <w:rsid w:val="00D20620"/>
    <w:rsid w:val="00D26091"/>
    <w:rsid w:val="00D34E7C"/>
    <w:rsid w:val="00D35489"/>
    <w:rsid w:val="00D36BC5"/>
    <w:rsid w:val="00D51276"/>
    <w:rsid w:val="00D630D3"/>
    <w:rsid w:val="00D7035F"/>
    <w:rsid w:val="00DA65AC"/>
    <w:rsid w:val="00DB1913"/>
    <w:rsid w:val="00DC410D"/>
    <w:rsid w:val="00DC53B5"/>
    <w:rsid w:val="00DC68CA"/>
    <w:rsid w:val="00DC7CBA"/>
    <w:rsid w:val="00DD4C18"/>
    <w:rsid w:val="00DD73B7"/>
    <w:rsid w:val="00DF28BC"/>
    <w:rsid w:val="00DF34B9"/>
    <w:rsid w:val="00DF7074"/>
    <w:rsid w:val="00E01053"/>
    <w:rsid w:val="00E07ACF"/>
    <w:rsid w:val="00E15FA7"/>
    <w:rsid w:val="00E331A1"/>
    <w:rsid w:val="00E33202"/>
    <w:rsid w:val="00E336A9"/>
    <w:rsid w:val="00E50624"/>
    <w:rsid w:val="00E568DF"/>
    <w:rsid w:val="00E64269"/>
    <w:rsid w:val="00E82267"/>
    <w:rsid w:val="00EA010F"/>
    <w:rsid w:val="00EC2F55"/>
    <w:rsid w:val="00ED1B63"/>
    <w:rsid w:val="00ED3C1F"/>
    <w:rsid w:val="00ED4085"/>
    <w:rsid w:val="00ED420E"/>
    <w:rsid w:val="00EE116E"/>
    <w:rsid w:val="00EE2F57"/>
    <w:rsid w:val="00EE435C"/>
    <w:rsid w:val="00EF4C34"/>
    <w:rsid w:val="00EF77C6"/>
    <w:rsid w:val="00F05438"/>
    <w:rsid w:val="00F07C1F"/>
    <w:rsid w:val="00F1361C"/>
    <w:rsid w:val="00F160C7"/>
    <w:rsid w:val="00F3593D"/>
    <w:rsid w:val="00F36D8F"/>
    <w:rsid w:val="00F417B1"/>
    <w:rsid w:val="00F602DF"/>
    <w:rsid w:val="00F81FD9"/>
    <w:rsid w:val="00F841AA"/>
    <w:rsid w:val="00F953FB"/>
    <w:rsid w:val="00FA23E8"/>
    <w:rsid w:val="00FB433F"/>
    <w:rsid w:val="00FD3CC1"/>
    <w:rsid w:val="00FF1E02"/>
    <w:rsid w:val="00FF30B4"/>
    <w:rsid w:val="00FF5601"/>
    <w:rsid w:val="0FD723C9"/>
    <w:rsid w:val="102F7939"/>
    <w:rsid w:val="10C055FF"/>
    <w:rsid w:val="11B30329"/>
    <w:rsid w:val="16825078"/>
    <w:rsid w:val="16B55B2D"/>
    <w:rsid w:val="16BB723D"/>
    <w:rsid w:val="18B13408"/>
    <w:rsid w:val="240371BF"/>
    <w:rsid w:val="26702041"/>
    <w:rsid w:val="29FD04D3"/>
    <w:rsid w:val="31650E11"/>
    <w:rsid w:val="319F7F4E"/>
    <w:rsid w:val="32BD7F78"/>
    <w:rsid w:val="3B0F7202"/>
    <w:rsid w:val="3F395E0B"/>
    <w:rsid w:val="56560983"/>
    <w:rsid w:val="5BA75435"/>
    <w:rsid w:val="5D1237F8"/>
    <w:rsid w:val="66466E6E"/>
    <w:rsid w:val="6CF205D2"/>
    <w:rsid w:val="72187423"/>
    <w:rsid w:val="76785E3C"/>
    <w:rsid w:val="79373270"/>
    <w:rsid w:val="7F53018E"/>
    <w:rsid w:val="EBFCE91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600" b="1" i="0" u="none" strike="noStrike" kern="1200" cap="all" spc="120" normalizeH="0" baseline="0">
                <a:solidFill>
                  <a:schemeClr val="tx1">
                    <a:lumMod val="65000"/>
                    <a:lumOff val="35000"/>
                  </a:schemeClr>
                </a:solidFill>
                <a:latin typeface="+mn-lt"/>
                <a:ea typeface="+mn-ea"/>
                <a:cs typeface="+mn-cs"/>
              </a:defRPr>
            </a:pPr>
            <a:r>
              <a:rPr lang="zh-CN" altLang="en-US"/>
              <a:t>收、支决算总体变动情况图</a:t>
            </a:r>
            <a:endParaRPr lang="zh-CN" altLang="en-US"/>
          </a:p>
        </c:rich>
      </c:tx>
      <c:layout/>
      <c:overlay val="false"/>
      <c:spPr>
        <a:noFill/>
        <a:ln>
          <a:noFill/>
        </a:ln>
        <a:effectLst/>
      </c:spPr>
    </c:title>
    <c:autoTitleDeleted val="false"/>
    <c:plotArea>
      <c:layout>
        <c:manualLayout>
          <c:layoutTarget val="inner"/>
          <c:xMode val="edge"/>
          <c:yMode val="edge"/>
          <c:x val="0.0636530687247336"/>
          <c:y val="0.241317365269461"/>
          <c:w val="0.696606639715791"/>
          <c:h val="0.594730538922156"/>
        </c:manualLayout>
      </c:layout>
      <c:barChart>
        <c:barDir val="col"/>
        <c:grouping val="clustered"/>
        <c:varyColors val="false"/>
        <c:ser>
          <c:idx val="0"/>
          <c:order val="0"/>
          <c:tx>
            <c:strRef>
              <c:f>Sheet1!$B$1</c:f>
              <c:strCache>
                <c:ptCount val="1"/>
                <c:pt idx="0">
                  <c:v>2018年</c:v>
                </c:pt>
              </c:strCache>
            </c:strRef>
          </c:tx>
          <c:spPr>
            <a:solidFill>
              <a:schemeClr val="accent1"/>
            </a:solidFill>
            <a:ln>
              <a:noFill/>
            </a:ln>
            <a:effectLst/>
          </c:spPr>
          <c:invertIfNegative val="false"/>
          <c:dLbls>
            <c:dLbl>
              <c:idx val="0"/>
              <c:layout/>
              <c:tx>
                <c:rich>
                  <a:bodyPr rot="0" spcFirstLastPara="1" vertOverflow="clip" vert="horz" wrap="square" lIns="38100" tIns="19050" rIns="38100" bIns="19050" anchor="ctr" anchorCtr="true"/>
                  <a:lstStyle/>
                  <a:p>
                    <a:pPr>
                      <a:defRPr lang="zh-CN" sz="800" b="0" i="0" u="none" strike="noStrike" kern="1200" baseline="0">
                        <a:solidFill>
                          <a:schemeClr val="tx1">
                            <a:lumMod val="50000"/>
                            <a:lumOff val="50000"/>
                          </a:schemeClr>
                        </a:solidFill>
                        <a:latin typeface="+mn-lt"/>
                        <a:ea typeface="+mn-ea"/>
                        <a:cs typeface="+mn-cs"/>
                      </a:defRPr>
                    </a:pPr>
                    <a:r>
                      <a:rPr lang="en-US" altLang="zh-CN"/>
                      <a:t>857.38</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1"/>
              <c:layout/>
              <c:tx>
                <c:rich>
                  <a:bodyPr rot="0" spcFirstLastPara="1" vertOverflow="clip" vert="horz" wrap="square" lIns="38100" tIns="19050" rIns="38100" bIns="19050" anchor="ctr" anchorCtr="true"/>
                  <a:lstStyle/>
                  <a:p>
                    <a:pPr>
                      <a:defRPr lang="zh-CN" sz="800" b="0" i="0" u="none" strike="noStrike" kern="1200" baseline="0">
                        <a:solidFill>
                          <a:schemeClr val="tx1">
                            <a:lumMod val="50000"/>
                            <a:lumOff val="50000"/>
                          </a:schemeClr>
                        </a:solidFill>
                        <a:latin typeface="+mn-lt"/>
                        <a:ea typeface="+mn-ea"/>
                        <a:cs typeface="+mn-cs"/>
                      </a:defRPr>
                    </a:pPr>
                    <a:r>
                      <a:rPr lang="en-US" altLang="zh-CN"/>
                      <a:t>857.38</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1" vertOverflow="clip" horzOverflow="clip" vert="horz" wrap="square" lIns="38100" tIns="19050" rIns="38100" bIns="19050" anchor="ctr" anchorCtr="true">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trendline>
            <c:spPr>
              <a:ln w="19050" cap="rnd" cmpd="sng" algn="ctr">
                <a:solidFill>
                  <a:schemeClr val="accent1"/>
                </a:solidFill>
                <a:prstDash val="sysDash"/>
                <a:round/>
              </a:ln>
              <a:effectLst/>
            </c:spPr>
            <c:trendlineType val="linear"/>
            <c:dispRSqr val="false"/>
            <c:dispEq val="false"/>
          </c:trendline>
          <c:cat>
            <c:strRef>
              <c:f>Sheet1!$A$2:$A$3</c:f>
              <c:strCache>
                <c:ptCount val="2"/>
                <c:pt idx="0">
                  <c:v>收入</c:v>
                </c:pt>
                <c:pt idx="1">
                  <c:v>支出</c:v>
                </c:pt>
              </c:strCache>
            </c:strRef>
          </c:cat>
          <c:val>
            <c:numRef>
              <c:f>Sheet1!$B$2:$B$3</c:f>
              <c:numCache>
                <c:formatCode>General</c:formatCode>
                <c:ptCount val="2"/>
                <c:pt idx="0">
                  <c:v>857.38</c:v>
                </c:pt>
                <c:pt idx="1">
                  <c:v>857.38</c:v>
                </c:pt>
              </c:numCache>
            </c:numRef>
          </c:val>
        </c:ser>
        <c:ser>
          <c:idx val="1"/>
          <c:order val="1"/>
          <c:tx>
            <c:strRef>
              <c:f>Sheet1!$C$1</c:f>
              <c:strCache>
                <c:ptCount val="1"/>
                <c:pt idx="0">
                  <c:v>2019年2</c:v>
                </c:pt>
              </c:strCache>
            </c:strRef>
          </c:tx>
          <c:spPr>
            <a:solidFill>
              <a:schemeClr val="accent2"/>
            </a:solidFill>
            <a:ln>
              <a:noFill/>
            </a:ln>
            <a:effectLst/>
          </c:spPr>
          <c:invertIfNegative val="false"/>
          <c:dLbls>
            <c:dLbl>
              <c:idx val="1"/>
              <c:layout/>
              <c:tx>
                <c:rich>
                  <a:bodyPr rot="0" spcFirstLastPara="1" vertOverflow="clip" vert="horz" wrap="square" lIns="38100" tIns="19050" rIns="38100" bIns="19050" anchor="ctr" anchorCtr="true"/>
                  <a:lstStyle/>
                  <a:p>
                    <a:pPr>
                      <a:defRPr lang="zh-CN" sz="800" b="0" i="0" u="none" strike="noStrike" kern="1200" baseline="0">
                        <a:solidFill>
                          <a:schemeClr val="tx1">
                            <a:lumMod val="50000"/>
                            <a:lumOff val="50000"/>
                          </a:schemeClr>
                        </a:solidFill>
                        <a:latin typeface="+mn-lt"/>
                        <a:ea typeface="+mn-ea"/>
                        <a:cs typeface="+mn-cs"/>
                      </a:defRPr>
                    </a:pPr>
                    <a:r>
                      <a:rPr lang="en-US" altLang="zh-CN"/>
                      <a:t>969.96</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1" vertOverflow="clip" horzOverflow="clip" vert="horz" wrap="square" lIns="38100" tIns="19050" rIns="38100" bIns="19050" anchor="ctr" anchorCtr="true">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969.96</c:v>
                </c:pt>
                <c:pt idx="1">
                  <c:v>969.96</c:v>
                </c:pt>
              </c:numCache>
            </c:numRef>
          </c:val>
        </c:ser>
        <c:dLbls>
          <c:showLegendKey val="false"/>
          <c:showVal val="true"/>
          <c:showCatName val="false"/>
          <c:showSerName val="false"/>
          <c:showPercent val="false"/>
          <c:showBubbleSize val="false"/>
        </c:dLbls>
        <c:gapWidth val="444"/>
        <c:overlap val="-90"/>
        <c:axId val="216038400"/>
        <c:axId val="216052480"/>
      </c:barChart>
      <c:catAx>
        <c:axId val="216038400"/>
        <c:scaling>
          <c:orientation val="minMax"/>
        </c:scaling>
        <c:delete val="false"/>
        <c:axPos val="b"/>
        <c:majorGridlines>
          <c:spPr>
            <a:ln w="9525" cap="flat" cmpd="sng" algn="ctr">
              <a:solidFill>
                <a:schemeClr val="tx1">
                  <a:lumMod val="15000"/>
                  <a:lumOff val="85000"/>
                </a:schemeClr>
              </a:solidFill>
              <a:prstDash val="solid"/>
              <a:round/>
            </a:ln>
            <a:effectLst/>
          </c:spPr>
        </c:majorGridlines>
        <c:numFmt formatCode="General" sourceLinked="true"/>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216052480"/>
        <c:crosses val="autoZero"/>
        <c:auto val="true"/>
        <c:lblAlgn val="ctr"/>
        <c:lblOffset val="100"/>
        <c:noMultiLvlLbl val="false"/>
      </c:catAx>
      <c:valAx>
        <c:axId val="216052480"/>
        <c:scaling>
          <c:orientation val="minMax"/>
          <c:min val="0"/>
        </c:scaling>
        <c:delete val="false"/>
        <c:axPos val="l"/>
        <c:numFmt formatCode="General" sourceLinked="true"/>
        <c:majorTickMark val="out"/>
        <c:minorTickMark val="none"/>
        <c:tickLblPos val="nextTo"/>
        <c:spPr>
          <a:noFill/>
          <a:ln w="9525" cap="flat" cmpd="sng" algn="ctr">
            <a:solidFill>
              <a:schemeClr val="dk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16038400"/>
        <c:crosses val="autoZero"/>
        <c:crossBetween val="between"/>
        <c:majorUnit val="100"/>
      </c:valAx>
      <c:spPr>
        <a:noFill/>
        <a:ln>
          <a:noFill/>
        </a:ln>
        <a:effectLst/>
      </c:spPr>
    </c:plotArea>
    <c:legend>
      <c:legendPos val="t"/>
      <c:layout>
        <c:manualLayout>
          <c:xMode val="edge"/>
          <c:yMode val="edge"/>
          <c:x val="0.26926375107191"/>
          <c:y val="0.133832335329341"/>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lt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r>
              <a:rPr lang="zh-CN"/>
              <a:t>收入决算结构图</a:t>
            </a:r>
            <a:endParaRPr lang="zh-CN"/>
          </a:p>
        </c:rich>
      </c:tx>
      <c:layout/>
      <c:overlay val="false"/>
      <c:spPr>
        <a:noFill/>
        <a:ln>
          <a:noFill/>
        </a:ln>
        <a:effectLst/>
      </c:spPr>
    </c:title>
    <c:autoTitleDeleted val="false"/>
    <c:plotArea>
      <c:layout/>
      <c:pieChart>
        <c:varyColors val="true"/>
        <c:ser>
          <c:idx val="0"/>
          <c:order val="0"/>
          <c:tx>
            <c:strRef>
              <c:f>Sheet1!$B$1</c:f>
              <c:strCache>
                <c:ptCount val="1"/>
                <c:pt idx="0">
                  <c:v>收入</c:v>
                </c:pt>
              </c:strCache>
            </c:strRef>
          </c:tx>
          <c:explosion val="0"/>
          <c:dPt>
            <c:idx val="0"/>
            <c:bubble3D val="false"/>
            <c:explosion val="2"/>
            <c:spPr>
              <a:solidFill>
                <a:schemeClr val="accent1"/>
              </a:solidFill>
              <a:ln>
                <a:noFill/>
              </a:ln>
              <a:effectLst>
                <a:outerShdw blurRad="254000" sx="102000" sy="102000" algn="ctr" rotWithShape="0">
                  <a:prstClr val="black">
                    <a:alpha val="20000"/>
                  </a:prstClr>
                </a:outerShdw>
              </a:effectLst>
            </c:spPr>
          </c:dPt>
          <c:dLbls>
            <c:dLbl>
              <c:idx val="0"/>
              <c:layout/>
              <c:tx>
                <c:rich>
                  <a:bodyPr rot="0" spcFirstLastPara="1" vertOverflow="ellipsis" vert="horz" wrap="square" lIns="38100" tIns="19050" rIns="38100" bIns="19050" anchor="ctr" anchorCtr="true"/>
                  <a:lstStyle/>
                  <a:p>
                    <a:fld id="{b8cf6e74-1fde-4f82-84e6-f29f03d60c3b}" type="VALUE">
                      <a:t>[VALUE]</a:t>
                    </a:fld>
                    <a:endParaRPr lang="en-US" b="0" i="0" u="none" strike="noStrike" baseline="0">
                      <a:latin typeface="Times New Roman" panose="02020603050405020304" charset="0"/>
                      <a:ea typeface="Times New Roman" panose="02020603050405020304" charset="0"/>
                      <a:cs typeface="+mn-ea"/>
                    </a:endParaRPr>
                  </a:p>
                </c:rich>
              </c:tx>
              <c:dLblPos val="ctr"/>
              <c:showLegendKey val="false"/>
              <c:showVal val="true"/>
              <c:showCatName val="false"/>
              <c:showSerName val="false"/>
              <c:showPercent val="true"/>
              <c:showBubbleSize val="false"/>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true">
                <a:spAutoFit/>
              </a:bodyPr>
              <a:lstStyle/>
              <a:p>
                <a:pPr>
                  <a:defRPr lang="zh-CN" sz="1000" b="1" i="0" u="none" strike="noStrike" kern="1200" baseline="0">
                    <a:solidFill>
                      <a:schemeClr val="lt1"/>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dk1">
                          <a:lumMod val="50000"/>
                          <a:lumOff val="50000"/>
                        </a:schemeClr>
                      </a:solidFill>
                      <a:prstDash val="solid"/>
                      <a:round/>
                    </a:ln>
                    <a:effectLst/>
                  </c:spPr>
                </c15:leaderLines>
              </c:ext>
            </c:extLst>
          </c:dLbls>
          <c:cat>
            <c:strRef>
              <c:f>Sheet1!$A$2</c:f>
              <c:strCache>
                <c:ptCount val="1"/>
                <c:pt idx="0">
                  <c:v>一般公共预算财政拨款</c:v>
                </c:pt>
              </c:strCache>
            </c:strRef>
          </c:cat>
          <c:val>
            <c:numRef>
              <c:f>Sheet1!$B$2</c:f>
              <c:numCache>
                <c:formatCode>0%</c:formatCode>
                <c:ptCount val="1"/>
                <c:pt idx="0">
                  <c:v>1</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1"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prstDash val="solid"/>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r>
              <a:rPr lang="zh-CN"/>
              <a:t>支出决算结构图</a:t>
            </a:r>
            <a:endParaRPr lang="zh-CN"/>
          </a:p>
        </c:rich>
      </c:tx>
      <c:layout/>
      <c:overlay val="false"/>
      <c:spPr>
        <a:noFill/>
        <a:ln>
          <a:noFill/>
        </a:ln>
        <a:effectLst/>
      </c:spPr>
    </c:title>
    <c:autoTitleDeleted val="false"/>
    <c:plotArea>
      <c:layout/>
      <c:pieChart>
        <c:varyColors val="true"/>
        <c:ser>
          <c:idx val="0"/>
          <c:order val="0"/>
          <c:tx>
            <c:strRef>
              <c:f>Sheet1!$B$1</c:f>
              <c:strCache>
                <c:ptCount val="1"/>
                <c:pt idx="0">
                  <c:v>支出决算</c:v>
                </c:pt>
              </c:strCache>
            </c:strRef>
          </c:tx>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Lbls>
            <c:dLbl>
              <c:idx val="0"/>
              <c:layout/>
              <c:tx>
                <c:rich>
                  <a:bodyPr rot="0" spcFirstLastPara="1"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r>
                      <a:rPr lang="en-US" altLang="zh-CN"/>
                      <a:t>79</a:t>
                    </a:r>
                    <a:r>
                      <a:rPr lang="en-US"/>
                      <a:t>%</a:t>
                    </a:r>
                    <a:endParaRPr lang="en-US" altLang="zh-CN"/>
                  </a:p>
                </c:rich>
              </c:tx>
              <c:dLblPos val="ctr"/>
              <c:showLegendKey val="false"/>
              <c:showVal val="true"/>
              <c:showCatName val="false"/>
              <c:showSerName val="false"/>
              <c:showPercent val="true"/>
              <c:showBubbleSize val="false"/>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r>
                      <a:rPr lang="en-US" altLang="zh-CN"/>
                      <a:t>21</a:t>
                    </a:r>
                    <a:r>
                      <a:rPr lang="en-US"/>
                      <a:t>%,</a:t>
                    </a:r>
                    <a:endParaRPr lang="en-US" altLang="zh-CN"/>
                  </a:p>
                </c:rich>
              </c:tx>
              <c:dLblPos val="ctr"/>
              <c:showLegendKey val="false"/>
              <c:showVal val="true"/>
              <c:showCatName val="false"/>
              <c:showSerName val="false"/>
              <c:showPercent val="true"/>
              <c:showBubbleSize val="false"/>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true">
                <a:spAutoFit/>
              </a:bodyPr>
              <a:lstStyle/>
              <a:p>
                <a:pPr>
                  <a:defRPr lang="zh-CN" sz="1000" b="1" i="0" u="none" strike="noStrike" kern="1200" baseline="0">
                    <a:solidFill>
                      <a:schemeClr val="lt1"/>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dk1">
                          <a:lumMod val="50000"/>
                          <a:lumOff val="50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0.8498</c:v>
                </c:pt>
                <c:pt idx="1">
                  <c:v>0.1502</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1"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prstDash val="solid"/>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600" b="1" i="0" u="none" strike="noStrike" kern="1200" cap="all" spc="120" normalizeH="0" baseline="0">
                <a:solidFill>
                  <a:schemeClr val="tx1">
                    <a:lumMod val="65000"/>
                    <a:lumOff val="35000"/>
                  </a:schemeClr>
                </a:solidFill>
                <a:latin typeface="+mn-lt"/>
                <a:ea typeface="+mn-ea"/>
                <a:cs typeface="+mn-cs"/>
              </a:defRPr>
            </a:pPr>
            <a:r>
              <a:rPr lang="zh-CN"/>
              <a:t>财政拨款收、支决算总计变动情况</a:t>
            </a:r>
            <a:endParaRPr lang="zh-CN"/>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2018年</c:v>
                </c:pt>
              </c:strCache>
            </c:strRef>
          </c:tx>
          <c:spPr>
            <a:solidFill>
              <a:schemeClr val="accent1"/>
            </a:solidFill>
            <a:ln>
              <a:noFill/>
            </a:ln>
            <a:effectLst/>
          </c:spPr>
          <c:invertIfNegative val="false"/>
          <c:dLbls>
            <c:dLbl>
              <c:idx val="0"/>
              <c:layout>
                <c:manualLayout>
                  <c:x val="0.0130026486876956"/>
                  <c:y val="-0.0350991225219369"/>
                </c:manualLayout>
              </c:layout>
              <c:tx>
                <c:rich>
                  <a:bodyPr rot="-5400000" spcFirstLastPara="1" vertOverflow="clip" vert="horz" wrap="square" lIns="38100" tIns="19050" rIns="38100" bIns="19050" anchor="ctr" anchorCtr="true"/>
                  <a:lstStyle/>
                  <a:p>
                    <a:pPr>
                      <a:defRPr lang="zh-CN" sz="800" b="0" i="0" u="none" strike="noStrike" kern="1200" baseline="0">
                        <a:solidFill>
                          <a:schemeClr val="tx1">
                            <a:lumMod val="50000"/>
                            <a:lumOff val="50000"/>
                          </a:schemeClr>
                        </a:solidFill>
                        <a:latin typeface="+mn-lt"/>
                        <a:ea typeface="+mn-ea"/>
                        <a:cs typeface="+mn-cs"/>
                      </a:defRPr>
                    </a:pPr>
                    <a:r>
                      <a:rPr lang="en-US" altLang="zh-CN"/>
                      <a:t>857.38</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tx>
                <c:rich>
                  <a:bodyPr rot="-5400000" spcFirstLastPara="1" vertOverflow="clip" vert="horz" wrap="square" lIns="38100" tIns="19050" rIns="38100" bIns="19050" anchor="ctr" anchorCtr="true"/>
                  <a:lstStyle/>
                  <a:p>
                    <a:pPr>
                      <a:defRPr lang="zh-CN" sz="800" b="0" i="0" u="none" strike="noStrike" kern="1200" baseline="0">
                        <a:solidFill>
                          <a:schemeClr val="tx1">
                            <a:lumMod val="50000"/>
                            <a:lumOff val="50000"/>
                          </a:schemeClr>
                        </a:solidFill>
                        <a:latin typeface="+mn-lt"/>
                        <a:ea typeface="+mn-ea"/>
                        <a:cs typeface="+mn-cs"/>
                      </a:defRPr>
                    </a:pPr>
                    <a:r>
                      <a:rPr lang="en-US" altLang="zh-CN"/>
                      <a:t>857.38</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5400000" spcFirstLastPara="1" vertOverflow="clip" horzOverflow="clip" vert="horz" wrap="square" lIns="38100" tIns="19050" rIns="38100" bIns="19050" anchor="ctr" anchorCtr="true">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trendline>
            <c:spPr>
              <a:ln w="19050" cap="rnd" cmpd="sng" algn="ctr">
                <a:solidFill>
                  <a:schemeClr val="accent1"/>
                </a:solidFill>
                <a:prstDash val="sysDash"/>
                <a:round/>
              </a:ln>
              <a:effectLst/>
            </c:spPr>
            <c:trendlineType val="linear"/>
            <c:dispRSqr val="false"/>
            <c:dispEq val="false"/>
          </c:trendline>
          <c:cat>
            <c:strRef>
              <c:f>Sheet1!$A$2:$A$3</c:f>
              <c:strCache>
                <c:ptCount val="2"/>
                <c:pt idx="0">
                  <c:v>收入</c:v>
                </c:pt>
                <c:pt idx="1">
                  <c:v>支出</c:v>
                </c:pt>
              </c:strCache>
            </c:strRef>
          </c:cat>
          <c:val>
            <c:numRef>
              <c:f>Sheet1!$B$2:$B$3</c:f>
              <c:numCache>
                <c:formatCode>General</c:formatCode>
                <c:ptCount val="2"/>
                <c:pt idx="0">
                  <c:v>857.38</c:v>
                </c:pt>
                <c:pt idx="1">
                  <c:v>857.38</c:v>
                </c:pt>
              </c:numCache>
            </c:numRef>
          </c:val>
        </c:ser>
        <c:ser>
          <c:idx val="1"/>
          <c:order val="1"/>
          <c:tx>
            <c:strRef>
              <c:f>Sheet1!$C$1</c:f>
              <c:strCache>
                <c:ptCount val="1"/>
                <c:pt idx="0">
                  <c:v>2019年</c:v>
                </c:pt>
              </c:strCache>
            </c:strRef>
          </c:tx>
          <c:spPr>
            <a:solidFill>
              <a:schemeClr val="accent2"/>
            </a:solidFill>
            <a:ln>
              <a:noFill/>
            </a:ln>
            <a:effectLst/>
          </c:spPr>
          <c:invertIfNegative val="false"/>
          <c:dLbls>
            <c:dLbl>
              <c:idx val="0"/>
              <c:layout>
                <c:manualLayout>
                  <c:x val="0.00433421622923188"/>
                  <c:y val="-0.0194995125121872"/>
                </c:manualLayout>
              </c:layout>
              <c:tx>
                <c:rich>
                  <a:bodyPr rot="-5400000" spcFirstLastPara="1" vertOverflow="clip" vert="horz" wrap="square" lIns="38100" tIns="19050" rIns="38100" bIns="19050" anchor="ctr" anchorCtr="true"/>
                  <a:lstStyle/>
                  <a:p>
                    <a:pPr>
                      <a:defRPr lang="zh-CN" sz="800" b="0" i="0" u="none" strike="noStrike" kern="1200" baseline="0">
                        <a:solidFill>
                          <a:schemeClr val="tx1">
                            <a:lumMod val="50000"/>
                            <a:lumOff val="50000"/>
                          </a:schemeClr>
                        </a:solidFill>
                        <a:latin typeface="+mn-lt"/>
                        <a:ea typeface="+mn-ea"/>
                        <a:cs typeface="+mn-cs"/>
                      </a:defRPr>
                    </a:pPr>
                    <a:r>
                      <a:rPr lang="en-US" altLang="zh-CN"/>
                      <a:t>969.96</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tx>
                <c:rich>
                  <a:bodyPr rot="-5400000" spcFirstLastPara="1" vertOverflow="clip" vert="horz" wrap="square" lIns="38100" tIns="19050" rIns="38100" bIns="19050" anchor="ctr" anchorCtr="true"/>
                  <a:lstStyle/>
                  <a:p>
                    <a:pPr>
                      <a:defRPr lang="zh-CN" sz="800" b="0" i="0" u="none" strike="noStrike" kern="1200" baseline="0">
                        <a:solidFill>
                          <a:schemeClr val="tx1">
                            <a:lumMod val="50000"/>
                            <a:lumOff val="50000"/>
                          </a:schemeClr>
                        </a:solidFill>
                        <a:latin typeface="+mn-lt"/>
                        <a:ea typeface="+mn-ea"/>
                        <a:cs typeface="+mn-cs"/>
                      </a:defRPr>
                    </a:pPr>
                    <a:r>
                      <a:rPr lang="en-US" altLang="zh-CN"/>
                      <a:t>969.96</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5400000" spcFirstLastPara="1" vertOverflow="clip" horzOverflow="clip" vert="horz" wrap="square" lIns="38100" tIns="19050" rIns="38100" bIns="19050" anchor="ctr" anchorCtr="true">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969.96</c:v>
                </c:pt>
                <c:pt idx="1">
                  <c:v>969.96</c:v>
                </c:pt>
              </c:numCache>
            </c:numRef>
          </c:val>
        </c:ser>
        <c:dLbls>
          <c:showLegendKey val="false"/>
          <c:showVal val="true"/>
          <c:showCatName val="false"/>
          <c:showSerName val="false"/>
          <c:showPercent val="false"/>
          <c:showBubbleSize val="false"/>
        </c:dLbls>
        <c:gapWidth val="444"/>
        <c:overlap val="-90"/>
        <c:axId val="216438272"/>
        <c:axId val="216439808"/>
      </c:barChart>
      <c:catAx>
        <c:axId val="216438272"/>
        <c:scaling>
          <c:orientation val="minMax"/>
        </c:scaling>
        <c:delete val="false"/>
        <c:axPos val="b"/>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true"/>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216439808"/>
        <c:crosses val="autoZero"/>
        <c:auto val="true"/>
        <c:lblAlgn val="ctr"/>
        <c:lblOffset val="100"/>
        <c:noMultiLvlLbl val="false"/>
      </c:catAx>
      <c:valAx>
        <c:axId val="216439808"/>
        <c:scaling>
          <c:orientation val="minMax"/>
          <c:min val="100"/>
        </c:scaling>
        <c:delete val="true"/>
        <c:axPos val="l"/>
        <c:numFmt formatCode="General" sourceLinked="true"/>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16438272"/>
        <c:crosses val="autoZero"/>
        <c:crossBetween val="between"/>
      </c:valAx>
      <c:spPr>
        <a:noFill/>
        <a:ln>
          <a:noFill/>
        </a:ln>
        <a:effectLst/>
      </c:spPr>
    </c:plotArea>
    <c:legend>
      <c:legendPos val="t"/>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lt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r>
              <a:rPr lang="zh-CN"/>
              <a:t>一般公共预算财政拨款支出决算</a:t>
            </a:r>
            <a:endParaRPr lang="zh-CN"/>
          </a:p>
        </c:rich>
      </c:tx>
      <c:layout/>
      <c:overlay val="false"/>
      <c:spPr>
        <a:noFill/>
        <a:ln>
          <a:noFill/>
        </a:ln>
        <a:effectLst/>
      </c:spPr>
    </c:title>
    <c:autoTitleDeleted val="false"/>
    <c:plotArea>
      <c:layout/>
      <c:pieChart>
        <c:varyColors val="true"/>
        <c:ser>
          <c:idx val="0"/>
          <c:order val="0"/>
          <c:tx>
            <c:strRef>
              <c:f>Sheet1!$B$1</c:f>
              <c:strCache>
                <c:ptCount val="1"/>
                <c:pt idx="0">
                  <c:v>支出情况</c:v>
                </c:pt>
              </c:strCache>
            </c:strRef>
          </c:tx>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Pt>
            <c:idx val="2"/>
            <c:bubble3D val="false"/>
            <c:spPr>
              <a:solidFill>
                <a:schemeClr val="accent3"/>
              </a:solidFill>
              <a:ln>
                <a:noFill/>
              </a:ln>
              <a:effectLst>
                <a:outerShdw blurRad="254000" sx="102000" sy="102000" algn="ctr" rotWithShape="0">
                  <a:prstClr val="black">
                    <a:alpha val="20000"/>
                  </a:prstClr>
                </a:outerShdw>
              </a:effectLst>
            </c:spPr>
          </c:dPt>
          <c:dPt>
            <c:idx val="3"/>
            <c:bubble3D val="false"/>
            <c:spPr>
              <a:solidFill>
                <a:schemeClr val="accent4"/>
              </a:solidFill>
              <a:ln>
                <a:noFill/>
              </a:ln>
              <a:effectLst>
                <a:outerShdw blurRad="254000" sx="102000" sy="102000" algn="ctr" rotWithShape="0">
                  <a:prstClr val="black">
                    <a:alpha val="20000"/>
                  </a:prstClr>
                </a:outerShdw>
              </a:effectLst>
            </c:spPr>
          </c:dPt>
          <c:dPt>
            <c:idx val="4"/>
            <c:bubble3D val="false"/>
            <c:spPr>
              <a:solidFill>
                <a:schemeClr val="accent5"/>
              </a:solidFill>
              <a:ln>
                <a:noFill/>
              </a:ln>
              <a:effectLst>
                <a:outerShdw blurRad="254000" sx="102000" sy="102000" algn="ctr" rotWithShape="0">
                  <a:prstClr val="black">
                    <a:alpha val="20000"/>
                  </a:prstClr>
                </a:outerShdw>
              </a:effectLst>
            </c:spPr>
          </c:dPt>
          <c:dLbls>
            <c:delete val="true"/>
          </c:dLbls>
          <c:cat>
            <c:strRef>
              <c:f>Sheet1!$A$2:$A$6</c:f>
              <c:strCache>
                <c:ptCount val="5"/>
                <c:pt idx="0">
                  <c:v>教育支出</c:v>
                </c:pt>
                <c:pt idx="1">
                  <c:v>文化体育与传媒支出</c:v>
                </c:pt>
                <c:pt idx="2">
                  <c:v>社会保障和就业</c:v>
                </c:pt>
                <c:pt idx="3">
                  <c:v>医疗卫生支出</c:v>
                </c:pt>
                <c:pt idx="4">
                  <c:v>住房保障支出</c:v>
                </c:pt>
              </c:strCache>
            </c:strRef>
          </c:cat>
          <c:val>
            <c:numRef>
              <c:f>Sheet1!$B$2:$B$6</c:f>
              <c:numCache>
                <c:formatCode>0.00%</c:formatCode>
                <c:ptCount val="5"/>
                <c:pt idx="0">
                  <c:v>0.8119</c:v>
                </c:pt>
                <c:pt idx="1">
                  <c:v>0.0162</c:v>
                </c:pt>
                <c:pt idx="2">
                  <c:v>0.0924</c:v>
                </c:pt>
                <c:pt idx="3">
                  <c:v>0.0287</c:v>
                </c:pt>
                <c:pt idx="4">
                  <c:v>0.0508</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egendEntry>
        <c:idx val="1"/>
        <c:delete val="true"/>
      </c:legendEntry>
      <c:layout/>
      <c:overlay val="false"/>
      <c:spPr>
        <a:solidFill>
          <a:schemeClr val="lt1">
            <a:lumMod val="95000"/>
            <a:alpha val="39000"/>
          </a:schemeClr>
        </a:solidFill>
        <a:ln>
          <a:noFill/>
        </a:ln>
        <a:effectLst/>
      </c:spPr>
      <c:txPr>
        <a:bodyPr rot="0" spcFirstLastPara="1"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prstDash val="solid"/>
      <a:round/>
    </a:ln>
    <a:effectLst/>
  </c:spPr>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18</Pages>
  <Words>1225</Words>
  <Characters>6985</Characters>
  <Lines>58</Lines>
  <Paragraphs>16</Paragraphs>
  <TotalTime>10</TotalTime>
  <ScaleCrop>false</ScaleCrop>
  <LinksUpToDate>false</LinksUpToDate>
  <CharactersWithSpaces>8194</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2019-08-30T21:04:00Z</dcterms:created>
  <dc:creator>张彬茜</dc:creator>
  <cp:lastModifiedBy>仁可女青</cp:lastModifiedBy>
  <cp:lastPrinted>2019-08-01T08:48:00Z</cp:lastPrinted>
  <dcterms:modified xsi:type="dcterms:W3CDTF">2022-02-22T14:53:31Z</dcterms:modified>
  <dc:title>四川省***</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