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96475"/>
      <w:bookmarkStart w:id="2" w:name="_Toc15377425"/>
      <w:bookmarkStart w:id="3" w:name="_Toc15378441"/>
      <w:bookmarkStart w:id="4" w:name="_Toc15377193"/>
      <w:bookmarkStart w:id="5" w:name="_Toc15396597"/>
      <w:r>
        <w:rPr>
          <w:rFonts w:ascii="黑体" w:hAnsi="黑体" w:eastAsia="黑体"/>
          <w:color w:val="000000" w:themeColor="text1"/>
          <w:sz w:val="72"/>
          <w:szCs w:val="72"/>
          <w14:textFill>
            <w14:solidFill>
              <w14:schemeClr w14:val="tx1"/>
            </w14:solidFill>
          </w14:textFill>
        </w:rPr>
        <w:t>201</w:t>
      </w:r>
      <w:r>
        <w:rPr>
          <w:rFonts w:hint="eastAsia" w:ascii="黑体" w:hAnsi="黑体" w:eastAsia="黑体"/>
          <w:color w:val="000000" w:themeColor="text1"/>
          <w:sz w:val="72"/>
          <w:szCs w:val="72"/>
          <w14:textFill>
            <w14:solidFill>
              <w14:schemeClr w14:val="tx1"/>
            </w14:solidFill>
          </w14:textFill>
        </w:rPr>
        <w:t>8</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themeColor="text1"/>
          <w:sz w:val="72"/>
          <w:szCs w:val="72"/>
          <w:lang w:val="en-US" w:eastAsia="zh-CN"/>
          <w14:textFill>
            <w14:solidFill>
              <w14:schemeClr w14:val="tx1"/>
            </w14:solidFill>
          </w14:textFill>
        </w:rPr>
      </w:pPr>
      <w:bookmarkStart w:id="6" w:name="_Toc15378442"/>
      <w:bookmarkStart w:id="7" w:name="_Toc15377194"/>
      <w:bookmarkStart w:id="8" w:name="_Toc15396598"/>
      <w:bookmarkStart w:id="9" w:name="_Toc15377426"/>
      <w:bookmarkStart w:id="10" w:name="_Toc15396476"/>
      <w:r>
        <w:rPr>
          <w:rFonts w:hint="eastAsia" w:ascii="方正小标宋简体" w:hAnsi="宋体" w:eastAsia="方正小标宋简体"/>
          <w:color w:val="000000" w:themeColor="text1"/>
          <w:sz w:val="72"/>
          <w:szCs w:val="72"/>
          <w14:textFill>
            <w14:solidFill>
              <w14:schemeClr w14:val="tx1"/>
            </w14:solidFill>
          </w14:textFill>
        </w:rPr>
        <w:t>四川省</w:t>
      </w:r>
      <w:bookmarkEnd w:id="0"/>
      <w:bookmarkStart w:id="11" w:name="_Toc15306268"/>
      <w:r>
        <w:rPr>
          <w:rFonts w:hint="eastAsia" w:ascii="方正小标宋简体" w:hAnsi="宋体" w:eastAsia="方正小标宋简体"/>
          <w:color w:val="000000" w:themeColor="text1"/>
          <w:sz w:val="72"/>
          <w:szCs w:val="72"/>
          <w:lang w:eastAsia="zh-CN"/>
          <w14:textFill>
            <w14:solidFill>
              <w14:schemeClr w14:val="tx1"/>
            </w14:solidFill>
          </w14:textFill>
        </w:rPr>
        <w:t>宣汉县</w:t>
      </w:r>
      <w:r>
        <w:rPr>
          <w:rFonts w:hint="eastAsia" w:ascii="方正小标宋简体" w:hAnsi="宋体" w:eastAsia="方正小标宋简体"/>
          <w:color w:val="000000" w:themeColor="text1"/>
          <w:sz w:val="72"/>
          <w:szCs w:val="72"/>
          <w:lang w:val="en-US" w:eastAsia="zh-CN"/>
          <w14:textFill>
            <w14:solidFill>
              <w14:schemeClr w14:val="tx1"/>
            </w14:solidFill>
          </w14:textFill>
        </w:rPr>
        <w:t>委办公室</w:t>
      </w:r>
    </w:p>
    <w:p>
      <w:pPr>
        <w:adjustRightInd w:val="0"/>
        <w:snapToGrid w:val="0"/>
        <w:spacing w:line="360" w:lineRule="auto"/>
        <w:jc w:val="center"/>
        <w:outlineLvl w:val="0"/>
        <w:rPr>
          <w:rFonts w:hint="eastAsia" w:ascii="方正小标宋简体" w:hAnsi="宋体" w:eastAsia="方正小标宋简体"/>
          <w:color w:val="000000" w:themeColor="text1"/>
          <w:sz w:val="72"/>
          <w:szCs w:val="72"/>
          <w:lang w:eastAsia="zh-CN"/>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部门决算</w:t>
      </w:r>
      <w:bookmarkEnd w:id="6"/>
      <w:bookmarkEnd w:id="7"/>
      <w:bookmarkEnd w:id="8"/>
      <w:bookmarkEnd w:id="9"/>
      <w:bookmarkEnd w:id="10"/>
      <w:bookmarkEnd w:id="11"/>
      <w:r>
        <w:rPr>
          <w:rFonts w:hint="eastAsia" w:ascii="方正小标宋简体" w:hAnsi="宋体" w:eastAsia="方正小标宋简体"/>
          <w:color w:val="000000" w:themeColor="text1"/>
          <w:sz w:val="72"/>
          <w:szCs w:val="72"/>
          <w:lang w:eastAsia="zh-CN"/>
          <w14:textFill>
            <w14:solidFill>
              <w14:schemeClr w14:val="tx1"/>
            </w14:solidFill>
          </w14:textFill>
        </w:rPr>
        <w:t>公开编制</w:t>
      </w:r>
    </w:p>
    <w:p>
      <w:pPr>
        <w:adjustRightInd w:val="0"/>
        <w:snapToGrid w:val="0"/>
        <w:spacing w:line="360" w:lineRule="auto"/>
        <w:jc w:val="center"/>
        <w:outlineLvl w:val="0"/>
        <w:rPr>
          <w:rFonts w:hint="eastAsia" w:ascii="方正小标宋简体" w:hAnsi="宋体" w:eastAsia="方正小标宋简体"/>
          <w:color w:val="000000" w:themeColor="text1"/>
          <w:sz w:val="72"/>
          <w:szCs w:val="72"/>
          <w:lang w:val="en-US" w:eastAsia="zh-CN"/>
          <w14:textFill>
            <w14:solidFill>
              <w14:schemeClr w14:val="tx1"/>
            </w14:solidFill>
          </w14:textFill>
        </w:rPr>
      </w:pPr>
      <w:r>
        <w:rPr>
          <w:rFonts w:hint="eastAsia" w:ascii="方正小标宋简体" w:hAnsi="宋体" w:eastAsia="方正小标宋简体"/>
          <w:color w:val="000000" w:themeColor="text1"/>
          <w:sz w:val="72"/>
          <w:szCs w:val="72"/>
          <w:lang w:eastAsia="zh-CN"/>
          <w14:textFill>
            <w14:solidFill>
              <w14:schemeClr w14:val="tx1"/>
            </w14:solidFill>
          </w14:textFill>
        </w:rPr>
        <w:t>说明</w:t>
      </w:r>
    </w:p>
    <w:p>
      <w:pPr>
        <w:widowControl/>
        <w:jc w:val="center"/>
        <w:rPr>
          <w:rFonts w:ascii="黑体" w:hAnsi="黑体" w:eastAsia="黑体"/>
          <w:color w:val="000000" w:themeColor="text1"/>
          <w:sz w:val="48"/>
          <w:szCs w:val="48"/>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黑体" w:hAnsi="黑体" w:eastAsia="黑体"/>
          <w:color w:val="000000" w:themeColor="text1"/>
          <w:sz w:val="48"/>
          <w:szCs w:val="48"/>
          <w14:textFill>
            <w14:solidFill>
              <w14:schemeClr w14:val="tx1"/>
            </w14:solidFill>
          </w14:textFill>
        </w:rPr>
        <w:t>目录</w:t>
      </w:r>
    </w:p>
    <w:p>
      <w:pPr>
        <w:widowControl/>
        <w:jc w:val="center"/>
        <w:rPr>
          <w:rFonts w:ascii="黑体" w:hAnsi="黑体" w:eastAsia="黑体" w:cstheme="minorBidi"/>
          <w:color w:val="000000" w:themeColor="text1"/>
          <w:sz w:val="28"/>
          <w:szCs w:val="2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fldChar w:fldCharType="begin"/>
      </w:r>
      <w:r>
        <w:rPr>
          <w:rFonts w:ascii="黑体" w:hAnsi="黑体" w:eastAsia="黑体"/>
          <w:color w:val="000000" w:themeColor="text1"/>
          <w:sz w:val="48"/>
          <w:szCs w:val="48"/>
          <w14:textFill>
            <w14:solidFill>
              <w14:schemeClr w14:val="tx1"/>
            </w14:solidFill>
          </w14:textFill>
        </w:rPr>
        <w:instrText xml:space="preserve"> TOC \o "1-2" \h \z \u </w:instrText>
      </w:r>
      <w:r>
        <w:rPr>
          <w:rFonts w:ascii="黑体" w:hAnsi="黑体" w:eastAsia="黑体"/>
          <w:color w:val="000000" w:themeColor="text1"/>
          <w:sz w:val="48"/>
          <w:szCs w:val="48"/>
          <w14:textFill>
            <w14:solidFill>
              <w14:schemeClr w14:val="tx1"/>
            </w14:solidFill>
          </w14:textFill>
        </w:rPr>
        <w:fldChar w:fldCharType="separate"/>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公开时间：2019年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"_Toc15396599"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第一部分</w:t>
      </w:r>
      <w:r>
        <w:rPr>
          <w:rStyle w:val="15"/>
          <w:color w:val="000000" w:themeColor="text1"/>
          <w14:textFill>
            <w14:solidFill>
              <w14:schemeClr w14:val="tx1"/>
            </w14:solidFill>
          </w14:textFill>
        </w:rPr>
        <w:t xml:space="preserve"> </w:t>
      </w:r>
      <w:r>
        <w:rPr>
          <w:rStyle w:val="15"/>
          <w:rFonts w:hint="eastAsia"/>
          <w:color w:val="000000" w:themeColor="text1"/>
          <w14:textFill>
            <w14:solidFill>
              <w14:schemeClr w14:val="tx1"/>
            </w14:solidFill>
          </w14:textFill>
        </w:rPr>
        <w:t>部门概况</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"_Toc15396600"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一、基本职能及主要工作</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"_Toc15396601"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二、机构设置</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2</w:t>
      </w:r>
    </w:p>
    <w:p>
      <w:pPr>
        <w:pStyle w:val="1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"_Toc15396602"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第二部分</w:t>
      </w:r>
      <w:r>
        <w:rPr>
          <w:rStyle w:val="15"/>
          <w:color w:val="000000" w:themeColor="text1"/>
          <w14:textFill>
            <w14:solidFill>
              <w14:schemeClr w14:val="tx1"/>
            </w14:solidFill>
          </w14:textFill>
        </w:rPr>
        <w:t xml:space="preserve"> 2018</w:t>
      </w:r>
      <w:r>
        <w:rPr>
          <w:rStyle w:val="15"/>
          <w:rFonts w:hint="eastAsia"/>
          <w:color w:val="000000" w:themeColor="text1"/>
          <w14:textFill>
            <w14:solidFill>
              <w14:schemeClr w14:val="tx1"/>
            </w14:solidFill>
          </w14:textFill>
        </w:rPr>
        <w:t>年度部门决算情况说明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"_Toc15396603" </w:instrText>
      </w:r>
      <w:r>
        <w:rPr>
          <w:color w:val="000000" w:themeColor="text1"/>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14:textFill>
            <w14:solidFill>
              <w14:schemeClr w14:val="tx1"/>
            </w14:solidFill>
          </w14:textFill>
        </w:rPr>
        <w:t>一、</w:t>
      </w:r>
      <w:r>
        <w:rPr>
          <w:rStyle w:val="15"/>
          <w:rFonts w:hint="eastAsia" w:ascii="仿宋" w:hAnsi="仿宋" w:eastAsia="仿宋"/>
          <w:color w:val="000000" w:themeColor="text1"/>
          <w:sz w:val="28"/>
          <w:szCs w:val="28"/>
          <w14:textFill>
            <w14:solidFill>
              <w14:schemeClr w14:val="tx1"/>
            </w14:solidFill>
          </w14:textFill>
        </w:rPr>
        <w:t>收</w:t>
      </w:r>
      <w:r>
        <w:rPr>
          <w:rStyle w:val="15"/>
          <w:rFonts w:hint="eastAsia" w:ascii="仿宋" w:hAnsi="仿宋" w:eastAsia="仿宋" w:cstheme="majorBidi"/>
          <w:bCs/>
          <w:color w:val="000000" w:themeColor="text1"/>
          <w:sz w:val="28"/>
          <w:szCs w:val="28"/>
          <w14:textFill>
            <w14:solidFill>
              <w14:schemeClr w14:val="tx1"/>
            </w14:solidFill>
          </w14:textFill>
        </w:rPr>
        <w:t>入支出决算总体情况说明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12</w:t>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"_Toc15396604" </w:instrText>
      </w:r>
      <w:r>
        <w:rPr>
          <w:color w:val="000000" w:themeColor="text1"/>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14:textFill>
            <w14:solidFill>
              <w14:schemeClr w14:val="tx1"/>
            </w14:solidFill>
          </w14:textFill>
        </w:rPr>
        <w:t>二、</w:t>
      </w:r>
      <w:r>
        <w:rPr>
          <w:rStyle w:val="15"/>
          <w:rFonts w:hint="eastAsia" w:ascii="仿宋" w:hAnsi="仿宋" w:eastAsia="仿宋"/>
          <w:color w:val="000000" w:themeColor="text1"/>
          <w:sz w:val="28"/>
          <w:szCs w:val="28"/>
          <w14:textFill>
            <w14:solidFill>
              <w14:schemeClr w14:val="tx1"/>
            </w14:solidFill>
          </w14:textFill>
        </w:rPr>
        <w:t>收</w:t>
      </w:r>
      <w:r>
        <w:rPr>
          <w:rStyle w:val="15"/>
          <w:rFonts w:hint="eastAsia" w:ascii="仿宋" w:hAnsi="仿宋" w:eastAsia="仿宋" w:cstheme="majorBidi"/>
          <w:bCs/>
          <w:color w:val="000000" w:themeColor="text1"/>
          <w:sz w:val="28"/>
          <w:szCs w:val="28"/>
          <w14:textFill>
            <w14:solidFill>
              <w14:schemeClr w14:val="tx1"/>
            </w14:solidFill>
          </w14:textFill>
        </w:rPr>
        <w:t>入决算情况说明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2</w:t>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"_Toc15396605" </w:instrText>
      </w:r>
      <w:r>
        <w:rPr>
          <w:color w:val="000000" w:themeColor="text1"/>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14:textFill>
            <w14:solidFill>
              <w14:schemeClr w14:val="tx1"/>
            </w14:solidFill>
          </w14:textFill>
        </w:rPr>
        <w:t>三、</w:t>
      </w:r>
      <w:r>
        <w:rPr>
          <w:rStyle w:val="15"/>
          <w:rFonts w:hint="eastAsia" w:ascii="仿宋" w:hAnsi="仿宋" w:eastAsia="仿宋"/>
          <w:color w:val="000000" w:themeColor="text1"/>
          <w:sz w:val="28"/>
          <w:szCs w:val="28"/>
          <w14:textFill>
            <w14:solidFill>
              <w14:schemeClr w14:val="tx1"/>
            </w14:solidFill>
          </w14:textFill>
        </w:rPr>
        <w:t>支</w:t>
      </w:r>
      <w:r>
        <w:rPr>
          <w:rStyle w:val="15"/>
          <w:rFonts w:hint="eastAsia" w:ascii="仿宋" w:hAnsi="仿宋" w:eastAsia="仿宋" w:cstheme="majorBidi"/>
          <w:bCs/>
          <w:color w:val="000000" w:themeColor="text1"/>
          <w:sz w:val="28"/>
          <w:szCs w:val="28"/>
          <w14:textFill>
            <w14:solidFill>
              <w14:schemeClr w14:val="tx1"/>
            </w14:solidFill>
          </w14:textFill>
        </w:rPr>
        <w:t>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12</w:t>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"_Toc15396606"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四、财</w:t>
      </w:r>
      <w:r>
        <w:rPr>
          <w:rStyle w:val="15"/>
          <w:rFonts w:hint="eastAsia" w:ascii="仿宋" w:hAnsi="仿宋" w:eastAsia="仿宋" w:cstheme="majorBidi"/>
          <w:bCs/>
          <w:color w:val="000000" w:themeColor="text1"/>
          <w:sz w:val="28"/>
          <w:szCs w:val="28"/>
          <w14:textFill>
            <w14:solidFill>
              <w14:schemeClr w14:val="tx1"/>
            </w14:solidFill>
          </w14:textFill>
        </w:rPr>
        <w:t>政拨款收入支出决算总体情况说明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3</w:t>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"_Toc15396607"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五、一</w:t>
      </w:r>
      <w:r>
        <w:rPr>
          <w:rStyle w:val="15"/>
          <w:rFonts w:hint="eastAsia" w:ascii="仿宋" w:hAnsi="仿宋" w:eastAsia="仿宋" w:cstheme="majorBidi"/>
          <w:bCs/>
          <w:color w:val="000000" w:themeColor="text1"/>
          <w:sz w:val="28"/>
          <w:szCs w:val="28"/>
          <w14:textFill>
            <w14:solidFill>
              <w14:schemeClr w14:val="tx1"/>
            </w14:solidFill>
          </w14:textFill>
        </w:rPr>
        <w:t>般公共预算财政拨款支出决算情况说明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"_Toc15396608"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六、一</w:t>
      </w:r>
      <w:r>
        <w:rPr>
          <w:rStyle w:val="15"/>
          <w:rFonts w:hint="eastAsia" w:ascii="仿宋" w:hAnsi="仿宋" w:eastAsia="仿宋" w:cstheme="majorBidi"/>
          <w:bCs/>
          <w:color w:val="000000" w:themeColor="text1"/>
          <w:sz w:val="28"/>
          <w:szCs w:val="28"/>
          <w14:textFill>
            <w14:solidFill>
              <w14:schemeClr w14:val="tx1"/>
            </w14:solidFill>
          </w14:textFill>
        </w:rPr>
        <w:t>般公共预算财政拨款基本支出决算情况说明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"_Toc15396609"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七、</w:t>
      </w:r>
      <w:r>
        <w:rPr>
          <w:rStyle w:val="15"/>
          <w:rFonts w:ascii="仿宋" w:hAnsi="仿宋" w:eastAsia="仿宋"/>
          <w:color w:val="000000" w:themeColor="text1"/>
          <w:sz w:val="28"/>
          <w:szCs w:val="28"/>
          <w14:textFill>
            <w14:solidFill>
              <w14:schemeClr w14:val="tx1"/>
            </w14:solidFill>
          </w14:textFill>
        </w:rPr>
        <w:t>“</w:t>
      </w:r>
      <w:r>
        <w:rPr>
          <w:rStyle w:val="15"/>
          <w:rFonts w:hint="eastAsia" w:ascii="仿宋" w:hAnsi="仿宋" w:eastAsia="仿宋" w:cstheme="majorBidi"/>
          <w:bCs/>
          <w:color w:val="000000" w:themeColor="text1"/>
          <w:sz w:val="28"/>
          <w:szCs w:val="28"/>
          <w14:textFill>
            <w14:solidFill>
              <w14:schemeClr w14:val="tx1"/>
            </w14:solidFill>
          </w14:textFill>
        </w:rPr>
        <w:t>三公”经费财政拨款支出决算情况说明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19</w:t>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"_Toc15396610"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八、</w:t>
      </w:r>
      <w:r>
        <w:rPr>
          <w:rStyle w:val="15"/>
          <w:rFonts w:hint="eastAsia" w:ascii="仿宋" w:hAnsi="仿宋" w:eastAsia="仿宋" w:cstheme="majorBidi"/>
          <w:bCs/>
          <w:color w:val="000000" w:themeColor="text1"/>
          <w:sz w:val="28"/>
          <w:szCs w:val="28"/>
          <w14:textFill>
            <w14:solidFill>
              <w14:schemeClr w14:val="tx1"/>
            </w14:solidFill>
          </w14:textFill>
        </w:rPr>
        <w:t>政府性基金预算支出决算情况说明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"_Toc15396611" </w:instrText>
      </w:r>
      <w:r>
        <w:rPr>
          <w:color w:val="000000" w:themeColor="text1"/>
          <w14:textFill>
            <w14:solidFill>
              <w14:schemeClr w14:val="tx1"/>
            </w14:solidFill>
          </w14:textFill>
        </w:rPr>
        <w:fldChar w:fldCharType="separate"/>
      </w:r>
      <w:r>
        <w:rPr>
          <w:rStyle w:val="15"/>
          <w:rFonts w:hint="eastAsia" w:ascii="仿宋" w:hAnsi="仿宋" w:eastAsia="仿宋" w:cstheme="majorBidi"/>
          <w:bCs/>
          <w:color w:val="000000" w:themeColor="text1"/>
          <w:sz w:val="28"/>
          <w:szCs w:val="28"/>
          <w14:textFill>
            <w14:solidFill>
              <w14:schemeClr w14:val="tx1"/>
            </w14:solidFill>
          </w14:textFill>
        </w:rPr>
        <w:t>九、</w:t>
      </w:r>
      <w:r>
        <w:rPr>
          <w:rStyle w:val="15"/>
          <w:rFonts w:hint="eastAsia" w:ascii="仿宋" w:hAnsi="仿宋" w:eastAsia="仿宋"/>
          <w:color w:val="000000" w:themeColor="text1"/>
          <w:sz w:val="28"/>
          <w:szCs w:val="28"/>
          <w14:textFill>
            <w14:solidFill>
              <w14:schemeClr w14:val="tx1"/>
            </w14:solidFill>
          </w14:textFill>
        </w:rPr>
        <w:t xml:space="preserve"> 国</w:t>
      </w:r>
      <w:r>
        <w:rPr>
          <w:rStyle w:val="15"/>
          <w:rFonts w:hint="eastAsia" w:ascii="仿宋" w:hAnsi="仿宋" w:eastAsia="仿宋" w:cstheme="majorBidi"/>
          <w:bCs/>
          <w:color w:val="000000" w:themeColor="text1"/>
          <w:sz w:val="28"/>
          <w:szCs w:val="28"/>
          <w14:textFill>
            <w14:solidFill>
              <w14:schemeClr w14:val="tx1"/>
            </w14:solidFill>
          </w14:textFill>
        </w:rPr>
        <w:t>有资本经营预算支出决算情况说明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21</w:t>
      </w:r>
      <w:r>
        <w:rPr>
          <w:rFonts w:ascii="仿宋" w:hAnsi="仿宋" w:eastAsia="仿宋"/>
          <w:color w:val="000000" w:themeColor="text1"/>
          <w:sz w:val="28"/>
          <w:szCs w:val="28"/>
          <w14:textFill>
            <w14:solidFill>
              <w14:schemeClr w14:val="tx1"/>
            </w14:solidFill>
          </w14:textFill>
        </w:rPr>
        <w:fldChar w:fldCharType="end"/>
      </w:r>
    </w:p>
    <w:p>
      <w:pPr>
        <w:pStyle w:val="11"/>
        <w:rPr>
          <w:rStyle w:val="15"/>
          <w:rFonts w:hint="eastAsia" w:ascii="仿宋" w:hAnsi="仿宋" w:eastAsia="仿宋" w:cstheme="majorBidi"/>
          <w:bCs/>
          <w:color w:val="000000" w:themeColor="text1"/>
          <w:sz w:val="28"/>
          <w:szCs w:val="28"/>
          <w:lang w:val="en-US" w:eastAsia="zh-CN"/>
          <w14:textFill>
            <w14:solidFill>
              <w14:schemeClr w14:val="tx1"/>
            </w14:solidFill>
          </w14:textFill>
        </w:rPr>
      </w:pPr>
      <w:r>
        <w:rPr>
          <w:rStyle w:val="15"/>
          <w:rFonts w:hint="eastAsia" w:ascii="仿宋" w:hAnsi="仿宋" w:eastAsia="仿宋" w:cstheme="majorBidi"/>
          <w:bCs/>
          <w:color w:val="000000" w:themeColor="text1"/>
          <w:sz w:val="28"/>
          <w:szCs w:val="28"/>
          <w:lang w:val="en-US" w:eastAsia="zh-CN"/>
          <w14:textFill>
            <w14:solidFill>
              <w14:schemeClr w14:val="tx1"/>
            </w14:solidFill>
          </w14:textFill>
        </w:rPr>
        <w:t>十、预算绩效说明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21</w:t>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"_Toc15396612"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十</w:t>
      </w:r>
      <w:r>
        <w:rPr>
          <w:rStyle w:val="15"/>
          <w:rFonts w:hint="eastAsia" w:ascii="仿宋" w:hAnsi="仿宋" w:eastAsia="仿宋" w:cstheme="majorBidi"/>
          <w:bCs/>
          <w:color w:val="000000" w:themeColor="text1"/>
          <w:sz w:val="28"/>
          <w:szCs w:val="28"/>
          <w14:textFill>
            <w14:solidFill>
              <w14:schemeClr w14:val="tx1"/>
            </w14:solidFill>
          </w14:textFill>
        </w:rPr>
        <w:t>一、其他重要事项的情况说明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24</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"_Toc15396613" </w:instrText>
      </w:r>
      <w:r>
        <w:rPr>
          <w:color w:val="000000" w:themeColor="text1"/>
          <w14:textFill>
            <w14:solidFill>
              <w14:schemeClr w14:val="tx1"/>
            </w14:solidFill>
          </w14:textFill>
        </w:rPr>
        <w:fldChar w:fldCharType="separate"/>
      </w:r>
      <w:r>
        <w:rPr>
          <w:rStyle w:val="15"/>
          <w:rFonts w:hint="eastAsia"/>
          <w:bCs/>
          <w:color w:val="000000" w:themeColor="text1"/>
          <w:kern w:val="44"/>
          <w14:textFill>
            <w14:solidFill>
              <w14:schemeClr w14:val="tx1"/>
            </w14:solidFill>
          </w14:textFill>
        </w:rPr>
        <w:t>第三部分</w:t>
      </w:r>
      <w:r>
        <w:rPr>
          <w:rStyle w:val="15"/>
          <w:rFonts w:hint="eastAsia"/>
          <w:color w:val="000000" w:themeColor="text1"/>
          <w14:textFill>
            <w14:solidFill>
              <w14:schemeClr w14:val="tx1"/>
            </w14:solidFill>
          </w14:textFill>
        </w:rPr>
        <w:t xml:space="preserve"> 名</w:t>
      </w:r>
      <w:r>
        <w:rPr>
          <w:rStyle w:val="15"/>
          <w:rFonts w:hint="eastAsia"/>
          <w:bCs/>
          <w:color w:val="000000" w:themeColor="text1"/>
          <w:kern w:val="44"/>
          <w14:textFill>
            <w14:solidFill>
              <w14:schemeClr w14:val="tx1"/>
            </w14:solidFill>
          </w14:textFill>
        </w:rPr>
        <w:t>词解释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"_Toc15396614"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w:t>
      </w:r>
      <w:r>
        <w:rPr>
          <w:rStyle w:val="15"/>
          <w:rFonts w:hint="eastAsia"/>
          <w:bCs/>
          <w:color w:val="000000" w:themeColor="text1"/>
          <w:kern w:val="44"/>
          <w14:textFill>
            <w14:solidFill>
              <w14:schemeClr w14:val="tx1"/>
            </w14:solidFill>
          </w14:textFill>
        </w:rPr>
        <w:t>四部分</w:t>
      </w:r>
      <w:r>
        <w:rPr>
          <w:rStyle w:val="15"/>
          <w:bCs/>
          <w:color w:val="000000" w:themeColor="text1"/>
          <w:kern w:val="44"/>
          <w14:textFill>
            <w14:solidFill>
              <w14:schemeClr w14:val="tx1"/>
            </w14:solidFill>
          </w14:textFill>
        </w:rPr>
        <w:t xml:space="preserve"> </w:t>
      </w:r>
      <w:r>
        <w:rPr>
          <w:rStyle w:val="15"/>
          <w:rFonts w:hint="eastAsia"/>
          <w:bCs/>
          <w:color w:val="000000" w:themeColor="text1"/>
          <w:kern w:val="44"/>
          <w14:textFill>
            <w14:solidFill>
              <w14:schemeClr w14:val="tx1"/>
            </w14:solidFill>
          </w14:textFill>
        </w:rPr>
        <w:t>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"_Toc15396615"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kern w:val="44"/>
          <w:sz w:val="28"/>
          <w:szCs w:val="28"/>
          <w14:textFill>
            <w14:solidFill>
              <w14:schemeClr w14:val="tx1"/>
            </w14:solidFill>
          </w14:textFill>
        </w:rPr>
        <w:t>附件</w:t>
      </w:r>
      <w:r>
        <w:rPr>
          <w:rStyle w:val="15"/>
          <w:rFonts w:ascii="仿宋" w:hAnsi="仿宋" w:eastAsia="仿宋"/>
          <w:color w:val="000000" w:themeColor="text1"/>
          <w:kern w:val="44"/>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"_Toc15396617"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kern w:val="44"/>
          <w:sz w:val="28"/>
          <w:szCs w:val="28"/>
          <w14:textFill>
            <w14:solidFill>
              <w14:schemeClr w14:val="tx1"/>
            </w14:solidFill>
          </w14:textFill>
        </w:rPr>
        <w:t>附件</w:t>
      </w:r>
      <w:r>
        <w:rPr>
          <w:rStyle w:val="15"/>
          <w:rFonts w:ascii="仿宋" w:hAnsi="仿宋" w:eastAsia="仿宋"/>
          <w:color w:val="000000" w:themeColor="text1"/>
          <w:kern w:val="44"/>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34</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"_Toc15396618"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w:t>
      </w:r>
      <w:r>
        <w:rPr>
          <w:rStyle w:val="15"/>
          <w:rFonts w:hint="eastAsia"/>
          <w:bCs/>
          <w:color w:val="000000" w:themeColor="text1"/>
          <w:kern w:val="44"/>
          <w14:textFill>
            <w14:solidFill>
              <w14:schemeClr w14:val="tx1"/>
            </w14:solidFill>
          </w14:textFill>
        </w:rPr>
        <w:t>五部分</w:t>
      </w:r>
      <w:r>
        <w:rPr>
          <w:rStyle w:val="15"/>
          <w:bCs/>
          <w:color w:val="000000" w:themeColor="text1"/>
          <w:kern w:val="44"/>
          <w14:textFill>
            <w14:solidFill>
              <w14:schemeClr w14:val="tx1"/>
            </w14:solidFill>
          </w14:textFill>
        </w:rPr>
        <w:t xml:space="preserve"> </w:t>
      </w:r>
      <w:r>
        <w:rPr>
          <w:rStyle w:val="15"/>
          <w:rFonts w:hint="eastAsia"/>
          <w:bCs/>
          <w:color w:val="000000" w:themeColor="text1"/>
          <w:kern w:val="44"/>
          <w14:textFill>
            <w14:solidFill>
              <w14:schemeClr w14:val="tx1"/>
            </w14:solidFill>
          </w14:textFill>
        </w:rPr>
        <w:t>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"_Toc15396619"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"_Toc15396620"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收入总表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"_Toc15396621"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支出总表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"_Toc15396622"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财政拨款收入支出决算总表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"_Toc15396623" </w:instrText>
      </w:r>
      <w:r>
        <w:rPr>
          <w:color w:val="000000" w:themeColor="text1"/>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财政拨款支出决算明细表（政府经济分类科目）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"_Toc15396624"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一般公共预算财政拨款支出决算表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"_Toc15396625"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一般公共预算财政拨款支出决算明细表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"_Toc15396626"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一般公共预算财政拨款基本支出决算表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"_Toc15396627"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一般公共预算财政拨款项目支出决算表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"_Toc15396628"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一般公共预算财政拨款“三公”经费支出决算表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"_Toc15396629"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政府性基金预算财政拨款收入支出决算表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"_Toc15396630"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政府性基金预算财政拨款“三公”经费支出决算表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"_Toc15396631" </w:instrText>
      </w:r>
      <w:r>
        <w:rPr>
          <w:color w:val="000000" w:themeColor="text1"/>
          <w14:textFill>
            <w14:solidFill>
              <w14:schemeClr w14:val="tx1"/>
            </w14:solidFill>
          </w14:textFill>
        </w:rPr>
        <w:fldChar w:fldCharType="separate"/>
      </w:r>
      <w:r>
        <w:rPr>
          <w:rStyle w:val="15"/>
          <w:rFonts w:hint="eastAsia" w:ascii="仿宋" w:hAnsi="仿宋" w:eastAsia="仿宋"/>
          <w:color w:val="000000" w:themeColor="text1"/>
          <w:sz w:val="28"/>
          <w:szCs w:val="28"/>
          <w14:textFill>
            <w14:solidFill>
              <w14:schemeClr w14:val="tx1"/>
            </w14:solidFill>
          </w14:textFill>
        </w:rPr>
        <w:t>国有资本经营预算支出决算表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fldChar w:fldCharType="end"/>
      </w:r>
    </w:p>
    <w:p>
      <w:pPr>
        <w:widowControl/>
        <w:jc w:val="left"/>
        <w:rPr>
          <w:rFonts w:ascii="黑体" w:hAnsi="黑体" w:eastAsia="黑体"/>
          <w:bCs/>
          <w:color w:val="000000" w:themeColor="text1"/>
          <w:kern w:val="44"/>
          <w:sz w:val="44"/>
          <w:szCs w:val="44"/>
          <w14:textFill>
            <w14:solidFill>
              <w14:schemeClr w14:val="tx1"/>
            </w14:solidFill>
          </w14:textFill>
        </w:rPr>
      </w:pPr>
      <w:bookmarkStart w:id="12" w:name="_Toc15377196"/>
      <w:bookmarkStart w:id="13" w:name="_Toc15396599"/>
      <w:r>
        <w:rPr>
          <w:rFonts w:ascii="黑体" w:hAnsi="黑体" w:eastAsia="黑体"/>
          <w:b/>
          <w:color w:val="000000" w:themeColor="text1"/>
          <w14:textFill>
            <w14:solidFill>
              <w14:schemeClr w14:val="tx1"/>
            </w14:solidFill>
          </w14:textFill>
        </w:rPr>
        <w:br w:type="page"/>
      </w:r>
    </w:p>
    <w:p>
      <w:pPr>
        <w:pStyle w:val="2"/>
        <w:jc w:val="center"/>
        <w:rPr>
          <w:rStyle w:val="24"/>
          <w:rFonts w:ascii="黑体" w:hAnsi="黑体" w:eastAsia="黑体"/>
          <w:b/>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 xml:space="preserve">第一部分 </w:t>
      </w:r>
      <w:r>
        <w:rPr>
          <w:rStyle w:val="24"/>
          <w:rFonts w:hint="eastAsia" w:ascii="黑体" w:hAnsi="黑体" w:eastAsia="黑体"/>
          <w:b w:val="0"/>
          <w:bCs w:val="0"/>
          <w:color w:val="000000" w:themeColor="text1"/>
          <w14:textFill>
            <w14:solidFill>
              <w14:schemeClr w14:val="tx1"/>
            </w14:solidFill>
          </w14:textFill>
        </w:rPr>
        <w:t>部门概况</w:t>
      </w:r>
      <w:bookmarkEnd w:id="12"/>
      <w:bookmarkEnd w:id="13"/>
    </w:p>
    <w:p>
      <w:pPr>
        <w:widowControl/>
        <w:jc w:val="left"/>
        <w:rPr>
          <w:rFonts w:ascii="黑体" w:eastAsia="黑体"/>
          <w:color w:val="000000" w:themeColor="text1"/>
          <w:sz w:val="32"/>
          <w:szCs w:val="32"/>
          <w14:textFill>
            <w14:solidFill>
              <w14:schemeClr w14:val="tx1"/>
            </w14:solidFill>
          </w14:textFill>
        </w:rPr>
      </w:pPr>
    </w:p>
    <w:p>
      <w:pPr>
        <w:pStyle w:val="3"/>
        <w:rPr>
          <w:rStyle w:val="25"/>
          <w:rFonts w:ascii="仿宋" w:hAnsi="仿宋" w:eastAsia="仿宋"/>
          <w:b w:val="0"/>
          <w:bCs w:val="0"/>
          <w:color w:val="000000" w:themeColor="text1"/>
          <w14:textFill>
            <w14:solidFill>
              <w14:schemeClr w14:val="tx1"/>
            </w14:solidFill>
          </w14:textFill>
        </w:rPr>
      </w:pPr>
      <w:bookmarkStart w:id="14" w:name="_Toc15396600"/>
      <w:bookmarkStart w:id="15" w:name="_Toc15377197"/>
      <w:r>
        <w:rPr>
          <w:rFonts w:hint="eastAsia" w:ascii="黑体" w:hAnsi="黑体" w:eastAsia="黑体"/>
          <w:b w:val="0"/>
          <w:color w:val="000000" w:themeColor="text1"/>
          <w14:textFill>
            <w14:solidFill>
              <w14:schemeClr w14:val="tx1"/>
            </w14:solidFill>
          </w14:textFill>
        </w:rPr>
        <w:t>一、基</w:t>
      </w:r>
      <w:r>
        <w:rPr>
          <w:rStyle w:val="25"/>
          <w:rFonts w:hint="eastAsia" w:ascii="黑体" w:hAnsi="黑体" w:eastAsia="黑体"/>
          <w:b w:val="0"/>
          <w:bCs w:val="0"/>
          <w:color w:val="000000" w:themeColor="text1"/>
          <w14:textFill>
            <w14:solidFill>
              <w14:schemeClr w14:val="tx1"/>
            </w14:solidFill>
          </w14:textFill>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themeColor="text1"/>
          <w:sz w:val="32"/>
          <w:szCs w:val="32"/>
          <w14:textFill>
            <w14:solidFill>
              <w14:schemeClr w14:val="tx1"/>
            </w14:solidFill>
          </w14:textFill>
        </w:rPr>
      </w:pPr>
      <w:bookmarkStart w:id="16" w:name="_Toc15377198"/>
      <w:bookmarkStart w:id="17" w:name="_Toc15378445"/>
      <w:r>
        <w:rPr>
          <w:rFonts w:hint="eastAsia" w:ascii="仿宋" w:hAnsi="仿宋" w:eastAsia="仿宋"/>
          <w:bCs/>
          <w:color w:val="000000" w:themeColor="text1"/>
          <w:sz w:val="32"/>
          <w:szCs w:val="32"/>
          <w14:textFill>
            <w14:solidFill>
              <w14:schemeClr w14:val="tx1"/>
            </w14:solidFill>
          </w14:textFill>
        </w:rPr>
        <w:t>（一）主要职能。</w:t>
      </w:r>
    </w:p>
    <w:bookmarkEnd w:id="16"/>
    <w:bookmarkEnd w:id="17"/>
    <w:p>
      <w:pPr>
        <w:snapToGrid w:val="0"/>
        <w:spacing w:line="600" w:lineRule="exact"/>
        <w:ind w:firstLine="640" w:firstLineChars="200"/>
        <w:textAlignment w:val="center"/>
        <w:rPr>
          <w:rFonts w:hint="eastAsia" w:eastAsia="仿宋_GB2312" w:cs="仿宋_GB2312"/>
          <w:sz w:val="32"/>
          <w:szCs w:val="32"/>
        </w:rPr>
      </w:pPr>
      <w:bookmarkStart w:id="18" w:name="_Toc15378446"/>
      <w:bookmarkStart w:id="19" w:name="_Toc15377199"/>
      <w:r>
        <w:rPr>
          <w:rFonts w:hint="eastAsia" w:eastAsia="仿宋_GB2312" w:cs="仿宋_GB2312"/>
          <w:sz w:val="32"/>
          <w:szCs w:val="32"/>
          <w:lang w:val="en-US" w:eastAsia="zh-CN"/>
        </w:rPr>
        <w:t>1.</w:t>
      </w:r>
      <w:r>
        <w:rPr>
          <w:rFonts w:hint="eastAsia" w:eastAsia="仿宋_GB2312" w:cs="仿宋_GB2312"/>
          <w:sz w:val="32"/>
          <w:szCs w:val="32"/>
        </w:rPr>
        <w:t>负责县委日常文书的处理，中央和省、市、县委重要工作部署贯彻落实的督促检查，中央和省、市、县委领导同志批示的转达和催办落实。</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按照县委要求和自身职责，搞好上下级、党内外、部门间的综合协调；</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rPr>
        <w:t>围绕中央和省、市、县委工作部署，收集信息、反映动态、综合调研，承担县委部分文稿的草拟、修改和校核工作，负责中央和省、市、县委文件的印制、分发、管理等工作；</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rPr>
        <w:t>负责县委各种会议事务工作和县委领导同志参加重大活动的组织安排，负责县委的有关接待工作；</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rPr>
        <w:t>负责受理和接待人民群众向县委和县委领导的来信来访，办理和协调处理信访案件；</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rPr>
        <w:t>负责全县党委系统办公信息化和办公自动化工作；</w:t>
      </w:r>
    </w:p>
    <w:p>
      <w:pPr>
        <w:snapToGrid w:val="0"/>
        <w:spacing w:line="600" w:lineRule="exact"/>
        <w:ind w:firstLine="640" w:firstLineChars="200"/>
        <w:textAlignment w:val="center"/>
        <w:rPr>
          <w:rFonts w:hint="eastAsia" w:eastAsia="仿宋_GB2312" w:cs="仿宋_GB2312"/>
          <w:sz w:val="32"/>
          <w:szCs w:val="32"/>
          <w:lang w:eastAsia="zh-CN"/>
        </w:rPr>
      </w:pPr>
      <w:r>
        <w:rPr>
          <w:rFonts w:hint="eastAsia" w:eastAsia="仿宋_GB2312" w:cs="仿宋_GB2312"/>
          <w:sz w:val="32"/>
          <w:szCs w:val="32"/>
          <w:lang w:val="en-US" w:eastAsia="zh-CN"/>
        </w:rPr>
        <w:t>7.</w:t>
      </w:r>
      <w:r>
        <w:rPr>
          <w:rFonts w:hint="eastAsia" w:eastAsia="仿宋_GB2312" w:cs="仿宋_GB2312"/>
          <w:sz w:val="32"/>
          <w:szCs w:val="32"/>
        </w:rPr>
        <w:t>负责县委机关后勤服务工作，管理县委机关房产和其他固定资产以及基建计划及实施工作</w:t>
      </w:r>
      <w:r>
        <w:rPr>
          <w:rFonts w:hint="eastAsia" w:eastAsia="仿宋_GB2312" w:cs="仿宋_GB2312"/>
          <w:sz w:val="32"/>
          <w:szCs w:val="32"/>
          <w:lang w:eastAsia="zh-CN"/>
        </w:rPr>
        <w:t>；</w:t>
      </w:r>
    </w:p>
    <w:p>
      <w:pPr>
        <w:snapToGrid w:val="0"/>
        <w:spacing w:line="600" w:lineRule="exact"/>
        <w:ind w:firstLine="640" w:firstLineChars="200"/>
        <w:textAlignment w:val="center"/>
        <w:rPr>
          <w:rFonts w:hint="eastAsia" w:eastAsia="仿宋_GB2312" w:cs="仿宋_GB2312"/>
          <w:sz w:val="32"/>
          <w:szCs w:val="32"/>
          <w:lang w:eastAsia="zh-CN"/>
        </w:rPr>
      </w:pPr>
      <w:r>
        <w:rPr>
          <w:rFonts w:hint="eastAsia" w:eastAsia="仿宋_GB2312" w:cs="仿宋_GB2312"/>
          <w:sz w:val="32"/>
          <w:szCs w:val="32"/>
          <w:lang w:val="en-US" w:eastAsia="zh-CN"/>
        </w:rPr>
        <w:t>8.</w:t>
      </w:r>
      <w:r>
        <w:rPr>
          <w:rFonts w:hint="eastAsia" w:eastAsia="仿宋_GB2312" w:cs="仿宋_GB2312"/>
          <w:sz w:val="32"/>
          <w:szCs w:val="32"/>
        </w:rPr>
        <w:t>负责县委领导的安全保卫，负责县委机关大院的社会治安综合治理和安全防范工作</w:t>
      </w:r>
      <w:r>
        <w:rPr>
          <w:rFonts w:hint="eastAsia" w:eastAsia="仿宋_GB2312" w:cs="仿宋_GB2312"/>
          <w:sz w:val="32"/>
          <w:szCs w:val="32"/>
          <w:lang w:eastAsia="zh-CN"/>
        </w:rPr>
        <w:t>；</w:t>
      </w:r>
    </w:p>
    <w:p>
      <w:pPr>
        <w:snapToGrid w:val="0"/>
        <w:spacing w:line="600" w:lineRule="exact"/>
        <w:ind w:firstLine="640" w:firstLineChars="200"/>
        <w:textAlignment w:val="center"/>
        <w:rPr>
          <w:rFonts w:hint="eastAsia" w:eastAsia="仿宋_GB2312"/>
          <w:sz w:val="32"/>
          <w:szCs w:val="32"/>
        </w:rPr>
      </w:pPr>
      <w:r>
        <w:rPr>
          <w:rFonts w:hint="eastAsia" w:eastAsia="仿宋_GB2312" w:cs="仿宋_GB2312"/>
          <w:sz w:val="32"/>
          <w:szCs w:val="32"/>
          <w:lang w:val="en-US" w:eastAsia="zh-CN"/>
        </w:rPr>
        <w:t>9.</w:t>
      </w:r>
      <w:r>
        <w:rPr>
          <w:rFonts w:hint="eastAsia" w:eastAsia="仿宋_GB2312" w:cs="仿宋_GB2312"/>
          <w:sz w:val="32"/>
          <w:szCs w:val="32"/>
        </w:rPr>
        <w:t>负责县委办公室离退休人员的管理、服务工作；完成县委交办的其他任务。</w:t>
      </w:r>
    </w:p>
    <w:p>
      <w:pPr>
        <w:pStyle w:val="5"/>
        <w:adjustRightInd w:val="0"/>
        <w:snapToGrid w:val="0"/>
        <w:spacing w:before="93" w:line="600" w:lineRule="exact"/>
        <w:ind w:firstLine="672" w:firstLineChars="210"/>
        <w:outlineLvl w:val="2"/>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二）</w:t>
      </w:r>
      <w:r>
        <w:rPr>
          <w:rFonts w:ascii="仿宋" w:hAnsi="仿宋" w:eastAsia="仿宋"/>
          <w:bCs/>
          <w:color w:val="000000" w:themeColor="text1"/>
          <w:sz w:val="32"/>
          <w:szCs w:val="32"/>
          <w14:textFill>
            <w14:solidFill>
              <w14:schemeClr w14:val="tx1"/>
            </w14:solidFill>
          </w14:textFill>
        </w:rPr>
        <w:t>201</w:t>
      </w:r>
      <w:r>
        <w:rPr>
          <w:rFonts w:hint="eastAsia" w:ascii="仿宋" w:hAnsi="仿宋" w:eastAsia="仿宋"/>
          <w:bCs/>
          <w:color w:val="000000" w:themeColor="text1"/>
          <w:sz w:val="32"/>
          <w:szCs w:val="32"/>
          <w14:textFill>
            <w14:solidFill>
              <w14:schemeClr w14:val="tx1"/>
            </w14:solidFill>
          </w14:textFill>
        </w:rPr>
        <w:t>8年重点工作完成情况。</w:t>
      </w:r>
      <w:bookmarkEnd w:id="18"/>
      <w:bookmarkEnd w:id="19"/>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年，</w:t>
      </w:r>
      <w:bookmarkStart w:id="20" w:name="_Toc15377200"/>
      <w:bookmarkStart w:id="21" w:name="_Toc15396601"/>
      <w:r>
        <w:rPr>
          <w:rFonts w:hint="default" w:ascii="Times New Roman" w:hAnsi="Times New Roman" w:eastAsia="仿宋_GB2312" w:cs="Times New Roman"/>
          <w:sz w:val="32"/>
          <w:szCs w:val="32"/>
        </w:rPr>
        <w:t>县委办公室坚持“强势突破、转型发展”的工作基调，深入贯彻党的十九大精神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牢固树立“全县一盘棋”的大局观念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秉持“干就干成一流、做就做到极致”的工作理念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践行“是非分明、爱憎分明、赏罚分明”的工作导向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投身转型发展、脱贫攻坚等主战场，全力向上、奋勇向前，扎实高效推动各项工作干在实处、走在前列，坚持走正道、干正事、树正气，狠抓精细化管理，上下一心，务实重行，开拓创新，在参谋辅政、办文办会、后勤服务、督查考核、内部建设等方面做了大量的工作，较好地完成了各项目标任务，为推进县委各项工作、助推全县发</w:t>
      </w:r>
      <w:r>
        <w:rPr>
          <w:rFonts w:hint="default" w:ascii="Times New Roman" w:hAnsi="Times New Roman" w:eastAsia="仿宋_GB2312" w:cs="Times New Roman"/>
          <w:color w:val="000000"/>
          <w:sz w:val="32"/>
          <w:szCs w:val="32"/>
        </w:rPr>
        <w:t>展作出应有的贡献。</w:t>
      </w:r>
      <w:r>
        <w:rPr>
          <w:rFonts w:hint="default" w:ascii="Times New Roman" w:hAnsi="Times New Roman" w:eastAsia="仿宋_GB2312" w:cs="Times New Roman"/>
          <w:color w:val="000000"/>
          <w:sz w:val="32"/>
          <w:szCs w:val="32"/>
        </w:rPr>
        <w:br w:type="textWrapping"/>
      </w:r>
      <w:r>
        <w:rPr>
          <w:rFonts w:hint="default" w:ascii="Times New Roman" w:hAnsi="Times New Roman" w:eastAsia="黑体" w:cs="Times New Roman"/>
          <w:color w:val="000000"/>
          <w:sz w:val="32"/>
          <w:szCs w:val="32"/>
        </w:rPr>
        <w:t>　　一、以精细化为理念，主动谋事，参谋辅政质效实</w:t>
      </w:r>
      <w:r>
        <w:rPr>
          <w:rFonts w:hint="default" w:ascii="Times New Roman" w:hAnsi="Times New Roman" w:eastAsia="黑体" w:cs="Times New Roman"/>
          <w:sz w:val="32"/>
          <w:szCs w:val="32"/>
        </w:rPr>
        <w:t xml:space="preserve">现新突破 </w:t>
      </w:r>
      <w:r>
        <w:rPr>
          <w:rFonts w:hint="default" w:ascii="Times New Roman" w:hAnsi="Times New Roman" w:eastAsia="黑体" w:cs="Times New Roman"/>
          <w:color w:val="2F2F2F"/>
          <w:sz w:val="32"/>
          <w:szCs w:val="32"/>
          <w:shd w:val="clear" w:color="auto" w:fill="FFFFFF"/>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精准组织调查研究。</w:t>
      </w:r>
      <w:r>
        <w:rPr>
          <w:rFonts w:hint="default" w:ascii="Times New Roman" w:hAnsi="Times New Roman" w:eastAsia="仿宋_GB2312" w:cs="Times New Roman"/>
          <w:sz w:val="32"/>
          <w:szCs w:val="32"/>
        </w:rPr>
        <w:t>围绕全县重点工作深入机关、乡镇、园区、农村开展调研。完成高质量调研报告5篇，其中《关于做大做强普光经济开发区的思考与建议》评为全市庆祝改革开放40周年理论研讨会优秀论文，《做强新型工业推动高质量发展研究》被市委政研室刊用，《巴山大峡谷景区管理建议》和《宣汉牛产业发展现状及对策建议》给县委决策提供了有价值的参考。</w:t>
      </w:r>
      <w:r>
        <w:rPr>
          <w:rFonts w:hint="default" w:ascii="Times New Roman" w:hAnsi="Times New Roman" w:eastAsia="仿宋_GB2312" w:cs="Times New Roman"/>
          <w:color w:val="000000"/>
          <w:sz w:val="32"/>
        </w:rPr>
        <w:t>总结提炼改革经验，《激励农业科技人员创新创业》入选四川40个改革典型案例，并被《四川改革动态》刊用。从旅游扶贫、易地搬迁、</w:t>
      </w:r>
      <w:r>
        <w:rPr>
          <w:rFonts w:hint="default" w:ascii="Times New Roman" w:hAnsi="Times New Roman" w:eastAsia="仿宋_GB2312" w:cs="Times New Roman"/>
          <w:sz w:val="32"/>
          <w:szCs w:val="32"/>
        </w:rPr>
        <w:t>干部激励、公民道德教育、乡镇人大改革等方面总结出8篇经验文章，4篇被《达州改革动态》采用，4篇被《达州改革专报》上报。同时积极配合省市等各级组织开展调研，提供一手资料。</w:t>
      </w:r>
      <w:r>
        <w:rPr>
          <w:rFonts w:hint="default" w:ascii="Times New Roman" w:hAnsi="Times New Roman" w:eastAsia="仿宋_GB2312" w:cs="Times New Roman"/>
          <w:color w:val="FF0000"/>
          <w:sz w:val="32"/>
          <w:szCs w:val="32"/>
          <w:shd w:val="clear" w:color="auto" w:fill="FFFFFF"/>
        </w:rPr>
        <w:br w:type="textWrapping"/>
      </w:r>
      <w:r>
        <w:rPr>
          <w:rFonts w:hint="default" w:ascii="Times New Roman" w:hAnsi="Times New Roman" w:eastAsia="楷体_GB2312" w:cs="Times New Roman"/>
          <w:sz w:val="32"/>
          <w:szCs w:val="32"/>
        </w:rPr>
        <w:t>　　（二）精心当好改革参谋。</w:t>
      </w:r>
      <w:r>
        <w:rPr>
          <w:rFonts w:hint="default" w:ascii="Times New Roman" w:hAnsi="Times New Roman" w:eastAsia="仿宋_GB2312" w:cs="Times New Roman"/>
          <w:sz w:val="32"/>
          <w:szCs w:val="32"/>
        </w:rPr>
        <w:t>牵头起草了《关于全面深入贯彻落实党的十九大精神加快建设繁荣美丽新宣汉的决定》和《关于全面推动高质量发展建成繁荣美丽新宣汉的决定》，并送县委审议通过，配合完成旅游扶贫、饮用水源上移等建议报告的撰写。</w:t>
      </w:r>
      <w:r>
        <w:rPr>
          <w:rFonts w:hint="default" w:ascii="Times New Roman" w:hAnsi="Times New Roman" w:eastAsia="仿宋_GB2312" w:cs="Times New Roman"/>
          <w:color w:val="000000"/>
          <w:sz w:val="32"/>
        </w:rPr>
        <w:t>出台2018年度《改革工作要点》和《改革落实台账》作为全年改革纲领性文件，将62个专项改革方案责任分别落实到各县领导，县委书记、县长分别挂包5个</w:t>
      </w:r>
      <w:r>
        <w:rPr>
          <w:rFonts w:hint="default" w:ascii="Times New Roman" w:hAnsi="Times New Roman" w:eastAsia="仿宋_GB2312" w:cs="Times New Roman"/>
          <w:sz w:val="32"/>
          <w:szCs w:val="32"/>
        </w:rPr>
        <w:t>专项改革方案，其他县领导根据工作分工挂包相应的改革方案，</w:t>
      </w:r>
      <w:r>
        <w:rPr>
          <w:rFonts w:hint="default" w:ascii="Times New Roman" w:hAnsi="Times New Roman" w:eastAsia="仿宋_GB2312" w:cs="Times New Roman"/>
          <w:color w:val="000000"/>
          <w:sz w:val="32"/>
        </w:rPr>
        <w:t>做到任务清、时限清、要求清。</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rPr>
        <w:t>（三）精确</w:t>
      </w:r>
      <w:r>
        <w:rPr>
          <w:rFonts w:hint="eastAsia" w:ascii="Times New Roman" w:hAnsi="Times New Roman" w:eastAsia="楷体_GB2312" w:cs="Times New Roman"/>
          <w:sz w:val="32"/>
          <w:szCs w:val="32"/>
          <w:lang w:eastAsia="zh-CN"/>
        </w:rPr>
        <w:t>编报</w:t>
      </w:r>
      <w:r>
        <w:rPr>
          <w:rFonts w:hint="default" w:ascii="Times New Roman" w:hAnsi="Times New Roman" w:eastAsia="楷体_GB2312" w:cs="Times New Roman"/>
          <w:sz w:val="32"/>
          <w:szCs w:val="32"/>
        </w:rPr>
        <w:t>信息动态。</w:t>
      </w:r>
      <w:r>
        <w:rPr>
          <w:rFonts w:hint="default" w:ascii="Times New Roman" w:hAnsi="Times New Roman" w:eastAsia="仿宋_GB2312" w:cs="Times New Roman"/>
          <w:sz w:val="32"/>
          <w:szCs w:val="32"/>
        </w:rPr>
        <w:t>始终围绕全县中心工作和县委决策部署，以服好务领导为宗旨，以高质量信息为目标，</w:t>
      </w:r>
      <w:r>
        <w:rPr>
          <w:rFonts w:hint="eastAsia" w:ascii="Times New Roman" w:hAnsi="Times New Roman" w:eastAsia="仿宋_GB2312" w:cs="Times New Roman"/>
          <w:sz w:val="32"/>
          <w:szCs w:val="32"/>
          <w:lang w:eastAsia="zh-CN"/>
        </w:rPr>
        <w:t>总结提炼基层做法，及时编发、报送信息动态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年，我办共编发《宣汉要情》30期（含“大学习大讨论大调研”活动专刊10期），向市委办信息室等上级部门报送信息364条，其中《宣汉县扎实推进新的社会阶层代表人士综合评价试点工作》《宣汉县万盏红灯笼挂出乡风文明新风尚》等信息被省委《每日要情》采用，并获得县委主要领导的高度肯定和批示。</w:t>
      </w:r>
      <w:r>
        <w:rPr>
          <w:rFonts w:hint="default" w:ascii="Times New Roman" w:hAnsi="Times New Roman" w:eastAsia="黑体" w:cs="Times New Roman"/>
          <w:sz w:val="32"/>
          <w:szCs w:val="32"/>
        </w:rPr>
        <w:t>　　</w:t>
      </w:r>
    </w:p>
    <w:p>
      <w:pPr>
        <w:keepNext w:val="0"/>
        <w:keepLines w:val="0"/>
        <w:pageBreakBefore w:val="0"/>
        <w:widowControl w:val="0"/>
        <w:kinsoku/>
        <w:wordWrap/>
        <w:overflowPunct/>
        <w:topLinePunct w:val="0"/>
        <w:autoSpaceDE/>
        <w:autoSpaceDN/>
        <w:bidi w:val="0"/>
        <w:spacing w:line="579"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二、以精细化为标准，主动加压，办文办会质量实现新突破</w:t>
      </w:r>
      <w:r>
        <w:rPr>
          <w:rFonts w:hint="default" w:ascii="Times New Roman" w:hAnsi="Times New Roman" w:eastAsia="黑体" w:cs="Times New Roman"/>
          <w:color w:val="2F2F2F"/>
          <w:sz w:val="32"/>
          <w:szCs w:val="32"/>
          <w:shd w:val="clear" w:color="auto" w:fill="FFFFFF"/>
        </w:rPr>
        <w:br w:type="textWrapping"/>
      </w:r>
      <w:r>
        <w:rPr>
          <w:rFonts w:hint="default" w:ascii="Times New Roman" w:hAnsi="Times New Roman" w:eastAsia="楷体_GB2312" w:cs="Times New Roman"/>
          <w:sz w:val="32"/>
          <w:szCs w:val="32"/>
        </w:rPr>
        <w:t>　　（一）</w:t>
      </w:r>
      <w:r>
        <w:rPr>
          <w:rFonts w:hint="default" w:ascii="Times New Roman" w:hAnsi="Times New Roman" w:eastAsia="楷体_GB2312" w:cs="Times New Roman"/>
          <w:sz w:val="32"/>
          <w:szCs w:val="32"/>
          <w:lang w:eastAsia="zh-CN"/>
        </w:rPr>
        <w:t>综合</w:t>
      </w:r>
      <w:r>
        <w:rPr>
          <w:rFonts w:hint="default" w:ascii="Times New Roman" w:hAnsi="Times New Roman" w:eastAsia="楷体_GB2312" w:cs="Times New Roman"/>
          <w:sz w:val="32"/>
          <w:szCs w:val="32"/>
        </w:rPr>
        <w:t>文稿</w:t>
      </w:r>
      <w:r>
        <w:rPr>
          <w:rFonts w:hint="default" w:ascii="Times New Roman" w:hAnsi="Times New Roman" w:eastAsia="楷体_GB2312" w:cs="Times New Roman"/>
          <w:sz w:val="32"/>
          <w:szCs w:val="32"/>
          <w:lang w:eastAsia="zh-CN"/>
        </w:rPr>
        <w:t>硕果累累</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全年起草领导讲话稿120余篇、国家、省、市交流发言材料40篇、汇报材料90余篇，其他文稿50余篇，各类文稿共计300余篇，多次得到省、市、县各级领导肯定，编发《工作通报》11期。有向中办、国扶办、国家文旅部等上级单位的汇报材料，</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在中央党校基层治理现代化建设研讨会、全省打赢脱贫攻坚战三年行动电视电话会议、全省易地扶贫搬迁现场会、全市第七届旅游发展大会等会议上的经验交流发言，</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向省委巡视、市委巡察、全省经济责任审计和各级脱贫攻坚检查组的汇报材料，</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在全国玻纤年会、全市招商引资工作汇报会上的PPT制作，</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在县委十三届十二次全会、全县“大学习、大讨论、大调研”活动动员会等县内大会的讲话稿，以及在巴山大峡谷开门迎客等重大活动上的致辞，并完成《关于做大做强普光经济开发区的思考与建议》的“三大活动”调研材料，</w:t>
      </w:r>
      <w:r>
        <w:rPr>
          <w:rFonts w:hint="eastAsia" w:ascii="Times New Roman" w:hAnsi="Times New Roman" w:eastAsia="仿宋_GB2312" w:cs="Times New Roman"/>
          <w:sz w:val="32"/>
          <w:szCs w:val="32"/>
          <w:lang w:eastAsia="zh-CN"/>
        </w:rPr>
        <w:t>最近还</w:t>
      </w:r>
      <w:r>
        <w:rPr>
          <w:rFonts w:hint="default" w:ascii="Times New Roman" w:hAnsi="Times New Roman" w:eastAsia="仿宋_GB2312" w:cs="Times New Roman"/>
          <w:sz w:val="32"/>
          <w:szCs w:val="32"/>
        </w:rPr>
        <w:t>起草完成</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县第十三届四次党代会报告。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）文秘工作规范有序。</w:t>
      </w:r>
      <w:r>
        <w:rPr>
          <w:rFonts w:hint="default" w:ascii="Times New Roman" w:hAnsi="Times New Roman" w:eastAsia="仿宋_GB2312" w:cs="Times New Roman"/>
          <w:sz w:val="32"/>
          <w:szCs w:val="32"/>
        </w:rPr>
        <w:t>强化发文源头管控，从严控制发文规格，制定发文审批制度，确保了公文的质量，全年发送各级各类文件共计612份。建立备案工作台账和发文登记制度，</w:t>
      </w:r>
      <w:r>
        <w:rPr>
          <w:rFonts w:hint="eastAsia" w:ascii="Times New Roman" w:hAnsi="Times New Roman" w:eastAsia="仿宋_GB2312" w:cs="Times New Roman"/>
          <w:sz w:val="32"/>
          <w:szCs w:val="32"/>
          <w:lang w:eastAsia="zh-CN"/>
        </w:rPr>
        <w:t>每一份公文运转的流程都清晰可见，全年没有出现公文的流失的现象</w:t>
      </w:r>
      <w:r>
        <w:rPr>
          <w:rFonts w:hint="default" w:ascii="Times New Roman" w:hAnsi="Times New Roman" w:eastAsia="仿宋_GB2312" w:cs="Times New Roman"/>
          <w:sz w:val="32"/>
          <w:szCs w:val="32"/>
        </w:rPr>
        <w:t>。进一步规范明密件管理，共收发机要信件265余份，处理各级来文、撰写拟办意见485份，</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实现零错误。</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）办会工作精细高效。</w:t>
      </w:r>
      <w:r>
        <w:rPr>
          <w:rFonts w:hint="default" w:ascii="Times New Roman" w:hAnsi="Times New Roman" w:eastAsia="仿宋_GB2312" w:cs="Times New Roman"/>
          <w:sz w:val="32"/>
          <w:szCs w:val="32"/>
        </w:rPr>
        <w:t>一年以来，统筹安排县委各类活动、会议共计510余项，其中县委重大会议、活动43项，县委常委会议36次，主动承办中央、省、市领导来宣调研61次，兄弟县市来宣考察9次；县委主要领导下乡调研30次、召开专题会议33次；拟办会议方案110份，方案送批1500人次，编发领导短信通知1920余条，编发各乡镇及县直单位通知550余条；安排值班带班240人次；抽查值班值守情况30次。成功协调组织了巴山大峡谷文旅扶贫景区开园暨中国文联“送欢乐下基层”演出活动，受到各级领导的好评。</w:t>
      </w:r>
      <w:r>
        <w:rPr>
          <w:rFonts w:hint="default" w:ascii="Times New Roman" w:hAnsi="Times New Roman" w:eastAsia="仿宋_GB2312" w:cs="Times New Roman"/>
          <w:sz w:val="32"/>
          <w:szCs w:val="32"/>
        </w:rPr>
        <w:br w:type="textWrapping"/>
      </w:r>
      <w:r>
        <w:rPr>
          <w:rFonts w:hint="default" w:ascii="Times New Roman" w:hAnsi="Times New Roman" w:eastAsia="黑体" w:cs="Times New Roman"/>
          <w:sz w:val="32"/>
          <w:szCs w:val="32"/>
        </w:rPr>
        <w:t>　　三、以精细化为状态，主动发力</w:t>
      </w:r>
      <w:r>
        <w:rPr>
          <w:rFonts w:hint="default" w:ascii="Times New Roman" w:hAnsi="Times New Roman" w:eastAsia="黑体" w:cs="Times New Roman"/>
          <w:color w:val="000000"/>
          <w:sz w:val="32"/>
          <w:szCs w:val="32"/>
        </w:rPr>
        <w:t>，后勤服务成</w:t>
      </w:r>
      <w:r>
        <w:rPr>
          <w:rFonts w:hint="default" w:ascii="Times New Roman" w:hAnsi="Times New Roman" w:eastAsia="黑体" w:cs="Times New Roman"/>
          <w:sz w:val="32"/>
          <w:szCs w:val="32"/>
        </w:rPr>
        <w:t>效实现新突破</w:t>
      </w:r>
      <w:r>
        <w:rPr>
          <w:rFonts w:hint="default" w:ascii="Times New Roman" w:hAnsi="Times New Roman" w:eastAsia="楷体_GB2312" w:cs="Times New Roman"/>
          <w:sz w:val="32"/>
          <w:szCs w:val="32"/>
        </w:rPr>
        <w:t>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）精妙提供群众服务。</w:t>
      </w:r>
      <w:r>
        <w:rPr>
          <w:rFonts w:hint="default" w:ascii="Times New Roman" w:hAnsi="Times New Roman" w:eastAsia="仿宋_GB2312" w:cs="Times New Roman"/>
          <w:sz w:val="32"/>
          <w:szCs w:val="32"/>
        </w:rPr>
        <w:t>坚持群众利益至上原则，务实奋进、铿锵前行，群众工作实现新突破，回访工作实现新跨越，舆情信息实现新作为，服务水平实现新提升，全年</w:t>
      </w:r>
      <w:r>
        <w:rPr>
          <w:rFonts w:hint="default" w:ascii="Times New Roman" w:hAnsi="Times New Roman" w:eastAsia="仿宋_GB2312" w:cs="Times New Roman"/>
          <w:color w:val="000000"/>
          <w:sz w:val="32"/>
          <w:szCs w:val="32"/>
        </w:rPr>
        <w:t>办结“市委书记信箱”交办件323件、“县委书记信箱”信件569件、群众纸质信件242件，办结率均为100%；</w:t>
      </w:r>
      <w:r>
        <w:rPr>
          <w:rFonts w:hint="default" w:ascii="Times New Roman" w:hAnsi="Times New Roman" w:eastAsia="仿宋_GB2312" w:cs="Times New Roman"/>
          <w:sz w:val="32"/>
          <w:szCs w:val="32"/>
        </w:rPr>
        <w:t>解答脱贫攻坚政策436余次，有力促进了扶贫政策在基层落地见效</w:t>
      </w:r>
      <w:r>
        <w:rPr>
          <w:rFonts w:hint="eastAsia" w:ascii="Times New Roman" w:hAnsi="Times New Roman" w:eastAsia="仿宋_GB2312" w:cs="Times New Roman"/>
          <w:sz w:val="32"/>
          <w:szCs w:val="32"/>
          <w:lang w:eastAsia="zh-CN"/>
        </w:rPr>
        <w:t>。</w:t>
      </w:r>
      <w:r>
        <w:rPr>
          <w:rFonts w:hint="eastAsia" w:ascii="仿宋_GB2312" w:eastAsia="仿宋_GB2312"/>
          <w:color w:val="000000"/>
          <w:sz w:val="32"/>
          <w:szCs w:val="32"/>
        </w:rPr>
        <w:t>许多</w:t>
      </w:r>
      <w:r>
        <w:rPr>
          <w:rFonts w:ascii="仿宋_GB2312" w:eastAsia="仿宋_GB2312"/>
          <w:color w:val="000000"/>
          <w:sz w:val="32"/>
          <w:szCs w:val="32"/>
        </w:rPr>
        <w:t>群众特别是在外务工人员通过“</w:t>
      </w:r>
      <w:r>
        <w:rPr>
          <w:rFonts w:hint="eastAsia" w:ascii="仿宋_GB2312" w:eastAsia="仿宋_GB2312"/>
          <w:color w:val="000000"/>
          <w:sz w:val="32"/>
          <w:szCs w:val="32"/>
        </w:rPr>
        <w:t>县委</w:t>
      </w:r>
      <w:r>
        <w:rPr>
          <w:rFonts w:ascii="仿宋_GB2312" w:eastAsia="仿宋_GB2312"/>
          <w:color w:val="000000"/>
          <w:sz w:val="32"/>
          <w:szCs w:val="32"/>
        </w:rPr>
        <w:t>书记信箱”</w:t>
      </w:r>
      <w:r>
        <w:rPr>
          <w:rFonts w:hint="eastAsia" w:ascii="仿宋_GB2312" w:eastAsia="仿宋_GB2312"/>
          <w:color w:val="000000"/>
          <w:sz w:val="32"/>
          <w:szCs w:val="32"/>
        </w:rPr>
        <w:t>了解</w:t>
      </w:r>
      <w:r>
        <w:rPr>
          <w:rFonts w:ascii="仿宋_GB2312" w:eastAsia="仿宋_GB2312"/>
          <w:color w:val="000000"/>
          <w:sz w:val="32"/>
          <w:szCs w:val="32"/>
        </w:rPr>
        <w:t>宣汉经济文化社会发展情况，咨询社保购买、养殖贷款、户口迁移等</w:t>
      </w:r>
      <w:r>
        <w:rPr>
          <w:rFonts w:hint="eastAsia" w:ascii="仿宋_GB2312" w:eastAsia="仿宋_GB2312"/>
          <w:color w:val="000000"/>
          <w:sz w:val="32"/>
          <w:szCs w:val="32"/>
        </w:rPr>
        <w:t>民生</w:t>
      </w:r>
      <w:r>
        <w:rPr>
          <w:rFonts w:ascii="仿宋_GB2312" w:eastAsia="仿宋_GB2312"/>
          <w:color w:val="000000"/>
          <w:sz w:val="32"/>
          <w:szCs w:val="32"/>
        </w:rPr>
        <w:t>问题</w:t>
      </w:r>
      <w:r>
        <w:rPr>
          <w:rFonts w:hint="eastAsia" w:ascii="仿宋_GB2312" w:eastAsia="仿宋_GB2312"/>
          <w:color w:val="000000"/>
          <w:sz w:val="32"/>
          <w:szCs w:val="32"/>
          <w:lang w:eastAsia="zh-CN"/>
        </w:rPr>
        <w:t>，我们都耐心细致的解答，通过这个平台既解了老百姓的疑惑，又宣传了县委、县政府的决策，收到了良好效果</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spacing w:line="579" w:lineRule="exact"/>
        <w:ind w:firstLine="645"/>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）精细提供办公服务。</w:t>
      </w:r>
      <w:r>
        <w:rPr>
          <w:rFonts w:hint="default" w:ascii="Times New Roman" w:hAnsi="Times New Roman" w:eastAsia="仿宋_GB2312" w:cs="Times New Roman"/>
          <w:sz w:val="32"/>
          <w:szCs w:val="32"/>
        </w:rPr>
        <w:t>创优办公环境，提升服务水平，规范管理行为；大力开展“绿化、美化、亮化”工作，定期对各种观赏类植物修剪、整形、美化和病虫害防治。盘活办公用房存量资产，对县民宗局、环保局、环监站调新交旧办公用房进行了有效利用，保障了重点项目办公用房需求。</w:t>
      </w:r>
    </w:p>
    <w:p>
      <w:pPr>
        <w:keepNext w:val="0"/>
        <w:keepLines w:val="0"/>
        <w:pageBreakBefore w:val="0"/>
        <w:widowControl w:val="0"/>
        <w:kinsoku/>
        <w:wordWrap/>
        <w:overflowPunct/>
        <w:topLinePunct w:val="0"/>
        <w:autoSpaceDE/>
        <w:autoSpaceDN/>
        <w:bidi w:val="0"/>
        <w:adjustRightInd w:val="0"/>
        <w:snapToGrid w:val="0"/>
        <w:spacing w:line="579"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）精心提供接待服务。</w:t>
      </w:r>
      <w:r>
        <w:rPr>
          <w:rFonts w:hint="default" w:ascii="Times New Roman" w:hAnsi="Times New Roman" w:eastAsia="仿宋_GB2312" w:cs="Times New Roman"/>
          <w:color w:val="000000"/>
          <w:kern w:val="0"/>
          <w:sz w:val="30"/>
          <w:szCs w:val="30"/>
        </w:rPr>
        <w:t>推行“五个一”接待模式</w:t>
      </w:r>
      <w:r>
        <w:rPr>
          <w:rFonts w:hint="eastAsia" w:ascii="Times New Roman" w:hAnsi="Times New Roman" w:eastAsia="仿宋_GB2312" w:cs="Times New Roman"/>
          <w:color w:val="000000"/>
          <w:kern w:val="0"/>
          <w:sz w:val="30"/>
          <w:szCs w:val="30"/>
          <w:lang w:eastAsia="zh-CN"/>
        </w:rPr>
        <w:t>（</w:t>
      </w:r>
      <w:r>
        <w:rPr>
          <w:rFonts w:hint="eastAsia" w:ascii="仿宋_GB2312" w:hAnsi="微软雅黑" w:eastAsia="仿宋_GB2312" w:cs="Arial"/>
          <w:color w:val="000000"/>
          <w:kern w:val="0"/>
          <w:sz w:val="30"/>
          <w:szCs w:val="30"/>
        </w:rPr>
        <w:t>一份微笑、一份《接待手册》、一路热情讲解、一张特色桌签和一本宣传画册</w:t>
      </w:r>
      <w:r>
        <w:rPr>
          <w:rFonts w:hint="eastAsia" w:ascii="仿宋_GB2312" w:hAnsi="微软雅黑" w:eastAsia="仿宋_GB2312" w:cs="Arial"/>
          <w:color w:val="000000"/>
          <w:kern w:val="0"/>
          <w:sz w:val="30"/>
          <w:szCs w:val="30"/>
          <w:lang w:eastAsia="zh-CN"/>
        </w:rPr>
        <w:t>），</w:t>
      </w:r>
      <w:r>
        <w:rPr>
          <w:rFonts w:hint="default" w:ascii="Times New Roman" w:hAnsi="Times New Roman" w:eastAsia="仿宋_GB2312" w:cs="Times New Roman"/>
          <w:bCs/>
          <w:color w:val="000000"/>
          <w:kern w:val="0"/>
          <w:sz w:val="30"/>
          <w:szCs w:val="30"/>
        </w:rPr>
        <w:t>提供个性服务</w:t>
      </w:r>
      <w:r>
        <w:rPr>
          <w:rFonts w:hint="default" w:ascii="Times New Roman" w:hAnsi="Times New Roman" w:eastAsia="仿宋_GB2312" w:cs="Times New Roman"/>
          <w:bCs/>
          <w:color w:val="000000"/>
          <w:kern w:val="0"/>
          <w:sz w:val="30"/>
          <w:szCs w:val="30"/>
          <w:lang w:val="en-US" w:eastAsia="zh-CN"/>
        </w:rPr>
        <w:t>,</w:t>
      </w:r>
      <w:r>
        <w:rPr>
          <w:rFonts w:hint="eastAsia" w:ascii="Times New Roman" w:hAnsi="Times New Roman" w:eastAsia="仿宋_GB2312" w:cs="Times New Roman"/>
          <w:bCs/>
          <w:color w:val="000000"/>
          <w:kern w:val="0"/>
          <w:sz w:val="30"/>
          <w:szCs w:val="30"/>
          <w:lang w:val="en-US" w:eastAsia="zh-CN"/>
        </w:rPr>
        <w:t>在</w:t>
      </w:r>
      <w:r>
        <w:rPr>
          <w:rFonts w:hint="default" w:ascii="Times New Roman" w:hAnsi="Times New Roman" w:eastAsia="仿宋_GB2312" w:cs="Times New Roman"/>
          <w:color w:val="000000"/>
          <w:kern w:val="0"/>
          <w:sz w:val="30"/>
          <w:szCs w:val="30"/>
        </w:rPr>
        <w:t>较好地完成了各项接待任务</w:t>
      </w:r>
      <w:r>
        <w:rPr>
          <w:rFonts w:hint="eastAsia" w:ascii="Times New Roman" w:hAnsi="Times New Roman" w:eastAsia="仿宋_GB2312" w:cs="Times New Roman"/>
          <w:color w:val="000000"/>
          <w:kern w:val="0"/>
          <w:sz w:val="30"/>
          <w:szCs w:val="30"/>
          <w:lang w:eastAsia="zh-CN"/>
        </w:rPr>
        <w:t>的同时，表达了宣汉礼仪，展示了宣汉风采，宣传了宣汉文化，</w:t>
      </w:r>
      <w:r>
        <w:rPr>
          <w:rFonts w:hint="default" w:ascii="Times New Roman" w:hAnsi="Times New Roman" w:eastAsia="仿宋_GB2312" w:cs="Times New Roman"/>
          <w:color w:val="000000"/>
          <w:kern w:val="0"/>
          <w:sz w:val="30"/>
          <w:szCs w:val="30"/>
        </w:rPr>
        <w:t>得到了来访领导和客人的一致好评。</w:t>
      </w:r>
      <w:r>
        <w:rPr>
          <w:rFonts w:hint="default" w:ascii="Times New Roman" w:hAnsi="Times New Roman" w:eastAsia="仿宋_GB2312" w:cs="Times New Roman"/>
          <w:color w:val="000000"/>
          <w:sz w:val="32"/>
          <w:szCs w:val="32"/>
          <w:lang w:eastAsia="zh-CN"/>
        </w:rPr>
        <w:t>全年</w:t>
      </w:r>
      <w:r>
        <w:rPr>
          <w:rFonts w:hint="default" w:ascii="Times New Roman" w:hAnsi="Times New Roman" w:eastAsia="仿宋_GB2312" w:cs="Times New Roman"/>
          <w:color w:val="000000"/>
          <w:sz w:val="32"/>
          <w:szCs w:val="32"/>
        </w:rPr>
        <w:t>共接待</w:t>
      </w:r>
      <w:r>
        <w:rPr>
          <w:rFonts w:hint="default" w:ascii="Times New Roman" w:hAnsi="Times New Roman" w:eastAsia="仿宋_GB2312" w:cs="Times New Roman"/>
          <w:color w:val="000000"/>
          <w:sz w:val="32"/>
          <w:szCs w:val="32"/>
          <w:lang w:eastAsia="zh-CN"/>
        </w:rPr>
        <w:t>省市领导、乡友、客商等</w:t>
      </w:r>
      <w:r>
        <w:rPr>
          <w:rFonts w:hint="default" w:ascii="Times New Roman" w:hAnsi="Times New Roman" w:eastAsia="仿宋_GB2312" w:cs="Times New Roman"/>
          <w:color w:val="000000"/>
          <w:sz w:val="32"/>
          <w:szCs w:val="32"/>
          <w:lang w:val="en-US" w:eastAsia="zh-CN"/>
        </w:rPr>
        <w:t>460余</w:t>
      </w:r>
      <w:r>
        <w:rPr>
          <w:rFonts w:hint="default" w:ascii="Times New Roman" w:hAnsi="Times New Roman" w:eastAsia="仿宋_GB2312" w:cs="Times New Roman"/>
          <w:color w:val="000000"/>
          <w:sz w:val="32"/>
          <w:szCs w:val="32"/>
        </w:rPr>
        <w:t>批</w:t>
      </w:r>
      <w:r>
        <w:rPr>
          <w:rFonts w:hint="default" w:ascii="Times New Roman" w:hAnsi="Times New Roman" w:eastAsia="仿宋_GB2312" w:cs="Times New Roman"/>
          <w:color w:val="000000"/>
          <w:sz w:val="32"/>
          <w:szCs w:val="32"/>
          <w:lang w:eastAsia="zh-CN"/>
        </w:rPr>
        <w:t>次、约</w:t>
      </w:r>
      <w:r>
        <w:rPr>
          <w:rFonts w:hint="default" w:ascii="Times New Roman" w:hAnsi="Times New Roman" w:eastAsia="仿宋_GB2312" w:cs="Times New Roman"/>
          <w:color w:val="000000"/>
          <w:sz w:val="32"/>
          <w:szCs w:val="32"/>
          <w:lang w:val="en-US" w:eastAsia="zh-CN"/>
        </w:rPr>
        <w:t>6000</w:t>
      </w:r>
      <w:r>
        <w:rPr>
          <w:rFonts w:hint="default" w:ascii="Times New Roman" w:hAnsi="Times New Roman" w:eastAsia="仿宋_GB2312" w:cs="Times New Roman"/>
          <w:color w:val="000000"/>
          <w:sz w:val="32"/>
          <w:szCs w:val="32"/>
        </w:rPr>
        <w:t>人次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并协助县委、县政府、各部门接待大小会议</w:t>
      </w:r>
      <w:r>
        <w:rPr>
          <w:rFonts w:hint="default" w:ascii="Times New Roman" w:hAnsi="Times New Roman" w:eastAsia="仿宋_GB2312" w:cs="Times New Roman"/>
          <w:color w:val="000000"/>
          <w:sz w:val="32"/>
          <w:szCs w:val="32"/>
          <w:lang w:val="en-US" w:eastAsia="zh-CN"/>
        </w:rPr>
        <w:t>70余</w:t>
      </w:r>
      <w:r>
        <w:rPr>
          <w:rFonts w:hint="default" w:ascii="Times New Roman" w:hAnsi="Times New Roman" w:eastAsia="仿宋_GB2312" w:cs="Times New Roman"/>
          <w:color w:val="000000"/>
          <w:sz w:val="32"/>
          <w:szCs w:val="32"/>
        </w:rPr>
        <w:t>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四、以精细化为载体，主动担当，督查考核力度实现新突破</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（一）围绕检查督办当好“督查员”。</w:t>
      </w:r>
      <w:r>
        <w:rPr>
          <w:rFonts w:hint="default" w:ascii="Times New Roman" w:hAnsi="Times New Roman" w:eastAsia="仿宋_GB2312" w:cs="Times New Roman"/>
          <w:color w:val="000000"/>
          <w:sz w:val="32"/>
          <w:szCs w:val="32"/>
        </w:rPr>
        <w:t>突出重点，采取实地督查、联合督查、盘点督查、跟踪督查等方式，定期组织开展专项督查，推动各项决策部署和工作事项落实到位。10个重点工作督查组针对精准扶贫、易地搬迁等重点工作开展了10余次专项督查，发出督查通报9期，有力推动了宣汉脱贫攻坚工作走在全省前列。全年共发出《督办通知》120期、《宣汉督查》15期，撰写督查报告25期，下发督查通报24期。牵头督促党群部门办理党代表提案、政协委员提案19件。</w:t>
      </w:r>
    </w:p>
    <w:p>
      <w:pPr>
        <w:keepNext w:val="0"/>
        <w:keepLines w:val="0"/>
        <w:pageBreakBefore w:val="0"/>
        <w:widowControl w:val="0"/>
        <w:kinsoku/>
        <w:wordWrap/>
        <w:overflowPunct/>
        <w:topLinePunct w:val="0"/>
        <w:autoSpaceDE/>
        <w:autoSpaceDN/>
        <w:bidi w:val="0"/>
        <w:spacing w:line="579"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color w:val="000000"/>
          <w:sz w:val="32"/>
          <w:szCs w:val="32"/>
        </w:rPr>
        <w:t>（二）围绕考核问责当好“考核员”。</w:t>
      </w:r>
      <w:r>
        <w:rPr>
          <w:rFonts w:hint="default" w:ascii="Times New Roman" w:hAnsi="Times New Roman" w:eastAsia="仿宋_GB2312" w:cs="Times New Roman"/>
          <w:color w:val="000000"/>
          <w:sz w:val="32"/>
          <w:szCs w:val="32"/>
        </w:rPr>
        <w:t>认真完成了市上对我县2017年度目标绩效实地考评工作，严格按照市委市政府下达我县目标绩效考核内容，分解下达各项目标任务，明确责任任务到人，细化目标进度到月，定期督查促进度，反复研究解难题，实现了各项重点工作高效推动、圆满完成。聚焦巴山大峡谷旅游扶贫综合开发、中国（普光）微玻纤新材料产业园等全省重点项目建设，切实做好了市人大每季度来宣验收督导工作。同时，做好了2018年度全县目标完成情况自查报告的起草、送审、报送和迎接市上对我县2018年度目标考核的准备工作。制定了对各地各部门2018年度目标绩效管理考评文件方案。　</w:t>
      </w:r>
      <w:r>
        <w:rPr>
          <w:rFonts w:hint="default" w:ascii="Times New Roman" w:hAnsi="Times New Roman" w:eastAsia="黑体" w:cs="Times New Roman"/>
          <w:color w:val="000000"/>
          <w:sz w:val="32"/>
          <w:szCs w:val="32"/>
        </w:rPr>
        <w:t>　</w:t>
      </w:r>
    </w:p>
    <w:p>
      <w:pPr>
        <w:keepNext w:val="0"/>
        <w:keepLines w:val="0"/>
        <w:pageBreakBefore w:val="0"/>
        <w:widowControl w:val="0"/>
        <w:kinsoku/>
        <w:wordWrap/>
        <w:overflowPunct/>
        <w:topLinePunct w:val="0"/>
        <w:autoSpaceDE/>
        <w:autoSpaceDN/>
        <w:bidi w:val="0"/>
        <w:spacing w:line="579"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五、以精细化为文化，主动作为，内部建设水平实现新突破</w:t>
      </w:r>
      <w:r>
        <w:rPr>
          <w:rFonts w:hint="default" w:ascii="Times New Roman" w:hAnsi="Times New Roman" w:eastAsia="黑体" w:cs="Times New Roman"/>
          <w:color w:val="2F2F2F"/>
          <w:sz w:val="32"/>
          <w:szCs w:val="32"/>
          <w:shd w:val="clear" w:color="auto" w:fill="FFFFFF"/>
        </w:rPr>
        <w:br w:type="textWrapping"/>
      </w:r>
      <w:r>
        <w:rPr>
          <w:rFonts w:hint="default" w:ascii="Times New Roman" w:hAnsi="Times New Roman" w:eastAsia="楷体_GB2312" w:cs="Times New Roman"/>
          <w:sz w:val="32"/>
          <w:szCs w:val="32"/>
        </w:rPr>
        <w:t xml:space="preserve">    （一）扎实有效地做好党建工作。</w:t>
      </w:r>
      <w:r>
        <w:rPr>
          <w:rFonts w:hint="default" w:ascii="Times New Roman" w:hAnsi="Times New Roman" w:eastAsia="仿宋_GB2312" w:cs="Times New Roman"/>
          <w:sz w:val="32"/>
          <w:szCs w:val="32"/>
        </w:rPr>
        <w:t>分别按月和按季度开展党总支主题党员活动日和党风廉政建设主题日活动，</w:t>
      </w:r>
      <w:r>
        <w:rPr>
          <w:rFonts w:hint="default" w:ascii="Times New Roman" w:hAnsi="Times New Roman" w:eastAsia="仿宋_GB2312" w:cs="Times New Roman"/>
          <w:color w:val="000000"/>
          <w:sz w:val="32"/>
          <w:szCs w:val="32"/>
        </w:rPr>
        <w:t>做到月月有主题、月月有重点，领导带头讲党课，推动“三会一课”落到实处。努力提高党员干部的思想水平和业务素质，锤炼党员队伍的团结性和纯洁性，确保党的先进性，不断提高基</w:t>
      </w:r>
      <w:r>
        <w:rPr>
          <w:rFonts w:hint="eastAsia" w:eastAsia="仿宋_GB2312" w:cs="Times New Roman"/>
          <w:color w:val="000000"/>
          <w:sz w:val="32"/>
          <w:szCs w:val="32"/>
          <w:lang w:val="en-US" w:eastAsia="zh-CN"/>
        </w:rPr>
        <w:t>层</w:t>
      </w:r>
      <w:bookmarkStart w:id="74" w:name="_GoBack"/>
      <w:bookmarkEnd w:id="74"/>
      <w:r>
        <w:rPr>
          <w:rFonts w:hint="default" w:ascii="Times New Roman" w:hAnsi="Times New Roman" w:eastAsia="仿宋_GB2312" w:cs="Times New Roman"/>
          <w:color w:val="000000"/>
          <w:sz w:val="32"/>
          <w:szCs w:val="32"/>
        </w:rPr>
        <w:t>党组织的战斗力。深入推进“两学一做”主题教育，促使主题教育常态化与制度化，让每名党员干部牢记党的</w:t>
      </w:r>
      <w:r>
        <w:rPr>
          <w:rFonts w:hint="default" w:ascii="Times New Roman" w:hAnsi="Times New Roman" w:eastAsia="仿宋_GB2312" w:cs="Times New Roman"/>
          <w:sz w:val="32"/>
          <w:szCs w:val="32"/>
        </w:rPr>
        <w:t>宗旨、遵守党的纪律、弘扬党的传统。紧密联系工作实际，围绕“转型发展、均衡发展”的工作基调，扎实有效地开展“大学习、大讨论、大调研”活动，为加快建设繁荣美丽新宣汉提供强大的思想活力和发展动力。</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Times New Roman" w:hAnsi="Times New Roman" w:cs="Times New Roman"/>
        </w:rPr>
      </w:pPr>
      <w:r>
        <w:rPr>
          <w:rFonts w:hint="default" w:ascii="Times New Roman" w:hAnsi="Times New Roman" w:eastAsia="楷体_GB2312" w:cs="Times New Roman"/>
          <w:sz w:val="32"/>
          <w:szCs w:val="32"/>
        </w:rPr>
        <w:t>（二）循序渐进地做好干部工作</w:t>
      </w:r>
      <w:r>
        <w:rPr>
          <w:rFonts w:hint="default" w:ascii="Times New Roman" w:hAnsi="Times New Roman" w:eastAsia="仿宋_GB2312" w:cs="Times New Roman"/>
          <w:sz w:val="32"/>
          <w:szCs w:val="32"/>
        </w:rPr>
        <w:t>。把脱贫攻坚工作与干部的成长相结合，强调干部队伍的修身、锻能、律行和塑形，强化学习锻炼、参谋服务、制度建设和作风建设，促进干部全面发展。全年县委办系统，1名干部晋升为副县级、1名干部晋升为正科实质干部，6名干部提任为副科级。党总支先后确定了3名同志为党员发展对象，3名同志为预备党员</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spacing w:line="579" w:lineRule="exact"/>
        <w:ind w:firstLine="645"/>
        <w:textAlignment w:val="auto"/>
        <w:rPr>
          <w:rFonts w:hint="eastAsia" w:ascii="黑体" w:eastAsia="黑体"/>
          <w:b w:val="0"/>
          <w:color w:val="000000" w:themeColor="text1"/>
          <w:lang w:val="en-US" w:eastAsia="zh-CN"/>
          <w14:textFill>
            <w14:solidFill>
              <w14:schemeClr w14:val="tx1"/>
            </w14:solidFill>
          </w14:textFill>
        </w:rPr>
      </w:pPr>
      <w:r>
        <w:rPr>
          <w:rFonts w:hint="default" w:ascii="Times New Roman" w:hAnsi="Times New Roman" w:eastAsia="楷体_GB2312" w:cs="Times New Roman"/>
          <w:sz w:val="32"/>
          <w:szCs w:val="32"/>
        </w:rPr>
        <w:t>（三）稳妥慎重地做好保密工作。</w:t>
      </w:r>
      <w:r>
        <w:rPr>
          <w:rFonts w:hint="default" w:ascii="Times New Roman" w:hAnsi="Times New Roman" w:eastAsia="仿宋_GB2312" w:cs="Times New Roman"/>
          <w:sz w:val="32"/>
          <w:szCs w:val="32"/>
        </w:rPr>
        <w:t>一是加强宣传教育，</w:t>
      </w:r>
      <w:r>
        <w:rPr>
          <w:rFonts w:hint="default" w:ascii="Times New Roman" w:hAnsi="Times New Roman" w:eastAsia="仿宋_GB2312" w:cs="Times New Roman"/>
          <w:snapToGrid w:val="0"/>
          <w:sz w:val="32"/>
          <w:szCs w:val="32"/>
        </w:rPr>
        <w:t>利用</w:t>
      </w:r>
      <w:r>
        <w:rPr>
          <w:rFonts w:hint="default" w:ascii="Times New Roman" w:hAnsi="Times New Roman" w:eastAsia="仿宋_GB2312" w:cs="Times New Roman"/>
          <w:snapToGrid w:val="0"/>
          <w:kern w:val="0"/>
          <w:sz w:val="32"/>
          <w:szCs w:val="32"/>
        </w:rPr>
        <w:t>各类保密专项督查、保密培训等机会向各单位发放宣传资料1000余份、</w:t>
      </w:r>
      <w:r>
        <w:rPr>
          <w:rFonts w:hint="default" w:ascii="Times New Roman" w:hAnsi="Times New Roman" w:eastAsia="仿宋_GB2312" w:cs="Times New Roman"/>
          <w:sz w:val="32"/>
          <w:szCs w:val="32"/>
        </w:rPr>
        <w:t>《保密工作手册》1500余册、《保密工作笔记本》500余本。二是</w:t>
      </w:r>
      <w:r>
        <w:rPr>
          <w:rFonts w:hint="default" w:ascii="Times New Roman" w:hAnsi="Times New Roman" w:eastAsia="仿宋_GB2312" w:cs="Times New Roman"/>
          <w:snapToGrid w:val="0"/>
          <w:kern w:val="0"/>
          <w:sz w:val="32"/>
          <w:szCs w:val="32"/>
        </w:rPr>
        <w:t>强化文件</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z w:val="32"/>
          <w:szCs w:val="32"/>
        </w:rPr>
        <w:t>做好涉密文件清退和销毁工作，</w:t>
      </w:r>
      <w:r>
        <w:rPr>
          <w:rFonts w:hint="eastAsia"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组织回收9500余份中央、省、市和县级产生的涉密文件。三是维护公平正义，全力做好各类考试保密工作，</w:t>
      </w:r>
      <w:r>
        <w:rPr>
          <w:rFonts w:hint="eastAsia"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各类人事考试未出现失泄密隐患。四是全面推进涉密领域国产化替代工程</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2F2F2F"/>
          <w:sz w:val="32"/>
          <w:szCs w:val="32"/>
          <w:shd w:val="clear" w:color="auto" w:fill="FFFFFF"/>
        </w:rPr>
        <w:br w:type="textWrapping"/>
      </w: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（四）慎之又慎地做好机要工作</w:t>
      </w:r>
      <w:r>
        <w:rPr>
          <w:rFonts w:hint="default" w:ascii="Times New Roman" w:hAnsi="Times New Roman" w:eastAsia="仿宋_GB2312" w:cs="Times New Roman"/>
          <w:sz w:val="32"/>
          <w:szCs w:val="32"/>
        </w:rPr>
        <w:t>。一是抓好机要密码业务。严格机要值班值守，落实双人双岗制度；认真抓好密码电报办理，切实规范电报收发，全年接收办理明密电报817份，发送明密电报67份。二是抓好电子政务工作。围绕县委中心工作，开设专题专栏，及时更新信息，加强全县电子公文（资料）交换系统、党政视频会议系统、政务短信平台运维管理，成功交换公文（资料）2300余份、召开电视电话会议20余次、发送各类政务短信130余万条。三是抓好重点工程项目建设。通信保障能力“提升工程”项目建设圆满完成，密码部门标准化建设有效实施，党政高清视频会议系统升级改建项目扎实推进，涉密电子政务内网项目建设有序开展。</w:t>
      </w:r>
    </w:p>
    <w:p>
      <w:pPr>
        <w:pStyle w:val="3"/>
        <w:pageBreakBefore w:val="0"/>
        <w:kinsoku/>
        <w:wordWrap/>
        <w:overflowPunct/>
        <w:topLinePunct w:val="0"/>
        <w:autoSpaceDE/>
        <w:autoSpaceDN/>
        <w:bidi w:val="0"/>
        <w:adjustRightInd/>
        <w:snapToGrid/>
        <w:spacing w:before="0" w:after="0" w:line="579" w:lineRule="exact"/>
        <w:ind w:left="0" w:leftChars="0" w:right="0" w:rightChars="0"/>
        <w:jc w:val="center"/>
        <w:textAlignment w:val="auto"/>
        <w:rPr>
          <w:rStyle w:val="25"/>
          <w:b w:val="0"/>
          <w:bCs w:val="0"/>
          <w:color w:val="000000" w:themeColor="text1"/>
          <w14:textFill>
            <w14:solidFill>
              <w14:schemeClr w14:val="tx1"/>
            </w14:solidFill>
          </w14:textFill>
        </w:rPr>
      </w:pPr>
      <w:r>
        <w:rPr>
          <w:rFonts w:hint="eastAsia" w:ascii="黑体" w:eastAsia="黑体"/>
          <w:b w:val="0"/>
          <w:color w:val="000000" w:themeColor="text1"/>
          <w14:textFill>
            <w14:solidFill>
              <w14:schemeClr w14:val="tx1"/>
            </w14:solidFill>
          </w14:textFill>
        </w:rPr>
        <w:t>二、</w:t>
      </w:r>
      <w:r>
        <w:rPr>
          <w:rFonts w:hint="eastAsia" w:ascii="黑体" w:hAnsi="黑体" w:eastAsia="黑体"/>
          <w:b w:val="0"/>
          <w:color w:val="000000" w:themeColor="text1"/>
          <w14:textFill>
            <w14:solidFill>
              <w14:schemeClr w14:val="tx1"/>
            </w14:solidFill>
          </w14:textFill>
        </w:rPr>
        <w:t>机</w:t>
      </w:r>
      <w:r>
        <w:rPr>
          <w:rStyle w:val="25"/>
          <w:rFonts w:hint="eastAsia" w:ascii="黑体" w:hAnsi="黑体" w:eastAsia="黑体"/>
          <w:b w:val="0"/>
          <w:bCs w:val="0"/>
          <w:color w:val="000000" w:themeColor="text1"/>
          <w14:textFill>
            <w14:solidFill>
              <w14:schemeClr w14:val="tx1"/>
            </w14:solidFill>
          </w14:textFill>
        </w:rPr>
        <w:t>构设置</w:t>
      </w:r>
      <w:bookmarkEnd w:id="20"/>
      <w:bookmarkEnd w:id="21"/>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b w:val="0"/>
          <w:color w:val="000000" w:themeColor="text1"/>
          <w:lang w:val="en-US"/>
          <w14:textFill>
            <w14:solidFill>
              <w14:schemeClr w14:val="tx1"/>
            </w14:solidFill>
          </w14:textFill>
        </w:rPr>
      </w:pPr>
      <w:r>
        <w:rPr>
          <w:rFonts w:hint="eastAsia" w:ascii="仿宋_GB2312" w:eastAsia="仿宋_GB2312"/>
          <w:sz w:val="32"/>
          <w:szCs w:val="32"/>
        </w:rPr>
        <w:t>内设</w:t>
      </w:r>
      <w:r>
        <w:rPr>
          <w:rFonts w:hint="eastAsia" w:ascii="仿宋_GB2312" w:eastAsia="仿宋_GB2312"/>
          <w:sz w:val="32"/>
          <w:szCs w:val="32"/>
          <w:lang w:eastAsia="zh-CN"/>
        </w:rPr>
        <w:t>常委办</w:t>
      </w:r>
      <w:r>
        <w:rPr>
          <w:rFonts w:hint="eastAsia" w:ascii="仿宋_GB2312" w:eastAsia="仿宋_GB2312"/>
          <w:sz w:val="32"/>
          <w:szCs w:val="32"/>
        </w:rPr>
        <w:t>、</w:t>
      </w:r>
      <w:r>
        <w:rPr>
          <w:rFonts w:hint="eastAsia" w:ascii="仿宋_GB2312" w:eastAsia="仿宋_GB2312"/>
          <w:sz w:val="32"/>
          <w:szCs w:val="32"/>
          <w:lang w:eastAsia="zh-CN"/>
        </w:rPr>
        <w:t>二秘股</w:t>
      </w:r>
      <w:r>
        <w:rPr>
          <w:rFonts w:hint="eastAsia" w:ascii="仿宋_GB2312" w:eastAsia="仿宋_GB2312"/>
          <w:sz w:val="32"/>
          <w:szCs w:val="32"/>
        </w:rPr>
        <w:t>、</w:t>
      </w:r>
      <w:r>
        <w:rPr>
          <w:rFonts w:hint="eastAsia" w:ascii="仿宋_GB2312" w:eastAsia="仿宋_GB2312"/>
          <w:sz w:val="32"/>
          <w:szCs w:val="32"/>
          <w:lang w:eastAsia="zh-CN"/>
        </w:rPr>
        <w:t>行政股</w:t>
      </w:r>
      <w:r>
        <w:rPr>
          <w:rFonts w:hint="eastAsia" w:ascii="仿宋_GB2312" w:eastAsia="仿宋_GB2312"/>
          <w:sz w:val="32"/>
          <w:szCs w:val="32"/>
        </w:rPr>
        <w:t>、</w:t>
      </w:r>
      <w:r>
        <w:rPr>
          <w:rFonts w:hint="eastAsia" w:ascii="仿宋_GB2312" w:eastAsia="仿宋_GB2312"/>
          <w:sz w:val="32"/>
          <w:szCs w:val="32"/>
          <w:lang w:eastAsia="zh-CN"/>
        </w:rPr>
        <w:t>督查室</w:t>
      </w:r>
      <w:r>
        <w:rPr>
          <w:rFonts w:hint="eastAsia" w:ascii="仿宋_GB2312" w:eastAsia="仿宋_GB2312"/>
          <w:sz w:val="32"/>
          <w:szCs w:val="32"/>
        </w:rPr>
        <w:t>、</w:t>
      </w:r>
      <w:r>
        <w:rPr>
          <w:rFonts w:hint="eastAsia" w:ascii="仿宋_GB2312" w:eastAsia="仿宋_GB2312"/>
          <w:sz w:val="32"/>
          <w:szCs w:val="32"/>
          <w:lang w:eastAsia="zh-CN"/>
        </w:rPr>
        <w:t>综合室</w:t>
      </w:r>
      <w:r>
        <w:rPr>
          <w:rFonts w:hint="eastAsia" w:ascii="仿宋_GB2312" w:eastAsia="仿宋_GB2312"/>
          <w:sz w:val="32"/>
          <w:szCs w:val="32"/>
        </w:rPr>
        <w:t>、</w:t>
      </w:r>
      <w:r>
        <w:rPr>
          <w:rFonts w:hint="eastAsia" w:ascii="仿宋_GB2312" w:eastAsia="仿宋_GB2312"/>
          <w:sz w:val="32"/>
          <w:szCs w:val="32"/>
          <w:lang w:eastAsia="zh-CN"/>
        </w:rPr>
        <w:t>书记信箱办、信息股、保卫股、法规股、政研室、机要室</w:t>
      </w:r>
      <w:bookmarkStart w:id="22" w:name="_Toc15377204"/>
      <w:bookmarkStart w:id="23" w:name="_Toc15396602"/>
      <w:r>
        <w:rPr>
          <w:rFonts w:hint="eastAsia" w:ascii="仿宋_GB2312" w:eastAsia="仿宋_GB2312"/>
          <w:sz w:val="32"/>
          <w:szCs w:val="32"/>
          <w:lang w:eastAsia="zh-CN"/>
        </w:rPr>
        <w:t>，共</w:t>
      </w:r>
      <w:r>
        <w:rPr>
          <w:rFonts w:hint="eastAsia" w:ascii="仿宋_GB2312" w:eastAsia="仿宋_GB2312"/>
          <w:sz w:val="32"/>
          <w:szCs w:val="32"/>
          <w:lang w:val="en-US" w:eastAsia="zh-CN"/>
        </w:rPr>
        <w:t>11个股室。</w:t>
      </w:r>
    </w:p>
    <w:p>
      <w:pPr>
        <w:pStyle w:val="2"/>
        <w:pageBreakBefore w:val="0"/>
        <w:kinsoku/>
        <w:wordWrap/>
        <w:overflowPunct/>
        <w:topLinePunct w:val="0"/>
        <w:autoSpaceDE/>
        <w:autoSpaceDN/>
        <w:bidi w:val="0"/>
        <w:adjustRightInd/>
        <w:snapToGrid/>
        <w:spacing w:before="0" w:after="0" w:line="579" w:lineRule="exact"/>
        <w:ind w:right="440"/>
        <w:jc w:val="right"/>
        <w:textAlignment w:val="auto"/>
        <w:rPr>
          <w:rStyle w:val="24"/>
          <w:rFonts w:hint="eastAsia" w:ascii="黑体" w:hAnsi="黑体" w:eastAsia="黑体"/>
          <w:b w:val="0"/>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第二部分</w:t>
      </w:r>
      <w:r>
        <w:rPr>
          <w:rFonts w:hint="eastAsia" w:ascii="黑体" w:hAnsi="黑体" w:eastAsia="黑体"/>
          <w:color w:val="000000" w:themeColor="text1"/>
          <w14:textFill>
            <w14:solidFill>
              <w14:schemeClr w14:val="tx1"/>
            </w14:solidFill>
          </w14:textFill>
        </w:rPr>
        <w:t xml:space="preserve"> </w:t>
      </w:r>
      <w:r>
        <w:rPr>
          <w:rStyle w:val="24"/>
          <w:rFonts w:hint="eastAsia" w:ascii="黑体" w:hAnsi="黑体" w:eastAsia="黑体"/>
          <w:b w:val="0"/>
          <w:bCs w:val="0"/>
          <w:color w:val="000000" w:themeColor="text1"/>
          <w14:textFill>
            <w14:solidFill>
              <w14:schemeClr w14:val="tx1"/>
            </w14:solidFill>
          </w14:textFill>
        </w:rPr>
        <w:t>2018年度部门决算情况说明</w:t>
      </w:r>
      <w:bookmarkEnd w:id="22"/>
      <w:bookmarkEnd w:id="23"/>
    </w:p>
    <w:p>
      <w:pPr>
        <w:rPr>
          <w:color w:val="000000" w:themeColor="text1"/>
          <w14:textFill>
            <w14:solidFill>
              <w14:schemeClr w14:val="tx1"/>
            </w14:solidFill>
          </w14:textFill>
        </w:rPr>
      </w:pPr>
    </w:p>
    <w:p>
      <w:pPr>
        <w:pStyle w:val="23"/>
        <w:pageBreakBefore w:val="0"/>
        <w:numPr>
          <w:ilvl w:val="0"/>
          <w:numId w:val="0"/>
        </w:numPr>
        <w:kinsoku/>
        <w:wordWrap/>
        <w:overflowPunct/>
        <w:topLinePunct w:val="0"/>
        <w:autoSpaceDE/>
        <w:autoSpaceDN/>
        <w:bidi w:val="0"/>
        <w:adjustRightInd/>
        <w:snapToGrid/>
        <w:spacing w:line="579" w:lineRule="exact"/>
        <w:ind w:left="640" w:leftChars="0"/>
        <w:textAlignment w:val="auto"/>
        <w:outlineLvl w:val="1"/>
        <w:rPr>
          <w:rStyle w:val="25"/>
          <w:rFonts w:ascii="黑体" w:hAnsi="黑体" w:eastAsia="黑体"/>
          <w:b w:val="0"/>
          <w:color w:val="000000" w:themeColor="text1"/>
          <w14:textFill>
            <w14:solidFill>
              <w14:schemeClr w14:val="tx1"/>
            </w14:solidFill>
          </w14:textFill>
        </w:rPr>
      </w:pPr>
      <w:bookmarkStart w:id="24" w:name="_Toc15396603"/>
      <w:bookmarkStart w:id="25" w:name="_Toc15377205"/>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收</w:t>
      </w:r>
      <w:r>
        <w:rPr>
          <w:rStyle w:val="25"/>
          <w:rFonts w:hint="eastAsia" w:ascii="黑体" w:hAnsi="黑体" w:eastAsia="黑体"/>
          <w:b w:val="0"/>
          <w:color w:val="000000" w:themeColor="text1"/>
          <w14:textFill>
            <w14:solidFill>
              <w14:schemeClr w14:val="tx1"/>
            </w14:solidFill>
          </w14:textFill>
        </w:rPr>
        <w:t>入支出决算总体情况说明</w:t>
      </w:r>
      <w:bookmarkEnd w:id="24"/>
      <w:bookmarkEnd w:id="25"/>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olor w:val="FF0000"/>
          <w:sz w:val="32"/>
          <w:szCs w:val="32"/>
          <w:lang w:val="en-US" w:eastAsia="zh-CN"/>
        </w:rPr>
      </w:pP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年我</w:t>
      </w:r>
      <w:r>
        <w:rPr>
          <w:rFonts w:hint="eastAsia" w:ascii="仿宋_GB2312" w:eastAsia="仿宋_GB2312"/>
          <w:color w:val="000000" w:themeColor="text1"/>
          <w:sz w:val="32"/>
          <w:szCs w:val="32"/>
          <w:lang w:eastAsia="zh-CN"/>
          <w14:textFill>
            <w14:solidFill>
              <w14:schemeClr w14:val="tx1"/>
            </w14:solidFill>
          </w14:textFill>
        </w:rPr>
        <w:t>办</w:t>
      </w:r>
      <w:r>
        <w:rPr>
          <w:rFonts w:hint="eastAsia" w:ascii="仿宋_GB2312" w:eastAsia="仿宋_GB2312"/>
          <w:color w:val="000000" w:themeColor="text1"/>
          <w:sz w:val="32"/>
          <w:szCs w:val="32"/>
          <w14:textFill>
            <w14:solidFill>
              <w14:schemeClr w14:val="tx1"/>
            </w14:solidFill>
          </w14:textFill>
        </w:rPr>
        <w:t>本年收</w:t>
      </w:r>
      <w:r>
        <w:rPr>
          <w:rFonts w:hint="eastAsia" w:ascii="仿宋_GB2312" w:eastAsia="仿宋_GB2312"/>
          <w:color w:val="000000" w:themeColor="text1"/>
          <w:sz w:val="32"/>
          <w:szCs w:val="32"/>
          <w:lang w:eastAsia="zh-CN"/>
          <w14:textFill>
            <w14:solidFill>
              <w14:schemeClr w14:val="tx1"/>
            </w14:solidFill>
          </w14:textFill>
        </w:rPr>
        <w:t>入总</w:t>
      </w:r>
      <w:r>
        <w:rPr>
          <w:rFonts w:hint="eastAsia" w:ascii="仿宋_GB2312" w:eastAsia="仿宋_GB2312"/>
          <w:color w:val="000000" w:themeColor="text1"/>
          <w:sz w:val="32"/>
          <w:szCs w:val="32"/>
          <w14:textFill>
            <w14:solidFill>
              <w14:schemeClr w14:val="tx1"/>
            </w14:solidFill>
          </w14:textFill>
        </w:rPr>
        <w:t>计</w:t>
      </w:r>
      <w:r>
        <w:rPr>
          <w:rFonts w:hint="eastAsia" w:ascii="仿宋_GB2312" w:hAnsi="仿宋" w:eastAsia="仿宋_GB2312"/>
          <w:color w:val="000000" w:themeColor="text1"/>
          <w:sz w:val="32"/>
          <w:szCs w:val="32"/>
          <w:lang w:val="en-US" w:eastAsia="zh-CN"/>
          <w14:textFill>
            <w14:solidFill>
              <w14:schemeClr w14:val="tx1"/>
            </w14:solidFill>
          </w14:textFill>
        </w:rPr>
        <w:t>1577.62</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，与</w:t>
      </w:r>
      <w:r>
        <w:rPr>
          <w:rFonts w:hint="eastAsia" w:ascii="仿宋_GB2312" w:hAnsi="仿宋" w:eastAsia="仿宋_GB2312"/>
          <w:color w:val="000000" w:themeColor="text1"/>
          <w:sz w:val="32"/>
          <w:szCs w:val="32"/>
          <w:lang w:val="en-US" w:eastAsia="zh-CN"/>
          <w14:textFill>
            <w14:solidFill>
              <w14:schemeClr w14:val="tx1"/>
            </w14:solidFill>
          </w14:textFill>
        </w:rPr>
        <w:t>2017年相比增加91.1万元，增加6.12％。</w:t>
      </w:r>
    </w:p>
    <w:p>
      <w:pPr>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 w:eastAsia="仿宋_GB2312"/>
          <w:color w:val="FF0000"/>
          <w:sz w:val="32"/>
          <w:szCs w:val="32"/>
          <w:lang w:val="en-US" w:eastAsia="zh-CN"/>
        </w:rPr>
      </w:pP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年我</w:t>
      </w:r>
      <w:r>
        <w:rPr>
          <w:rFonts w:hint="eastAsia" w:ascii="仿宋_GB2312" w:eastAsia="仿宋_GB2312"/>
          <w:color w:val="000000" w:themeColor="text1"/>
          <w:sz w:val="32"/>
          <w:szCs w:val="32"/>
          <w:lang w:eastAsia="zh-CN"/>
          <w14:textFill>
            <w14:solidFill>
              <w14:schemeClr w14:val="tx1"/>
            </w14:solidFill>
          </w14:textFill>
        </w:rPr>
        <w:t>办</w:t>
      </w:r>
      <w:r>
        <w:rPr>
          <w:rFonts w:hint="eastAsia" w:ascii="仿宋_GB2312" w:eastAsia="仿宋_GB2312"/>
          <w:color w:val="000000" w:themeColor="text1"/>
          <w:sz w:val="32"/>
          <w:szCs w:val="32"/>
          <w14:textFill>
            <w14:solidFill>
              <w14:schemeClr w14:val="tx1"/>
            </w14:solidFill>
          </w14:textFill>
        </w:rPr>
        <w:t>本年</w:t>
      </w:r>
      <w:r>
        <w:rPr>
          <w:rFonts w:hint="eastAsia" w:ascii="仿宋_GB2312" w:eastAsia="仿宋_GB2312"/>
          <w:color w:val="000000" w:themeColor="text1"/>
          <w:sz w:val="32"/>
          <w:szCs w:val="32"/>
          <w:lang w:eastAsia="zh-CN"/>
          <w14:textFill>
            <w14:solidFill>
              <w14:schemeClr w14:val="tx1"/>
            </w14:solidFill>
          </w14:textFill>
        </w:rPr>
        <w:t>支出总计</w:t>
      </w:r>
      <w:r>
        <w:rPr>
          <w:rFonts w:hint="eastAsia" w:ascii="仿宋_GB2312" w:eastAsia="仿宋_GB2312"/>
          <w:color w:val="000000" w:themeColor="text1"/>
          <w:sz w:val="32"/>
          <w:szCs w:val="32"/>
          <w:lang w:val="en-US" w:eastAsia="zh-CN"/>
          <w14:textFill>
            <w14:solidFill>
              <w14:schemeClr w14:val="tx1"/>
            </w14:solidFill>
          </w14:textFill>
        </w:rPr>
        <w:t>1577.62万元</w:t>
      </w:r>
      <w:r>
        <w:rPr>
          <w:rFonts w:hint="eastAsia" w:ascii="仿宋" w:hAnsi="仿宋" w:eastAsia="仿宋"/>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与</w:t>
      </w:r>
      <w:r>
        <w:rPr>
          <w:rFonts w:hint="eastAsia" w:ascii="仿宋_GB2312" w:hAnsi="仿宋" w:eastAsia="仿宋_GB2312"/>
          <w:color w:val="000000" w:themeColor="text1"/>
          <w:sz w:val="32"/>
          <w:szCs w:val="32"/>
          <w:lang w:val="en-US" w:eastAsia="zh-CN"/>
          <w14:textFill>
            <w14:solidFill>
              <w14:schemeClr w14:val="tx1"/>
            </w14:solidFill>
          </w14:textFill>
        </w:rPr>
        <w:t>2017年相比增加91.1万元，增加6.12%。</w:t>
      </w:r>
    </w:p>
    <w:p>
      <w:pPr>
        <w:pageBreakBefore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1.人员经费及培训费增加；2.</w:t>
      </w:r>
      <w:r>
        <w:rPr>
          <w:rFonts w:hint="eastAsia" w:ascii="仿宋" w:hAnsi="仿宋" w:eastAsia="仿宋"/>
          <w:color w:val="000000" w:themeColor="text1"/>
          <w:sz w:val="32"/>
          <w:szCs w:val="32"/>
          <w:lang w:eastAsia="zh-CN"/>
          <w14:textFill>
            <w14:solidFill>
              <w14:schemeClr w14:val="tx1"/>
            </w14:solidFill>
          </w14:textFill>
        </w:rPr>
        <w:t>扶贫等任务加重</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3.巴山大峡谷开园以及现场会等。</w:t>
      </w:r>
    </w:p>
    <w:p>
      <w:pPr>
        <w:spacing w:line="240" w:lineRule="auto"/>
        <w:jc w:val="left"/>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5214620" cy="2858770"/>
            <wp:effectExtent l="0" t="0" r="5080" b="17780"/>
            <wp:docPr id="1" name="图片 1" descr="收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支"/>
                    <pic:cNvPicPr>
                      <a:picLocks noChangeAspect="1"/>
                    </pic:cNvPicPr>
                  </pic:nvPicPr>
                  <pic:blipFill>
                    <a:blip r:embed="rId6"/>
                    <a:stretch>
                      <a:fillRect/>
                    </a:stretch>
                  </pic:blipFill>
                  <pic:spPr>
                    <a:xfrm>
                      <a:off x="0" y="0"/>
                      <a:ext cx="5214620" cy="2858770"/>
                    </a:xfrm>
                    <a:prstGeom prst="rect">
                      <a:avLst/>
                    </a:prstGeom>
                  </pic:spPr>
                </pic:pic>
              </a:graphicData>
            </a:graphic>
          </wp:inline>
        </w:drawing>
      </w:r>
    </w:p>
    <w:p>
      <w:pPr>
        <w:spacing w:line="600" w:lineRule="exact"/>
        <w:jc w:val="left"/>
        <w:rPr>
          <w:rFonts w:ascii="仿宋_GB2312" w:eastAsia="仿宋_GB2312"/>
          <w:color w:val="FF0000"/>
          <w:sz w:val="32"/>
          <w:szCs w:val="32"/>
        </w:rPr>
      </w:pPr>
    </w:p>
    <w:p>
      <w:pPr>
        <w:spacing w:line="600" w:lineRule="exact"/>
        <w:jc w:val="left"/>
        <w:rPr>
          <w:rFonts w:ascii="仿宋_GB2312" w:eastAsia="仿宋_GB2312"/>
          <w:color w:val="FF0000"/>
          <w:sz w:val="32"/>
          <w:szCs w:val="32"/>
        </w:rPr>
      </w:pPr>
    </w:p>
    <w:p>
      <w:pPr>
        <w:spacing w:line="600" w:lineRule="exact"/>
        <w:jc w:val="left"/>
        <w:rPr>
          <w:rFonts w:ascii="仿宋_GB2312" w:eastAsia="仿宋_GB2312"/>
          <w:color w:val="FF0000"/>
          <w:sz w:val="32"/>
          <w:szCs w:val="32"/>
        </w:rPr>
      </w:pPr>
    </w:p>
    <w:p>
      <w:pPr>
        <w:pStyle w:val="23"/>
        <w:numPr>
          <w:ilvl w:val="0"/>
          <w:numId w:val="0"/>
        </w:numPr>
        <w:spacing w:line="600" w:lineRule="exact"/>
        <w:ind w:left="640" w:leftChars="0"/>
        <w:outlineLvl w:val="1"/>
        <w:rPr>
          <w:rStyle w:val="25"/>
          <w:rFonts w:ascii="黑体" w:hAnsi="黑体" w:eastAsia="黑体"/>
          <w:b w:val="0"/>
          <w:color w:val="000000" w:themeColor="text1"/>
          <w14:textFill>
            <w14:solidFill>
              <w14:schemeClr w14:val="tx1"/>
            </w14:solidFill>
          </w14:textFill>
        </w:rPr>
      </w:pPr>
      <w:bookmarkStart w:id="26" w:name="_Toc15377206"/>
      <w:bookmarkStart w:id="27" w:name="_Toc15396604"/>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收</w:t>
      </w:r>
      <w:r>
        <w:rPr>
          <w:rStyle w:val="25"/>
          <w:rFonts w:hint="eastAsia" w:ascii="黑体" w:hAnsi="黑体" w:eastAsia="黑体"/>
          <w:b w:val="0"/>
          <w:color w:val="000000" w:themeColor="text1"/>
          <w14:textFill>
            <w14:solidFill>
              <w14:schemeClr w14:val="tx1"/>
            </w14:solidFill>
          </w14:textFill>
        </w:rPr>
        <w:t>入决算情况说明</w:t>
      </w:r>
      <w:bookmarkEnd w:id="26"/>
      <w:bookmarkEnd w:id="27"/>
    </w:p>
    <w:p>
      <w:pPr>
        <w:spacing w:line="600" w:lineRule="exact"/>
        <w:ind w:firstLine="640" w:firstLineChars="200"/>
        <w:outlineLvl w:val="1"/>
        <w:rPr>
          <w:color w:val="FF0000"/>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8年本年收入合计</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万元，：一般公共预算财政拨款收入</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3"/>
        <w:numPr>
          <w:ilvl w:val="0"/>
          <w:numId w:val="0"/>
        </w:numPr>
        <w:spacing w:line="600" w:lineRule="exact"/>
        <w:ind w:left="640" w:leftChars="0"/>
        <w:outlineLvl w:val="1"/>
        <w:rPr>
          <w:rStyle w:val="25"/>
          <w:rFonts w:ascii="黑体" w:hAnsi="黑体" w:eastAsia="黑体"/>
          <w:b w:val="0"/>
          <w:color w:val="000000" w:themeColor="text1"/>
          <w14:textFill>
            <w14:solidFill>
              <w14:schemeClr w14:val="tx1"/>
            </w14:solidFill>
          </w14:textFill>
        </w:rPr>
      </w:pPr>
      <w:bookmarkStart w:id="28" w:name="_Toc15377207"/>
      <w:bookmarkStart w:id="29" w:name="_Toc15396605"/>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支</w:t>
      </w:r>
      <w:r>
        <w:rPr>
          <w:rStyle w:val="25"/>
          <w:rFonts w:hint="eastAsia" w:ascii="黑体" w:hAnsi="黑体" w:eastAsia="黑体"/>
          <w:b w:val="0"/>
          <w:color w:val="000000" w:themeColor="text1"/>
          <w14:textFill>
            <w14:solidFill>
              <w14:schemeClr w14:val="tx1"/>
            </w14:solidFill>
          </w14:textFill>
        </w:rPr>
        <w:t>出决算情况说明</w:t>
      </w:r>
      <w:bookmarkEnd w:id="28"/>
      <w:bookmarkEnd w:id="29"/>
    </w:p>
    <w:p>
      <w:pPr>
        <w:spacing w:line="600" w:lineRule="exact"/>
        <w:ind w:firstLine="640"/>
        <w:rPr>
          <w:rFonts w:ascii="仿宋" w:hAnsi="仿宋" w:eastAsia="仿宋"/>
          <w:color w:val="FF0000"/>
          <w:sz w:val="32"/>
          <w:szCs w:val="32"/>
          <w:shd w:val="pct10" w:color="auto" w:fill="FFFFFF"/>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8年本年支出合计</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万元，其中：基本支出</w:t>
      </w:r>
      <w:r>
        <w:rPr>
          <w:rFonts w:hint="eastAsia" w:ascii="仿宋" w:hAnsi="仿宋" w:eastAsia="仿宋"/>
          <w:color w:val="000000" w:themeColor="text1"/>
          <w:sz w:val="32"/>
          <w:szCs w:val="32"/>
          <w:lang w:val="en-US" w:eastAsia="zh-CN"/>
          <w14:textFill>
            <w14:solidFill>
              <w14:schemeClr w14:val="tx1"/>
            </w14:solidFill>
          </w14:textFill>
        </w:rPr>
        <w:t>409.19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1168.43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74.07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240" w:lineRule="auto"/>
        <w:outlineLvl w:val="1"/>
        <w:rPr>
          <w:rFonts w:hint="eastAsia" w:ascii="黑体" w:hAnsi="黑体" w:eastAsia="黑体"/>
          <w:color w:val="FF0000"/>
          <w:sz w:val="32"/>
          <w:szCs w:val="32"/>
        </w:rPr>
      </w:pPr>
      <w:bookmarkStart w:id="30" w:name="_Toc15396606"/>
      <w:bookmarkStart w:id="31" w:name="_Toc15377208"/>
      <w:r>
        <w:rPr>
          <w:rFonts w:hint="eastAsia" w:ascii="黑体" w:hAnsi="黑体" w:eastAsia="黑体"/>
          <w:color w:val="FF0000"/>
          <w:sz w:val="32"/>
          <w:szCs w:val="32"/>
          <w:lang w:eastAsia="zh-CN"/>
        </w:rPr>
        <w:drawing>
          <wp:inline distT="0" distB="0" distL="114300" distR="114300">
            <wp:extent cx="5174615" cy="2907665"/>
            <wp:effectExtent l="0" t="0" r="6985" b="6985"/>
            <wp:docPr id="2" name="图片 2" descr="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3"/>
                    <pic:cNvPicPr>
                      <a:picLocks noChangeAspect="1"/>
                    </pic:cNvPicPr>
                  </pic:nvPicPr>
                  <pic:blipFill>
                    <a:blip r:embed="rId7"/>
                    <a:stretch>
                      <a:fillRect/>
                    </a:stretch>
                  </pic:blipFill>
                  <pic:spPr>
                    <a:xfrm>
                      <a:off x="0" y="0"/>
                      <a:ext cx="5174615" cy="2907665"/>
                    </a:xfrm>
                    <a:prstGeom prst="rect">
                      <a:avLst/>
                    </a:prstGeom>
                  </pic:spPr>
                </pic:pic>
              </a:graphicData>
            </a:graphic>
          </wp:inline>
        </w:drawing>
      </w:r>
    </w:p>
    <w:p>
      <w:pPr>
        <w:spacing w:line="600" w:lineRule="exact"/>
        <w:ind w:firstLine="640" w:firstLineChars="200"/>
        <w:outlineLvl w:val="1"/>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四、财</w:t>
      </w:r>
      <w:r>
        <w:rPr>
          <w:rStyle w:val="25"/>
          <w:rFonts w:hint="eastAsia" w:ascii="黑体" w:hAnsi="黑体" w:eastAsia="黑体"/>
          <w:b w:val="0"/>
          <w:color w:val="000000" w:themeColor="text1"/>
          <w14:textFill>
            <w14:solidFill>
              <w14:schemeClr w14:val="tx1"/>
            </w14:solidFill>
          </w14:textFill>
        </w:rPr>
        <w:t>政拨款收入支出决算总体情况说明</w:t>
      </w:r>
      <w:bookmarkEnd w:id="30"/>
      <w:bookmarkEnd w:id="31"/>
    </w:p>
    <w:p>
      <w:pPr>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年我</w:t>
      </w:r>
      <w:r>
        <w:rPr>
          <w:rFonts w:hint="eastAsia" w:ascii="仿宋_GB2312" w:eastAsia="仿宋_GB2312"/>
          <w:color w:val="000000" w:themeColor="text1"/>
          <w:sz w:val="32"/>
          <w:szCs w:val="32"/>
          <w:lang w:eastAsia="zh-CN"/>
          <w14:textFill>
            <w14:solidFill>
              <w14:schemeClr w14:val="tx1"/>
            </w14:solidFill>
          </w14:textFill>
        </w:rPr>
        <w:t>办财政拨款</w:t>
      </w:r>
      <w:r>
        <w:rPr>
          <w:rFonts w:hint="eastAsia" w:ascii="仿宋_GB2312" w:eastAsia="仿宋_GB2312"/>
          <w:color w:val="000000" w:themeColor="text1"/>
          <w:sz w:val="32"/>
          <w:szCs w:val="32"/>
          <w14:textFill>
            <w14:solidFill>
              <w14:schemeClr w14:val="tx1"/>
            </w14:solidFill>
          </w14:textFill>
        </w:rPr>
        <w:t>收入合计</w:t>
      </w:r>
      <w:r>
        <w:rPr>
          <w:rFonts w:hint="eastAsia" w:ascii="仿宋_GB2312" w:hAnsi="仿宋" w:eastAsia="仿宋_GB2312"/>
          <w:color w:val="000000" w:themeColor="text1"/>
          <w:sz w:val="32"/>
          <w:szCs w:val="32"/>
          <w:lang w:val="en-US" w:eastAsia="zh-CN"/>
          <w14:textFill>
            <w14:solidFill>
              <w14:schemeClr w14:val="tx1"/>
            </w14:solidFill>
          </w14:textFill>
        </w:rPr>
        <w:t>1577.62</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，与</w:t>
      </w:r>
      <w:r>
        <w:rPr>
          <w:rFonts w:hint="eastAsia" w:ascii="仿宋_GB2312" w:hAnsi="仿宋" w:eastAsia="仿宋_GB2312"/>
          <w:color w:val="000000" w:themeColor="text1"/>
          <w:sz w:val="32"/>
          <w:szCs w:val="32"/>
          <w:lang w:val="en-US" w:eastAsia="zh-CN"/>
          <w14:textFill>
            <w14:solidFill>
              <w14:schemeClr w14:val="tx1"/>
            </w14:solidFill>
          </w14:textFill>
        </w:rPr>
        <w:t>2017年相比增加91.1万元，增加6.12％。</w:t>
      </w:r>
    </w:p>
    <w:p>
      <w:pPr>
        <w:pageBreakBefore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年我</w:t>
      </w:r>
      <w:r>
        <w:rPr>
          <w:rFonts w:hint="eastAsia" w:ascii="仿宋_GB2312" w:eastAsia="仿宋_GB2312"/>
          <w:color w:val="000000" w:themeColor="text1"/>
          <w:sz w:val="32"/>
          <w:szCs w:val="32"/>
          <w:lang w:eastAsia="zh-CN"/>
          <w14:textFill>
            <w14:solidFill>
              <w14:schemeClr w14:val="tx1"/>
            </w14:solidFill>
          </w14:textFill>
        </w:rPr>
        <w:t>办财政拨款支出总计</w:t>
      </w:r>
      <w:r>
        <w:rPr>
          <w:rFonts w:hint="eastAsia" w:ascii="仿宋_GB2312" w:eastAsia="仿宋_GB2312"/>
          <w:color w:val="000000" w:themeColor="text1"/>
          <w:sz w:val="32"/>
          <w:szCs w:val="32"/>
          <w:lang w:val="en-US" w:eastAsia="zh-CN"/>
          <w14:textFill>
            <w14:solidFill>
              <w14:schemeClr w14:val="tx1"/>
            </w14:solidFill>
          </w14:textFill>
        </w:rPr>
        <w:t>1577.62万元</w:t>
      </w:r>
      <w:r>
        <w:rPr>
          <w:rFonts w:hint="eastAsia" w:ascii="仿宋" w:hAnsi="仿宋" w:eastAsia="仿宋"/>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与</w:t>
      </w:r>
      <w:r>
        <w:rPr>
          <w:rFonts w:hint="eastAsia" w:ascii="仿宋_GB2312" w:hAnsi="仿宋" w:eastAsia="仿宋_GB2312"/>
          <w:color w:val="000000" w:themeColor="text1"/>
          <w:sz w:val="32"/>
          <w:szCs w:val="32"/>
          <w:lang w:val="en-US" w:eastAsia="zh-CN"/>
          <w14:textFill>
            <w14:solidFill>
              <w14:schemeClr w14:val="tx1"/>
            </w14:solidFill>
          </w14:textFill>
        </w:rPr>
        <w:t>2017年相比增加91.1万元，增加6.12%。</w:t>
      </w:r>
    </w:p>
    <w:p>
      <w:pPr>
        <w:pageBreakBefore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1.人员经费及培训费增加；2.</w:t>
      </w:r>
      <w:r>
        <w:rPr>
          <w:rFonts w:hint="eastAsia" w:ascii="仿宋" w:hAnsi="仿宋" w:eastAsia="仿宋"/>
          <w:color w:val="000000" w:themeColor="text1"/>
          <w:sz w:val="32"/>
          <w:szCs w:val="32"/>
          <w:lang w:eastAsia="zh-CN"/>
          <w14:textFill>
            <w14:solidFill>
              <w14:schemeClr w14:val="tx1"/>
            </w14:solidFill>
          </w14:textFill>
        </w:rPr>
        <w:t>扶贫等任务加重</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3.巴山大峡谷开园以及现场会等。</w:t>
      </w: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lang w:eastAsia="zh-CN"/>
        </w:rPr>
      </w:pPr>
    </w:p>
    <w:p>
      <w:pPr>
        <w:spacing w:line="240" w:lineRule="auto"/>
        <w:outlineLvl w:val="1"/>
        <w:rPr>
          <w:rFonts w:hint="eastAsia" w:ascii="仿宋" w:hAnsi="仿宋" w:eastAsia="仿宋"/>
          <w:b/>
          <w:color w:val="FF0000"/>
          <w:sz w:val="32"/>
          <w:szCs w:val="32"/>
        </w:rPr>
      </w:pPr>
      <w:bookmarkStart w:id="32" w:name="_Toc15396607"/>
      <w:bookmarkStart w:id="33" w:name="_Toc15377209"/>
      <w:r>
        <w:rPr>
          <w:rFonts w:hint="eastAsia" w:ascii="仿宋" w:hAnsi="仿宋" w:eastAsia="仿宋"/>
          <w:b/>
          <w:color w:val="FF0000"/>
          <w:sz w:val="32"/>
          <w:szCs w:val="32"/>
          <w:lang w:eastAsia="zh-CN"/>
        </w:rPr>
        <w:drawing>
          <wp:inline distT="0" distB="0" distL="114300" distR="114300">
            <wp:extent cx="5269865" cy="2755265"/>
            <wp:effectExtent l="0" t="0" r="6985" b="6985"/>
            <wp:docPr id="3" name="图片 3" descr="4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437"/>
                    <pic:cNvPicPr>
                      <a:picLocks noChangeAspect="1"/>
                    </pic:cNvPicPr>
                  </pic:nvPicPr>
                  <pic:blipFill>
                    <a:blip r:embed="rId8"/>
                    <a:stretch>
                      <a:fillRect/>
                    </a:stretch>
                  </pic:blipFill>
                  <pic:spPr>
                    <a:xfrm>
                      <a:off x="0" y="0"/>
                      <a:ext cx="5269865" cy="2755265"/>
                    </a:xfrm>
                    <a:prstGeom prst="rect">
                      <a:avLst/>
                    </a:prstGeom>
                  </pic:spPr>
                </pic:pic>
              </a:graphicData>
            </a:graphic>
          </wp:inline>
        </w:drawing>
      </w:r>
    </w:p>
    <w:p>
      <w:pPr>
        <w:spacing w:line="600" w:lineRule="exact"/>
        <w:ind w:firstLine="643" w:firstLineChars="200"/>
        <w:outlineLvl w:val="1"/>
        <w:rPr>
          <w:rFonts w:hint="eastAsia" w:ascii="黑体" w:hAnsi="黑体" w:eastAsia="黑体"/>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5"/>
          <w:rFonts w:hint="eastAsia" w:ascii="黑体" w:hAnsi="黑体" w:eastAsia="黑体"/>
          <w:b w:val="0"/>
          <w:color w:val="000000" w:themeColor="text1"/>
          <w14:textFill>
            <w14:solidFill>
              <w14:schemeClr w14:val="tx1"/>
            </w14:solidFill>
          </w14:textFill>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4" w:name="_Toc15377210"/>
      <w:r>
        <w:rPr>
          <w:rFonts w:hint="eastAsia" w:ascii="仿宋" w:hAnsi="仿宋" w:eastAsia="仿宋"/>
          <w:b/>
          <w:color w:val="000000" w:themeColor="text1"/>
          <w:sz w:val="32"/>
          <w:szCs w:val="32"/>
          <w14:textFill>
            <w14:solidFill>
              <w14:schemeClr w14:val="tx1"/>
            </w14:solidFill>
          </w14:textFill>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万元，占本年支出合计的</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7年相比，一般公共预算财政拨款</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91.1</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6.12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val="en-US" w:eastAsia="zh-CN"/>
          <w14:textFill>
            <w14:solidFill>
              <w14:schemeClr w14:val="tx1"/>
            </w14:solidFill>
          </w14:textFill>
        </w:rPr>
        <w:t>1.人员经费及培训费增加；2.</w:t>
      </w:r>
      <w:r>
        <w:rPr>
          <w:rFonts w:hint="eastAsia" w:ascii="仿宋" w:hAnsi="仿宋" w:eastAsia="仿宋"/>
          <w:color w:val="000000" w:themeColor="text1"/>
          <w:sz w:val="32"/>
          <w:szCs w:val="32"/>
          <w:lang w:eastAsia="zh-CN"/>
          <w14:textFill>
            <w14:solidFill>
              <w14:schemeClr w14:val="tx1"/>
            </w14:solidFill>
          </w14:textFill>
        </w:rPr>
        <w:t>扶贫等任务加重</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lang w:val="en-US" w:eastAsia="zh-CN"/>
          <w14:textFill>
            <w14:solidFill>
              <w14:schemeClr w14:val="tx1"/>
            </w14:solidFill>
          </w14:textFill>
        </w:rPr>
        <w:t>3.巴山大峡谷开园以及现场会等。</w:t>
      </w:r>
    </w:p>
    <w:p>
      <w:pPr>
        <w:spacing w:line="240" w:lineRule="auto"/>
        <w:outlineLvl w:val="2"/>
        <w:rPr>
          <w:rFonts w:hint="eastAsia" w:ascii="仿宋" w:hAnsi="仿宋" w:eastAsia="仿宋"/>
          <w:b/>
          <w:color w:val="FF0000"/>
          <w:sz w:val="32"/>
          <w:szCs w:val="32"/>
          <w:lang w:eastAsia="zh-CN"/>
        </w:rPr>
      </w:pPr>
      <w:bookmarkStart w:id="35" w:name="_Toc15377211"/>
      <w:r>
        <w:rPr>
          <w:rFonts w:hint="eastAsia" w:ascii="仿宋" w:hAnsi="仿宋" w:eastAsia="仿宋"/>
          <w:b/>
          <w:color w:val="FF0000"/>
          <w:sz w:val="32"/>
          <w:szCs w:val="32"/>
          <w:lang w:eastAsia="zh-CN"/>
        </w:rPr>
        <w:drawing>
          <wp:inline distT="0" distB="0" distL="114300" distR="114300">
            <wp:extent cx="5295265" cy="2343150"/>
            <wp:effectExtent l="0" t="0" r="635" b="0"/>
            <wp:docPr id="4" name="图片 4" descr="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7"/>
                    <pic:cNvPicPr>
                      <a:picLocks noChangeAspect="1"/>
                    </pic:cNvPicPr>
                  </pic:nvPicPr>
                  <pic:blipFill>
                    <a:blip r:embed="rId9"/>
                    <a:stretch>
                      <a:fillRect/>
                    </a:stretch>
                  </pic:blipFill>
                  <pic:spPr>
                    <a:xfrm>
                      <a:off x="0" y="0"/>
                      <a:ext cx="5295265" cy="2343150"/>
                    </a:xfrm>
                    <a:prstGeom prst="rect">
                      <a:avLst/>
                    </a:prstGeom>
                  </pic:spPr>
                </pic:pic>
              </a:graphicData>
            </a:graphic>
          </wp:inline>
        </w:drawing>
      </w:r>
    </w:p>
    <w:p>
      <w:pPr>
        <w:spacing w:line="600" w:lineRule="exact"/>
        <w:outlineLvl w:val="2"/>
        <w:rPr>
          <w:rFonts w:hint="eastAsia" w:ascii="仿宋" w:hAnsi="仿宋" w:eastAsia="仿宋"/>
          <w:b/>
          <w:color w:val="FF0000"/>
          <w:sz w:val="32"/>
          <w:szCs w:val="32"/>
        </w:rPr>
      </w:pP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（二）一般公共预算财政拨款支出决算结构情况</w:t>
      </w:r>
      <w:bookmarkEnd w:id="35"/>
    </w:p>
    <w:p>
      <w:pPr>
        <w:spacing w:line="600" w:lineRule="exact"/>
        <w:ind w:firstLine="640"/>
        <w:rPr>
          <w:rFonts w:ascii="仿宋" w:hAnsi="仿宋" w:eastAsia="仿宋"/>
          <w:color w:val="FF0000"/>
          <w:sz w:val="32"/>
          <w:szCs w:val="32"/>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一般公共服务支出</w:t>
      </w:r>
      <w:r>
        <w:rPr>
          <w:rFonts w:hint="eastAsia" w:ascii="仿宋" w:hAnsi="仿宋" w:eastAsia="仿宋"/>
          <w:color w:val="000000" w:themeColor="text1"/>
          <w:sz w:val="32"/>
          <w:szCs w:val="32"/>
          <w:lang w:val="en-US" w:eastAsia="zh-CN"/>
          <w14:textFill>
            <w14:solidFill>
              <w14:schemeClr w14:val="tx1"/>
            </w14:solidFill>
          </w14:textFill>
        </w:rPr>
        <w:t>1446.07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88.2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color w:val="000000" w:themeColor="text1"/>
          <w:sz w:val="32"/>
          <w:szCs w:val="32"/>
          <w:lang w:eastAsia="zh-CN"/>
          <w14:textFill>
            <w14:solidFill>
              <w14:schemeClr w14:val="tx1"/>
            </w14:solidFill>
          </w14:textFill>
        </w:rPr>
        <w:t>与计划生育</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240" w:lineRule="auto"/>
        <w:outlineLvl w:val="2"/>
        <w:rPr>
          <w:rFonts w:hint="eastAsia" w:ascii="仿宋" w:hAnsi="仿宋" w:eastAsia="仿宋"/>
          <w:b/>
          <w:color w:val="FF0000"/>
          <w:sz w:val="32"/>
          <w:szCs w:val="32"/>
          <w:lang w:eastAsia="zh-CN"/>
        </w:rPr>
      </w:pPr>
      <w:bookmarkStart w:id="36" w:name="_Toc15377212"/>
      <w:r>
        <w:rPr>
          <w:rFonts w:hint="eastAsia" w:ascii="仿宋" w:hAnsi="仿宋" w:eastAsia="仿宋"/>
          <w:b/>
          <w:color w:val="FF0000"/>
          <w:sz w:val="32"/>
          <w:szCs w:val="32"/>
          <w:lang w:eastAsia="zh-CN"/>
        </w:rPr>
        <w:drawing>
          <wp:inline distT="0" distB="0" distL="114300" distR="114300">
            <wp:extent cx="5436870" cy="2724150"/>
            <wp:effectExtent l="0" t="0" r="11430" b="0"/>
            <wp:docPr id="6" name="图片 6" descr="%T@0PI`9{ZHWBJI])@O27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0PI`9{ZHWBJI])@O27N1"/>
                    <pic:cNvPicPr>
                      <a:picLocks noChangeAspect="1"/>
                    </pic:cNvPicPr>
                  </pic:nvPicPr>
                  <pic:blipFill>
                    <a:blip r:embed="rId10"/>
                    <a:stretch>
                      <a:fillRect/>
                    </a:stretch>
                  </pic:blipFill>
                  <pic:spPr>
                    <a:xfrm>
                      <a:off x="0" y="0"/>
                      <a:ext cx="5436870" cy="2724150"/>
                    </a:xfrm>
                    <a:prstGeom prst="rect">
                      <a:avLst/>
                    </a:prstGeom>
                  </pic:spPr>
                </pic:pic>
              </a:graphicData>
            </a:graphic>
          </wp:inline>
        </w:drawing>
      </w:r>
    </w:p>
    <w:p>
      <w:pPr>
        <w:spacing w:line="600" w:lineRule="exact"/>
        <w:outlineLvl w:val="2"/>
        <w:rPr>
          <w:rFonts w:hint="eastAsia" w:ascii="仿宋" w:hAnsi="仿宋" w:eastAsia="仿宋"/>
          <w:b/>
          <w:color w:val="FF0000"/>
          <w:sz w:val="32"/>
          <w:szCs w:val="32"/>
        </w:rPr>
      </w:pPr>
    </w:p>
    <w:p>
      <w:pPr>
        <w:spacing w:line="600" w:lineRule="exact"/>
        <w:outlineLvl w:val="2"/>
        <w:rPr>
          <w:rFonts w:hint="eastAsia" w:ascii="仿宋" w:hAnsi="仿宋" w:eastAsia="仿宋"/>
          <w:b/>
          <w:color w:val="FF0000"/>
          <w:sz w:val="32"/>
          <w:szCs w:val="32"/>
        </w:rPr>
      </w:pP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（三）一般公共预算财政拨款支出决算具体情况</w:t>
      </w:r>
      <w:bookmarkEnd w:id="36"/>
    </w:p>
    <w:p>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1577.62万元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完成预算</w:t>
      </w:r>
      <w:r>
        <w:rPr>
          <w:rStyle w:val="14"/>
          <w:rFonts w:hint="eastAsia" w:ascii="仿宋" w:hAnsi="仿宋" w:eastAsia="仿宋"/>
          <w:bCs/>
          <w:color w:val="000000" w:themeColor="text1"/>
          <w:sz w:val="32"/>
          <w:szCs w:val="32"/>
          <w:lang w:val="en-US" w:eastAsia="zh-CN"/>
          <w14:textFill>
            <w14:solidFill>
              <w14:schemeClr w14:val="tx1"/>
            </w14:solidFill>
          </w14:textFill>
        </w:rPr>
        <w:t>100</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。其中：</w:t>
      </w:r>
      <w:bookmarkEnd w:id="37"/>
      <w:bookmarkEnd w:id="38"/>
      <w:bookmarkEnd w:id="39"/>
    </w:p>
    <w:p>
      <w:pPr>
        <w:spacing w:line="600" w:lineRule="exact"/>
        <w:ind w:firstLine="643" w:firstLineChars="200"/>
        <w:rPr>
          <w:rStyle w:val="14"/>
          <w:rFonts w:hint="eastAsia" w:ascii="仿宋" w:hAnsi="仿宋" w:eastAsia="仿宋"/>
          <w:b w:val="0"/>
          <w:bCs/>
          <w:color w:val="000000" w:themeColor="text1"/>
          <w:sz w:val="32"/>
          <w:szCs w:val="32"/>
          <w14:textFill>
            <w14:solidFill>
              <w14:schemeClr w14:val="tx1"/>
            </w14:solidFill>
          </w14:textFill>
        </w:rPr>
      </w:pPr>
      <w:r>
        <w:rPr>
          <w:rStyle w:val="14"/>
          <w:rFonts w:ascii="仿宋" w:hAnsi="仿宋" w:eastAsia="仿宋"/>
          <w:bCs/>
          <w:color w:val="000000" w:themeColor="text1"/>
          <w:sz w:val="32"/>
          <w:szCs w:val="32"/>
          <w14:textFill>
            <w14:solidFill>
              <w14:schemeClr w14:val="tx1"/>
            </w14:solidFill>
          </w14:textFill>
        </w:rPr>
        <w:t>1.</w:t>
      </w:r>
      <w:r>
        <w:rPr>
          <w:rStyle w:val="14"/>
          <w:rFonts w:hint="eastAsia" w:ascii="仿宋" w:hAnsi="仿宋" w:eastAsia="仿宋"/>
          <w:bCs/>
          <w:color w:val="000000" w:themeColor="text1"/>
          <w:sz w:val="32"/>
          <w:szCs w:val="32"/>
          <w14:textFill>
            <w14:solidFill>
              <w14:schemeClr w14:val="tx1"/>
            </w14:solidFill>
          </w14:textFill>
        </w:rPr>
        <w:t>一般公共服务</w:t>
      </w:r>
      <w:r>
        <w:rPr>
          <w:rStyle w:val="14"/>
          <w:rFonts w:hint="eastAsia" w:ascii="仿宋" w:hAnsi="仿宋" w:eastAsia="仿宋"/>
          <w:bCs/>
          <w:color w:val="000000" w:themeColor="text1"/>
          <w:sz w:val="32"/>
          <w:szCs w:val="32"/>
          <w:lang w:eastAsia="zh-CN"/>
          <w14:textFill>
            <w14:solidFill>
              <w14:schemeClr w14:val="tx1"/>
            </w14:solidFill>
          </w14:textFill>
        </w:rPr>
        <w:t>支出</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1446.07</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0"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 w:val="0"/>
          <w:bCs/>
          <w:color w:val="000000" w:themeColor="text1"/>
          <w:sz w:val="32"/>
          <w:szCs w:val="32"/>
          <w:lang w:eastAsia="zh-CN"/>
          <w14:textFill>
            <w14:solidFill>
              <w14:schemeClr w14:val="tx1"/>
            </w14:solidFill>
          </w14:textFill>
        </w:rPr>
        <w:t>（</w:t>
      </w:r>
      <w:r>
        <w:rPr>
          <w:rStyle w:val="14"/>
          <w:rFonts w:hint="eastAsia" w:ascii="仿宋" w:hAnsi="仿宋" w:eastAsia="仿宋"/>
          <w:b w:val="0"/>
          <w:bCs/>
          <w:color w:val="000000" w:themeColor="text1"/>
          <w:sz w:val="32"/>
          <w:szCs w:val="32"/>
          <w:lang w:val="en-US" w:eastAsia="zh-CN"/>
          <w14:textFill>
            <w14:solidFill>
              <w14:schemeClr w14:val="tx1"/>
            </w14:solidFill>
          </w14:textFill>
        </w:rPr>
        <w:t>1</w:t>
      </w:r>
      <w:r>
        <w:rPr>
          <w:rStyle w:val="14"/>
          <w:rFonts w:hint="eastAsia" w:ascii="仿宋" w:hAnsi="仿宋" w:eastAsia="仿宋"/>
          <w:b w:val="0"/>
          <w:bCs/>
          <w:color w:val="000000" w:themeColor="text1"/>
          <w:sz w:val="32"/>
          <w:szCs w:val="32"/>
          <w:lang w:eastAsia="zh-CN"/>
          <w14:textFill>
            <w14:solidFill>
              <w14:schemeClr w14:val="tx1"/>
            </w14:solidFill>
          </w14:textFill>
        </w:rPr>
        <w:t>）政府办公厅（室）及相关机构事务支出决算为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1421.45万元（行政运行277.64万元、专项业务支出961.48万元、其他</w:t>
      </w:r>
      <w:r>
        <w:rPr>
          <w:rStyle w:val="14"/>
          <w:rFonts w:hint="eastAsia" w:ascii="仿宋" w:hAnsi="仿宋" w:eastAsia="仿宋"/>
          <w:b w:val="0"/>
          <w:bCs/>
          <w:color w:val="000000" w:themeColor="text1"/>
          <w:sz w:val="32"/>
          <w:szCs w:val="32"/>
          <w:lang w:eastAsia="zh-CN"/>
          <w14:textFill>
            <w14:solidFill>
              <w14:schemeClr w14:val="tx1"/>
            </w14:solidFill>
          </w14:textFill>
        </w:rPr>
        <w:t>政府办公厅（室）及相关机构事务</w:t>
      </w:r>
      <w:r>
        <w:rPr>
          <w:rStyle w:val="14"/>
          <w:rFonts w:hint="eastAsia" w:ascii="仿宋" w:hAnsi="仿宋" w:eastAsia="仿宋"/>
          <w:b w:val="0"/>
          <w:bCs/>
          <w:color w:val="000000" w:themeColor="text1"/>
          <w:sz w:val="32"/>
          <w:szCs w:val="32"/>
          <w:lang w:val="en-US" w:eastAsia="zh-CN"/>
          <w14:textFill>
            <w14:solidFill>
              <w14:schemeClr w14:val="tx1"/>
            </w14:solidFill>
          </w14:textFill>
        </w:rPr>
        <w:t>182.32万元），完成预算100％，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0"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 w:val="0"/>
          <w:bCs/>
          <w:color w:val="000000" w:themeColor="text1"/>
          <w:sz w:val="32"/>
          <w:szCs w:val="32"/>
          <w:lang w:eastAsia="zh-CN"/>
          <w14:textFill>
            <w14:solidFill>
              <w14:schemeClr w14:val="tx1"/>
            </w14:solidFill>
          </w14:textFill>
        </w:rPr>
        <w:t>（</w:t>
      </w:r>
      <w:r>
        <w:rPr>
          <w:rStyle w:val="14"/>
          <w:rFonts w:hint="eastAsia" w:ascii="仿宋" w:hAnsi="仿宋" w:eastAsia="仿宋"/>
          <w:b w:val="0"/>
          <w:bCs/>
          <w:color w:val="000000" w:themeColor="text1"/>
          <w:sz w:val="32"/>
          <w:szCs w:val="32"/>
          <w:lang w:val="en-US" w:eastAsia="zh-CN"/>
          <w14:textFill>
            <w14:solidFill>
              <w14:schemeClr w14:val="tx1"/>
            </w14:solidFill>
          </w14:textFill>
        </w:rPr>
        <w:t>2</w:t>
      </w:r>
      <w:r>
        <w:rPr>
          <w:rStyle w:val="14"/>
          <w:rFonts w:hint="eastAsia" w:ascii="仿宋" w:hAnsi="仿宋" w:eastAsia="仿宋"/>
          <w:b w:val="0"/>
          <w:bCs/>
          <w:color w:val="000000" w:themeColor="text1"/>
          <w:sz w:val="32"/>
          <w:szCs w:val="32"/>
          <w:lang w:eastAsia="zh-CN"/>
          <w14:textFill>
            <w14:solidFill>
              <w14:schemeClr w14:val="tx1"/>
            </w14:solidFill>
          </w14:textFill>
        </w:rPr>
        <w:t>）纪检监察事务支出决算为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24.62万元（派驻派出支出24.62万元），完成预算100％，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3"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ascii="仿宋" w:hAnsi="仿宋" w:eastAsia="仿宋"/>
          <w:bCs/>
          <w:color w:val="000000" w:themeColor="text1"/>
          <w:sz w:val="32"/>
          <w:szCs w:val="32"/>
          <w14:textFill>
            <w14:solidFill>
              <w14:schemeClr w14:val="tx1"/>
            </w14:solidFill>
          </w14:textFill>
        </w:rPr>
        <w:t>2.</w:t>
      </w:r>
      <w:r>
        <w:rPr>
          <w:rStyle w:val="14"/>
          <w:rFonts w:hint="eastAsia" w:ascii="仿宋" w:hAnsi="仿宋" w:eastAsia="仿宋"/>
          <w:bCs/>
          <w:color w:val="000000" w:themeColor="text1"/>
          <w:sz w:val="32"/>
          <w:szCs w:val="32"/>
          <w14:textFill>
            <w14:solidFill>
              <w14:schemeClr w14:val="tx1"/>
            </w14:solidFill>
          </w14:textFill>
        </w:rPr>
        <w:t>社会保障和就业</w:t>
      </w:r>
      <w:r>
        <w:rPr>
          <w:rStyle w:val="14"/>
          <w:rFonts w:hint="eastAsia" w:ascii="仿宋" w:hAnsi="仿宋" w:eastAsia="仿宋"/>
          <w:bCs/>
          <w:color w:val="000000" w:themeColor="text1"/>
          <w:sz w:val="32"/>
          <w:szCs w:val="32"/>
          <w:lang w:eastAsia="zh-CN"/>
          <w14:textFill>
            <w14:solidFill>
              <w14:schemeClr w14:val="tx1"/>
            </w14:solidFill>
          </w14:textFill>
        </w:rPr>
        <w:t>支出</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88.27</w:t>
      </w:r>
      <w:r>
        <w:rPr>
          <w:rStyle w:val="14"/>
          <w:rFonts w:hint="eastAsia" w:ascii="仿宋" w:hAnsi="仿宋" w:eastAsia="仿宋"/>
          <w:b w:val="0"/>
          <w:bCs/>
          <w:color w:val="000000" w:themeColor="text1"/>
          <w:sz w:val="32"/>
          <w:szCs w:val="32"/>
          <w14:textFill>
            <w14:solidFill>
              <w14:schemeClr w14:val="tx1"/>
            </w14:solidFill>
          </w14:textFill>
        </w:rPr>
        <w:t>万元，</w:t>
      </w:r>
      <w:r>
        <w:rPr>
          <w:rStyle w:val="14"/>
          <w:rFonts w:hint="eastAsia" w:ascii="仿宋" w:hAnsi="仿宋" w:eastAsia="仿宋"/>
          <w:b w:val="0"/>
          <w:bCs/>
          <w:color w:val="000000" w:themeColor="text1"/>
          <w:sz w:val="32"/>
          <w:szCs w:val="32"/>
          <w:lang w:val="en-US" w:eastAsia="zh-CN"/>
          <w14:textFill>
            <w14:solidFill>
              <w14:schemeClr w14:val="tx1"/>
            </w14:solidFill>
          </w14:textFill>
        </w:rPr>
        <w:t>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0" w:firstLineChars="200"/>
        <w:rPr>
          <w:rStyle w:val="14"/>
          <w:rFonts w:hint="eastAsia" w:ascii="仿宋" w:hAnsi="仿宋" w:eastAsia="仿宋"/>
          <w:b w:val="0"/>
          <w:bCs/>
          <w:color w:val="FF0000"/>
          <w:sz w:val="32"/>
          <w:szCs w:val="32"/>
          <w:lang w:eastAsia="zh-CN"/>
        </w:rPr>
      </w:pPr>
      <w:r>
        <w:rPr>
          <w:rStyle w:val="14"/>
          <w:rFonts w:hint="eastAsia" w:ascii="仿宋" w:hAnsi="仿宋" w:eastAsia="仿宋"/>
          <w:b w:val="0"/>
          <w:bCs/>
          <w:color w:val="000000" w:themeColor="text1"/>
          <w:sz w:val="32"/>
          <w:szCs w:val="32"/>
          <w:lang w:eastAsia="zh-CN"/>
          <w14:textFill>
            <w14:solidFill>
              <w14:schemeClr w14:val="tx1"/>
            </w14:solidFill>
          </w14:textFill>
        </w:rPr>
        <w:t>（</w:t>
      </w:r>
      <w:r>
        <w:rPr>
          <w:rStyle w:val="14"/>
          <w:rFonts w:hint="eastAsia" w:ascii="仿宋" w:hAnsi="仿宋" w:eastAsia="仿宋"/>
          <w:b w:val="0"/>
          <w:bCs/>
          <w:color w:val="000000" w:themeColor="text1"/>
          <w:sz w:val="32"/>
          <w:szCs w:val="32"/>
          <w:lang w:val="en-US" w:eastAsia="zh-CN"/>
          <w14:textFill>
            <w14:solidFill>
              <w14:schemeClr w14:val="tx1"/>
            </w14:solidFill>
          </w14:textFill>
        </w:rPr>
        <w:t>1</w:t>
      </w:r>
      <w:r>
        <w:rPr>
          <w:rStyle w:val="14"/>
          <w:rFonts w:hint="eastAsia" w:ascii="仿宋" w:hAnsi="仿宋" w:eastAsia="仿宋"/>
          <w:b w:val="0"/>
          <w:bCs/>
          <w:color w:val="000000" w:themeColor="text1"/>
          <w:sz w:val="32"/>
          <w:szCs w:val="32"/>
          <w:lang w:eastAsia="zh-CN"/>
          <w14:textFill>
            <w14:solidFill>
              <w14:schemeClr w14:val="tx1"/>
            </w14:solidFill>
          </w14:textFill>
        </w:rPr>
        <w:t>）行政事业单位离退休支出决算为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88.27万元（机关事业单位基本养老保险缴费支出41.07万元、机关事业单位职业年金缴费支出5.6万元，其他行政事业单位离退休支出41.61万元），完成预算100％，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3"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3</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医疗卫生与计划生育</w:t>
      </w:r>
      <w:r>
        <w:rPr>
          <w:rStyle w:val="14"/>
          <w:rFonts w:hint="eastAsia" w:ascii="仿宋" w:hAnsi="仿宋" w:eastAsia="仿宋"/>
          <w:bCs/>
          <w:color w:val="000000" w:themeColor="text1"/>
          <w:sz w:val="32"/>
          <w:szCs w:val="32"/>
          <w:lang w:eastAsia="zh-CN"/>
          <w14:textFill>
            <w14:solidFill>
              <w14:schemeClr w14:val="tx1"/>
            </w14:solidFill>
          </w14:textFill>
        </w:rPr>
        <w:t>支出</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18.16</w:t>
      </w:r>
      <w:r>
        <w:rPr>
          <w:rStyle w:val="14"/>
          <w:rFonts w:hint="eastAsia" w:ascii="仿宋" w:hAnsi="仿宋" w:eastAsia="仿宋"/>
          <w:b w:val="0"/>
          <w:bCs/>
          <w:color w:val="000000" w:themeColor="text1"/>
          <w:sz w:val="32"/>
          <w:szCs w:val="32"/>
          <w14:textFill>
            <w14:solidFill>
              <w14:schemeClr w14:val="tx1"/>
            </w14:solidFill>
          </w14:textFill>
        </w:rPr>
        <w:t>万元，</w:t>
      </w:r>
      <w:r>
        <w:rPr>
          <w:rStyle w:val="14"/>
          <w:rFonts w:hint="eastAsia" w:ascii="仿宋" w:hAnsi="仿宋" w:eastAsia="仿宋"/>
          <w:b w:val="0"/>
          <w:bCs/>
          <w:color w:val="000000" w:themeColor="text1"/>
          <w:sz w:val="32"/>
          <w:szCs w:val="32"/>
          <w:lang w:val="en-US" w:eastAsia="zh-CN"/>
          <w14:textFill>
            <w14:solidFill>
              <w14:schemeClr w14:val="tx1"/>
            </w14:solidFill>
          </w14:textFill>
        </w:rPr>
        <w:t>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3"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4.住房保障支出：</w:t>
      </w:r>
      <w:r>
        <w:rPr>
          <w:rStyle w:val="14"/>
          <w:rFonts w:hint="eastAsia" w:ascii="仿宋" w:hAnsi="仿宋" w:eastAsia="仿宋"/>
          <w:b w:val="0"/>
          <w:bCs/>
          <w:color w:val="000000" w:themeColor="text1"/>
          <w:sz w:val="32"/>
          <w:szCs w:val="32"/>
          <w:lang w:val="en-US" w:eastAsia="zh-CN"/>
          <w14:textFill>
            <w14:solidFill>
              <w14:schemeClr w14:val="tx1"/>
            </w14:solidFill>
          </w14:textFill>
        </w:rPr>
        <w:t>支出决算为25.12万元，完成预算100％，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b/>
          <w:color w:val="000000" w:themeColor="text1"/>
          <w:sz w:val="32"/>
          <w:szCs w:val="32"/>
          <w:lang w:eastAsia="zh-CN"/>
          <w14:textFill>
            <w14:solidFill>
              <w14:schemeClr w14:val="tx1"/>
            </w14:solidFill>
          </w14:textFill>
        </w:rPr>
      </w:pPr>
      <w:r>
        <w:rPr>
          <w:rStyle w:val="14"/>
          <w:rFonts w:hint="eastAsia" w:ascii="仿宋" w:hAnsi="仿宋" w:eastAsia="仿宋"/>
          <w:b w:val="0"/>
          <w:bCs/>
          <w:color w:val="000000" w:themeColor="text1"/>
          <w:sz w:val="32"/>
          <w:szCs w:val="32"/>
          <w:lang w:val="en-US" w:eastAsia="zh-CN"/>
          <w14:textFill>
            <w14:solidFill>
              <w14:schemeClr w14:val="tx1"/>
            </w14:solidFill>
          </w14:textFill>
        </w:rPr>
        <w:t>住房改革支出决算为25.12万元（住房公积金25.12万元），完成预算100％，</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rPr>
          <w:rFonts w:hint="eastAsia" w:ascii="黑体" w:eastAsia="黑体"/>
          <w:color w:val="000000" w:themeColor="text1"/>
          <w:sz w:val="32"/>
          <w:szCs w:val="32"/>
          <w14:textFill>
            <w14:solidFill>
              <w14:schemeClr w14:val="tx1"/>
            </w14:solidFill>
          </w14:textFill>
        </w:rPr>
      </w:pPr>
      <w:bookmarkStart w:id="40" w:name="_Toc15377214"/>
      <w:bookmarkStart w:id="41" w:name="_Toc15396608"/>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08</w:t>
      </w:r>
      <w:r>
        <w:rPr>
          <w:rFonts w:hint="eastAsia" w:ascii="仿宋" w:hAnsi="仿宋" w:eastAsia="仿宋"/>
          <w:b/>
          <w:color w:val="000000" w:themeColor="text1"/>
          <w:sz w:val="32"/>
          <w:szCs w:val="32"/>
          <w14:textFill>
            <w14:solidFill>
              <w14:schemeClr w14:val="tx1"/>
            </w14:solidFill>
          </w14:textFill>
        </w:rPr>
        <w:t>表。上述“预算”口径为调整预算数）</w:t>
      </w:r>
    </w:p>
    <w:p>
      <w:pPr>
        <w:tabs>
          <w:tab w:val="right" w:pos="8306"/>
        </w:tabs>
        <w:spacing w:line="600" w:lineRule="exact"/>
        <w:ind w:firstLine="640"/>
        <w:outlineLvl w:val="1"/>
        <w:rPr>
          <w:rStyle w:val="25"/>
          <w:color w:val="FF0000"/>
        </w:rPr>
      </w:pPr>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5"/>
          <w:rFonts w:hint="eastAsia" w:ascii="黑体" w:hAnsi="黑体" w:eastAsia="黑体"/>
          <w:b w:val="0"/>
          <w:color w:val="000000" w:themeColor="text1"/>
          <w14:textFill>
            <w14:solidFill>
              <w14:schemeClr w14:val="tx1"/>
            </w14:solidFill>
          </w14:textFill>
        </w:rPr>
        <w:t>般公共预算财政拨款基本支出决算情况说明</w:t>
      </w:r>
      <w:bookmarkEnd w:id="40"/>
      <w:bookmarkEnd w:id="41"/>
      <w:r>
        <w:rPr>
          <w:rStyle w:val="25"/>
          <w:rFonts w:ascii="黑体" w:hAnsi="黑体" w:eastAsia="黑体"/>
          <w:b w:val="0"/>
          <w:color w:val="FF0000"/>
        </w:rPr>
        <w:tab/>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8年一般公共预算财政拨款基本支出</w:t>
      </w:r>
      <w:r>
        <w:rPr>
          <w:rFonts w:hint="eastAsia" w:ascii="仿宋" w:hAnsi="仿宋" w:eastAsia="仿宋"/>
          <w:color w:val="000000" w:themeColor="text1"/>
          <w:sz w:val="32"/>
          <w:szCs w:val="32"/>
          <w:lang w:val="en-US" w:eastAsia="zh-CN"/>
          <w14:textFill>
            <w14:solidFill>
              <w14:schemeClr w14:val="tx1"/>
            </w14:solidFill>
          </w14:textFill>
        </w:rPr>
        <w:t>1577.62</w:t>
      </w:r>
      <w:r>
        <w:rPr>
          <w:rFonts w:hint="eastAsia" w:ascii="仿宋" w:hAnsi="仿宋" w:eastAsia="仿宋"/>
          <w:color w:val="000000" w:themeColor="text1"/>
          <w:sz w:val="32"/>
          <w:szCs w:val="32"/>
          <w14:textFill>
            <w14:solidFill>
              <w14:schemeClr w14:val="tx1"/>
            </w14:solidFill>
          </w14:textFill>
        </w:rPr>
        <w:t>万元，其中：</w:t>
      </w:r>
    </w:p>
    <w:p>
      <w:pPr>
        <w:spacing w:line="600" w:lineRule="exact"/>
        <w:ind w:firstLine="645"/>
        <w:rPr>
          <w:rFonts w:hint="default" w:ascii="仿宋" w:hAnsi="仿宋" w:eastAsia="仿宋"/>
          <w:color w:val="FF0000"/>
          <w:sz w:val="32"/>
          <w:szCs w:val="32"/>
          <w:lang w:val="en-US"/>
        </w:rPr>
      </w:pPr>
      <w:r>
        <w:rPr>
          <w:rFonts w:hint="eastAsia" w:ascii="仿宋" w:hAnsi="仿宋" w:eastAsia="仿宋"/>
          <w:color w:val="000000" w:themeColor="text1"/>
          <w:sz w:val="32"/>
          <w:szCs w:val="32"/>
          <w14:textFill>
            <w14:solidFill>
              <w14:schemeClr w14:val="tx1"/>
            </w14:solidFill>
          </w14:textFill>
        </w:rPr>
        <w:t>人员经费</w:t>
      </w:r>
      <w:r>
        <w:rPr>
          <w:rFonts w:hint="eastAsia" w:ascii="仿宋" w:hAnsi="仿宋" w:eastAsia="仿宋"/>
          <w:color w:val="000000" w:themeColor="text1"/>
          <w:sz w:val="32"/>
          <w:szCs w:val="32"/>
          <w:lang w:val="en-US" w:eastAsia="zh-CN"/>
          <w14:textFill>
            <w14:solidFill>
              <w14:schemeClr w14:val="tx1"/>
            </w14:solidFill>
          </w14:textFill>
        </w:rPr>
        <w:t>353.72</w:t>
      </w:r>
      <w:r>
        <w:rPr>
          <w:rFonts w:hint="eastAsia" w:ascii="仿宋" w:hAnsi="仿宋" w:eastAsia="仿宋"/>
          <w:color w:val="000000" w:themeColor="text1"/>
          <w:sz w:val="32"/>
          <w:szCs w:val="32"/>
          <w14:textFill>
            <w14:solidFill>
              <w14:schemeClr w14:val="tx1"/>
            </w14:solidFill>
          </w14:textFill>
        </w:rPr>
        <w:t>万元，主要包括：基本工资</w:t>
      </w:r>
      <w:r>
        <w:rPr>
          <w:rFonts w:hint="eastAsia" w:ascii="仿宋" w:hAnsi="仿宋" w:eastAsia="仿宋"/>
          <w:color w:val="000000" w:themeColor="text1"/>
          <w:sz w:val="32"/>
          <w:szCs w:val="32"/>
          <w:lang w:val="en-US" w:eastAsia="zh-CN"/>
          <w14:textFill>
            <w14:solidFill>
              <w14:schemeClr w14:val="tx1"/>
            </w14:solidFill>
          </w14:textFill>
        </w:rPr>
        <w:t>113.37万元</w:t>
      </w:r>
      <w:r>
        <w:rPr>
          <w:rFonts w:hint="eastAsia" w:ascii="仿宋" w:hAnsi="仿宋" w:eastAsia="仿宋"/>
          <w:color w:val="000000" w:themeColor="text1"/>
          <w:sz w:val="32"/>
          <w:szCs w:val="32"/>
          <w14:textFill>
            <w14:solidFill>
              <w14:schemeClr w14:val="tx1"/>
            </w14:solidFill>
          </w14:textFill>
        </w:rPr>
        <w:t>、津贴补贴</w:t>
      </w:r>
      <w:r>
        <w:rPr>
          <w:rFonts w:hint="eastAsia" w:ascii="仿宋" w:hAnsi="仿宋" w:eastAsia="仿宋"/>
          <w:color w:val="000000" w:themeColor="text1"/>
          <w:sz w:val="32"/>
          <w:szCs w:val="32"/>
          <w:lang w:val="en-US" w:eastAsia="zh-CN"/>
          <w14:textFill>
            <w14:solidFill>
              <w14:schemeClr w14:val="tx1"/>
            </w14:solidFill>
          </w14:textFill>
        </w:rPr>
        <w:t>94.65万元</w:t>
      </w:r>
      <w:r>
        <w:rPr>
          <w:rFonts w:hint="eastAsia" w:ascii="仿宋" w:hAnsi="仿宋" w:eastAsia="仿宋"/>
          <w:color w:val="000000" w:themeColor="text1"/>
          <w:sz w:val="32"/>
          <w:szCs w:val="32"/>
          <w14:textFill>
            <w14:solidFill>
              <w14:schemeClr w14:val="tx1"/>
            </w14:solidFill>
          </w14:textFill>
        </w:rPr>
        <w:t>、奖金</w:t>
      </w:r>
      <w:r>
        <w:rPr>
          <w:rFonts w:hint="eastAsia" w:ascii="仿宋" w:hAnsi="仿宋" w:eastAsia="仿宋"/>
          <w:color w:val="000000" w:themeColor="text1"/>
          <w:sz w:val="32"/>
          <w:szCs w:val="32"/>
          <w:lang w:val="en-US" w:eastAsia="zh-CN"/>
          <w14:textFill>
            <w14:solidFill>
              <w14:schemeClr w14:val="tx1"/>
            </w14:solidFill>
          </w14:textFill>
        </w:rPr>
        <w:t>8.36万元</w:t>
      </w:r>
      <w:r>
        <w:rPr>
          <w:rFonts w:hint="eastAsia" w:ascii="仿宋" w:hAnsi="仿宋" w:eastAsia="仿宋"/>
          <w:color w:val="000000" w:themeColor="text1"/>
          <w:sz w:val="32"/>
          <w:szCs w:val="32"/>
          <w14:textFill>
            <w14:solidFill>
              <w14:schemeClr w14:val="tx1"/>
            </w14:solidFill>
          </w14:textFill>
        </w:rPr>
        <w:t>、机关事业单位基本养老保险缴费</w:t>
      </w:r>
      <w:r>
        <w:rPr>
          <w:rFonts w:hint="eastAsia" w:ascii="仿宋" w:hAnsi="仿宋" w:eastAsia="仿宋"/>
          <w:color w:val="000000" w:themeColor="text1"/>
          <w:sz w:val="32"/>
          <w:szCs w:val="32"/>
          <w:lang w:val="en-US" w:eastAsia="zh-CN"/>
          <w14:textFill>
            <w14:solidFill>
              <w14:schemeClr w14:val="tx1"/>
            </w14:solidFill>
          </w14:textFill>
        </w:rPr>
        <w:t>41.09万元</w:t>
      </w:r>
      <w:r>
        <w:rPr>
          <w:rFonts w:hint="eastAsia" w:ascii="仿宋" w:hAnsi="仿宋" w:eastAsia="仿宋"/>
          <w:color w:val="000000" w:themeColor="text1"/>
          <w:sz w:val="32"/>
          <w:szCs w:val="32"/>
          <w14:textFill>
            <w14:solidFill>
              <w14:schemeClr w14:val="tx1"/>
            </w14:solidFill>
          </w14:textFill>
        </w:rPr>
        <w:t>、职业年金缴费</w:t>
      </w:r>
      <w:r>
        <w:rPr>
          <w:rFonts w:hint="eastAsia" w:ascii="仿宋" w:hAnsi="仿宋" w:eastAsia="仿宋"/>
          <w:color w:val="000000" w:themeColor="text1"/>
          <w:sz w:val="32"/>
          <w:szCs w:val="32"/>
          <w:lang w:val="en-US" w:eastAsia="zh-CN"/>
          <w14:textFill>
            <w14:solidFill>
              <w14:schemeClr w14:val="tx1"/>
            </w14:solidFill>
          </w14:textFill>
        </w:rPr>
        <w:t>5.58万元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职工基本医疗保险缴费</w:t>
      </w:r>
      <w:r>
        <w:rPr>
          <w:rFonts w:hint="eastAsia" w:ascii="仿宋" w:hAnsi="仿宋" w:eastAsia="仿宋"/>
          <w:color w:val="000000" w:themeColor="text1"/>
          <w:sz w:val="32"/>
          <w:szCs w:val="32"/>
          <w:lang w:val="en-US" w:eastAsia="zh-CN"/>
          <w14:textFill>
            <w14:solidFill>
              <w14:schemeClr w14:val="tx1"/>
            </w14:solidFill>
          </w14:textFill>
        </w:rPr>
        <w:t>11.48万元</w:t>
      </w:r>
      <w:r>
        <w:rPr>
          <w:rFonts w:hint="eastAsia" w:ascii="仿宋" w:hAnsi="仿宋" w:eastAsia="仿宋"/>
          <w:color w:val="000000" w:themeColor="text1"/>
          <w:sz w:val="32"/>
          <w:szCs w:val="32"/>
          <w:lang w:eastAsia="zh-CN"/>
          <w14:textFill>
            <w14:solidFill>
              <w14:schemeClr w14:val="tx1"/>
            </w14:solidFill>
          </w14:textFill>
        </w:rPr>
        <w:t>、公务员医疗补助缴费</w:t>
      </w:r>
      <w:r>
        <w:rPr>
          <w:rFonts w:hint="eastAsia" w:ascii="仿宋" w:hAnsi="仿宋" w:eastAsia="仿宋"/>
          <w:color w:val="000000" w:themeColor="text1"/>
          <w:sz w:val="32"/>
          <w:szCs w:val="32"/>
          <w:lang w:val="en-US" w:eastAsia="zh-CN"/>
          <w14:textFill>
            <w14:solidFill>
              <w14:schemeClr w14:val="tx1"/>
            </w14:solidFill>
          </w14:textFill>
        </w:rPr>
        <w:t>6.67万元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其他社会保障缴费</w:t>
      </w:r>
      <w:r>
        <w:rPr>
          <w:rFonts w:hint="eastAsia" w:ascii="仿宋" w:hAnsi="仿宋" w:eastAsia="仿宋"/>
          <w:color w:val="000000" w:themeColor="text1"/>
          <w:sz w:val="32"/>
          <w:szCs w:val="32"/>
          <w:lang w:val="en-US" w:eastAsia="zh-CN"/>
          <w14:textFill>
            <w14:solidFill>
              <w14:schemeClr w14:val="tx1"/>
            </w14:solidFill>
          </w14:textFill>
        </w:rPr>
        <w:t>1.7万元</w:t>
      </w:r>
      <w:r>
        <w:rPr>
          <w:rFonts w:hint="eastAsia"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lang w:val="en-US" w:eastAsia="zh-CN"/>
          <w14:textFill>
            <w14:solidFill>
              <w14:schemeClr w14:val="tx1"/>
            </w14:solidFill>
          </w14:textFill>
        </w:rPr>
        <w:t>25.11万元</w:t>
      </w:r>
      <w:r>
        <w:rPr>
          <w:rFonts w:hint="eastAsia" w:ascii="仿宋" w:hAnsi="仿宋" w:eastAsia="仿宋"/>
          <w:color w:val="000000" w:themeColor="text1"/>
          <w:sz w:val="32"/>
          <w:szCs w:val="32"/>
          <w14:textFill>
            <w14:solidFill>
              <w14:schemeClr w14:val="tx1"/>
            </w14:solidFill>
          </w14:textFill>
        </w:rPr>
        <w:t>、生活补助</w:t>
      </w:r>
      <w:r>
        <w:rPr>
          <w:rFonts w:hint="eastAsia" w:ascii="仿宋" w:hAnsi="仿宋" w:eastAsia="仿宋"/>
          <w:color w:val="000000" w:themeColor="text1"/>
          <w:sz w:val="32"/>
          <w:szCs w:val="32"/>
          <w:lang w:val="en-US" w:eastAsia="zh-CN"/>
          <w14:textFill>
            <w14:solidFill>
              <w14:schemeClr w14:val="tx1"/>
            </w14:solidFill>
          </w14:textFill>
        </w:rPr>
        <w:t>45.71万元。</w:t>
      </w:r>
      <w:r>
        <w:rPr>
          <w:rFonts w:ascii="仿宋" w:hAnsi="仿宋" w:eastAsia="仿宋"/>
          <w:color w:val="FF0000"/>
          <w:sz w:val="32"/>
          <w:szCs w:val="32"/>
        </w:rPr>
        <w:br w:type="textWrapping"/>
      </w:r>
      <w:r>
        <w:rPr>
          <w:rFonts w:hint="eastAsia" w:ascii="仿宋" w:hAnsi="仿宋" w:eastAsia="仿宋"/>
          <w:color w:val="FF0000"/>
          <w:sz w:val="32"/>
          <w:szCs w:val="32"/>
        </w:rPr>
        <w:t>　</w:t>
      </w:r>
      <w:r>
        <w:rPr>
          <w:rFonts w:hint="eastAsia" w:ascii="仿宋" w:hAnsi="仿宋" w:eastAsia="仿宋"/>
          <w:color w:val="000000" w:themeColor="text1"/>
          <w:sz w:val="32"/>
          <w:szCs w:val="32"/>
          <w14:textFill>
            <w14:solidFill>
              <w14:schemeClr w14:val="tx1"/>
            </w14:solidFill>
          </w14:textFill>
        </w:rPr>
        <w:t>　公用经费</w:t>
      </w:r>
      <w:r>
        <w:rPr>
          <w:rFonts w:hint="eastAsia" w:ascii="仿宋" w:hAnsi="仿宋" w:eastAsia="仿宋"/>
          <w:color w:val="000000" w:themeColor="text1"/>
          <w:sz w:val="32"/>
          <w:szCs w:val="32"/>
          <w:lang w:val="en-US" w:eastAsia="zh-CN"/>
          <w14:textFill>
            <w14:solidFill>
              <w14:schemeClr w14:val="tx1"/>
            </w14:solidFill>
          </w14:textFill>
        </w:rPr>
        <w:t>55.46</w:t>
      </w:r>
      <w:r>
        <w:rPr>
          <w:rFonts w:hint="eastAsia" w:ascii="仿宋" w:hAnsi="仿宋" w:eastAsia="仿宋"/>
          <w:color w:val="000000" w:themeColor="text1"/>
          <w:sz w:val="32"/>
          <w:szCs w:val="32"/>
          <w14:textFill>
            <w14:solidFill>
              <w14:schemeClr w14:val="tx1"/>
            </w14:solidFill>
          </w14:textFill>
        </w:rPr>
        <w:t>万元，主要包括：办公费</w:t>
      </w:r>
      <w:r>
        <w:rPr>
          <w:rFonts w:hint="eastAsia" w:ascii="仿宋" w:hAnsi="仿宋" w:eastAsia="仿宋"/>
          <w:color w:val="000000" w:themeColor="text1"/>
          <w:sz w:val="32"/>
          <w:szCs w:val="32"/>
          <w:lang w:val="en-US" w:eastAsia="zh-CN"/>
          <w14:textFill>
            <w14:solidFill>
              <w14:schemeClr w14:val="tx1"/>
            </w14:solidFill>
          </w14:textFill>
        </w:rPr>
        <w:t>2.23万元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水费</w:t>
      </w:r>
      <w:r>
        <w:rPr>
          <w:rFonts w:hint="eastAsia" w:ascii="仿宋" w:hAnsi="仿宋" w:eastAsia="仿宋"/>
          <w:color w:val="000000" w:themeColor="text1"/>
          <w:sz w:val="32"/>
          <w:szCs w:val="32"/>
          <w:lang w:val="en-US" w:eastAsia="zh-CN"/>
          <w14:textFill>
            <w14:solidFill>
              <w14:schemeClr w14:val="tx1"/>
            </w14:solidFill>
          </w14:textFill>
        </w:rPr>
        <w:t>0.8万元</w:t>
      </w:r>
      <w:r>
        <w:rPr>
          <w:rFonts w:hint="eastAsia" w:ascii="仿宋" w:hAnsi="仿宋" w:eastAsia="仿宋"/>
          <w:color w:val="000000" w:themeColor="text1"/>
          <w:sz w:val="32"/>
          <w:szCs w:val="32"/>
          <w14:textFill>
            <w14:solidFill>
              <w14:schemeClr w14:val="tx1"/>
            </w14:solidFill>
          </w14:textFill>
        </w:rPr>
        <w:t>、电费</w:t>
      </w:r>
      <w:r>
        <w:rPr>
          <w:rFonts w:hint="eastAsia" w:ascii="仿宋" w:hAnsi="仿宋" w:eastAsia="仿宋"/>
          <w:color w:val="000000" w:themeColor="text1"/>
          <w:sz w:val="32"/>
          <w:szCs w:val="32"/>
          <w:lang w:val="en-US" w:eastAsia="zh-CN"/>
          <w14:textFill>
            <w14:solidFill>
              <w14:schemeClr w14:val="tx1"/>
            </w14:solidFill>
          </w14:textFill>
        </w:rPr>
        <w:t>9.2万元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邮电费</w:t>
      </w:r>
      <w:r>
        <w:rPr>
          <w:rFonts w:hint="eastAsia" w:ascii="仿宋" w:hAnsi="仿宋" w:eastAsia="仿宋"/>
          <w:color w:val="000000" w:themeColor="text1"/>
          <w:sz w:val="32"/>
          <w:szCs w:val="32"/>
          <w:lang w:val="en-US" w:eastAsia="zh-CN"/>
          <w14:textFill>
            <w14:solidFill>
              <w14:schemeClr w14:val="tx1"/>
            </w14:solidFill>
          </w14:textFill>
        </w:rPr>
        <w:t>5万元、</w:t>
      </w:r>
      <w:r>
        <w:rPr>
          <w:rFonts w:hint="eastAsia" w:ascii="仿宋" w:hAnsi="仿宋" w:eastAsia="仿宋"/>
          <w:color w:val="000000" w:themeColor="text1"/>
          <w:sz w:val="32"/>
          <w:szCs w:val="32"/>
          <w:lang w:eastAsia="zh-CN"/>
          <w14:textFill>
            <w14:solidFill>
              <w14:schemeClr w14:val="tx1"/>
            </w14:solidFill>
          </w14:textFill>
        </w:rPr>
        <w:t>公务用车</w:t>
      </w:r>
      <w:r>
        <w:rPr>
          <w:rFonts w:hint="eastAsia" w:ascii="仿宋" w:hAnsi="仿宋" w:eastAsia="仿宋"/>
          <w:color w:val="000000" w:themeColor="text1"/>
          <w:sz w:val="32"/>
          <w:szCs w:val="32"/>
          <w14:textFill>
            <w14:solidFill>
              <w14:schemeClr w14:val="tx1"/>
            </w14:solidFill>
          </w14:textFill>
        </w:rPr>
        <w:t>维修（护）费</w:t>
      </w:r>
      <w:r>
        <w:rPr>
          <w:rFonts w:hint="eastAsia" w:ascii="仿宋" w:hAnsi="仿宋" w:eastAsia="仿宋"/>
          <w:color w:val="000000" w:themeColor="text1"/>
          <w:sz w:val="32"/>
          <w:szCs w:val="32"/>
          <w:lang w:val="en-US" w:eastAsia="zh-CN"/>
          <w14:textFill>
            <w14:solidFill>
              <w14:schemeClr w14:val="tx1"/>
            </w14:solidFill>
          </w14:textFill>
        </w:rPr>
        <w:t>1万元</w:t>
      </w:r>
      <w:r>
        <w:rPr>
          <w:rFonts w:hint="eastAsia" w:ascii="仿宋" w:hAnsi="仿宋" w:eastAsia="仿宋"/>
          <w:color w:val="000000" w:themeColor="text1"/>
          <w:sz w:val="32"/>
          <w:szCs w:val="32"/>
          <w14:textFill>
            <w14:solidFill>
              <w14:schemeClr w14:val="tx1"/>
            </w14:solidFill>
          </w14:textFill>
        </w:rPr>
        <w:t>、培训费</w:t>
      </w:r>
      <w:r>
        <w:rPr>
          <w:rFonts w:hint="eastAsia" w:ascii="仿宋" w:hAnsi="仿宋" w:eastAsia="仿宋"/>
          <w:color w:val="000000" w:themeColor="text1"/>
          <w:sz w:val="32"/>
          <w:szCs w:val="32"/>
          <w:lang w:val="en-US" w:eastAsia="zh-CN"/>
          <w14:textFill>
            <w14:solidFill>
              <w14:schemeClr w14:val="tx1"/>
            </w14:solidFill>
          </w14:textFill>
        </w:rPr>
        <w:t>1.55万元</w:t>
      </w:r>
      <w:r>
        <w:rPr>
          <w:rFonts w:hint="eastAsia" w:ascii="仿宋" w:hAnsi="仿宋" w:eastAsia="仿宋"/>
          <w:color w:val="000000" w:themeColor="text1"/>
          <w:sz w:val="32"/>
          <w:szCs w:val="32"/>
          <w14:textFill>
            <w14:solidFill>
              <w14:schemeClr w14:val="tx1"/>
            </w14:solidFill>
          </w14:textFill>
        </w:rPr>
        <w:t>、工会经费</w:t>
      </w:r>
      <w:r>
        <w:rPr>
          <w:rFonts w:hint="eastAsia" w:ascii="仿宋" w:hAnsi="仿宋" w:eastAsia="仿宋"/>
          <w:color w:val="000000" w:themeColor="text1"/>
          <w:sz w:val="32"/>
          <w:szCs w:val="32"/>
          <w:lang w:val="en-US" w:eastAsia="zh-CN"/>
          <w14:textFill>
            <w14:solidFill>
              <w14:schemeClr w14:val="tx1"/>
            </w14:solidFill>
          </w14:textFill>
        </w:rPr>
        <w:t>2.06万元</w:t>
      </w:r>
      <w:r>
        <w:rPr>
          <w:rFonts w:hint="eastAsia" w:ascii="仿宋" w:hAnsi="仿宋" w:eastAsia="仿宋"/>
          <w:color w:val="000000" w:themeColor="text1"/>
          <w:sz w:val="32"/>
          <w:szCs w:val="32"/>
          <w14:textFill>
            <w14:solidFill>
              <w14:schemeClr w14:val="tx1"/>
            </w14:solidFill>
          </w14:textFill>
        </w:rPr>
        <w:t>、其他交通费</w:t>
      </w:r>
      <w:r>
        <w:rPr>
          <w:rFonts w:hint="eastAsia" w:ascii="仿宋" w:hAnsi="仿宋" w:eastAsia="仿宋"/>
          <w:color w:val="000000" w:themeColor="text1"/>
          <w:sz w:val="32"/>
          <w:szCs w:val="32"/>
          <w:lang w:val="en-US" w:eastAsia="zh-CN"/>
          <w14:textFill>
            <w14:solidFill>
              <w14:schemeClr w14:val="tx1"/>
            </w14:solidFill>
          </w14:textFill>
        </w:rPr>
        <w:t>26万元，其他商品服务支出7.62万元。</w:t>
      </w:r>
    </w:p>
    <w:p>
      <w:pPr>
        <w:spacing w:line="600" w:lineRule="exact"/>
        <w:ind w:firstLine="640"/>
        <w:rPr>
          <w:rFonts w:hint="eastAsia" w:ascii="黑体" w:eastAsia="黑体"/>
          <w:color w:val="000000" w:themeColor="text1"/>
          <w:sz w:val="32"/>
          <w:szCs w:val="32"/>
          <w14:textFill>
            <w14:solidFill>
              <w14:schemeClr w14:val="tx1"/>
            </w14:solidFill>
          </w14:textFill>
        </w:rPr>
      </w:pPr>
      <w:bookmarkStart w:id="42" w:name="_Toc15396609"/>
      <w:bookmarkStart w:id="43" w:name="_Toc15377215"/>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w:t>
      </w:r>
    </w:p>
    <w:p>
      <w:pPr>
        <w:spacing w:line="600" w:lineRule="exact"/>
        <w:ind w:firstLine="640"/>
        <w:outlineLvl w:val="1"/>
        <w:rPr>
          <w:rStyle w:val="25"/>
          <w:rFonts w:ascii="黑体" w:hAnsi="黑体" w:eastAsia="黑体"/>
          <w:b w:val="0"/>
          <w:color w:val="000000" w:themeColor="text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w:t>
      </w:r>
      <w:r>
        <w:rPr>
          <w:rStyle w:val="25"/>
          <w:rFonts w:hint="eastAsia" w:ascii="黑体" w:hAnsi="黑体" w:eastAsia="黑体"/>
          <w:color w:val="000000" w:themeColor="text1"/>
          <w14:textFill>
            <w14:solidFill>
              <w14:schemeClr w14:val="tx1"/>
            </w14:solidFill>
          </w14:textFill>
        </w:rPr>
        <w:t>“</w:t>
      </w:r>
      <w:r>
        <w:rPr>
          <w:rStyle w:val="25"/>
          <w:rFonts w:hint="eastAsia" w:ascii="黑体" w:hAnsi="黑体" w:eastAsia="黑体"/>
          <w:b w:val="0"/>
          <w:color w:val="000000" w:themeColor="text1"/>
          <w14:textFill>
            <w14:solidFill>
              <w14:schemeClr w14:val="tx1"/>
            </w14:solidFill>
          </w14:textFill>
        </w:rPr>
        <w:t>三公”经费财政拨款支出决算情况说明</w:t>
      </w:r>
      <w:bookmarkEnd w:id="42"/>
      <w:bookmarkEnd w:id="43"/>
    </w:p>
    <w:p>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4" w:name="_Toc15377216"/>
      <w:r>
        <w:rPr>
          <w:rFonts w:hint="eastAsia" w:ascii="仿宋" w:hAnsi="仿宋" w:eastAsia="仿宋"/>
          <w:b/>
          <w:color w:val="000000" w:themeColor="text1"/>
          <w:sz w:val="32"/>
          <w:szCs w:val="32"/>
          <w14:textFill>
            <w14:solidFill>
              <w14:schemeClr w14:val="tx1"/>
            </w14:solidFill>
          </w14:textFill>
        </w:rPr>
        <w:t>（一）“三公”经费财政拨款支出决算总体情况说明</w:t>
      </w:r>
      <w:bookmarkEnd w:id="44"/>
    </w:p>
    <w:p>
      <w:pPr>
        <w:adjustRightInd w:val="0"/>
        <w:snapToGrid w:val="0"/>
        <w:spacing w:line="600" w:lineRule="exact"/>
        <w:ind w:firstLine="640"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2018年度我办“三公经费”支出预算总额79</w:t>
      </w:r>
      <w:r>
        <w:rPr>
          <w:rFonts w:hint="eastAsia" w:ascii="仿宋_GB2312" w:hAnsi="仿宋_GB2312" w:eastAsia="仿宋_GB2312" w:cs="宋体"/>
          <w:color w:val="000000" w:themeColor="text1"/>
          <w:kern w:val="0"/>
          <w:sz w:val="32"/>
          <w:szCs w:val="32"/>
          <w:lang w:eastAsia="zh-CN"/>
          <w14:textFill>
            <w14:solidFill>
              <w14:schemeClr w14:val="tx1"/>
            </w14:solidFill>
          </w14:textFill>
        </w:rPr>
        <w:t>万</w:t>
      </w:r>
      <w:r>
        <w:rPr>
          <w:rFonts w:hint="eastAsia" w:ascii="仿宋_GB2312" w:hAnsi="仿宋_GB2312" w:eastAsia="仿宋_GB2312" w:cs="宋体"/>
          <w:color w:val="000000" w:themeColor="text1"/>
          <w:kern w:val="0"/>
          <w:sz w:val="32"/>
          <w:szCs w:val="32"/>
          <w14:textFill>
            <w14:solidFill>
              <w14:schemeClr w14:val="tx1"/>
            </w14:solidFill>
          </w14:textFill>
        </w:rPr>
        <w:t>元</w:t>
      </w:r>
      <w:r>
        <w:rPr>
          <w:rFonts w:hint="eastAsia" w:ascii="仿宋_GB2312" w:hAnsi="仿宋_GB2312" w:eastAsia="仿宋_GB2312" w:cs="宋体"/>
          <w:color w:val="000000" w:themeColor="text1"/>
          <w:kern w:val="0"/>
          <w:sz w:val="32"/>
          <w:szCs w:val="32"/>
          <w:lang w:eastAsia="zh-CN"/>
          <w14:textFill>
            <w14:solidFill>
              <w14:schemeClr w14:val="tx1"/>
            </w14:solidFill>
          </w14:textFill>
        </w:rPr>
        <w:t>，</w:t>
      </w:r>
      <w:r>
        <w:rPr>
          <w:rFonts w:hint="eastAsia" w:ascii="仿宋_GB2312" w:hAnsi="仿宋_GB2312" w:eastAsia="仿宋_GB2312" w:cs="宋体"/>
          <w:color w:val="000000" w:themeColor="text1"/>
          <w:kern w:val="0"/>
          <w:sz w:val="32"/>
          <w:szCs w:val="32"/>
          <w14:textFill>
            <w14:solidFill>
              <w14:schemeClr w14:val="tx1"/>
            </w14:solidFill>
          </w14:textFill>
        </w:rPr>
        <w:t>其中公务用车运行维护费9</w:t>
      </w:r>
      <w:r>
        <w:rPr>
          <w:rFonts w:hint="eastAsia" w:ascii="仿宋_GB2312" w:hAnsi="仿宋_GB2312" w:eastAsia="仿宋_GB2312" w:cs="宋体"/>
          <w:color w:val="000000" w:themeColor="text1"/>
          <w:kern w:val="0"/>
          <w:sz w:val="32"/>
          <w:szCs w:val="32"/>
          <w:lang w:eastAsia="zh-CN"/>
          <w14:textFill>
            <w14:solidFill>
              <w14:schemeClr w14:val="tx1"/>
            </w14:solidFill>
          </w14:textFill>
        </w:rPr>
        <w:t>万</w:t>
      </w:r>
      <w:r>
        <w:rPr>
          <w:rFonts w:hint="eastAsia" w:ascii="仿宋_GB2312" w:hAnsi="仿宋_GB2312" w:eastAsia="仿宋_GB2312" w:cs="宋体"/>
          <w:color w:val="000000" w:themeColor="text1"/>
          <w:kern w:val="0"/>
          <w:sz w:val="32"/>
          <w:szCs w:val="32"/>
          <w14:textFill>
            <w14:solidFill>
              <w14:schemeClr w14:val="tx1"/>
            </w14:solidFill>
          </w14:textFill>
        </w:rPr>
        <w:t>元，公务接待费70</w:t>
      </w:r>
      <w:r>
        <w:rPr>
          <w:rFonts w:hint="eastAsia" w:ascii="仿宋_GB2312" w:hAnsi="仿宋_GB2312" w:eastAsia="仿宋_GB2312" w:cs="宋体"/>
          <w:color w:val="000000" w:themeColor="text1"/>
          <w:kern w:val="0"/>
          <w:sz w:val="32"/>
          <w:szCs w:val="32"/>
          <w:lang w:eastAsia="zh-CN"/>
          <w14:textFill>
            <w14:solidFill>
              <w14:schemeClr w14:val="tx1"/>
            </w14:solidFill>
          </w14:textFill>
        </w:rPr>
        <w:t>万</w:t>
      </w:r>
      <w:r>
        <w:rPr>
          <w:rFonts w:hint="eastAsia" w:ascii="仿宋_GB2312" w:hAnsi="仿宋_GB2312" w:eastAsia="仿宋_GB2312" w:cs="宋体"/>
          <w:color w:val="000000" w:themeColor="text1"/>
          <w:kern w:val="0"/>
          <w:sz w:val="32"/>
          <w:szCs w:val="32"/>
          <w14:textFill>
            <w14:solidFill>
              <w14:schemeClr w14:val="tx1"/>
            </w14:solidFill>
          </w14:textFill>
        </w:rPr>
        <w:t>元</w:t>
      </w:r>
      <w:r>
        <w:rPr>
          <w:rFonts w:hint="eastAsia" w:ascii="仿宋_GB2312" w:hAnsi="仿宋_GB2312" w:eastAsia="仿宋_GB2312" w:cs="宋体"/>
          <w:color w:val="000000" w:themeColor="text1"/>
          <w:kern w:val="0"/>
          <w:sz w:val="32"/>
          <w:szCs w:val="32"/>
          <w:lang w:eastAsia="zh-CN"/>
          <w14:textFill>
            <w14:solidFill>
              <w14:schemeClr w14:val="tx1"/>
            </w14:solidFill>
          </w14:textFill>
        </w:rPr>
        <w:t>；较</w:t>
      </w:r>
      <w:r>
        <w:rPr>
          <w:rFonts w:hint="eastAsia" w:ascii="仿宋_GB2312" w:hAnsi="仿宋_GB2312" w:eastAsia="仿宋_GB2312" w:cs="宋体"/>
          <w:color w:val="000000" w:themeColor="text1"/>
          <w:kern w:val="0"/>
          <w:sz w:val="32"/>
          <w:szCs w:val="32"/>
          <w:lang w:val="en-US" w:eastAsia="zh-CN"/>
          <w14:textFill>
            <w14:solidFill>
              <w14:schemeClr w14:val="tx1"/>
            </w14:solidFill>
          </w14:textFill>
        </w:rPr>
        <w:t>2017年较少1万元，其中公务用车运行维护费减少1万元，公务接待费与2017年持平。</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spacing w:line="600" w:lineRule="exact"/>
        <w:ind w:firstLine="640"/>
        <w:rPr>
          <w:rStyle w:val="14"/>
          <w:rFonts w:hint="eastAsia" w:ascii="仿宋" w:hAnsi="仿宋" w:eastAsia="仿宋"/>
          <w:b w:val="0"/>
          <w:bCs/>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（上述“预算”口径为调整预算数，包括政府性基金支出决算情况。）</w:t>
      </w:r>
    </w:p>
    <w:p>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5" w:name="_Toc15377217"/>
      <w:r>
        <w:rPr>
          <w:rFonts w:hint="eastAsia" w:ascii="仿宋" w:hAnsi="仿宋" w:eastAsia="仿宋"/>
          <w:b/>
          <w:color w:val="000000" w:themeColor="text1"/>
          <w:sz w:val="32"/>
          <w:szCs w:val="32"/>
          <w14:textFill>
            <w14:solidFill>
              <w14:schemeClr w14:val="tx1"/>
            </w14:solidFill>
          </w14:textFill>
        </w:rPr>
        <w:t>（二）“三公”经费财政拨款支出决算具体情况说明</w:t>
      </w:r>
      <w:bookmarkEnd w:id="45"/>
    </w:p>
    <w:p>
      <w:pPr>
        <w:spacing w:line="600" w:lineRule="exact"/>
        <w:ind w:firstLine="640"/>
        <w:rPr>
          <w:rFonts w:hint="eastAsia" w:ascii="仿宋_GB2312" w:eastAsia="仿宋_GB2312"/>
          <w:b/>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1514475</wp:posOffset>
            </wp:positionV>
            <wp:extent cx="5269865" cy="2303145"/>
            <wp:effectExtent l="0" t="0" r="0" b="190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69865" cy="2303145"/>
                    </a:xfrm>
                    <a:prstGeom prst="rect">
                      <a:avLst/>
                    </a:prstGeom>
                    <a:noFill/>
                    <a:ln w="9525">
                      <a:noFill/>
                    </a:ln>
                  </pic:spPr>
                </pic:pic>
              </a:graphicData>
            </a:graphic>
          </wp:anchor>
        </w:drawing>
      </w: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8年“三公”经费财政拨款支出决算中，因公出国（境）费支出决算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hint="eastAsia" w:ascii="仿宋" w:hAnsi="仿宋" w:eastAsia="仿宋"/>
          <w:color w:val="000000" w:themeColor="text1"/>
          <w:sz w:val="32"/>
          <w:szCs w:val="32"/>
          <w:lang w:val="en-US" w:eastAsia="zh-CN"/>
          <w14:textFill>
            <w14:solidFill>
              <w14:schemeClr w14:val="tx1"/>
            </w14:solidFill>
          </w14:textFill>
        </w:rPr>
        <w:t>70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。具体情况如下：</w:t>
      </w:r>
    </w:p>
    <w:p>
      <w:pPr>
        <w:spacing w:line="600" w:lineRule="exact"/>
        <w:ind w:firstLine="640"/>
        <w:rPr>
          <w:rFonts w:hint="eastAsia" w:ascii="仿宋_GB2312" w:eastAsia="仿宋_GB2312"/>
          <w:color w:val="FF0000"/>
          <w:sz w:val="32"/>
          <w:szCs w:val="32"/>
        </w:rPr>
      </w:pPr>
      <w:r>
        <w:rPr>
          <w:rFonts w:hint="eastAsia" w:ascii="仿宋_GB2312" w:eastAsia="仿宋_GB2312"/>
          <w:b/>
          <w:color w:val="FF0000"/>
          <w:sz w:val="32"/>
          <w:szCs w:val="32"/>
        </w:rPr>
        <w:t>公务接待费支出</w:t>
      </w:r>
      <w:r>
        <w:rPr>
          <w:rFonts w:hint="eastAsia" w:ascii="仿宋_GB2312" w:eastAsia="仿宋_GB2312"/>
          <w:color w:val="FF0000"/>
          <w:sz w:val="32"/>
          <w:szCs w:val="32"/>
          <w:lang w:val="en-US" w:eastAsia="zh-CN"/>
        </w:rPr>
        <w:t>9.40</w:t>
      </w:r>
      <w:r>
        <w:rPr>
          <w:rFonts w:hint="eastAsia" w:ascii="仿宋_GB2312" w:eastAsia="仿宋_GB2312"/>
          <w:color w:val="FF0000"/>
          <w:sz w:val="32"/>
          <w:szCs w:val="32"/>
        </w:rPr>
        <w:t>万元，</w:t>
      </w:r>
      <w:r>
        <w:rPr>
          <w:rStyle w:val="14"/>
          <w:rFonts w:hint="eastAsia" w:ascii="仿宋" w:hAnsi="仿宋" w:eastAsia="仿宋"/>
          <w:b w:val="0"/>
          <w:bCs/>
          <w:color w:val="FF0000"/>
          <w:sz w:val="32"/>
          <w:szCs w:val="32"/>
        </w:rPr>
        <w:t>完成预算</w:t>
      </w:r>
      <w:r>
        <w:rPr>
          <w:rStyle w:val="14"/>
          <w:rFonts w:hint="eastAsia" w:ascii="仿宋" w:hAnsi="仿宋" w:eastAsia="仿宋"/>
          <w:b w:val="0"/>
          <w:bCs/>
          <w:color w:val="FF0000"/>
          <w:sz w:val="32"/>
          <w:szCs w:val="32"/>
          <w:lang w:val="en-US" w:eastAsia="zh-CN"/>
        </w:rPr>
        <w:t>100</w:t>
      </w:r>
      <w:r>
        <w:rPr>
          <w:rStyle w:val="14"/>
          <w:rFonts w:ascii="仿宋" w:hAnsi="仿宋" w:eastAsia="仿宋"/>
          <w:b w:val="0"/>
          <w:bCs/>
          <w:color w:val="FF0000"/>
          <w:sz w:val="32"/>
          <w:szCs w:val="32"/>
        </w:rPr>
        <w:t>%</w:t>
      </w:r>
      <w:r>
        <w:rPr>
          <w:rStyle w:val="14"/>
          <w:rFonts w:hint="eastAsia" w:ascii="仿宋" w:hAnsi="仿宋" w:eastAsia="仿宋"/>
          <w:b w:val="0"/>
          <w:bCs/>
          <w:color w:val="FF0000"/>
          <w:sz w:val="32"/>
          <w:szCs w:val="32"/>
        </w:rPr>
        <w:t>。</w:t>
      </w:r>
      <w:r>
        <w:rPr>
          <w:rFonts w:hint="eastAsia" w:ascii="仿宋_GB2312" w:eastAsia="仿宋_GB2312"/>
          <w:color w:val="FF0000"/>
          <w:sz w:val="32"/>
          <w:szCs w:val="32"/>
        </w:rPr>
        <w:t>公务接待</w:t>
      </w:r>
    </w:p>
    <w:p>
      <w:pPr>
        <w:spacing w:line="600" w:lineRule="exact"/>
        <w:ind w:firstLine="640"/>
        <w:rPr>
          <w:rFonts w:hint="eastAsia" w:ascii="仿宋_GB2312" w:eastAsia="仿宋_GB2312"/>
          <w:color w:val="FF0000"/>
          <w:sz w:val="32"/>
          <w:szCs w:val="32"/>
        </w:rPr>
      </w:pPr>
    </w:p>
    <w:p>
      <w:pPr>
        <w:spacing w:line="600" w:lineRule="exact"/>
        <w:ind w:firstLine="640"/>
        <w:rPr>
          <w:rFonts w:hint="eastAsia" w:ascii="仿宋_GB2312" w:eastAsia="仿宋_GB2312"/>
          <w:color w:val="FF0000"/>
          <w:sz w:val="32"/>
          <w:szCs w:val="32"/>
        </w:rPr>
      </w:pPr>
    </w:p>
    <w:p>
      <w:pPr>
        <w:spacing w:line="600" w:lineRule="exact"/>
        <w:ind w:firstLine="640"/>
        <w:rPr>
          <w:rFonts w:hint="eastAsia" w:ascii="仿宋_GB2312" w:eastAsia="仿宋_GB2312"/>
          <w:color w:val="FF0000"/>
          <w:sz w:val="32"/>
          <w:szCs w:val="32"/>
        </w:rPr>
      </w:pPr>
    </w:p>
    <w:p>
      <w:pPr>
        <w:spacing w:line="600" w:lineRule="exact"/>
        <w:ind w:firstLine="640"/>
        <w:rPr>
          <w:rFonts w:hint="eastAsia" w:ascii="仿宋_GB2312" w:eastAsia="仿宋_GB2312"/>
          <w:color w:val="FF0000"/>
          <w:sz w:val="32"/>
          <w:szCs w:val="32"/>
        </w:rPr>
      </w:pPr>
    </w:p>
    <w:p>
      <w:pPr>
        <w:spacing w:line="600" w:lineRule="exact"/>
        <w:rPr>
          <w:rFonts w:hint="eastAsia" w:ascii="仿宋_GB2312" w:eastAsia="仿宋_GB2312"/>
          <w:color w:val="FF0000"/>
          <w:sz w:val="32"/>
          <w:szCs w:val="32"/>
        </w:rPr>
      </w:pPr>
    </w:p>
    <w:p>
      <w:pPr>
        <w:numPr>
          <w:ilvl w:val="0"/>
          <w:numId w:val="0"/>
        </w:numPr>
        <w:spacing w:line="600" w:lineRule="exact"/>
        <w:outlineLvl w:val="1"/>
        <w:rPr>
          <w:rStyle w:val="25"/>
          <w:rFonts w:ascii="黑体" w:hAnsi="黑体" w:eastAsia="黑体"/>
          <w:b w:val="0"/>
          <w:color w:val="000000" w:themeColor="text1"/>
          <w14:textFill>
            <w14:solidFill>
              <w14:schemeClr w14:val="tx1"/>
            </w14:solidFill>
          </w14:textFill>
        </w:rPr>
      </w:pPr>
      <w:bookmarkStart w:id="46" w:name="_Toc15377219"/>
      <w:bookmarkStart w:id="47" w:name="_Toc15396611"/>
      <w:r>
        <w:rPr>
          <w:rStyle w:val="25"/>
          <w:rFonts w:hint="eastAsia" w:ascii="黑体" w:hAnsi="黑体" w:eastAsia="黑体"/>
          <w:b w:val="0"/>
          <w:color w:val="FF0000"/>
          <w:lang w:val="en-US" w:eastAsia="zh-CN"/>
        </w:rPr>
        <w:t xml:space="preserve"> </w:t>
      </w:r>
      <w:r>
        <w:rPr>
          <w:rStyle w:val="25"/>
          <w:rFonts w:hint="eastAsia" w:ascii="黑体" w:hAnsi="黑体" w:eastAsia="黑体"/>
          <w:b w:val="0"/>
          <w:color w:val="000000" w:themeColor="text1"/>
          <w:lang w:val="en-US" w:eastAsia="zh-CN"/>
          <w14:textFill>
            <w14:solidFill>
              <w14:schemeClr w14:val="tx1"/>
            </w14:solidFill>
          </w14:textFill>
        </w:rPr>
        <w:t xml:space="preserve">     九、</w:t>
      </w:r>
      <w:r>
        <w:rPr>
          <w:rStyle w:val="25"/>
          <w:rFonts w:hint="eastAsia" w:ascii="黑体" w:hAnsi="黑体" w:eastAsia="黑体"/>
          <w:b w:val="0"/>
          <w:color w:val="000000" w:themeColor="text1"/>
          <w14:textFill>
            <w14:solidFill>
              <w14:schemeClr w14:val="tx1"/>
            </w14:solidFill>
          </w14:textFill>
        </w:rPr>
        <w:t>国有资本经营预算支出决算情况说明</w:t>
      </w:r>
      <w:bookmarkEnd w:id="46"/>
      <w:bookmarkEnd w:id="47"/>
    </w:p>
    <w:p>
      <w:pPr>
        <w:spacing w:line="60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8年国有资本经营预算拨款支出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pStyle w:val="23"/>
        <w:numPr>
          <w:ilvl w:val="0"/>
          <w:numId w:val="0"/>
        </w:numPr>
        <w:spacing w:line="580" w:lineRule="exact"/>
        <w:ind w:left="709" w:leftChars="0"/>
        <w:rPr>
          <w:rStyle w:val="25"/>
          <w:rFonts w:ascii="黑体" w:hAnsi="黑体" w:eastAsia="黑体"/>
          <w:b w:val="0"/>
          <w:color w:val="000000" w:themeColor="text1"/>
          <w14:textFill>
            <w14:solidFill>
              <w14:schemeClr w14:val="tx1"/>
            </w14:solidFill>
          </w14:textFill>
        </w:rPr>
      </w:pPr>
      <w:r>
        <w:rPr>
          <w:rStyle w:val="25"/>
          <w:rFonts w:hint="eastAsia" w:ascii="黑体" w:hAnsi="黑体" w:eastAsia="黑体"/>
          <w:b w:val="0"/>
          <w:color w:val="000000" w:themeColor="text1"/>
          <w:lang w:eastAsia="zh-CN"/>
          <w14:textFill>
            <w14:solidFill>
              <w14:schemeClr w14:val="tx1"/>
            </w14:solidFill>
          </w14:textFill>
        </w:rPr>
        <w:t>十、</w:t>
      </w:r>
      <w:r>
        <w:rPr>
          <w:rStyle w:val="25"/>
          <w:rFonts w:hint="eastAsia" w:ascii="黑体" w:hAnsi="黑体" w:eastAsia="黑体"/>
          <w:b w:val="0"/>
          <w:color w:val="000000" w:themeColor="text1"/>
          <w14:textFill>
            <w14:solidFill>
              <w14:schemeClr w14:val="tx1"/>
            </w14:solidFill>
          </w14:textFill>
        </w:rPr>
        <w:t>预算绩效情况说明</w:t>
      </w:r>
    </w:p>
    <w:p>
      <w:pPr>
        <w:numPr>
          <w:ilvl w:val="0"/>
          <w:numId w:val="0"/>
        </w:numPr>
        <w:spacing w:line="580" w:lineRule="exact"/>
        <w:rPr>
          <w:rFonts w:ascii="仿宋" w:hAnsi="仿宋" w:eastAsia="仿宋" w:cs="楷体_GB2312"/>
          <w:b/>
          <w:bCs/>
          <w:color w:val="000000" w:themeColor="text1"/>
          <w:sz w:val="32"/>
          <w:szCs w:val="32"/>
          <w14:textFill>
            <w14:solidFill>
              <w14:schemeClr w14:val="tx1"/>
            </w14:solidFill>
          </w14:textFill>
        </w:rPr>
      </w:pPr>
      <w:r>
        <w:rPr>
          <w:rFonts w:hint="eastAsia" w:ascii="仿宋" w:hAnsi="仿宋" w:eastAsia="仿宋" w:cs="楷体_GB2312"/>
          <w:b/>
          <w:bCs/>
          <w:color w:val="FF0000"/>
          <w:sz w:val="32"/>
          <w:szCs w:val="32"/>
          <w:lang w:val="en-US" w:eastAsia="zh-CN"/>
        </w:rPr>
        <w:t xml:space="preserve">  </w:t>
      </w:r>
      <w:r>
        <w:rPr>
          <w:rFonts w:hint="eastAsia" w:ascii="仿宋" w:hAnsi="仿宋" w:eastAsia="仿宋" w:cs="楷体_GB2312"/>
          <w:b/>
          <w:bCs/>
          <w:color w:val="000000" w:themeColor="text1"/>
          <w:sz w:val="32"/>
          <w:szCs w:val="32"/>
          <w:lang w:val="en-US" w:eastAsia="zh-CN"/>
          <w14:textFill>
            <w14:solidFill>
              <w14:schemeClr w14:val="tx1"/>
            </w14:solidFill>
          </w14:textFill>
        </w:rPr>
        <w:t xml:space="preserve">  （一）</w:t>
      </w:r>
      <w:r>
        <w:rPr>
          <w:rFonts w:hint="eastAsia" w:ascii="仿宋" w:hAnsi="仿宋" w:eastAsia="仿宋" w:cs="楷体_GB2312"/>
          <w:b/>
          <w:bCs/>
          <w:color w:val="000000" w:themeColor="text1"/>
          <w:sz w:val="32"/>
          <w:szCs w:val="32"/>
          <w14:textFill>
            <w14:solidFill>
              <w14:schemeClr w14:val="tx1"/>
            </w14:solidFill>
          </w14:textFill>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根据预算绩效管理要求，本部门（单位）在年初预算编制阶段，组织对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w:t>
      </w:r>
      <w:r>
        <w:rPr>
          <w:rFonts w:hint="eastAsia" w:ascii="仿宋_GB2312" w:hAnsi="仿宋_GB2312" w:eastAsia="仿宋_GB2312" w:cs="仿宋_GB2312"/>
          <w:color w:val="000000" w:themeColor="text1"/>
          <w:sz w:val="32"/>
          <w:szCs w:val="32"/>
          <w14:textFill>
            <w14:solidFill>
              <w14:schemeClr w14:val="tx1"/>
            </w14:solidFill>
          </w14:textFill>
        </w:rPr>
        <w:t>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对这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个项目开展绩效监控，年终执行完毕后，开展了绩效目标完成情况梳理填报。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按要求对2018年部门整体支出开展绩效自评，从评价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情况来</w:t>
      </w:r>
      <w:r>
        <w:rPr>
          <w:rFonts w:hint="eastAsia" w:ascii="仿宋_GB2312" w:hAnsi="仿宋_GB2312" w:eastAsia="仿宋_GB2312" w:cs="仿宋_GB2312"/>
          <w:color w:val="000000" w:themeColor="text1"/>
          <w:sz w:val="32"/>
          <w:szCs w:val="32"/>
          <w14:textFill>
            <w14:solidFill>
              <w14:schemeClr w14:val="tx1"/>
            </w14:solidFill>
          </w14:textFill>
        </w:rPr>
        <w:t>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个评价项目平均得分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14:textFill>
            <w14:solidFill>
              <w14:schemeClr w14:val="tx1"/>
            </w14:solidFill>
          </w14:textFill>
        </w:rPr>
        <w:t>分，最高得分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w:t>
      </w:r>
      <w:r>
        <w:rPr>
          <w:rFonts w:hint="eastAsia" w:ascii="仿宋_GB2312" w:hAnsi="仿宋_GB2312" w:eastAsia="仿宋_GB2312" w:cs="仿宋_GB2312"/>
          <w:color w:val="000000" w:themeColor="text1"/>
          <w:sz w:val="32"/>
          <w:szCs w:val="32"/>
          <w14:textFill>
            <w14:solidFill>
              <w14:schemeClr w14:val="tx1"/>
            </w14:solidFill>
          </w14:textFill>
        </w:rPr>
        <w:t>分，最低得分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w:t>
      </w:r>
      <w:r>
        <w:rPr>
          <w:rFonts w:hint="eastAsia" w:ascii="仿宋_GB2312" w:hAnsi="仿宋_GB2312" w:eastAsia="仿宋_GB2312" w:cs="仿宋_GB2312"/>
          <w:color w:val="000000" w:themeColor="text1"/>
          <w:sz w:val="32"/>
          <w:szCs w:val="32"/>
          <w14:textFill>
            <w14:solidFill>
              <w14:schemeClr w14:val="tx1"/>
            </w14:solidFill>
          </w14:textFill>
        </w:rPr>
        <w:t>分。被评价项目总体绩效目标明确，决策依据充分，资金分配科学合理，项目管理较规范，项目完成良好，基本达到了预期效果</w:t>
      </w:r>
      <w:r>
        <w:rPr>
          <w:rFonts w:hint="eastAsia" w:ascii="宋体" w:hAnsi="宋体" w:eastAsia="宋体" w:cs="宋体"/>
          <w:b w:val="0"/>
          <w:i w:val="0"/>
          <w:caps w:val="0"/>
          <w:color w:val="000000" w:themeColor="text1"/>
          <w:spacing w:val="0"/>
          <w:sz w:val="36"/>
          <w:szCs w:val="36"/>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本部门还自行组织了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个项目绩效评价，从评价情况来看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预算编制质量较好，预算信息公开符合要求；预算执行进度良好，年末无结转结余；财务制度健全，会计核算总体规范、准确；项目在实施过程中严格执行有关制度规定，基本达到了预期效果。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lang w:val="en-US" w:eastAsia="zh-CN"/>
          <w14:textFill>
            <w14:solidFill>
              <w14:schemeClr w14:val="tx1"/>
            </w14:solidFill>
          </w14:textFill>
        </w:rPr>
        <w:t>（二）</w:t>
      </w:r>
      <w:r>
        <w:rPr>
          <w:rFonts w:hint="eastAsia" w:ascii="仿宋" w:hAnsi="仿宋" w:eastAsia="仿宋" w:cs="楷体_GB2312"/>
          <w:b/>
          <w:bCs/>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b/>
          <w:bCs/>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本部门在2018年度部门决算中反映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2018宣汉县纪委监委派驻纪检监察机构工作经费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”、“2018年宣汉县委日常工作专项”、“2018年宣汉县委专用视频会议系统升级改造等项目”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均完成</w:t>
      </w:r>
      <w:r>
        <w:rPr>
          <w:rFonts w:hint="eastAsia" w:ascii="仿宋_GB2312" w:hAnsi="仿宋_GB2312" w:eastAsia="仿宋_GB2312" w:cs="仿宋_GB2312"/>
          <w:color w:val="000000" w:themeColor="text1"/>
          <w:sz w:val="32"/>
          <w:szCs w:val="32"/>
          <w14:textFill>
            <w14:solidFill>
              <w14:schemeClr w14:val="tx1"/>
            </w14:solidFill>
          </w14:textFill>
        </w:rPr>
        <w:t>绩效目标。本单位部门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对这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个项目进行公开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基本达到了预期效果。</w:t>
      </w:r>
    </w:p>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1.其他纪检监察事务</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24.62</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24.62</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我办纪律监察严格执行，正风肃纪工作顺利开展，确保我办在日常工作开展中严守党纪党风，做好表率作用。</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18"/>
        <w:gridCol w:w="2174"/>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县委办驻地纪检组监察事务项目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县委办</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24.62万元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24.62万元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24.62万元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24.62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确保各项规章制度遵纪守法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保障了我办各项工作有法可依，按照正规标准执行。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科学决策</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ind w:left="0" w:leftChars="0"/>
              <w:jc w:val="center"/>
              <w:textAlignment w:val="center"/>
              <w:rPr>
                <w:rFonts w:hint="eastAsia" w:ascii="宋体" w:hAnsi="宋体" w:cs="宋体"/>
                <w:color w:val="000000" w:themeColor="text1"/>
                <w:kern w:val="0"/>
                <w:sz w:val="24"/>
                <w:lang w:bidi="ar"/>
                <w14:textFill>
                  <w14:solidFill>
                    <w14:schemeClr w14:val="tx1"/>
                  </w14:solidFill>
                </w14:textFill>
              </w:rPr>
            </w:pPr>
          </w:p>
          <w:p>
            <w:pPr>
              <w:widowControl/>
              <w:ind w:left="0" w:left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必要性</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可行性</w:t>
            </w:r>
            <w:r>
              <w:rPr>
                <w:rFonts w:hint="eastAsia" w:ascii="宋体" w:hAnsi="宋体" w:cs="宋体"/>
                <w:color w:val="000000" w:themeColor="text1"/>
                <w:kern w:val="0"/>
                <w:sz w:val="24"/>
                <w:lang w:bidi="ar"/>
                <w14:textFill>
                  <w14:solidFill>
                    <w14:schemeClr w14:val="tx1"/>
                  </w14:solidFill>
                </w14:textFill>
              </w:rPr>
              <w:br w:type="textWrapping"/>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符合国家政策，符合当前经济发展需要。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绩效目标 </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明确性</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符合实际需求</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资金管理</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资金使用规范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项目执行</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管理制度健全，管理过程科学规范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项目完成</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符合绩效目标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保障我办纪检组工作高效</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保障正常运行</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2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满意</w:t>
            </w:r>
          </w:p>
        </w:tc>
      </w:tr>
    </w:tbl>
    <w:p>
      <w:pPr>
        <w:rPr>
          <w:rFonts w:ascii="Calibri" w:hAnsi="Calibri"/>
          <w:color w:val="000000" w:themeColor="text1"/>
          <w14:textFill>
            <w14:solidFill>
              <w14:schemeClr w14:val="tx1"/>
            </w14:solidFill>
          </w14:textFill>
        </w:rPr>
      </w:pPr>
    </w:p>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2018年宣汉县委日常工作专项</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961.48</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961.48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eastAsia="仿宋_GB2312" w:cs="仿宋_GB2312"/>
          <w:sz w:val="32"/>
          <w:szCs w:val="32"/>
        </w:rPr>
        <w:t>搞好上下级、党内外、部门间的综合协调</w:t>
      </w:r>
      <w:r>
        <w:rPr>
          <w:rFonts w:hint="eastAsia" w:eastAsia="仿宋_GB2312" w:cs="仿宋_GB2312"/>
          <w:sz w:val="32"/>
          <w:szCs w:val="32"/>
          <w:lang w:eastAsia="zh-CN"/>
        </w:rPr>
        <w:t>，妥善</w:t>
      </w:r>
      <w:r>
        <w:rPr>
          <w:rFonts w:hint="eastAsia" w:eastAsia="仿宋_GB2312" w:cs="仿宋_GB2312"/>
          <w:sz w:val="32"/>
          <w:szCs w:val="32"/>
        </w:rPr>
        <w:t>受理和接待人民群众向县委和县委领导的来信来访，办理和协调处理</w:t>
      </w:r>
      <w:r>
        <w:rPr>
          <w:rFonts w:hint="eastAsia" w:eastAsia="仿宋_GB2312" w:cs="仿宋_GB2312"/>
          <w:sz w:val="32"/>
          <w:szCs w:val="32"/>
          <w:lang w:eastAsia="zh-CN"/>
        </w:rPr>
        <w:t>了</w:t>
      </w:r>
      <w:r>
        <w:rPr>
          <w:rFonts w:hint="eastAsia" w:eastAsia="仿宋_GB2312" w:cs="仿宋_GB2312"/>
          <w:sz w:val="32"/>
          <w:szCs w:val="32"/>
        </w:rPr>
        <w:t>信访案件</w:t>
      </w:r>
      <w:r>
        <w:rPr>
          <w:rFonts w:hint="eastAsia" w:eastAsia="仿宋_GB2312" w:cs="仿宋_GB2312"/>
          <w:sz w:val="32"/>
          <w:szCs w:val="32"/>
          <w:lang w:eastAsia="zh-CN"/>
        </w:rPr>
        <w:t>，提高了人民满意度；保障了</w:t>
      </w:r>
      <w:r>
        <w:rPr>
          <w:rFonts w:hint="eastAsia" w:eastAsia="仿宋_GB2312" w:cs="仿宋_GB2312"/>
          <w:sz w:val="32"/>
          <w:szCs w:val="32"/>
        </w:rPr>
        <w:t>县委各种会议事务工作和县委领导同志参加重大活动的组织安排，</w:t>
      </w:r>
      <w:r>
        <w:rPr>
          <w:rFonts w:hint="eastAsia" w:eastAsia="仿宋_GB2312" w:cs="仿宋_GB2312"/>
          <w:sz w:val="32"/>
          <w:szCs w:val="32"/>
          <w:lang w:eastAsia="zh-CN"/>
        </w:rPr>
        <w:t>将</w:t>
      </w:r>
      <w:r>
        <w:rPr>
          <w:rFonts w:hint="eastAsia" w:eastAsia="仿宋_GB2312" w:cs="仿宋_GB2312"/>
          <w:sz w:val="32"/>
          <w:szCs w:val="32"/>
        </w:rPr>
        <w:t>县委的有关接待工作</w:t>
      </w:r>
      <w:r>
        <w:rPr>
          <w:rFonts w:hint="eastAsia" w:eastAsia="仿宋_GB2312" w:cs="仿宋_GB2312"/>
          <w:sz w:val="32"/>
          <w:szCs w:val="32"/>
          <w:lang w:eastAsia="zh-CN"/>
        </w:rPr>
        <w:t>合理安排。</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198"/>
        <w:gridCol w:w="2194"/>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宣汉县委办日常工作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县委办</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961.48万元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961.48万元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搞好上下级、党内外、部门间的综合协调，妥善受理和接待人民群众向县委和县委领导的来信来访，办理和协调处理了信访案件，提高了人民满意度；保障了县委各种会议事务工作和县委领导同志参加重大活动的组织安排，将县委的有关接待工作合理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保障精准扶贫到位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搞好上下级、党内外、部门间的综合协调，妥善受理和接待人民群众向县委和县委领导的来信来访，办理和协调处理了信访案件，提高了人民满意度；保障了县委各种会议事务工作和县委领导同志参加重大活动的组织安排，将县委的有关接待工作合理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认真排查摸底，保证扶贫工作稳步进行，保障贫困户有效脱贫。</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科学决策</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ind w:left="0" w:leftChars="0"/>
              <w:jc w:val="center"/>
              <w:textAlignment w:val="center"/>
              <w:rPr>
                <w:rFonts w:hint="eastAsia" w:ascii="宋体" w:hAnsi="宋体" w:cs="宋体"/>
                <w:color w:val="000000" w:themeColor="text1"/>
                <w:kern w:val="0"/>
                <w:sz w:val="24"/>
                <w:lang w:bidi="ar"/>
                <w14:textFill>
                  <w14:solidFill>
                    <w14:schemeClr w14:val="tx1"/>
                  </w14:solidFill>
                </w14:textFill>
              </w:rPr>
            </w:pPr>
          </w:p>
          <w:p>
            <w:pPr>
              <w:widowControl/>
              <w:ind w:left="0" w:left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必要性</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可行性</w:t>
            </w:r>
            <w:r>
              <w:rPr>
                <w:rFonts w:hint="eastAsia" w:ascii="宋体" w:hAnsi="宋体" w:cs="宋体"/>
                <w:color w:val="000000" w:themeColor="text1"/>
                <w:kern w:val="0"/>
                <w:sz w:val="24"/>
                <w:lang w:bidi="ar"/>
                <w14:textFill>
                  <w14:solidFill>
                    <w14:schemeClr w14:val="tx1"/>
                  </w14:solidFill>
                </w14:textFill>
              </w:rPr>
              <w:br w:type="textWrapping"/>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符合国家政策，符合当前经济发展需要。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绩效目标 </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明确性</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符合实际需求</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资金管理</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资金使用规范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项目执行</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管理制度健全，管理过程科学规范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项目完成</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符合绩效目标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推动县委办各项工作高效开展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完成了年初各项目标任务</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2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满意</w:t>
            </w:r>
          </w:p>
        </w:tc>
      </w:tr>
    </w:tbl>
    <w:p>
      <w:pPr>
        <w:rPr>
          <w:rFonts w:ascii="Calibri" w:hAnsi="Calibri"/>
          <w:color w:val="FF0000"/>
        </w:rPr>
      </w:pPr>
    </w:p>
    <w:p>
      <w:pPr>
        <w:numPr>
          <w:ilvl w:val="0"/>
          <w:numId w:val="1"/>
        </w:numPr>
        <w:spacing w:line="58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2018年宣汉县委专用视频会议系统升级改造等项目</w:t>
      </w:r>
      <w:r>
        <w:rPr>
          <w:rFonts w:hint="eastAsia" w:ascii="仿宋_GB2312" w:hAnsi="仿宋_GB2312" w:eastAsia="仿宋_GB2312" w:cs="仿宋_GB2312"/>
          <w:color w:val="000000" w:themeColor="text1"/>
          <w:sz w:val="32"/>
          <w:szCs w:val="32"/>
          <w14:textFill>
            <w14:solidFill>
              <w14:schemeClr w14:val="tx1"/>
            </w14:solidFill>
          </w14:textFill>
        </w:rPr>
        <w:t>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182.32</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182.32</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县委办各级视频会议的正常召开，确保了上级会议精神的准确全面的传达贯彻落实，并做到了执行有力。</w:t>
      </w:r>
      <w:r>
        <w:rPr>
          <w:rFonts w:hint="eastAsia" w:ascii="仿宋_GB2312" w:hAnsi="仿宋_GB2312" w:eastAsia="仿宋_GB2312" w:cs="仿宋_GB2312"/>
          <w:color w:val="000000" w:themeColor="text1"/>
          <w:sz w:val="32"/>
          <w:szCs w:val="32"/>
          <w14:textFill>
            <w14:solidFill>
              <w14:schemeClr w14:val="tx1"/>
            </w14:solidFill>
          </w14:textFill>
        </w:rPr>
        <w:t>发现的主要问题：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预算编制不精准</w:t>
      </w:r>
      <w:r>
        <w:rPr>
          <w:rFonts w:hint="eastAsia"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加强细化项目精准预算编制。</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320"/>
        <w:gridCol w:w="2072"/>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2018年宣汉县委专用视频会议系统升级改造等项目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县委办</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182.32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182.32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182.32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182.32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县委专用视频会议系统升级改造</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完全成了县委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专用视频会议系统升级改造，提升了县委办视频会议质量和效果。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科学决策</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ind w:left="0" w:leftChars="0"/>
              <w:jc w:val="center"/>
              <w:textAlignment w:val="center"/>
              <w:rPr>
                <w:rFonts w:hint="eastAsia" w:ascii="宋体" w:hAnsi="宋体" w:cs="宋体"/>
                <w:color w:val="000000" w:themeColor="text1"/>
                <w:kern w:val="0"/>
                <w:sz w:val="24"/>
                <w:lang w:bidi="ar"/>
                <w14:textFill>
                  <w14:solidFill>
                    <w14:schemeClr w14:val="tx1"/>
                  </w14:solidFill>
                </w14:textFill>
              </w:rPr>
            </w:pPr>
          </w:p>
          <w:p>
            <w:pPr>
              <w:widowControl/>
              <w:ind w:left="0" w:left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必要性</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可行性</w:t>
            </w:r>
            <w:r>
              <w:rPr>
                <w:rFonts w:hint="eastAsia" w:ascii="宋体" w:hAnsi="宋体" w:cs="宋体"/>
                <w:color w:val="000000" w:themeColor="text1"/>
                <w:kern w:val="0"/>
                <w:sz w:val="24"/>
                <w:lang w:bidi="ar"/>
                <w14:textFill>
                  <w14:solidFill>
                    <w14:schemeClr w14:val="tx1"/>
                  </w14:solidFill>
                </w14:textFill>
              </w:rPr>
              <w:br w:type="textWrapping"/>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符合当前经济社会发展需要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绩效目标 </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明确性</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符合实际需求，合理可行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资金管理</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资金使用规范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项目执行</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管理制度健全，管理过程科学规范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项目完成</w:t>
            </w: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完成视频会议系统升级改造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确保了上级会议精神的准确全面的传达贯彻落实，并做到了执行有力</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提升了县委办视频会议质量和效果。</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3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0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满意</w:t>
            </w:r>
          </w:p>
        </w:tc>
      </w:tr>
    </w:tbl>
    <w:p>
      <w:pPr>
        <w:rPr>
          <w:rFonts w:ascii="Calibri" w:hAnsi="Calibri"/>
          <w:color w:val="000000" w:themeColor="text1"/>
          <w14:textFill>
            <w14:solidFill>
              <w14:schemeClr w14:val="tx1"/>
            </w14:solidFill>
          </w14:textFill>
        </w:rPr>
      </w:pPr>
    </w:p>
    <w:p>
      <w:pPr>
        <w:numPr>
          <w:ilvl w:val="0"/>
          <w:numId w:val="0"/>
        </w:numPr>
        <w:spacing w:line="580" w:lineRule="exac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lang w:eastAsia="zh-CN"/>
          <w14:textFill>
            <w14:solidFill>
              <w14:schemeClr w14:val="tx1"/>
            </w14:solidFill>
          </w14:textFill>
        </w:rPr>
        <w:t>（三）</w:t>
      </w: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本部门按要求对2018年部门整体支出绩效评价情况开展自评，《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宣汉县县委员会</w:t>
      </w:r>
      <w:r>
        <w:rPr>
          <w:rFonts w:hint="eastAsia" w:ascii="仿宋_GB2312" w:hAnsi="仿宋_GB2312" w:eastAsia="仿宋_GB2312" w:cs="仿宋_GB2312"/>
          <w:color w:val="000000" w:themeColor="text1"/>
          <w:sz w:val="32"/>
          <w:szCs w:val="32"/>
          <w14:textFill>
            <w14:solidFill>
              <w14:schemeClr w14:val="tx1"/>
            </w14:solidFill>
          </w14:textFill>
        </w:rPr>
        <w:t>2018年部门整体支出绩效评价报告》见附件。</w:t>
      </w:r>
    </w:p>
    <w:p>
      <w:pPr>
        <w:numPr>
          <w:ilvl w:val="0"/>
          <w:numId w:val="0"/>
        </w:numPr>
        <w:spacing w:line="580" w:lineRule="exact"/>
        <w:ind w:firstLine="640"/>
        <w:rPr>
          <w:rFonts w:hint="eastAsia"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w:t>
      </w:r>
      <w:r>
        <w:rPr>
          <w:rFonts w:hint="eastAsia" w:ascii="仿宋_GB2312" w:hAnsi="仿宋_GB2312" w:eastAsia="仿宋_GB2312" w:cs="仿宋_GB2312"/>
          <w:color w:val="000000" w:themeColor="text1"/>
          <w:sz w:val="32"/>
          <w:szCs w:val="32"/>
          <w14:textFill>
            <w14:solidFill>
              <w14:schemeClr w14:val="tx1"/>
            </w14:solidFill>
          </w14:textFill>
        </w:rPr>
        <w:t>项目开展了绩效评价，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完成了绩效目标，</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我办纪律监察严格执行，正风肃纪工作顺利开展，确保我办在日常工作开展中严守党纪党风，做好表率作用。</w:t>
      </w:r>
      <w:r>
        <w:rPr>
          <w:rFonts w:hint="eastAsia" w:eastAsia="仿宋_GB2312" w:cs="仿宋_GB2312"/>
          <w:sz w:val="32"/>
          <w:szCs w:val="32"/>
        </w:rPr>
        <w:t>搞好上下级、党内外、部门间的综合协调</w:t>
      </w:r>
      <w:r>
        <w:rPr>
          <w:rFonts w:hint="eastAsia" w:eastAsia="仿宋_GB2312" w:cs="仿宋_GB2312"/>
          <w:sz w:val="32"/>
          <w:szCs w:val="32"/>
          <w:lang w:eastAsia="zh-CN"/>
        </w:rPr>
        <w:t>，妥善</w:t>
      </w:r>
      <w:r>
        <w:rPr>
          <w:rFonts w:hint="eastAsia" w:eastAsia="仿宋_GB2312" w:cs="仿宋_GB2312"/>
          <w:sz w:val="32"/>
          <w:szCs w:val="32"/>
        </w:rPr>
        <w:t>受理和接待人民群众向县委和县委领导的来信来访，办理和协调处理</w:t>
      </w:r>
      <w:r>
        <w:rPr>
          <w:rFonts w:hint="eastAsia" w:eastAsia="仿宋_GB2312" w:cs="仿宋_GB2312"/>
          <w:sz w:val="32"/>
          <w:szCs w:val="32"/>
          <w:lang w:eastAsia="zh-CN"/>
        </w:rPr>
        <w:t>了</w:t>
      </w:r>
      <w:r>
        <w:rPr>
          <w:rFonts w:hint="eastAsia" w:eastAsia="仿宋_GB2312" w:cs="仿宋_GB2312"/>
          <w:sz w:val="32"/>
          <w:szCs w:val="32"/>
        </w:rPr>
        <w:t>信访案件</w:t>
      </w:r>
      <w:r>
        <w:rPr>
          <w:rFonts w:hint="eastAsia" w:eastAsia="仿宋_GB2312" w:cs="仿宋_GB2312"/>
          <w:sz w:val="32"/>
          <w:szCs w:val="32"/>
          <w:lang w:eastAsia="zh-CN"/>
        </w:rPr>
        <w:t>，提高了人民满意度；保障了</w:t>
      </w:r>
      <w:r>
        <w:rPr>
          <w:rFonts w:hint="eastAsia" w:eastAsia="仿宋_GB2312" w:cs="仿宋_GB2312"/>
          <w:sz w:val="32"/>
          <w:szCs w:val="32"/>
        </w:rPr>
        <w:t>县委各种会议事务工作和县委领导同志参加重大活动的组织安排，</w:t>
      </w:r>
      <w:r>
        <w:rPr>
          <w:rFonts w:hint="eastAsia" w:eastAsia="仿宋_GB2312" w:cs="仿宋_GB2312"/>
          <w:sz w:val="32"/>
          <w:szCs w:val="32"/>
          <w:lang w:eastAsia="zh-CN"/>
        </w:rPr>
        <w:t>将</w:t>
      </w:r>
      <w:r>
        <w:rPr>
          <w:rFonts w:hint="eastAsia" w:eastAsia="仿宋_GB2312" w:cs="仿宋_GB2312"/>
          <w:sz w:val="32"/>
          <w:szCs w:val="32"/>
        </w:rPr>
        <w:t>县委的有关接待工作</w:t>
      </w:r>
      <w:r>
        <w:rPr>
          <w:rFonts w:hint="eastAsia" w:eastAsia="仿宋_GB2312" w:cs="仿宋_GB2312"/>
          <w:sz w:val="32"/>
          <w:szCs w:val="32"/>
          <w:lang w:eastAsia="zh-CN"/>
        </w:rPr>
        <w:t>合理安排。</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县委办各级视频会议的正常召开，确保了上级会议精神的准确全面的传达贯彻落实，并做到了执</w:t>
      </w:r>
      <w:r>
        <w:rPr>
          <w:rFonts w:hint="eastAsia" w:eastAsia="仿宋_GB2312" w:cs="仿宋_GB2312"/>
          <w:sz w:val="32"/>
          <w:szCs w:val="32"/>
          <w:lang w:eastAsia="zh-CN"/>
        </w:rPr>
        <w:t>行有力</w:t>
      </w:r>
    </w:p>
    <w:p>
      <w:pPr>
        <w:numPr>
          <w:ilvl w:val="0"/>
          <w:numId w:val="0"/>
        </w:numPr>
        <w:spacing w:line="580" w:lineRule="exact"/>
        <w:ind w:firstLine="640"/>
        <w:rPr>
          <w:rFonts w:hint="eastAsia" w:eastAsia="仿宋_GB2312" w:cs="仿宋_GB2312"/>
          <w:sz w:val="32"/>
          <w:szCs w:val="32"/>
        </w:rPr>
      </w:pPr>
      <w:bookmarkStart w:id="48" w:name="_Toc15396612"/>
      <w:bookmarkStart w:id="49" w:name="_Toc15377221"/>
      <w:r>
        <w:rPr>
          <w:rFonts w:hint="eastAsia" w:eastAsia="仿宋_GB2312" w:cs="仿宋_GB2312"/>
          <w:sz w:val="32"/>
          <w:szCs w:val="32"/>
        </w:rPr>
        <w:t>十一、其他重要事项的情况说明</w:t>
      </w:r>
      <w:bookmarkEnd w:id="48"/>
      <w:bookmarkEnd w:id="49"/>
    </w:p>
    <w:p>
      <w:pPr>
        <w:numPr>
          <w:ilvl w:val="0"/>
          <w:numId w:val="0"/>
        </w:numPr>
        <w:spacing w:line="580" w:lineRule="exact"/>
        <w:ind w:firstLine="640"/>
        <w:rPr>
          <w:rFonts w:hint="eastAsia" w:eastAsia="仿宋_GB2312" w:cs="仿宋_GB2312"/>
          <w:sz w:val="32"/>
          <w:szCs w:val="32"/>
        </w:rPr>
      </w:pPr>
      <w:bookmarkStart w:id="50" w:name="_Toc15377222"/>
      <w:r>
        <w:rPr>
          <w:rFonts w:hint="eastAsia" w:eastAsia="仿宋_GB2312" w:cs="仿宋_GB2312"/>
          <w:sz w:val="32"/>
          <w:szCs w:val="32"/>
        </w:rPr>
        <w:t>（一）机关运行经费支出情况</w:t>
      </w:r>
      <w:bookmarkEnd w:id="50"/>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2018年，机关运行经费支出</w:t>
      </w:r>
      <w:r>
        <w:rPr>
          <w:rFonts w:hint="eastAsia" w:eastAsia="仿宋_GB2312" w:cs="仿宋_GB2312"/>
          <w:sz w:val="32"/>
          <w:szCs w:val="32"/>
          <w:lang w:val="en-US" w:eastAsia="zh-CN"/>
        </w:rPr>
        <w:t>55.46</w:t>
      </w:r>
      <w:r>
        <w:rPr>
          <w:rFonts w:hint="eastAsia" w:eastAsia="仿宋_GB2312" w:cs="仿宋_GB2312"/>
          <w:sz w:val="32"/>
          <w:szCs w:val="32"/>
        </w:rPr>
        <w:t>万元</w:t>
      </w:r>
      <w:r>
        <w:rPr>
          <w:rFonts w:hint="eastAsia" w:eastAsia="仿宋_GB2312" w:cs="仿宋_GB2312"/>
          <w:sz w:val="32"/>
          <w:szCs w:val="32"/>
          <w:lang w:eastAsia="zh-CN"/>
        </w:rPr>
        <w:t>，比</w:t>
      </w:r>
      <w:r>
        <w:rPr>
          <w:rFonts w:hint="eastAsia" w:eastAsia="仿宋_GB2312" w:cs="仿宋_GB2312"/>
          <w:sz w:val="32"/>
          <w:szCs w:val="32"/>
          <w:lang w:val="en-US" w:eastAsia="zh-CN"/>
        </w:rPr>
        <w:t>2017年63.07万元，减少7.61万元，下降12.06%</w:t>
      </w:r>
      <w:r>
        <w:rPr>
          <w:rFonts w:hint="eastAsia" w:eastAsia="仿宋_GB2312" w:cs="仿宋_GB2312"/>
          <w:sz w:val="32"/>
          <w:szCs w:val="32"/>
        </w:rPr>
        <w:t>。主要原因是</w:t>
      </w:r>
      <w:r>
        <w:rPr>
          <w:rFonts w:hint="eastAsia" w:eastAsia="仿宋_GB2312" w:cs="仿宋_GB2312"/>
          <w:sz w:val="32"/>
          <w:szCs w:val="32"/>
          <w:lang w:eastAsia="zh-CN"/>
        </w:rPr>
        <w:t>我单位</w:t>
      </w:r>
      <w:r>
        <w:rPr>
          <w:rFonts w:hint="eastAsia" w:eastAsia="仿宋_GB2312" w:cs="仿宋_GB2312"/>
          <w:sz w:val="32"/>
          <w:szCs w:val="32"/>
        </w:rPr>
        <w:t>主要原因是厉行节约，压缩开支。</w:t>
      </w:r>
      <w:r>
        <w:rPr>
          <w:rFonts w:hint="eastAsia" w:eastAsia="仿宋_GB2312" w:cs="仿宋_GB2312"/>
          <w:sz w:val="32"/>
          <w:szCs w:val="32"/>
          <w:lang w:eastAsia="zh-CN"/>
        </w:rPr>
        <w:t>。</w:t>
      </w:r>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（数据来源财决CS05表）</w:t>
      </w:r>
    </w:p>
    <w:p>
      <w:pPr>
        <w:numPr>
          <w:ilvl w:val="0"/>
          <w:numId w:val="0"/>
        </w:numPr>
        <w:spacing w:line="580" w:lineRule="exact"/>
        <w:ind w:firstLine="640"/>
        <w:rPr>
          <w:rFonts w:hint="eastAsia" w:eastAsia="仿宋_GB2312" w:cs="仿宋_GB2312"/>
          <w:sz w:val="32"/>
          <w:szCs w:val="32"/>
        </w:rPr>
      </w:pPr>
      <w:bookmarkStart w:id="51" w:name="_Toc15377223"/>
      <w:r>
        <w:rPr>
          <w:rFonts w:hint="eastAsia" w:eastAsia="仿宋_GB2312" w:cs="仿宋_GB2312"/>
          <w:sz w:val="32"/>
          <w:szCs w:val="32"/>
        </w:rPr>
        <w:t>（二）政府采购支出情况</w:t>
      </w:r>
      <w:bookmarkEnd w:id="51"/>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2018年，我单位政府采购支出总额0万元，其中：政府采购货物支出0万元、政府采购工程支出0万元、政府采购服务支出0万元。主要用于（具体工作）。授予中小企业合同金额?0万元，占政府采购支出总额的0%，其中：授予小微企业合同金额0万元，占政府采购支出总额的0%。</w:t>
      </w:r>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（数据来源财决CS06表）</w:t>
      </w:r>
    </w:p>
    <w:p>
      <w:pPr>
        <w:numPr>
          <w:ilvl w:val="0"/>
          <w:numId w:val="0"/>
        </w:numPr>
        <w:spacing w:line="580" w:lineRule="exact"/>
        <w:ind w:firstLine="640"/>
        <w:rPr>
          <w:rFonts w:hint="eastAsia" w:eastAsia="仿宋_GB2312" w:cs="仿宋_GB2312"/>
          <w:sz w:val="32"/>
          <w:szCs w:val="32"/>
        </w:rPr>
      </w:pPr>
      <w:bookmarkStart w:id="52" w:name="_Toc15377224"/>
      <w:r>
        <w:rPr>
          <w:rFonts w:hint="eastAsia" w:eastAsia="仿宋_GB2312" w:cs="仿宋_GB2312"/>
          <w:sz w:val="32"/>
          <w:szCs w:val="32"/>
        </w:rPr>
        <w:t>（三）国有资产占有使用情况</w:t>
      </w:r>
      <w:bookmarkEnd w:id="52"/>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截至2018年12月31日，我单位共有车辆1辆，其中：部级领导干部用车0辆、一般公务用车0辆、一般执法执勤用车0辆、特种专业技术用车1辆、其他用车0辆，其他用车主要是用于……单价50万元以上通用设备0台（套），单价100万元以上专用设备0台（套）。</w:t>
      </w:r>
    </w:p>
    <w:p>
      <w:pPr>
        <w:numPr>
          <w:ilvl w:val="0"/>
          <w:numId w:val="0"/>
        </w:numPr>
        <w:spacing w:line="580" w:lineRule="exact"/>
        <w:ind w:firstLine="640"/>
        <w:rPr>
          <w:rFonts w:hint="eastAsia" w:eastAsia="仿宋_GB2312" w:cs="仿宋_GB2312"/>
          <w:sz w:val="32"/>
          <w:szCs w:val="32"/>
        </w:rPr>
      </w:pPr>
      <w:r>
        <w:rPr>
          <w:rFonts w:hint="eastAsia" w:eastAsia="仿宋_GB2312" w:cs="仿宋_GB2312"/>
          <w:sz w:val="32"/>
          <w:szCs w:val="32"/>
        </w:rPr>
        <w:t>（数据来源财决CS05表，按部门决算报表填报数据罗列车辆情况。）</w:t>
      </w:r>
    </w:p>
    <w:p>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14:textFill>
            <w14:solidFill>
              <w14:schemeClr w14:val="tx1"/>
            </w14:solidFill>
          </w14:textFill>
        </w:rPr>
      </w:pPr>
    </w:p>
    <w:p>
      <w:pPr>
        <w:spacing w:line="600" w:lineRule="atLeast"/>
        <w:ind w:firstLine="643" w:firstLineChars="200"/>
        <w:rPr>
          <w:rFonts w:ascii="仿宋_GB2312" w:eastAsia="仿宋_GB2312"/>
          <w:b/>
          <w:color w:val="000000" w:themeColor="text1"/>
          <w:sz w:val="32"/>
          <w:szCs w:val="32"/>
          <w14:textFill>
            <w14:solidFill>
              <w14:schemeClr w14:val="tx1"/>
            </w14:solidFill>
          </w14:textFill>
        </w:rPr>
      </w:pPr>
    </w:p>
    <w:p>
      <w:pPr>
        <w:widowControl/>
        <w:jc w:val="left"/>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br w:type="page"/>
      </w:r>
    </w:p>
    <w:p>
      <w:pPr>
        <w:numPr>
          <w:ilvl w:val="0"/>
          <w:numId w:val="2"/>
        </w:numPr>
        <w:spacing w:line="600" w:lineRule="exact"/>
        <w:ind w:firstLine="663" w:firstLineChars="150"/>
        <w:jc w:val="center"/>
        <w:outlineLvl w:val="0"/>
        <w:rPr>
          <w:rStyle w:val="24"/>
          <w:rFonts w:ascii="黑体" w:hAnsi="黑体" w:eastAsia="黑体"/>
          <w:b w:val="0"/>
          <w:color w:val="000000" w:themeColor="text1"/>
          <w14:textFill>
            <w14:solidFill>
              <w14:schemeClr w14:val="tx1"/>
            </w14:solidFill>
          </w14:textFill>
        </w:rPr>
      </w:pPr>
      <w:bookmarkStart w:id="53" w:name="_Toc15377225"/>
      <w:bookmarkStart w:id="54" w:name="_Toc15396613"/>
      <w:r>
        <w:rPr>
          <w:rFonts w:hint="eastAsia" w:ascii="黑体" w:hAnsi="黑体" w:eastAsia="黑体"/>
          <w:b/>
          <w:color w:val="000000" w:themeColor="text1"/>
          <w:sz w:val="44"/>
          <w:szCs w:val="44"/>
          <w14:textFill>
            <w14:solidFill>
              <w14:schemeClr w14:val="tx1"/>
            </w14:solidFill>
          </w14:textFill>
        </w:rPr>
        <w:t>名</w:t>
      </w:r>
      <w:r>
        <w:rPr>
          <w:rStyle w:val="24"/>
          <w:rFonts w:hint="eastAsia" w:ascii="黑体" w:hAnsi="黑体" w:eastAsia="黑体"/>
          <w:b w:val="0"/>
          <w:color w:val="000000" w:themeColor="text1"/>
          <w14:textFill>
            <w14:solidFill>
              <w14:schemeClr w14:val="tx1"/>
            </w14:solidFill>
          </w14:textFill>
        </w:rPr>
        <w:t>词解释</w:t>
      </w:r>
      <w:bookmarkEnd w:id="53"/>
      <w:bookmarkEnd w:id="54"/>
    </w:p>
    <w:p>
      <w:pPr>
        <w:spacing w:line="600" w:lineRule="exact"/>
        <w:jc w:val="left"/>
        <w:rPr>
          <w:rFonts w:ascii="宋体"/>
          <w:b/>
          <w:color w:val="000000" w:themeColor="text1"/>
          <w:sz w:val="44"/>
          <w:szCs w:val="44"/>
          <w14:textFill>
            <w14:solidFill>
              <w14:schemeClr w14:val="tx1"/>
            </w14:solidFill>
          </w14:textFill>
        </w:rPr>
      </w:pP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财政拨款收入：指单位从同级财政部门取得的财政预算资金。</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其他收入：指单位取得的除上述收入以外的各项收入。主要是…（收入类型）等。</w:t>
      </w:r>
      <w:r>
        <w:rPr>
          <w:rFonts w:ascii="仿宋_GB2312" w:eastAsia="仿宋_GB2312"/>
          <w:color w:val="000000" w:themeColor="text1"/>
          <w:sz w:val="32"/>
          <w:szCs w:val="32"/>
          <w14:textFill>
            <w14:solidFill>
              <w14:schemeClr w14:val="tx1"/>
            </w14:solidFill>
          </w14:textFill>
        </w:rPr>
        <w:t xml:space="preserve"> </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000000" w:themeColor="text1"/>
          <w:sz w:val="32"/>
          <w:szCs w:val="32"/>
          <w14:textFill>
            <w14:solidFill>
              <w14:schemeClr w14:val="tx1"/>
            </w14:solidFill>
          </w14:textFill>
        </w:rPr>
        <w:t xml:space="preserve"> </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年初结转和结余：指以前年度尚未完成、结转到本年按有关规定继续使用的资金。</w:t>
      </w:r>
      <w:r>
        <w:rPr>
          <w:rFonts w:ascii="仿宋_GB2312" w:eastAsia="仿宋_GB2312"/>
          <w:color w:val="000000" w:themeColor="text1"/>
          <w:sz w:val="32"/>
          <w:szCs w:val="32"/>
          <w14:textFill>
            <w14:solidFill>
              <w14:schemeClr w14:val="tx1"/>
            </w14:solidFill>
          </w14:textFill>
        </w:rPr>
        <w:t xml:space="preserve"> </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9.201一般公共服务支出：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（1）20103政府办公厅（室）及相关机构事务：2010301行政运行；2010302一般行政管理事务；2010399其他政府办公厅（室）及相关机构事务支出。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（2）20106财政事务：2010699其他财政事务支出。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（3）20111纪检监察事务支出：20111</w:t>
      </w:r>
      <w:r>
        <w:rPr>
          <w:rFonts w:hint="eastAsia" w:ascii="仿宋_GB2312" w:eastAsia="仿宋_GB2312"/>
          <w:color w:val="000000" w:themeColor="text1"/>
          <w:sz w:val="32"/>
          <w:szCs w:val="32"/>
          <w:lang w:val="en-US" w:eastAsia="zh-CN"/>
          <w14:textFill>
            <w14:solidFill>
              <w14:schemeClr w14:val="tx1"/>
            </w14:solidFill>
          </w14:textFill>
        </w:rPr>
        <w:t>05</w:t>
      </w:r>
      <w:r>
        <w:rPr>
          <w:rFonts w:hint="eastAsia" w:ascii="仿宋_GB2312" w:eastAsia="仿宋_GB2312"/>
          <w:color w:val="000000" w:themeColor="text1"/>
          <w:sz w:val="32"/>
          <w:szCs w:val="32"/>
          <w:lang w:eastAsia="zh-CN"/>
          <w14:textFill>
            <w14:solidFill>
              <w14:schemeClr w14:val="tx1"/>
            </w14:solidFill>
          </w14:textFill>
        </w:rPr>
        <w:t>派驻派出机构</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（4）201</w:t>
      </w:r>
      <w:r>
        <w:rPr>
          <w:rFonts w:hint="eastAsia" w:ascii="仿宋_GB2312" w:eastAsia="仿宋_GB2312"/>
          <w:color w:val="000000" w:themeColor="text1"/>
          <w:sz w:val="32"/>
          <w:szCs w:val="32"/>
          <w:lang w:val="en-US" w:eastAsia="zh-CN"/>
          <w14:textFill>
            <w14:solidFill>
              <w14:schemeClr w14:val="tx1"/>
            </w14:solidFill>
          </w14:textFill>
        </w:rPr>
        <w:t>32</w:t>
      </w:r>
      <w:r>
        <w:rPr>
          <w:rFonts w:hint="eastAsia" w:ascii="仿宋_GB2312" w:eastAsia="仿宋_GB2312"/>
          <w:color w:val="000000" w:themeColor="text1"/>
          <w:sz w:val="32"/>
          <w:szCs w:val="32"/>
          <w:lang w:eastAsia="zh-CN"/>
          <w14:textFill>
            <w14:solidFill>
              <w14:schemeClr w14:val="tx1"/>
            </w14:solidFill>
          </w14:textFill>
        </w:rPr>
        <w:t>组织事务</w:t>
      </w:r>
      <w:r>
        <w:rPr>
          <w:rFonts w:hint="eastAsia"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32</w:t>
      </w:r>
      <w:r>
        <w:rPr>
          <w:rFonts w:hint="eastAsia" w:ascii="仿宋_GB2312" w:eastAsia="仿宋_GB2312"/>
          <w:color w:val="000000" w:themeColor="text1"/>
          <w:sz w:val="32"/>
          <w:szCs w:val="32"/>
          <w14:textFill>
            <w14:solidFill>
              <w14:schemeClr w14:val="tx1"/>
            </w14:solidFill>
          </w14:textFill>
        </w:rPr>
        <w:t>99其他</w:t>
      </w:r>
      <w:r>
        <w:rPr>
          <w:rFonts w:hint="eastAsia" w:ascii="仿宋_GB2312" w:eastAsia="仿宋_GB2312"/>
          <w:color w:val="000000" w:themeColor="text1"/>
          <w:sz w:val="32"/>
          <w:szCs w:val="32"/>
          <w:lang w:eastAsia="zh-CN"/>
          <w14:textFill>
            <w14:solidFill>
              <w14:schemeClr w14:val="tx1"/>
            </w14:solidFill>
          </w14:textFill>
        </w:rPr>
        <w:t>组织事务</w:t>
      </w:r>
      <w:r>
        <w:rPr>
          <w:rFonts w:hint="eastAsia" w:ascii="仿宋_GB2312" w:eastAsia="仿宋_GB2312"/>
          <w:color w:val="000000" w:themeColor="text1"/>
          <w:sz w:val="32"/>
          <w:szCs w:val="32"/>
          <w14:textFill>
            <w14:solidFill>
              <w14:schemeClr w14:val="tx1"/>
            </w14:solidFill>
          </w14:textFill>
        </w:rPr>
        <w:t>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10.204公共安全支出：20499其他公共安全支出：2049901其他公共安全支出。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11.208社会保障和就业支出：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（1）20805行政事业单位离退休：2080505机关事业单位基本养老保险缴费支出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2080506机关事业单位职业年金缴费支出</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）20808抚恤：2080801死亡抚恤。</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.210医疗卫生与计划生育支出：</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21004公共卫生：2100409重大公共卫生专项。</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21011行政事业单位医疗：</w:t>
      </w:r>
      <w:r>
        <w:rPr>
          <w:rFonts w:hint="eastAsia" w:ascii="仿宋_GB2312" w:eastAsia="仿宋_GB2312"/>
          <w:color w:val="000000" w:themeColor="text1"/>
          <w:sz w:val="32"/>
          <w:szCs w:val="32"/>
          <w14:textFill>
            <w14:solidFill>
              <w14:schemeClr w14:val="tx1"/>
            </w14:solidFill>
          </w14:textFill>
        </w:rPr>
        <w:t>2101101行政单位医疗；</w:t>
      </w:r>
      <w:r>
        <w:rPr>
          <w:rFonts w:hint="eastAsia" w:ascii="仿宋_GB2312" w:eastAsia="仿宋_GB2312"/>
          <w:color w:val="000000" w:themeColor="text1"/>
          <w:sz w:val="32"/>
          <w:szCs w:val="32"/>
          <w:lang w:val="en-US" w:eastAsia="zh-CN"/>
          <w14:textFill>
            <w14:solidFill>
              <w14:schemeClr w14:val="tx1"/>
            </w14:solidFill>
          </w14:textFill>
        </w:rPr>
        <w:t>2101102事业单位医疗；</w:t>
      </w:r>
      <w:r>
        <w:rPr>
          <w:rFonts w:hint="eastAsia" w:ascii="仿宋_GB2312" w:eastAsia="仿宋_GB2312"/>
          <w:color w:val="000000" w:themeColor="text1"/>
          <w:sz w:val="32"/>
          <w:szCs w:val="32"/>
          <w14:textFill>
            <w14:solidFill>
              <w14:schemeClr w14:val="tx1"/>
            </w14:solidFill>
          </w14:textFill>
        </w:rPr>
        <w:t>2101103公务员医疗补助；2101199其他行政事业单位医疗支出。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.212城乡社区支出：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（1）21201城乡社区管理事务：2120199其他城乡社区管理事务支出。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21299其他城乡社区支出：2129999其他城乡社区支出。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（3）21213城市基础设施配套费及对应专项债务收入安排的支出：2121301城市公共设施。</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.213农林水支出：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（1）21301农业：2130142农村道路建设；2130152对高校毕业生到基层任职补助；2130199其他农业支出。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（2）21303水利：2130316农田水利。</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（3）21305扶贫：2130504农村基础设施建设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2130599其他扶贫支出</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（4）21307农村综合改革：2130705对村民委员会和村党支部的补助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2130706对村集体经济组织的补助</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（6）21399其他农林水支出：2139999其他农林水支出。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.221住房保障支出：</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22102住房改革支出：2210201住房公积金。</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.229其他支出：</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22904其他政府性基金及对应专项债务收入安排的支出：2290400其他政府性基金及对应专项债务收入安排的支出。</w:t>
      </w:r>
    </w:p>
    <w:p>
      <w:pPr>
        <w:ind w:firstLine="640" w:firstLineChars="2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22960彩票公益金及对应专项债务收入安排的支出：2296002用于社会福利的彩票公益金支出。</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17</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18</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项目支出：指在基本支出之外为完成特定行政任务和事业发展目标所发生的支出。</w:t>
      </w:r>
      <w:r>
        <w:rPr>
          <w:rFonts w:ascii="仿宋_GB2312" w:eastAsia="仿宋_GB2312"/>
          <w:color w:val="000000" w:themeColor="text1"/>
          <w:sz w:val="32"/>
          <w:szCs w:val="32"/>
          <w14:textFill>
            <w14:solidFill>
              <w14:schemeClr w14:val="tx1"/>
            </w14:solidFill>
          </w14:textFill>
        </w:rPr>
        <w:t xml:space="preserve"> </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19</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000000" w:themeColor="text1"/>
          <w14:textFill>
            <w14:solidFill>
              <w14:schemeClr w14:val="tx1"/>
            </w14:solidFill>
          </w14:textFill>
        </w:rPr>
      </w:pPr>
      <w:bookmarkStart w:id="55" w:name="_Toc15377226"/>
      <w:r>
        <w:rPr>
          <w:rFonts w:ascii="宋体"/>
          <w:b/>
          <w:color w:val="000000" w:themeColor="text1"/>
          <w:sz w:val="44"/>
          <w:szCs w:val="44"/>
          <w14:textFill>
            <w14:solidFill>
              <w14:schemeClr w14:val="tx1"/>
            </w14:solidFill>
          </w14:textFill>
        </w:rPr>
        <w:br w:type="page"/>
      </w:r>
      <w:bookmarkStart w:id="56" w:name="_Toc15396614"/>
      <w:r>
        <w:rPr>
          <w:rFonts w:hint="eastAsia" w:ascii="黑体" w:hAnsi="黑体" w:eastAsia="黑体"/>
          <w:color w:val="000000" w:themeColor="text1"/>
          <w:sz w:val="44"/>
          <w:szCs w:val="44"/>
          <w14:textFill>
            <w14:solidFill>
              <w14:schemeClr w14:val="tx1"/>
            </w14:solidFill>
          </w14:textFill>
        </w:rPr>
        <w:t>第</w:t>
      </w:r>
      <w:r>
        <w:rPr>
          <w:rStyle w:val="24"/>
          <w:rFonts w:hint="eastAsia" w:ascii="黑体" w:hAnsi="黑体" w:eastAsia="黑体"/>
          <w:b w:val="0"/>
          <w:color w:val="000000" w:themeColor="text1"/>
          <w14:textFill>
            <w14:solidFill>
              <w14:schemeClr w14:val="tx1"/>
            </w14:solidFill>
          </w14:textFill>
        </w:rPr>
        <w:t>四部分 附件</w:t>
      </w:r>
      <w:bookmarkEnd w:id="56"/>
    </w:p>
    <w:p>
      <w:pPr>
        <w:spacing w:line="600" w:lineRule="exact"/>
        <w:jc w:val="center"/>
        <w:outlineLvl w:val="0"/>
        <w:rPr>
          <w:rStyle w:val="24"/>
          <w:color w:val="000000" w:themeColor="text1"/>
          <w14:textFill>
            <w14:solidFill>
              <w14:schemeClr w14:val="tx1"/>
            </w14:solidFill>
          </w14:textFill>
        </w:rPr>
      </w:pPr>
    </w:p>
    <w:p>
      <w:pPr>
        <w:pStyle w:val="3"/>
        <w:rPr>
          <w:rStyle w:val="24"/>
          <w:rFonts w:ascii="仿宋" w:hAnsi="仿宋" w:eastAsia="仿宋"/>
          <w:b w:val="0"/>
          <w:bCs w:val="0"/>
          <w:color w:val="000000" w:themeColor="text1"/>
          <w:sz w:val="32"/>
          <w:szCs w:val="32"/>
          <w14:textFill>
            <w14:solidFill>
              <w14:schemeClr w14:val="tx1"/>
            </w14:solidFill>
          </w14:textFill>
        </w:rPr>
      </w:pPr>
      <w:bookmarkStart w:id="57" w:name="_Toc15396615"/>
      <w:r>
        <w:rPr>
          <w:rStyle w:val="24"/>
          <w:rFonts w:hint="eastAsia" w:ascii="仿宋" w:hAnsi="仿宋" w:eastAsia="仿宋"/>
          <w:b w:val="0"/>
          <w:bCs w:val="0"/>
          <w:color w:val="000000" w:themeColor="text1"/>
          <w:sz w:val="32"/>
          <w:szCs w:val="32"/>
          <w14:textFill>
            <w14:solidFill>
              <w14:schemeClr w14:val="tx1"/>
            </w14:solidFill>
          </w14:textFill>
        </w:rPr>
        <w:t>附件1</w:t>
      </w:r>
      <w:bookmarkEnd w:id="57"/>
    </w:p>
    <w:p>
      <w:pPr>
        <w:spacing w:line="600" w:lineRule="exact"/>
        <w:jc w:val="center"/>
        <w:outlineLvl w:val="0"/>
        <w:rPr>
          <w:rFonts w:ascii="黑体" w:hAnsi="黑体" w:eastAsia="黑体" w:cs="方正小标宋简体"/>
          <w:color w:val="000000" w:themeColor="text1"/>
          <w:sz w:val="36"/>
          <w:szCs w:val="36"/>
          <w14:textFill>
            <w14:solidFill>
              <w14:schemeClr w14:val="tx1"/>
            </w14:solidFill>
          </w14:textFill>
        </w:rPr>
      </w:pPr>
      <w:bookmarkStart w:id="58" w:name="_Toc15396616"/>
      <w:r>
        <w:rPr>
          <w:rFonts w:hint="eastAsia" w:ascii="黑体" w:hAnsi="黑体" w:eastAsia="黑体" w:cs="方正小标宋简体"/>
          <w:color w:val="000000" w:themeColor="text1"/>
          <w:sz w:val="36"/>
          <w:szCs w:val="36"/>
          <w:lang w:eastAsia="zh-CN"/>
          <w14:textFill>
            <w14:solidFill>
              <w14:schemeClr w14:val="tx1"/>
            </w14:solidFill>
          </w14:textFill>
        </w:rPr>
        <w:t>宣汉县委员会</w:t>
      </w:r>
      <w:r>
        <w:rPr>
          <w:rFonts w:hint="eastAsia" w:ascii="黑体" w:hAnsi="黑体" w:eastAsia="黑体" w:cs="方正小标宋简体"/>
          <w:color w:val="000000" w:themeColor="text1"/>
          <w:sz w:val="36"/>
          <w:szCs w:val="36"/>
          <w14:textFill>
            <w14:solidFill>
              <w14:schemeClr w14:val="tx1"/>
            </w14:solidFill>
          </w14:textFill>
        </w:rPr>
        <w:t>2018年部门整体支出绩效评价报告</w:t>
      </w:r>
      <w:bookmarkEnd w:id="58"/>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一、部门（单位）概况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（一）机构组成。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b w:val="0"/>
          <w:color w:val="000000" w:themeColor="text1"/>
          <w:lang w:val="en-US"/>
          <w14:textFill>
            <w14:solidFill>
              <w14:schemeClr w14:val="tx1"/>
            </w14:solidFill>
          </w14:textFill>
        </w:rPr>
      </w:pPr>
      <w:r>
        <w:rPr>
          <w:rFonts w:hint="eastAsia" w:ascii="仿宋_GB2312" w:eastAsia="仿宋_GB2312"/>
          <w:sz w:val="32"/>
          <w:szCs w:val="32"/>
        </w:rPr>
        <w:t>内设</w:t>
      </w:r>
      <w:r>
        <w:rPr>
          <w:rFonts w:hint="eastAsia" w:ascii="仿宋_GB2312" w:eastAsia="仿宋_GB2312"/>
          <w:sz w:val="32"/>
          <w:szCs w:val="32"/>
          <w:lang w:eastAsia="zh-CN"/>
        </w:rPr>
        <w:t>常委办</w:t>
      </w:r>
      <w:r>
        <w:rPr>
          <w:rFonts w:hint="eastAsia" w:ascii="仿宋_GB2312" w:eastAsia="仿宋_GB2312"/>
          <w:sz w:val="32"/>
          <w:szCs w:val="32"/>
        </w:rPr>
        <w:t>、</w:t>
      </w:r>
      <w:r>
        <w:rPr>
          <w:rFonts w:hint="eastAsia" w:ascii="仿宋_GB2312" w:eastAsia="仿宋_GB2312"/>
          <w:sz w:val="32"/>
          <w:szCs w:val="32"/>
          <w:lang w:eastAsia="zh-CN"/>
        </w:rPr>
        <w:t>二秘股</w:t>
      </w:r>
      <w:r>
        <w:rPr>
          <w:rFonts w:hint="eastAsia" w:ascii="仿宋_GB2312" w:eastAsia="仿宋_GB2312"/>
          <w:sz w:val="32"/>
          <w:szCs w:val="32"/>
        </w:rPr>
        <w:t>、</w:t>
      </w:r>
      <w:r>
        <w:rPr>
          <w:rFonts w:hint="eastAsia" w:ascii="仿宋_GB2312" w:eastAsia="仿宋_GB2312"/>
          <w:sz w:val="32"/>
          <w:szCs w:val="32"/>
          <w:lang w:eastAsia="zh-CN"/>
        </w:rPr>
        <w:t>行政股</w:t>
      </w:r>
      <w:r>
        <w:rPr>
          <w:rFonts w:hint="eastAsia" w:ascii="仿宋_GB2312" w:eastAsia="仿宋_GB2312"/>
          <w:sz w:val="32"/>
          <w:szCs w:val="32"/>
        </w:rPr>
        <w:t>、</w:t>
      </w:r>
      <w:r>
        <w:rPr>
          <w:rFonts w:hint="eastAsia" w:ascii="仿宋_GB2312" w:eastAsia="仿宋_GB2312"/>
          <w:sz w:val="32"/>
          <w:szCs w:val="32"/>
          <w:lang w:eastAsia="zh-CN"/>
        </w:rPr>
        <w:t>督查室</w:t>
      </w:r>
      <w:r>
        <w:rPr>
          <w:rFonts w:hint="eastAsia" w:ascii="仿宋_GB2312" w:eastAsia="仿宋_GB2312"/>
          <w:sz w:val="32"/>
          <w:szCs w:val="32"/>
        </w:rPr>
        <w:t>、</w:t>
      </w:r>
      <w:r>
        <w:rPr>
          <w:rFonts w:hint="eastAsia" w:ascii="仿宋_GB2312" w:eastAsia="仿宋_GB2312"/>
          <w:sz w:val="32"/>
          <w:szCs w:val="32"/>
          <w:lang w:eastAsia="zh-CN"/>
        </w:rPr>
        <w:t>综合室</w:t>
      </w:r>
      <w:r>
        <w:rPr>
          <w:rFonts w:hint="eastAsia" w:ascii="仿宋_GB2312" w:eastAsia="仿宋_GB2312"/>
          <w:sz w:val="32"/>
          <w:szCs w:val="32"/>
        </w:rPr>
        <w:t>、</w:t>
      </w:r>
      <w:r>
        <w:rPr>
          <w:rFonts w:hint="eastAsia" w:ascii="仿宋_GB2312" w:eastAsia="仿宋_GB2312"/>
          <w:sz w:val="32"/>
          <w:szCs w:val="32"/>
          <w:lang w:eastAsia="zh-CN"/>
        </w:rPr>
        <w:t>书记信箱办、信息股、保卫股、法规股、政研室、机要室，共</w:t>
      </w:r>
      <w:r>
        <w:rPr>
          <w:rFonts w:hint="eastAsia" w:ascii="仿宋_GB2312" w:eastAsia="仿宋_GB2312"/>
          <w:sz w:val="32"/>
          <w:szCs w:val="32"/>
          <w:lang w:val="en-US" w:eastAsia="zh-CN"/>
        </w:rPr>
        <w:t>11个股室。</w:t>
      </w:r>
    </w:p>
    <w:p>
      <w:pPr>
        <w:numPr>
          <w:ilvl w:val="0"/>
          <w:numId w:val="3"/>
        </w:num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机构职能。</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1.</w:t>
      </w:r>
      <w:r>
        <w:rPr>
          <w:rFonts w:hint="eastAsia" w:eastAsia="仿宋_GB2312" w:cs="仿宋_GB2312"/>
          <w:sz w:val="32"/>
          <w:szCs w:val="32"/>
        </w:rPr>
        <w:t>负责县委日常文书的处理，中央和省、市、县委重要工作部署贯彻落实的督促检查，中央和省、市、县委领导同志批示的转达和催办落实。</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按照县委要求和自身职责，搞好上下级、党内外、部门间的综合协调；</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rPr>
        <w:t>围绕中央和省、市、县委工作部署，收集信息、反映动态、综合调研，承担县委部分文稿的草拟、修改和校核工作，负责中央和省、市、县委文件的印制、分发、管理等工作；</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rPr>
        <w:t>负责县委各种会议事务工作和县委领导同志参加重大活动的组织安排，负责县委的有关接待工作；</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rPr>
        <w:t>负责受理和接待人民群众向县委和县委领导的来信来访，办理和协调处理信访案件；</w:t>
      </w:r>
    </w:p>
    <w:p>
      <w:pPr>
        <w:snapToGrid w:val="0"/>
        <w:spacing w:line="600" w:lineRule="exact"/>
        <w:ind w:firstLine="640" w:firstLineChars="200"/>
        <w:textAlignment w:val="center"/>
        <w:rPr>
          <w:rFonts w:hint="eastAsia"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rPr>
        <w:t>负责全县党委系统办公信息化和办公自动化工作；</w:t>
      </w:r>
    </w:p>
    <w:p>
      <w:pPr>
        <w:snapToGrid w:val="0"/>
        <w:spacing w:line="600" w:lineRule="exact"/>
        <w:ind w:firstLine="640" w:firstLineChars="200"/>
        <w:textAlignment w:val="center"/>
        <w:rPr>
          <w:rFonts w:hint="eastAsia" w:eastAsia="仿宋_GB2312" w:cs="仿宋_GB2312"/>
          <w:sz w:val="32"/>
          <w:szCs w:val="32"/>
          <w:lang w:eastAsia="zh-CN"/>
        </w:rPr>
      </w:pPr>
      <w:r>
        <w:rPr>
          <w:rFonts w:hint="eastAsia" w:eastAsia="仿宋_GB2312" w:cs="仿宋_GB2312"/>
          <w:sz w:val="32"/>
          <w:szCs w:val="32"/>
          <w:lang w:val="en-US" w:eastAsia="zh-CN"/>
        </w:rPr>
        <w:t>7.</w:t>
      </w:r>
      <w:r>
        <w:rPr>
          <w:rFonts w:hint="eastAsia" w:eastAsia="仿宋_GB2312" w:cs="仿宋_GB2312"/>
          <w:sz w:val="32"/>
          <w:szCs w:val="32"/>
        </w:rPr>
        <w:t>负责县委机关后勤服务工作，管理县委机关房产和其他固定资产以及基建计划及实施工作</w:t>
      </w:r>
      <w:r>
        <w:rPr>
          <w:rFonts w:hint="eastAsia" w:eastAsia="仿宋_GB2312" w:cs="仿宋_GB2312"/>
          <w:sz w:val="32"/>
          <w:szCs w:val="32"/>
          <w:lang w:eastAsia="zh-CN"/>
        </w:rPr>
        <w:t>；</w:t>
      </w:r>
    </w:p>
    <w:p>
      <w:pPr>
        <w:snapToGrid w:val="0"/>
        <w:spacing w:line="600" w:lineRule="exact"/>
        <w:ind w:firstLine="640" w:firstLineChars="200"/>
        <w:textAlignment w:val="center"/>
        <w:rPr>
          <w:rFonts w:hint="eastAsia" w:eastAsia="仿宋_GB2312" w:cs="仿宋_GB2312"/>
          <w:sz w:val="32"/>
          <w:szCs w:val="32"/>
          <w:lang w:eastAsia="zh-CN"/>
        </w:rPr>
      </w:pPr>
      <w:r>
        <w:rPr>
          <w:rFonts w:hint="eastAsia" w:eastAsia="仿宋_GB2312" w:cs="仿宋_GB2312"/>
          <w:sz w:val="32"/>
          <w:szCs w:val="32"/>
          <w:lang w:val="en-US" w:eastAsia="zh-CN"/>
        </w:rPr>
        <w:t>8.</w:t>
      </w:r>
      <w:r>
        <w:rPr>
          <w:rFonts w:hint="eastAsia" w:eastAsia="仿宋_GB2312" w:cs="仿宋_GB2312"/>
          <w:sz w:val="32"/>
          <w:szCs w:val="32"/>
        </w:rPr>
        <w:t>负责县委领导的安全保卫，负责县委机关大院的社会治安综合治理和安全防范工作</w:t>
      </w:r>
      <w:r>
        <w:rPr>
          <w:rFonts w:hint="eastAsia" w:eastAsia="仿宋_GB2312" w:cs="仿宋_GB2312"/>
          <w:sz w:val="32"/>
          <w:szCs w:val="32"/>
          <w:lang w:eastAsia="zh-CN"/>
        </w:rPr>
        <w:t>；</w:t>
      </w:r>
    </w:p>
    <w:p>
      <w:pPr>
        <w:snapToGrid w:val="0"/>
        <w:spacing w:line="600" w:lineRule="exact"/>
        <w:ind w:firstLine="640" w:firstLineChars="200"/>
        <w:textAlignment w:val="center"/>
        <w:rPr>
          <w:rFonts w:hint="eastAsia" w:eastAsia="仿宋_GB2312"/>
          <w:sz w:val="32"/>
          <w:szCs w:val="32"/>
        </w:rPr>
      </w:pPr>
      <w:r>
        <w:rPr>
          <w:rFonts w:hint="eastAsia" w:eastAsia="仿宋_GB2312" w:cs="仿宋_GB2312"/>
          <w:sz w:val="32"/>
          <w:szCs w:val="32"/>
          <w:lang w:val="en-US" w:eastAsia="zh-CN"/>
        </w:rPr>
        <w:t>9.</w:t>
      </w:r>
      <w:r>
        <w:rPr>
          <w:rFonts w:hint="eastAsia" w:eastAsia="仿宋_GB2312" w:cs="仿宋_GB2312"/>
          <w:sz w:val="32"/>
          <w:szCs w:val="32"/>
        </w:rPr>
        <w:t>负责县委办公室离退休人员的管理、服务工作；完成县委交办的其他任务。</w:t>
      </w:r>
    </w:p>
    <w:p>
      <w:pPr>
        <w:numPr>
          <w:ilvl w:val="0"/>
          <w:numId w:val="3"/>
        </w:num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人员概况。</w:t>
      </w:r>
    </w:p>
    <w:p>
      <w:pPr>
        <w:numPr>
          <w:ilvl w:val="0"/>
          <w:numId w:val="0"/>
        </w:numPr>
        <w:spacing w:line="580" w:lineRule="exact"/>
        <w:rPr>
          <w:rFonts w:hint="default" w:ascii="仿宋" w:hAnsi="仿宋" w:eastAsia="仿宋"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现有编制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37人（其中：</w:t>
      </w:r>
      <w:r>
        <w:rPr>
          <w:rFonts w:hint="eastAsia" w:ascii="仿宋_GB2312" w:hAnsi="仿宋_GB2312" w:eastAsia="仿宋_GB2312" w:cs="仿宋_GB2312"/>
          <w:color w:val="000000" w:themeColor="text1"/>
          <w:sz w:val="32"/>
          <w:szCs w:val="32"/>
          <w14:textFill>
            <w14:solidFill>
              <w14:schemeClr w14:val="tx1"/>
            </w14:solidFill>
          </w14:textFill>
        </w:rPr>
        <w:t>行政编制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，事业编制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4人），实有人数32人，其中行政人员29人，事业人员3人。</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二、部门财政资金收支情况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（一）部门财政资金收入情况。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2018年收入决算为1577.62万元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政府性基金预算财政拨款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4"/>
        </w:num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部门财政资金支出情况。</w:t>
      </w:r>
    </w:p>
    <w:p>
      <w:pPr>
        <w:keepNext w:val="0"/>
        <w:keepLines w:val="0"/>
        <w:pageBreakBefore w:val="0"/>
        <w:kinsoku/>
        <w:overflowPunct/>
        <w:topLinePunct w:val="0"/>
        <w:autoSpaceDE w:val="0"/>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支出决算</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1577.62万元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overflowPunct/>
        <w:topLinePunct w:val="0"/>
        <w:autoSpaceDE w:val="0"/>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按支出性质分类为</w:t>
      </w:r>
      <w:r>
        <w:rPr>
          <w:rFonts w:hint="eastAsia" w:ascii="仿宋_GB2312" w:hAnsi="仿宋_GB2312" w:eastAsia="仿宋_GB2312" w:cs="仿宋_GB2312"/>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409.20万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353.74万元</w:t>
      </w:r>
      <w:r>
        <w:rPr>
          <w:rFonts w:hint="eastAsia" w:ascii="仿宋_GB2312" w:hAnsi="仿宋_GB2312" w:eastAsia="仿宋_GB2312" w:cs="仿宋_GB2312"/>
          <w:color w:val="000000" w:themeColor="text1"/>
          <w:sz w:val="32"/>
          <w:szCs w:val="32"/>
          <w14:textFill>
            <w14:solidFill>
              <w14:schemeClr w14:val="tx1"/>
            </w14:solidFill>
          </w14:textFill>
        </w:rPr>
        <w:t>，日常公用经费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55.46万元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占总支出的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25.93％；</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1168.43万元，占总支出的74.07％</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overflowPunct/>
        <w:topLinePunct w:val="0"/>
        <w:autoSpaceDE w:val="0"/>
        <w:autoSpaceDN/>
        <w:bidi w:val="0"/>
        <w:adjustRightInd/>
        <w:snapToGrid/>
        <w:spacing w:line="579" w:lineRule="exact"/>
        <w:ind w:left="0" w:leftChars="0" w:right="0" w:rightChars="0" w:firstLine="640" w:firstLineChars="200"/>
        <w:textAlignment w:val="auto"/>
        <w:outlineLvl w:val="9"/>
        <w:rPr>
          <w:rFonts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按功能分类为：一般公共服务支出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1446.07万元，占总支出的91.66％；社会保障和就业支出88.28万元，占总支出的5.60％；医疗卫生与计划生育支出18.16万元，占总支出的1.15％；住房保障支出25.12万元，占总支出的1.59％。</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三、部门整体预算绩效管理情况（根据适用指标体系进行调整）</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（一）部门预算管理。</w:t>
      </w:r>
    </w:p>
    <w:p>
      <w:pPr>
        <w:numPr>
          <w:ilvl w:val="0"/>
          <w:numId w:val="0"/>
        </w:numPr>
        <w:spacing w:line="58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2018年预算编制为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1489.98万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409.2万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元（其中：人员经费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353.72万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元，日常公用经费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55.46万元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1168.43万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部门绩效目标为：保障我办纪律监察严格执行，正风肃纪工作顺利开展，确保我办在日常工作开展中严守党纪党风，做好表率作用。搞好上下级、党内外、部门间的综合协调，妥善受理和接待人民群众向县委和县委领导的来信来访，办理和协调处理了信访案件，提高了人民满意度；保障了县委各种会议事务工作和县委领导同志参加重大活动的组织安排，将县委的有关接待工作合理安排。保障县委办各级视频会议的正常召开，确保了上级会议精神的准确全面的传达贯彻落实，并做到了执行有力。</w:t>
      </w:r>
    </w:p>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通过相关项目的实施以及财政资金的足额高效投入，年终目标任务全面完成。</w:t>
      </w:r>
    </w:p>
    <w:p>
      <w:pPr>
        <w:numPr>
          <w:ilvl w:val="0"/>
          <w:numId w:val="0"/>
        </w:numPr>
        <w:spacing w:line="580"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预算编制准确方面：财政拨款收入预决算差异率、非财政拨款收入预决算差异率、年初结转和结余预决算差异率、人员经费预决算差异率、公用经费预决算差异率等有待进一步加强。权重分值为25分，我单位得分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22.5</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支出控制：我单位严格按照预算执行，基本支出和项目支出坚持先有预算后执行的原则，把有限的财力用到刀刃上。</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预算动态调整：我单位所有预算动态调整事项都是通过法定程序批准后执行。</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执行进度：我单位预算执行按序时进度结合工程合约定的时间保证按时按量完成，确保支付及时，充分发挥财政资金的职能作用。</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预算完成情况：我单位预算完成情况良好，通过财政决算考核，权重分值为</w:t>
      </w:r>
      <w:r>
        <w:rPr>
          <w:rFonts w:ascii="仿宋" w:hAnsi="仿宋" w:eastAsia="仿宋" w:cs="??_GB2312"/>
          <w:sz w:val="32"/>
          <w:szCs w:val="32"/>
        </w:rPr>
        <w:t>45</w:t>
      </w:r>
      <w:r>
        <w:rPr>
          <w:rFonts w:hint="eastAsia" w:ascii="仿宋" w:hAnsi="仿宋" w:eastAsia="仿宋" w:cs="??_GB2312"/>
          <w:sz w:val="32"/>
          <w:szCs w:val="32"/>
        </w:rPr>
        <w:t>分，我单位得分</w:t>
      </w:r>
      <w:r>
        <w:rPr>
          <w:rFonts w:ascii="仿宋" w:hAnsi="仿宋" w:eastAsia="仿宋" w:cs="??_GB2312"/>
          <w:sz w:val="32"/>
          <w:szCs w:val="32"/>
        </w:rPr>
        <w:t>44.5</w:t>
      </w:r>
      <w:r>
        <w:rPr>
          <w:rFonts w:hint="eastAsia" w:ascii="仿宋" w:hAnsi="仿宋" w:eastAsia="仿宋" w:cs="??_GB2312"/>
          <w:sz w:val="32"/>
          <w:szCs w:val="32"/>
        </w:rPr>
        <w:t>分，且无不良记录。</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（二）专项预算管理。</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支出总额控制在调整预算总额以内，除调整预算内项目暂无其他相关事项的调整，财政供养人员控制在预算编制内，“三公”经费总的控制较好，预算</w:t>
      </w:r>
      <w:r>
        <w:rPr>
          <w:rFonts w:hint="eastAsia" w:ascii="仿宋" w:hAnsi="仿宋" w:eastAsia="仿宋" w:cs="??_GB2312"/>
          <w:sz w:val="32"/>
          <w:szCs w:val="32"/>
          <w:lang w:val="en-US" w:eastAsia="zh-CN"/>
        </w:rPr>
        <w:t>79</w:t>
      </w:r>
      <w:r>
        <w:rPr>
          <w:rFonts w:hint="eastAsia" w:ascii="仿宋" w:hAnsi="仿宋" w:eastAsia="仿宋" w:cs="??_GB2312"/>
          <w:sz w:val="32"/>
          <w:szCs w:val="32"/>
        </w:rPr>
        <w:t>万元，实际支出未超本年预算和上年决算支出。预算管理方面，预算执行总体较为有效，但还需进一步强化，资金使用管理需严控进一步加强。在资产管理方面，建立了资产管理制度，定期进行盘点，做到该销号的销号，总的执行较好。</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严格执行《四川省省级财政专项资金绩效分配管理暂行办法》和《宣汉县涉农惠民项目资金问责管理办法（试行）》监督落实项目资金。做到项目实施有规划，施工过程全程监督，成立项目管理指导小组及质量监督小组，使每个项目落到实处.</w:t>
      </w:r>
    </w:p>
    <w:p>
      <w:pPr>
        <w:spacing w:line="580" w:lineRule="exact"/>
        <w:ind w:left="420" w:leftChars="200"/>
        <w:rPr>
          <w:rFonts w:ascii="仿宋" w:hAnsi="仿宋" w:eastAsia="仿宋" w:cs="??_GB2312"/>
          <w:sz w:val="32"/>
          <w:szCs w:val="32"/>
        </w:rPr>
      </w:pPr>
      <w:r>
        <w:rPr>
          <w:rFonts w:hint="eastAsia" w:ascii="仿宋" w:hAnsi="仿宋" w:eastAsia="仿宋" w:cs="??_GB2312"/>
          <w:sz w:val="32"/>
          <w:szCs w:val="32"/>
        </w:rPr>
        <w:t>（三）结果应用情况。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我</w:t>
      </w:r>
      <w:r>
        <w:rPr>
          <w:rFonts w:hint="eastAsia" w:ascii="仿宋" w:hAnsi="仿宋" w:eastAsia="仿宋" w:cs="??_GB2312"/>
          <w:sz w:val="32"/>
          <w:szCs w:val="32"/>
          <w:lang w:eastAsia="zh-CN"/>
        </w:rPr>
        <w:t>办</w:t>
      </w:r>
      <w:r>
        <w:rPr>
          <w:rFonts w:hint="eastAsia" w:ascii="仿宋" w:hAnsi="仿宋" w:eastAsia="仿宋" w:cs="??_GB2312"/>
          <w:sz w:val="32"/>
          <w:szCs w:val="32"/>
        </w:rPr>
        <w:t>整体绩效自评质量比去年较好，提高分值</w:t>
      </w:r>
      <w:r>
        <w:rPr>
          <w:rFonts w:ascii="仿宋" w:hAnsi="仿宋" w:eastAsia="仿宋" w:cs="??_GB2312"/>
          <w:sz w:val="32"/>
          <w:szCs w:val="32"/>
        </w:rPr>
        <w:t>5</w:t>
      </w:r>
      <w:r>
        <w:rPr>
          <w:rFonts w:hint="eastAsia" w:ascii="仿宋" w:hAnsi="仿宋" w:eastAsia="仿宋" w:cs="??_GB2312"/>
          <w:sz w:val="32"/>
          <w:szCs w:val="32"/>
        </w:rPr>
        <w:t>分，得到财政部门及上级主管部门的肯定。我</w:t>
      </w:r>
      <w:r>
        <w:rPr>
          <w:rFonts w:hint="eastAsia" w:ascii="仿宋" w:hAnsi="仿宋" w:eastAsia="仿宋" w:cs="??_GB2312"/>
          <w:sz w:val="32"/>
          <w:szCs w:val="32"/>
          <w:lang w:eastAsia="zh-CN"/>
        </w:rPr>
        <w:t>办</w:t>
      </w:r>
      <w:r>
        <w:rPr>
          <w:rFonts w:hint="eastAsia" w:ascii="仿宋" w:hAnsi="仿宋" w:eastAsia="仿宋" w:cs="??_GB2312"/>
          <w:sz w:val="32"/>
          <w:szCs w:val="32"/>
        </w:rPr>
        <w:t>对绩效目标考核情况和单位自评情况进行公开，接受审计、纪检监察、上级主管部门和社会以及专业机构等全方位的监督，设立意见收集箱，对我单位预算绩效管理中存在的问题进行梳理归纳，并建立专门的办公室对评价结果中反映出来的问题进行及时整改，交整改情况反馈给相关的单位、部门和社会监督对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在财政预算支出及项目支出方面，严格执行财经管理制度，项目实施进行跟踪检查，做到支出按进度拨款，财政项目资金落到实处，发挥了财政资金的效益。对照整体支出绩效评价指标自我评分，我单位自评分为9</w:t>
      </w:r>
      <w:r>
        <w:rPr>
          <w:rFonts w:hint="eastAsia" w:ascii="仿宋" w:hAnsi="仿宋" w:eastAsia="仿宋" w:cs="??_GB2312"/>
          <w:sz w:val="32"/>
          <w:szCs w:val="32"/>
          <w:lang w:val="en-US" w:eastAsia="zh-CN"/>
        </w:rPr>
        <w:t>6</w:t>
      </w:r>
      <w:r>
        <w:rPr>
          <w:rFonts w:hint="eastAsia" w:ascii="仿宋" w:hAnsi="仿宋" w:eastAsia="仿宋" w:cs="??_GB2312"/>
          <w:sz w:val="32"/>
          <w:szCs w:val="32"/>
        </w:rPr>
        <w:t>分。</w:t>
      </w:r>
    </w:p>
    <w:p>
      <w:pPr>
        <w:numPr>
          <w:ilvl w:val="0"/>
          <w:numId w:val="5"/>
        </w:numPr>
        <w:spacing w:line="580" w:lineRule="exact"/>
        <w:ind w:firstLine="640" w:firstLineChars="200"/>
        <w:rPr>
          <w:rFonts w:ascii="仿宋" w:hAnsi="仿宋" w:eastAsia="仿宋" w:cs="??_GB2312"/>
          <w:sz w:val="32"/>
          <w:szCs w:val="32"/>
        </w:rPr>
      </w:pPr>
      <w:r>
        <w:rPr>
          <w:rFonts w:hint="eastAsia" w:ascii="仿宋" w:hAnsi="仿宋" w:eastAsia="仿宋"/>
          <w:sz w:val="32"/>
          <w:szCs w:val="32"/>
        </w:rPr>
        <w:t>存在问题。</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 xml:space="preserve"> 1.预算编制不够全面、细化，预决算的合理性有待提高。  </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 xml:space="preserve">   2.在项目资金使用中，项目建设进度缓慢，资金拨付进度跟不上。</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（三）改进建议。</w:t>
      </w:r>
    </w:p>
    <w:p>
      <w:pPr>
        <w:spacing w:line="580" w:lineRule="exact"/>
        <w:ind w:firstLine="640" w:firstLineChars="200"/>
        <w:rPr>
          <w:rFonts w:hint="eastAsia" w:ascii="仿宋" w:hAnsi="仿宋" w:eastAsia="仿宋" w:cs="??_GB2312"/>
          <w:sz w:val="32"/>
          <w:szCs w:val="32"/>
        </w:rPr>
      </w:pPr>
      <w:r>
        <w:rPr>
          <w:rFonts w:hint="eastAsia" w:ascii="仿宋" w:hAnsi="仿宋" w:eastAsia="仿宋" w:cs="??_GB2312"/>
          <w:sz w:val="32"/>
          <w:szCs w:val="32"/>
        </w:rPr>
        <w:t>按照《预算法》编制预决算。完善资金管理及内部控制制度，确保资金安全，做到帐款、帐帐、帐实相符。由于人员少，工作量大，对全县环境保护等方面在资金安排、使用、核算上存在不合理现象，项目实施过程监管不到位；在今后工作中，进一步提高工作效率，把有限的资金用在刀忍上，为全县经济和社会事业发展更好地服好务。</w:t>
      </w:r>
    </w:p>
    <w:p>
      <w:pPr>
        <w:keepNext w:val="0"/>
        <w:keepLines w:val="0"/>
        <w:pageBreakBefore w:val="0"/>
        <w:kinsoku/>
        <w:overflowPunct/>
        <w:topLinePunct w:val="0"/>
        <w:autoSpaceDE w:val="0"/>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Style w:val="24"/>
          <w:rFonts w:ascii="仿宋" w:hAnsi="仿宋" w:eastAsia="仿宋"/>
          <w:b w:val="0"/>
          <w:bCs w:val="0"/>
          <w:color w:val="000000" w:themeColor="text1"/>
          <w:sz w:val="32"/>
          <w:szCs w:val="32"/>
          <w14:textFill>
            <w14:solidFill>
              <w14:schemeClr w14:val="tx1"/>
            </w14:solidFill>
          </w14:textFill>
        </w:rPr>
      </w:pPr>
      <w:bookmarkStart w:id="59" w:name="_Toc15396617"/>
      <w:r>
        <w:rPr>
          <w:rStyle w:val="24"/>
          <w:rFonts w:hint="eastAsia" w:ascii="仿宋" w:hAnsi="仿宋" w:eastAsia="仿宋"/>
          <w:b w:val="0"/>
          <w:bCs w:val="0"/>
          <w:color w:val="000000" w:themeColor="text1"/>
          <w:sz w:val="32"/>
          <w:szCs w:val="32"/>
          <w14:textFill>
            <w14:solidFill>
              <w14:schemeClr w14:val="tx1"/>
            </w14:solidFill>
          </w14:textFill>
        </w:rPr>
        <w:t>附件2</w:t>
      </w:r>
      <w:bookmarkEnd w:id="59"/>
    </w:p>
    <w:p>
      <w:pPr>
        <w:spacing w:line="580" w:lineRule="exact"/>
        <w:jc w:val="center"/>
        <w:rPr>
          <w:rFonts w:ascii="黑体" w:hAnsi="黑体" w:eastAsia="黑体" w:cs="方正小标宋简体"/>
          <w:color w:val="000000" w:themeColor="text1"/>
          <w:sz w:val="44"/>
          <w:szCs w:val="44"/>
          <w14:textFill>
            <w14:solidFill>
              <w14:schemeClr w14:val="tx1"/>
            </w14:solidFill>
          </w14:textFill>
        </w:rPr>
      </w:pPr>
      <w:r>
        <w:rPr>
          <w:rFonts w:hint="eastAsia" w:ascii="黑体" w:hAnsi="黑体" w:eastAsia="黑体" w:cs="方正小标宋简体"/>
          <w:color w:val="000000" w:themeColor="text1"/>
          <w:sz w:val="44"/>
          <w:szCs w:val="44"/>
          <w14:textFill>
            <w14:solidFill>
              <w14:schemeClr w14:val="tx1"/>
            </w14:solidFill>
          </w14:textFill>
        </w:rPr>
        <w:t>2018年XXX项目支出绩效评价报告</w:t>
      </w:r>
    </w:p>
    <w:p>
      <w:pPr>
        <w:spacing w:line="58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（县财政没有安排我办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2018年项目支出绩效评价工作)</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、评价工作开展及项目情况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项目评价实施方案情况（包括选点、评价指标、评价方法、基础数据表等情况）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、评价结论及绩效分析</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（一）评价结论</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项目绩效评价总体结论（包括项目评价得分表）</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（二）绩效分析</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1、项目决策</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2、项目管理</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资金分配情况（资金分配管理的科学合理性）资，金使用情况（项目、资金管理的科学规范性）</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、存在主要问题</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、相关措施建议</w:t>
      </w: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bookmarkStart w:id="60" w:name="_Toc15396618"/>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Style w:val="24"/>
          <w:rFonts w:hint="eastAsia"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4"/>
          <w:rFonts w:hint="eastAsia" w:ascii="黑体" w:hAnsi="黑体" w:eastAsia="黑体"/>
          <w:b w:val="0"/>
          <w:color w:val="000000" w:themeColor="text1"/>
          <w14:textFill>
            <w14:solidFill>
              <w14:schemeClr w14:val="tx1"/>
            </w14:solidFill>
          </w14:textFill>
        </w:rPr>
        <w:t>五部分 附表</w:t>
      </w:r>
      <w:bookmarkEnd w:id="55"/>
      <w:bookmarkEnd w:id="60"/>
    </w:p>
    <w:p>
      <w:pPr>
        <w:pStyle w:val="3"/>
        <w:numPr>
          <w:ilvl w:val="0"/>
          <w:numId w:val="6"/>
        </w:numPr>
        <w:rPr>
          <w:rStyle w:val="25"/>
          <w:rFonts w:hint="eastAsia" w:ascii="仿宋" w:hAnsi="仿宋" w:eastAsia="仿宋"/>
          <w:b w:val="0"/>
          <w:bCs w:val="0"/>
          <w:color w:val="000000" w:themeColor="text1"/>
          <w14:textFill>
            <w14:solidFill>
              <w14:schemeClr w14:val="tx1"/>
            </w14:solidFill>
          </w14:textFill>
        </w:rPr>
      </w:pPr>
      <w:bookmarkStart w:id="61" w:name="_Toc15396619"/>
      <w:r>
        <w:rPr>
          <w:rFonts w:hint="eastAsia" w:ascii="仿宋" w:hAnsi="仿宋" w:eastAsia="仿宋"/>
          <w:b w:val="0"/>
          <w:color w:val="000000" w:themeColor="text1"/>
          <w14:textFill>
            <w14:solidFill>
              <w14:schemeClr w14:val="tx1"/>
            </w14:solidFill>
          </w14:textFill>
        </w:rPr>
        <w:t>收</w:t>
      </w:r>
      <w:r>
        <w:rPr>
          <w:rStyle w:val="25"/>
          <w:rFonts w:hint="eastAsia" w:ascii="仿宋" w:hAnsi="仿宋" w:eastAsia="仿宋"/>
          <w:b w:val="0"/>
          <w:bCs w:val="0"/>
          <w:color w:val="000000" w:themeColor="text1"/>
          <w14:textFill>
            <w14:solidFill>
              <w14:schemeClr w14:val="tx1"/>
            </w14:solidFill>
          </w14:textFill>
        </w:rPr>
        <w:t>入支出决算总表</w:t>
      </w:r>
      <w:bookmarkEnd w:id="61"/>
    </w:p>
    <w:p>
      <w:pPr>
        <w:pStyle w:val="3"/>
        <w:rPr>
          <w:rFonts w:ascii="仿宋" w:hAnsi="仿宋" w:eastAsia="仿宋"/>
          <w:color w:val="000000" w:themeColor="text1"/>
          <w14:textFill>
            <w14:solidFill>
              <w14:schemeClr w14:val="tx1"/>
            </w14:solidFill>
          </w14:textFill>
        </w:rPr>
      </w:pPr>
      <w:bookmarkStart w:id="62" w:name="_Toc15396620"/>
      <w:r>
        <w:rPr>
          <w:rFonts w:hint="eastAsia" w:ascii="仿宋" w:hAnsi="仿宋" w:eastAsia="仿宋"/>
          <w:b w:val="0"/>
          <w:color w:val="000000" w:themeColor="text1"/>
          <w14:textFill>
            <w14:solidFill>
              <w14:schemeClr w14:val="tx1"/>
            </w14:solidFill>
          </w14:textFill>
        </w:rPr>
        <w:t>二、收</w:t>
      </w:r>
      <w:r>
        <w:rPr>
          <w:rStyle w:val="25"/>
          <w:rFonts w:hint="eastAsia" w:ascii="仿宋" w:hAnsi="仿宋" w:eastAsia="仿宋"/>
          <w:b w:val="0"/>
          <w:bCs w:val="0"/>
          <w:color w:val="000000" w:themeColor="text1"/>
          <w14:textFill>
            <w14:solidFill>
              <w14:schemeClr w14:val="tx1"/>
            </w14:solidFill>
          </w14:textFill>
        </w:rPr>
        <w:t>入总表</w:t>
      </w:r>
      <w:bookmarkEnd w:id="62"/>
    </w:p>
    <w:p>
      <w:pPr>
        <w:pStyle w:val="3"/>
        <w:rPr>
          <w:rFonts w:ascii="仿宋" w:hAnsi="仿宋" w:eastAsia="仿宋"/>
          <w:color w:val="000000" w:themeColor="text1"/>
          <w14:textFill>
            <w14:solidFill>
              <w14:schemeClr w14:val="tx1"/>
            </w14:solidFill>
          </w14:textFill>
        </w:rPr>
      </w:pPr>
      <w:bookmarkStart w:id="63" w:name="_Toc15396621"/>
      <w:r>
        <w:rPr>
          <w:rStyle w:val="25"/>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5"/>
          <w:rFonts w:hint="eastAsia" w:ascii="仿宋" w:hAnsi="仿宋" w:eastAsia="仿宋"/>
          <w:b w:val="0"/>
          <w:bCs w:val="0"/>
          <w:color w:val="000000" w:themeColor="text1"/>
          <w14:textFill>
            <w14:solidFill>
              <w14:schemeClr w14:val="tx1"/>
            </w14:solidFill>
          </w14:textFill>
        </w:rPr>
        <w:t>出总表</w:t>
      </w:r>
      <w:bookmarkEnd w:id="63"/>
    </w:p>
    <w:p>
      <w:pPr>
        <w:pStyle w:val="3"/>
        <w:rPr>
          <w:rFonts w:ascii="仿宋" w:hAnsi="仿宋" w:eastAsia="仿宋"/>
          <w:b w:val="0"/>
          <w:color w:val="000000" w:themeColor="text1"/>
          <w14:textFill>
            <w14:solidFill>
              <w14:schemeClr w14:val="tx1"/>
            </w14:solidFill>
          </w14:textFill>
        </w:rPr>
      </w:pPr>
      <w:bookmarkStart w:id="64" w:name="_Toc15396622"/>
      <w:r>
        <w:rPr>
          <w:rStyle w:val="25"/>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5"/>
          <w:rFonts w:hint="eastAsia" w:ascii="仿宋" w:hAnsi="仿宋" w:eastAsia="仿宋"/>
          <w:b w:val="0"/>
          <w:bCs w:val="0"/>
          <w:color w:val="000000" w:themeColor="text1"/>
          <w14:textFill>
            <w14:solidFill>
              <w14:schemeClr w14:val="tx1"/>
            </w14:solidFill>
          </w14:textFill>
        </w:rPr>
        <w:t>政拨款收入支出决算总表</w:t>
      </w:r>
      <w:bookmarkEnd w:id="64"/>
    </w:p>
    <w:p>
      <w:pPr>
        <w:pStyle w:val="3"/>
        <w:rPr>
          <w:rFonts w:ascii="仿宋" w:hAnsi="仿宋" w:eastAsia="仿宋"/>
          <w:color w:val="000000" w:themeColor="text1"/>
          <w14:textFill>
            <w14:solidFill>
              <w14:schemeClr w14:val="tx1"/>
            </w14:solidFill>
          </w14:textFill>
        </w:rPr>
      </w:pPr>
      <w:bookmarkStart w:id="65" w:name="_Toc15396623"/>
      <w:r>
        <w:rPr>
          <w:rStyle w:val="25"/>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5"/>
          <w:rFonts w:hint="eastAsia" w:ascii="仿宋" w:hAnsi="仿宋" w:eastAsia="仿宋"/>
          <w:b w:val="0"/>
          <w:bCs w:val="0"/>
          <w:color w:val="000000" w:themeColor="text1"/>
          <w14:textFill>
            <w14:solidFill>
              <w14:schemeClr w14:val="tx1"/>
            </w14:solidFill>
          </w14:textFill>
        </w:rPr>
        <w:t>政拨款支出决算明细表（政府经济分类科目）</w:t>
      </w:r>
      <w:bookmarkEnd w:id="65"/>
    </w:p>
    <w:p>
      <w:pPr>
        <w:pStyle w:val="3"/>
        <w:rPr>
          <w:rFonts w:ascii="仿宋" w:hAnsi="仿宋" w:eastAsia="仿宋"/>
          <w:color w:val="000000" w:themeColor="text1"/>
          <w14:textFill>
            <w14:solidFill>
              <w14:schemeClr w14:val="tx1"/>
            </w14:solidFill>
          </w14:textFill>
        </w:rPr>
      </w:pPr>
      <w:bookmarkStart w:id="66" w:name="_Toc15396624"/>
      <w:r>
        <w:rPr>
          <w:rStyle w:val="25"/>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5"/>
          <w:rFonts w:hint="eastAsia" w:ascii="仿宋" w:hAnsi="仿宋" w:eastAsia="仿宋"/>
          <w:b w:val="0"/>
          <w:bCs w:val="0"/>
          <w:color w:val="000000" w:themeColor="text1"/>
          <w14:textFill>
            <w14:solidFill>
              <w14:schemeClr w14:val="tx1"/>
            </w14:solidFill>
          </w14:textFill>
        </w:rPr>
        <w:t>般公共预算财政拨款支出决算表</w:t>
      </w:r>
      <w:bookmarkEnd w:id="66"/>
    </w:p>
    <w:p>
      <w:pPr>
        <w:pStyle w:val="3"/>
        <w:rPr>
          <w:rFonts w:ascii="仿宋" w:hAnsi="仿宋" w:eastAsia="仿宋"/>
          <w:color w:val="000000" w:themeColor="text1"/>
          <w14:textFill>
            <w14:solidFill>
              <w14:schemeClr w14:val="tx1"/>
            </w14:solidFill>
          </w14:textFill>
        </w:rPr>
      </w:pPr>
      <w:bookmarkStart w:id="67" w:name="_Toc15396625"/>
      <w:r>
        <w:rPr>
          <w:rStyle w:val="25"/>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5"/>
          <w:rFonts w:hint="eastAsia" w:ascii="仿宋" w:hAnsi="仿宋" w:eastAsia="仿宋"/>
          <w:b w:val="0"/>
          <w:bCs w:val="0"/>
          <w:color w:val="000000" w:themeColor="text1"/>
          <w14:textFill>
            <w14:solidFill>
              <w14:schemeClr w14:val="tx1"/>
            </w14:solidFill>
          </w14:textFill>
        </w:rPr>
        <w:t>般公共预算财政拨款支出决算明细表</w:t>
      </w:r>
      <w:bookmarkEnd w:id="67"/>
    </w:p>
    <w:p>
      <w:pPr>
        <w:pStyle w:val="3"/>
        <w:rPr>
          <w:rFonts w:ascii="仿宋" w:hAnsi="仿宋" w:eastAsia="仿宋"/>
          <w:color w:val="000000" w:themeColor="text1"/>
          <w14:textFill>
            <w14:solidFill>
              <w14:schemeClr w14:val="tx1"/>
            </w14:solidFill>
          </w14:textFill>
        </w:rPr>
      </w:pPr>
      <w:bookmarkStart w:id="68" w:name="_Toc15396626"/>
      <w:r>
        <w:rPr>
          <w:rStyle w:val="25"/>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5"/>
          <w:rFonts w:hint="eastAsia" w:ascii="仿宋" w:hAnsi="仿宋" w:eastAsia="仿宋"/>
          <w:b w:val="0"/>
          <w:bCs w:val="0"/>
          <w:color w:val="000000" w:themeColor="text1"/>
          <w14:textFill>
            <w14:solidFill>
              <w14:schemeClr w14:val="tx1"/>
            </w14:solidFill>
          </w14:textFill>
        </w:rPr>
        <w:t>般公共预算财政拨款基本支出决算表</w:t>
      </w:r>
      <w:bookmarkEnd w:id="68"/>
    </w:p>
    <w:p>
      <w:pPr>
        <w:pStyle w:val="3"/>
        <w:rPr>
          <w:rFonts w:ascii="仿宋" w:hAnsi="仿宋" w:eastAsia="仿宋"/>
          <w:color w:val="000000" w:themeColor="text1"/>
          <w14:textFill>
            <w14:solidFill>
              <w14:schemeClr w14:val="tx1"/>
            </w14:solidFill>
          </w14:textFill>
        </w:rPr>
      </w:pPr>
      <w:bookmarkStart w:id="69" w:name="_Toc15396627"/>
      <w:r>
        <w:rPr>
          <w:rStyle w:val="25"/>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5"/>
          <w:rFonts w:hint="eastAsia" w:ascii="仿宋" w:hAnsi="仿宋" w:eastAsia="仿宋"/>
          <w:b w:val="0"/>
          <w:bCs w:val="0"/>
          <w:color w:val="000000" w:themeColor="text1"/>
          <w14:textFill>
            <w14:solidFill>
              <w14:schemeClr w14:val="tx1"/>
            </w14:solidFill>
          </w14:textFill>
        </w:rPr>
        <w:t>般公共预算财政拨款项目支出决算表</w:t>
      </w:r>
      <w:bookmarkEnd w:id="69"/>
    </w:p>
    <w:p>
      <w:pPr>
        <w:pStyle w:val="3"/>
        <w:rPr>
          <w:rFonts w:ascii="仿宋" w:hAnsi="仿宋" w:eastAsia="仿宋"/>
          <w:color w:val="000000" w:themeColor="text1"/>
          <w14:textFill>
            <w14:solidFill>
              <w14:schemeClr w14:val="tx1"/>
            </w14:solidFill>
          </w14:textFill>
        </w:rPr>
      </w:pPr>
      <w:bookmarkStart w:id="70" w:name="_Toc15396628"/>
      <w:r>
        <w:rPr>
          <w:rStyle w:val="25"/>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25"/>
          <w:rFonts w:hint="eastAsia" w:ascii="仿宋" w:hAnsi="仿宋" w:eastAsia="仿宋"/>
          <w:b w:val="0"/>
          <w:bCs w:val="0"/>
          <w:color w:val="000000" w:themeColor="text1"/>
          <w14:textFill>
            <w14:solidFill>
              <w14:schemeClr w14:val="tx1"/>
            </w14:solidFill>
          </w14:textFill>
        </w:rPr>
        <w:t>般公共预算财政拨款“三公”经费支出决算表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29"/>
      <w:r>
        <w:rPr>
          <w:rStyle w:val="25"/>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25"/>
          <w:rFonts w:hint="eastAsia" w:ascii="仿宋" w:hAnsi="仿宋" w:eastAsia="仿宋"/>
          <w:b w:val="0"/>
          <w:bCs w:val="0"/>
          <w:color w:val="000000" w:themeColor="text1"/>
          <w14:textFill>
            <w14:solidFill>
              <w14:schemeClr w14:val="tx1"/>
            </w14:solidFill>
          </w14:textFill>
        </w:rPr>
        <w:t>府性基金预算财政拨款收入支出决算表</w:t>
      </w:r>
      <w:bookmarkEnd w:id="71"/>
    </w:p>
    <w:p>
      <w:pPr>
        <w:pStyle w:val="3"/>
        <w:rPr>
          <w:rFonts w:ascii="仿宋" w:hAnsi="仿宋" w:eastAsia="仿宋"/>
          <w:color w:val="000000" w:themeColor="text1"/>
          <w14:textFill>
            <w14:solidFill>
              <w14:schemeClr w14:val="tx1"/>
            </w14:solidFill>
          </w14:textFill>
        </w:rPr>
      </w:pPr>
      <w:bookmarkStart w:id="72" w:name="_Toc15396630"/>
      <w:r>
        <w:rPr>
          <w:rStyle w:val="25"/>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25"/>
          <w:rFonts w:hint="eastAsia" w:ascii="仿宋" w:hAnsi="仿宋" w:eastAsia="仿宋"/>
          <w:b w:val="0"/>
          <w:bCs w:val="0"/>
          <w:color w:val="000000" w:themeColor="text1"/>
          <w14:textFill>
            <w14:solidFill>
              <w14:schemeClr w14:val="tx1"/>
            </w14:solidFill>
          </w14:textFill>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25"/>
          <w:rFonts w:hint="eastAsia" w:ascii="仿宋" w:hAnsi="仿宋" w:eastAsia="仿宋"/>
          <w:b w:val="0"/>
          <w:bCs w:val="0"/>
          <w:color w:val="000000" w:themeColor="text1"/>
          <w14:textFill>
            <w14:solidFill>
              <w14:schemeClr w14:val="tx1"/>
            </w14:solidFill>
          </w14:textFill>
        </w:rPr>
        <w:t>有资本经营预算支出决算表</w:t>
      </w:r>
      <w:bookmarkEnd w:id="73"/>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5D63F43B"/>
    <w:multiLevelType w:val="singleLevel"/>
    <w:tmpl w:val="5D63F43B"/>
    <w:lvl w:ilvl="0" w:tentative="0">
      <w:start w:val="1"/>
      <w:numFmt w:val="chineseCounting"/>
      <w:suff w:val="nothing"/>
      <w:lvlText w:val="%1、"/>
      <w:lvlJc w:val="left"/>
    </w:lvl>
  </w:abstractNum>
  <w:abstractNum w:abstractNumId="3">
    <w:nsid w:val="5D64E377"/>
    <w:multiLevelType w:val="singleLevel"/>
    <w:tmpl w:val="5D64E377"/>
    <w:lvl w:ilvl="0" w:tentative="0">
      <w:start w:val="2"/>
      <w:numFmt w:val="chineseCounting"/>
      <w:suff w:val="nothing"/>
      <w:lvlText w:val="（%1）"/>
      <w:lvlJc w:val="left"/>
    </w:lvl>
  </w:abstractNum>
  <w:abstractNum w:abstractNumId="4">
    <w:nsid w:val="5D64E3D3"/>
    <w:multiLevelType w:val="singleLevel"/>
    <w:tmpl w:val="5D64E3D3"/>
    <w:lvl w:ilvl="0" w:tentative="0">
      <w:start w:val="2"/>
      <w:numFmt w:val="chineseCounting"/>
      <w:suff w:val="nothing"/>
      <w:lvlText w:val="（%1）"/>
      <w:lvlJc w:val="left"/>
    </w:lvl>
  </w:abstractNum>
  <w:abstractNum w:abstractNumId="5">
    <w:nsid w:val="5D664F08"/>
    <w:multiLevelType w:val="singleLevel"/>
    <w:tmpl w:val="5D664F08"/>
    <w:lvl w:ilvl="0" w:tentative="0">
      <w:start w:val="3"/>
      <w:numFmt w:val="decimal"/>
      <w:suff w:val="nothing"/>
      <w:lvlText w:val="%1."/>
      <w:lvlJc w:val="left"/>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455E"/>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A1A7A"/>
    <w:rsid w:val="00AC3C6A"/>
    <w:rsid w:val="00AD5620"/>
    <w:rsid w:val="00AD7C1B"/>
    <w:rsid w:val="00AE16BA"/>
    <w:rsid w:val="00AE1EBE"/>
    <w:rsid w:val="00B03C9D"/>
    <w:rsid w:val="00B060AE"/>
    <w:rsid w:val="00B10517"/>
    <w:rsid w:val="00B14E76"/>
    <w:rsid w:val="00B161B8"/>
    <w:rsid w:val="00B2048C"/>
    <w:rsid w:val="00B21070"/>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2E64D6"/>
    <w:rsid w:val="037446D9"/>
    <w:rsid w:val="039C5E4D"/>
    <w:rsid w:val="03F62F1B"/>
    <w:rsid w:val="048E4C1C"/>
    <w:rsid w:val="049B5ED1"/>
    <w:rsid w:val="04C72E19"/>
    <w:rsid w:val="04D90B61"/>
    <w:rsid w:val="05372267"/>
    <w:rsid w:val="0577747A"/>
    <w:rsid w:val="05A02D2E"/>
    <w:rsid w:val="05C82499"/>
    <w:rsid w:val="05F14C8B"/>
    <w:rsid w:val="063F0449"/>
    <w:rsid w:val="06C67DD6"/>
    <w:rsid w:val="06F81A8D"/>
    <w:rsid w:val="070D4C56"/>
    <w:rsid w:val="071348CD"/>
    <w:rsid w:val="076F6FFF"/>
    <w:rsid w:val="07E93F74"/>
    <w:rsid w:val="08DD5E3D"/>
    <w:rsid w:val="091830E5"/>
    <w:rsid w:val="09647F3A"/>
    <w:rsid w:val="09A04CE0"/>
    <w:rsid w:val="09B12FBB"/>
    <w:rsid w:val="09CC6C7F"/>
    <w:rsid w:val="0A531C02"/>
    <w:rsid w:val="0A7E6555"/>
    <w:rsid w:val="0BBA6AB7"/>
    <w:rsid w:val="0CA930AE"/>
    <w:rsid w:val="0CAE11DF"/>
    <w:rsid w:val="0CE67A34"/>
    <w:rsid w:val="0D3A0E55"/>
    <w:rsid w:val="0DB515AF"/>
    <w:rsid w:val="0DC47D24"/>
    <w:rsid w:val="0DD04EAE"/>
    <w:rsid w:val="0E167B26"/>
    <w:rsid w:val="0E85774A"/>
    <w:rsid w:val="0EE35AA9"/>
    <w:rsid w:val="0F1C5D09"/>
    <w:rsid w:val="0FAD2D1E"/>
    <w:rsid w:val="0FCC7DD7"/>
    <w:rsid w:val="0FDE65DB"/>
    <w:rsid w:val="10532E88"/>
    <w:rsid w:val="1062294C"/>
    <w:rsid w:val="10872084"/>
    <w:rsid w:val="10C055FF"/>
    <w:rsid w:val="10F5416D"/>
    <w:rsid w:val="116A4F7E"/>
    <w:rsid w:val="116F5B26"/>
    <w:rsid w:val="11C35C1C"/>
    <w:rsid w:val="14746611"/>
    <w:rsid w:val="14F508EF"/>
    <w:rsid w:val="15126074"/>
    <w:rsid w:val="158A19BD"/>
    <w:rsid w:val="1593701E"/>
    <w:rsid w:val="15A430C4"/>
    <w:rsid w:val="160748D6"/>
    <w:rsid w:val="16084A43"/>
    <w:rsid w:val="165C7C6F"/>
    <w:rsid w:val="16BB723D"/>
    <w:rsid w:val="16CE2292"/>
    <w:rsid w:val="16D92EFD"/>
    <w:rsid w:val="171E76A6"/>
    <w:rsid w:val="174C0219"/>
    <w:rsid w:val="176C4E53"/>
    <w:rsid w:val="183C54DF"/>
    <w:rsid w:val="187F03BE"/>
    <w:rsid w:val="18CE4B10"/>
    <w:rsid w:val="18D0307C"/>
    <w:rsid w:val="18D043C7"/>
    <w:rsid w:val="1A3C7420"/>
    <w:rsid w:val="1AC15762"/>
    <w:rsid w:val="1AE71AA3"/>
    <w:rsid w:val="1C030457"/>
    <w:rsid w:val="1D0B2141"/>
    <w:rsid w:val="1DA45BD1"/>
    <w:rsid w:val="1DC66F56"/>
    <w:rsid w:val="1DFF3C95"/>
    <w:rsid w:val="1EFC719E"/>
    <w:rsid w:val="1F05624E"/>
    <w:rsid w:val="20246A49"/>
    <w:rsid w:val="203D58C3"/>
    <w:rsid w:val="20AF2DDB"/>
    <w:rsid w:val="20FE33A3"/>
    <w:rsid w:val="214B5D89"/>
    <w:rsid w:val="215B3F76"/>
    <w:rsid w:val="218732A6"/>
    <w:rsid w:val="219805D1"/>
    <w:rsid w:val="21AB63B7"/>
    <w:rsid w:val="21AD749E"/>
    <w:rsid w:val="21D931FE"/>
    <w:rsid w:val="22220CB0"/>
    <w:rsid w:val="22274924"/>
    <w:rsid w:val="222C1D2C"/>
    <w:rsid w:val="22BD06E7"/>
    <w:rsid w:val="22BE7C2C"/>
    <w:rsid w:val="233E0D70"/>
    <w:rsid w:val="23521024"/>
    <w:rsid w:val="236A163C"/>
    <w:rsid w:val="240371BF"/>
    <w:rsid w:val="241171F8"/>
    <w:rsid w:val="24324B37"/>
    <w:rsid w:val="24CA06AE"/>
    <w:rsid w:val="24CA0B49"/>
    <w:rsid w:val="24F93D2B"/>
    <w:rsid w:val="255C200F"/>
    <w:rsid w:val="25B70F3B"/>
    <w:rsid w:val="25F63C18"/>
    <w:rsid w:val="26735DAA"/>
    <w:rsid w:val="26F752FE"/>
    <w:rsid w:val="27D4704D"/>
    <w:rsid w:val="27EE011C"/>
    <w:rsid w:val="29535104"/>
    <w:rsid w:val="29FD04D3"/>
    <w:rsid w:val="2A156801"/>
    <w:rsid w:val="2A3D5B32"/>
    <w:rsid w:val="2AE339FF"/>
    <w:rsid w:val="2B390BE6"/>
    <w:rsid w:val="2B5206D1"/>
    <w:rsid w:val="2B53585F"/>
    <w:rsid w:val="2B5A2BBD"/>
    <w:rsid w:val="2B6F70D6"/>
    <w:rsid w:val="2B9F47B2"/>
    <w:rsid w:val="2BB02CB5"/>
    <w:rsid w:val="2BB10732"/>
    <w:rsid w:val="2BD86F07"/>
    <w:rsid w:val="2C0F4B43"/>
    <w:rsid w:val="2CA546A8"/>
    <w:rsid w:val="2CCF794C"/>
    <w:rsid w:val="2DAB6F05"/>
    <w:rsid w:val="2DCF2825"/>
    <w:rsid w:val="2DE6205F"/>
    <w:rsid w:val="2E311AA8"/>
    <w:rsid w:val="2E3135AA"/>
    <w:rsid w:val="2F0D2FA8"/>
    <w:rsid w:val="2F152BFE"/>
    <w:rsid w:val="2FCD6DF9"/>
    <w:rsid w:val="30242140"/>
    <w:rsid w:val="303D6D7B"/>
    <w:rsid w:val="307777FA"/>
    <w:rsid w:val="30C6741F"/>
    <w:rsid w:val="30E55902"/>
    <w:rsid w:val="313F6B06"/>
    <w:rsid w:val="31447418"/>
    <w:rsid w:val="31650E11"/>
    <w:rsid w:val="31933328"/>
    <w:rsid w:val="319F7F4E"/>
    <w:rsid w:val="330C3708"/>
    <w:rsid w:val="335E761A"/>
    <w:rsid w:val="33D5768D"/>
    <w:rsid w:val="33FF4972"/>
    <w:rsid w:val="359F47BF"/>
    <w:rsid w:val="360A6E63"/>
    <w:rsid w:val="36E9038C"/>
    <w:rsid w:val="374014FD"/>
    <w:rsid w:val="375D1DDE"/>
    <w:rsid w:val="38272DAE"/>
    <w:rsid w:val="38520D11"/>
    <w:rsid w:val="38640D7D"/>
    <w:rsid w:val="386C2F3C"/>
    <w:rsid w:val="391D0708"/>
    <w:rsid w:val="399F6B94"/>
    <w:rsid w:val="39AF0E99"/>
    <w:rsid w:val="3A1A3A2A"/>
    <w:rsid w:val="3A4D4A57"/>
    <w:rsid w:val="3AE21DB8"/>
    <w:rsid w:val="3B4F561D"/>
    <w:rsid w:val="3C0903B3"/>
    <w:rsid w:val="3CE14E24"/>
    <w:rsid w:val="3D5F7101"/>
    <w:rsid w:val="3DA379B6"/>
    <w:rsid w:val="3E706048"/>
    <w:rsid w:val="3F0A1780"/>
    <w:rsid w:val="3F905037"/>
    <w:rsid w:val="3FCD25A6"/>
    <w:rsid w:val="3FFE7905"/>
    <w:rsid w:val="40A624C6"/>
    <w:rsid w:val="40ED13AE"/>
    <w:rsid w:val="41A9123A"/>
    <w:rsid w:val="42664200"/>
    <w:rsid w:val="42AD36C6"/>
    <w:rsid w:val="42D50EDF"/>
    <w:rsid w:val="42FD7E8E"/>
    <w:rsid w:val="436E229A"/>
    <w:rsid w:val="43700F5C"/>
    <w:rsid w:val="44613A99"/>
    <w:rsid w:val="44DA50E9"/>
    <w:rsid w:val="44DD1F95"/>
    <w:rsid w:val="451A189A"/>
    <w:rsid w:val="45DE25EC"/>
    <w:rsid w:val="45F24E06"/>
    <w:rsid w:val="46661105"/>
    <w:rsid w:val="46981C12"/>
    <w:rsid w:val="46EF08FB"/>
    <w:rsid w:val="4743283C"/>
    <w:rsid w:val="479370C5"/>
    <w:rsid w:val="47C71980"/>
    <w:rsid w:val="47E7795B"/>
    <w:rsid w:val="481B206A"/>
    <w:rsid w:val="48864EB2"/>
    <w:rsid w:val="4A0F5E4B"/>
    <w:rsid w:val="4A5415B2"/>
    <w:rsid w:val="4A6970AB"/>
    <w:rsid w:val="4B0C16BA"/>
    <w:rsid w:val="4B3643ED"/>
    <w:rsid w:val="4B8D768B"/>
    <w:rsid w:val="4BC96119"/>
    <w:rsid w:val="4BCE165F"/>
    <w:rsid w:val="4BD02A84"/>
    <w:rsid w:val="4CA35BE3"/>
    <w:rsid w:val="4D277B44"/>
    <w:rsid w:val="4D7F3B70"/>
    <w:rsid w:val="4DC674F6"/>
    <w:rsid w:val="4DCC4E91"/>
    <w:rsid w:val="4E635957"/>
    <w:rsid w:val="4F5623FC"/>
    <w:rsid w:val="50260184"/>
    <w:rsid w:val="50A07FDA"/>
    <w:rsid w:val="513C0C9C"/>
    <w:rsid w:val="523B4FC6"/>
    <w:rsid w:val="526D5948"/>
    <w:rsid w:val="52A761ED"/>
    <w:rsid w:val="52DD2D37"/>
    <w:rsid w:val="532351FD"/>
    <w:rsid w:val="53543B4C"/>
    <w:rsid w:val="536D6725"/>
    <w:rsid w:val="5430542B"/>
    <w:rsid w:val="543D44F5"/>
    <w:rsid w:val="5558526C"/>
    <w:rsid w:val="55B30E06"/>
    <w:rsid w:val="55D07D9B"/>
    <w:rsid w:val="56122EC1"/>
    <w:rsid w:val="564F53E1"/>
    <w:rsid w:val="56E11BFA"/>
    <w:rsid w:val="56FC4F0C"/>
    <w:rsid w:val="571B2180"/>
    <w:rsid w:val="573D134D"/>
    <w:rsid w:val="57A3753E"/>
    <w:rsid w:val="57C54A19"/>
    <w:rsid w:val="57E80234"/>
    <w:rsid w:val="586C4622"/>
    <w:rsid w:val="58B96614"/>
    <w:rsid w:val="58BD172C"/>
    <w:rsid w:val="58C3632F"/>
    <w:rsid w:val="59CA52A7"/>
    <w:rsid w:val="5A32183C"/>
    <w:rsid w:val="5A7E442E"/>
    <w:rsid w:val="5ACC4D02"/>
    <w:rsid w:val="5B7F137B"/>
    <w:rsid w:val="5BDF59C8"/>
    <w:rsid w:val="5C0E294B"/>
    <w:rsid w:val="5CC80C48"/>
    <w:rsid w:val="5D6F7036"/>
    <w:rsid w:val="5D741E71"/>
    <w:rsid w:val="5D7C4B4F"/>
    <w:rsid w:val="5DAF1BEA"/>
    <w:rsid w:val="5DB01A81"/>
    <w:rsid w:val="5EA67CCA"/>
    <w:rsid w:val="5EEF7685"/>
    <w:rsid w:val="5F231DEB"/>
    <w:rsid w:val="5F6B0F4B"/>
    <w:rsid w:val="5FED02ED"/>
    <w:rsid w:val="602C70EE"/>
    <w:rsid w:val="605F7A77"/>
    <w:rsid w:val="60664D19"/>
    <w:rsid w:val="60755B44"/>
    <w:rsid w:val="60CE2BC4"/>
    <w:rsid w:val="614C1FB4"/>
    <w:rsid w:val="61547777"/>
    <w:rsid w:val="61AC1077"/>
    <w:rsid w:val="622E720A"/>
    <w:rsid w:val="624B7C62"/>
    <w:rsid w:val="62595C12"/>
    <w:rsid w:val="629031A2"/>
    <w:rsid w:val="6293429D"/>
    <w:rsid w:val="62B2287F"/>
    <w:rsid w:val="62E64266"/>
    <w:rsid w:val="63254B2B"/>
    <w:rsid w:val="633B0E0E"/>
    <w:rsid w:val="635F3C21"/>
    <w:rsid w:val="639A6B6B"/>
    <w:rsid w:val="63CF1824"/>
    <w:rsid w:val="63F15270"/>
    <w:rsid w:val="63F659F0"/>
    <w:rsid w:val="641421EE"/>
    <w:rsid w:val="64287055"/>
    <w:rsid w:val="6447399A"/>
    <w:rsid w:val="64712E86"/>
    <w:rsid w:val="64A075ED"/>
    <w:rsid w:val="64BE779A"/>
    <w:rsid w:val="6518484F"/>
    <w:rsid w:val="654F043D"/>
    <w:rsid w:val="65873D3E"/>
    <w:rsid w:val="65C17BEA"/>
    <w:rsid w:val="66274C3B"/>
    <w:rsid w:val="667F4A01"/>
    <w:rsid w:val="670828BE"/>
    <w:rsid w:val="678D7F3C"/>
    <w:rsid w:val="683001B3"/>
    <w:rsid w:val="685B5452"/>
    <w:rsid w:val="68C972A6"/>
    <w:rsid w:val="69576E12"/>
    <w:rsid w:val="69896EC9"/>
    <w:rsid w:val="69CE54CF"/>
    <w:rsid w:val="69E62C90"/>
    <w:rsid w:val="69F06C0B"/>
    <w:rsid w:val="6A2335B3"/>
    <w:rsid w:val="6A6D7B5C"/>
    <w:rsid w:val="6B746663"/>
    <w:rsid w:val="6BF67CA1"/>
    <w:rsid w:val="6C75749B"/>
    <w:rsid w:val="6D2A5691"/>
    <w:rsid w:val="6DF311BF"/>
    <w:rsid w:val="6E1412B2"/>
    <w:rsid w:val="6E301268"/>
    <w:rsid w:val="6E3D6EF6"/>
    <w:rsid w:val="6ED251E4"/>
    <w:rsid w:val="706B2003"/>
    <w:rsid w:val="709020EA"/>
    <w:rsid w:val="70BD4FD4"/>
    <w:rsid w:val="70DA4558"/>
    <w:rsid w:val="7158143E"/>
    <w:rsid w:val="71A4416A"/>
    <w:rsid w:val="71E778DD"/>
    <w:rsid w:val="72833669"/>
    <w:rsid w:val="7293043F"/>
    <w:rsid w:val="72A51828"/>
    <w:rsid w:val="73553F3D"/>
    <w:rsid w:val="737B1811"/>
    <w:rsid w:val="73821884"/>
    <w:rsid w:val="739D5783"/>
    <w:rsid w:val="74453F73"/>
    <w:rsid w:val="74E770B3"/>
    <w:rsid w:val="751041CD"/>
    <w:rsid w:val="752E70FA"/>
    <w:rsid w:val="755621B0"/>
    <w:rsid w:val="75B827E8"/>
    <w:rsid w:val="75EA5A1C"/>
    <w:rsid w:val="760A7275"/>
    <w:rsid w:val="76941A62"/>
    <w:rsid w:val="76A61CE5"/>
    <w:rsid w:val="76B31966"/>
    <w:rsid w:val="76B7479F"/>
    <w:rsid w:val="76DA5433"/>
    <w:rsid w:val="76F1437F"/>
    <w:rsid w:val="77212520"/>
    <w:rsid w:val="776F5850"/>
    <w:rsid w:val="78A56850"/>
    <w:rsid w:val="78F6526B"/>
    <w:rsid w:val="7946440E"/>
    <w:rsid w:val="794E400D"/>
    <w:rsid w:val="7B3064B6"/>
    <w:rsid w:val="7BBD4808"/>
    <w:rsid w:val="7C837EF2"/>
    <w:rsid w:val="7CA823FC"/>
    <w:rsid w:val="7D536EFE"/>
    <w:rsid w:val="7DEF587A"/>
    <w:rsid w:val="7E045DAF"/>
    <w:rsid w:val="7E314E66"/>
    <w:rsid w:val="7EC91B31"/>
    <w:rsid w:val="7EEB0834"/>
    <w:rsid w:val="7EFD3975"/>
    <w:rsid w:val="7F6D1E92"/>
    <w:rsid w:val="7F807AB8"/>
    <w:rsid w:val="7FE70E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TotalTime>
  <ScaleCrop>false</ScaleCrop>
  <LinksUpToDate>false</LinksUpToDate>
  <CharactersWithSpaces>9641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2019-08-27T13:54:00Z</cp:lastPrinted>
  <dcterms:modified xsi:type="dcterms:W3CDTF">2021-11-30T09:53:34Z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49E6DBED12FD4075805244239BD47A31</vt:lpwstr>
  </property>
</Properties>
</file>