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宣汉县公共资源交易服务中心</w:t>
      </w:r>
    </w:p>
    <w:p>
      <w:pPr>
        <w:jc w:val="center"/>
        <w:rPr>
          <w:rFonts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2018年度部门决算编报说明</w:t>
      </w:r>
    </w:p>
    <w:p>
      <w:pPr>
        <w:jc w:val="center"/>
        <w:rPr>
          <w:rFonts w:ascii="黑体" w:eastAsia="黑体"/>
          <w:b/>
          <w:sz w:val="40"/>
          <w:szCs w:val="40"/>
        </w:rPr>
      </w:pPr>
    </w:p>
    <w:p>
      <w:pPr>
        <w:numPr>
          <w:ilvl w:val="0"/>
          <w:numId w:val="1"/>
        </w:num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基本情况</w:t>
      </w:r>
    </w:p>
    <w:p>
      <w:pPr>
        <w:ind w:left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（一）主要职能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Style w:val="9"/>
          <w:rFonts w:hint="eastAsia" w:ascii="仿宋_GB2312" w:eastAsia="仿宋_GB2312"/>
          <w:i w:val="0"/>
          <w:iCs w:val="0"/>
          <w:color w:val="000000"/>
          <w:sz w:val="32"/>
          <w:szCs w:val="32"/>
          <w:shd w:val="clear" w:color="auto" w:fill="FFFFFF"/>
        </w:rPr>
        <w:t>县公共资源交易服务中心是为全县公共资源交易提供服务的平台，</w:t>
      </w:r>
      <w:r>
        <w:rPr>
          <w:rFonts w:eastAsia="仿宋_GB2312"/>
          <w:sz w:val="32"/>
          <w:szCs w:val="32"/>
        </w:rPr>
        <w:t>承担政府采购、土地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矿权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交易、国有产权交易、</w:t>
      </w:r>
      <w:r>
        <w:rPr>
          <w:rFonts w:hint="eastAsia" w:eastAsia="仿宋_GB2312"/>
          <w:sz w:val="32"/>
          <w:szCs w:val="32"/>
        </w:rPr>
        <w:t>工程建设</w:t>
      </w:r>
      <w:r>
        <w:rPr>
          <w:rFonts w:eastAsia="仿宋_GB2312"/>
          <w:sz w:val="32"/>
          <w:szCs w:val="32"/>
        </w:rPr>
        <w:t>招投标（比选）</w:t>
      </w:r>
      <w:r>
        <w:rPr>
          <w:rFonts w:hint="eastAsia" w:eastAsia="仿宋_GB2312"/>
          <w:sz w:val="32"/>
          <w:szCs w:val="32"/>
        </w:rPr>
        <w:t>、农村产权交易五大职能，</w:t>
      </w:r>
      <w:r>
        <w:rPr>
          <w:rStyle w:val="9"/>
          <w:rFonts w:hint="eastAsia" w:ascii="仿宋_GB2312" w:eastAsia="仿宋_GB2312"/>
          <w:i w:val="0"/>
          <w:iCs w:val="0"/>
          <w:color w:val="000000"/>
          <w:sz w:val="32"/>
          <w:szCs w:val="32"/>
          <w:shd w:val="clear" w:color="auto" w:fill="FFFFFF"/>
        </w:rPr>
        <w:t>职责如下：1、为公共资源交易活动提供场所、设施、信息和现场管理服务。2、制定公共资源交易现场管理规章制度、工作流程和服务规范并组织实施，推行公共资源交易服务标准化。3、查验参与公共资源交易活动各方主体资格和进场交易项目相关手续。4、建立公共资源交易从业者现场行为公开制度，开展场内信用信息记录、评价并对外发布。5、按规定实施现场秩序管理和监督工作，记录、制止违反现场管理制度的行为，移送处理违规、违法人员。</w:t>
      </w:r>
    </w:p>
    <w:p>
      <w:pPr>
        <w:spacing w:line="578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（二）2018年工作完成情况。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2018年县</w:t>
      </w:r>
      <w:r>
        <w:rPr>
          <w:rFonts w:eastAsia="仿宋_GB2312"/>
          <w:sz w:val="32"/>
          <w:szCs w:val="32"/>
        </w:rPr>
        <w:t>公共资源交易服务</w:t>
      </w:r>
      <w:r>
        <w:rPr>
          <w:rFonts w:hint="eastAsia" w:eastAsia="仿宋_GB2312"/>
          <w:sz w:val="32"/>
          <w:szCs w:val="32"/>
        </w:rPr>
        <w:t>中心在县委、政府的坚强领导下，在市</w:t>
      </w:r>
      <w:r>
        <w:rPr>
          <w:rFonts w:eastAsia="仿宋_GB2312"/>
          <w:sz w:val="32"/>
          <w:szCs w:val="32"/>
        </w:rPr>
        <w:t>公共资源交易服务</w:t>
      </w:r>
      <w:r>
        <w:rPr>
          <w:rFonts w:hint="eastAsia" w:eastAsia="仿宋_GB2312"/>
          <w:sz w:val="32"/>
          <w:szCs w:val="32"/>
        </w:rPr>
        <w:t>中心的关心指导下，始终坚持“依法运行、阳光操作、公平交易”的原则，全面完成县委、政府交办的各项任务，有效提升了社会公信力。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1、强化工作效能，阳光交易实现新成效。</w:t>
      </w:r>
      <w:r>
        <w:rPr>
          <w:rFonts w:hint="eastAsia" w:ascii="仿宋_GB2312" w:hAnsi="黑体" w:eastAsia="仿宋_GB2312"/>
          <w:sz w:val="32"/>
          <w:szCs w:val="32"/>
        </w:rPr>
        <w:t>全面完成交易平台提档升级，实现了场地资源、制度规程、交易方式、运行模式和交易规则规范统一。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加大资金投入，全面改造、升级了电子化全流程硬件设施设备。充分利用市中心先进的技术平台，新增新设相应功能，优化固化流程设置和后台权限分配等要素，</w:t>
      </w:r>
      <w:r>
        <w:rPr>
          <w:rFonts w:hint="eastAsia" w:ascii="仿宋_GB2312" w:hAnsi="黑体" w:eastAsia="仿宋_GB2312"/>
          <w:sz w:val="32"/>
          <w:szCs w:val="32"/>
        </w:rPr>
        <w:t>10月11日，在全市县（区）交易中心中率先实现了政府采购全流程电子化交易，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打通了政府采购全方位、全流程电子化操作的“最后一公里”。</w:t>
      </w:r>
      <w:r>
        <w:rPr>
          <w:rFonts w:hint="eastAsia" w:ascii="仿宋_GB2312" w:eastAsia="仿宋_GB2312"/>
          <w:sz w:val="32"/>
          <w:szCs w:val="32"/>
        </w:rPr>
        <w:t>国有土地使用权出让、国有资产处置实现电子化交易，农村产权交易平台已搭建并发布10余条交易信息，交易信息化走在了全市前列。</w:t>
      </w:r>
      <w:r>
        <w:rPr>
          <w:rFonts w:hint="eastAsia" w:ascii="仿宋_GB2312" w:hAnsi="黑体" w:eastAsia="仿宋_GB2312"/>
          <w:sz w:val="32"/>
          <w:szCs w:val="32"/>
        </w:rPr>
        <w:t>强化交易信息公开，将项目公告、招标文件、中标公示、等交易信息全部通过公共资源交易网进行公开公示，提高工作透明度。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人为干预，杜绝暗箱操作，建立了无盲区、无死角、全方位、全过程音、视频监听监控系统，专人值守、专人管理。组织公证机关、监督机构、业主单位和人大代表、政协委员等各界社会人士全程现场监督，扩大社会参与面，提升社会公信力。邀请市中心、县财政局相关领导和业内专家一线监督，确保了交易透明，运行阳光。</w:t>
      </w:r>
      <w:r>
        <w:rPr>
          <w:rFonts w:hint="eastAsia" w:ascii="仿宋_GB2312" w:hAnsi="黑体" w:eastAsia="仿宋_GB2312"/>
          <w:sz w:val="32"/>
          <w:szCs w:val="32"/>
        </w:rPr>
        <w:t>突出问题导向，积极探索创新，改革评标办法和评标管理，着力打造公开、公平、公正的公共资源交易平台。深刻分析招投标领域存在的突出问题，认真思考、主动作为，向县政府和发改、财政等部门提出加强招投标管理的意见和建议。主动对接、求解、使用全市统一的招标文件范本，推动了招标采购标准化、规范化建设。</w:t>
      </w:r>
      <w:r>
        <w:rPr>
          <w:rFonts w:hint="eastAsia" w:ascii="仿宋_GB2312" w:eastAsia="仿宋_GB2312"/>
          <w:sz w:val="32"/>
          <w:szCs w:val="32"/>
        </w:rPr>
        <w:t>截至目前：政府采购项目111宗，采购预算567401.7428万元，中标成交金额507067.8179万元，节约资金333.924915万元。国有土地使用权出让28宗，出让起始总价92452.092万元，成交总价170963.5524万元，溢价78511.4604万元；国有资产处置2宗，起始总价272.5万元，成交总价415万元，溢价142.5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工程比选40宗，代理机构比选71宗。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2、强化制度建设，规范管理达到新水平。</w:t>
      </w:r>
      <w:r>
        <w:rPr>
          <w:rFonts w:hint="eastAsia" w:ascii="仿宋_GB2312" w:hAnsi="黑体" w:eastAsia="仿宋_GB2312"/>
          <w:sz w:val="32"/>
          <w:szCs w:val="32"/>
        </w:rPr>
        <w:t>按照“工作流程化、内容标准化、操作格式化”促进全程规范化的思路，大力推进标准化建设，建立健全制度，强化制度约束，报请县政府调整了县公共资源交易领导小组，修订出台了《宣汉县公共资源管理办法》、《宣汉县县级公共资源交易目录》。组织中心全体干部职工参与制度起草，并在会议上讨论校正，形成规范文本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明确职能职责，规定操作时限，解决了边界模糊、缺岗错位的问题。</w:t>
      </w:r>
      <w:r>
        <w:rPr>
          <w:rFonts w:hint="eastAsia" w:ascii="仿宋_GB2312" w:hAnsi="黑体" w:eastAsia="仿宋_GB2312"/>
          <w:sz w:val="32"/>
          <w:szCs w:val="32"/>
        </w:rPr>
        <w:t>做到“每个环节有标准可依、每个岗位有标准规范、每个人员按标准履职”。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固定交易流程、编制交易流程图及操作指南，</w:t>
      </w:r>
      <w:r>
        <w:rPr>
          <w:rFonts w:hint="eastAsia" w:eastAsia="仿宋_GB2312"/>
          <w:sz w:val="32"/>
          <w:szCs w:val="32"/>
        </w:rPr>
        <w:t>力推</w:t>
      </w:r>
      <w:r>
        <w:rPr>
          <w:rFonts w:eastAsia="仿宋_GB2312"/>
          <w:sz w:val="32"/>
          <w:szCs w:val="32"/>
        </w:rPr>
        <w:t>交易业务“一窗式”受理、交易信息“同口径”发布</w:t>
      </w:r>
      <w:r>
        <w:rPr>
          <w:rFonts w:hint="eastAsia" w:eastAsia="仿宋_GB2312"/>
          <w:sz w:val="32"/>
          <w:szCs w:val="32"/>
        </w:rPr>
        <w:t>，交易流程一目了然，交易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操作指南清清楚楚。</w:t>
      </w:r>
      <w:r>
        <w:rPr>
          <w:rFonts w:hint="eastAsia" w:ascii="仿宋_GB2312" w:hAnsi="黑体" w:eastAsia="仿宋_GB2312"/>
          <w:sz w:val="32"/>
          <w:szCs w:val="32"/>
        </w:rPr>
        <w:t>创新设立交易文件编制“会商、会审、会签”制度，组建会商小组对交易文件进行会</w:t>
      </w:r>
      <w:r>
        <w:rPr>
          <w:rFonts w:hint="eastAsia" w:eastAsia="仿宋_GB2312"/>
          <w:sz w:val="32"/>
          <w:szCs w:val="32"/>
        </w:rPr>
        <w:t>商、会审、会签，严格审查招标文件中招标条件设置，取缔排他性、歧视性条款，认真审查评分办法设置，防止量身定制，真正确保交易公平、公正。完善评审制度，</w:t>
      </w:r>
      <w:r>
        <w:rPr>
          <w:rFonts w:hint="eastAsia" w:ascii="仿宋_GB2312" w:hAnsi="黑体" w:eastAsia="仿宋_GB2312"/>
          <w:sz w:val="32"/>
          <w:szCs w:val="32"/>
        </w:rPr>
        <w:t>加强项目评审业主专家管理，提出明确要求，杜绝评审过程中的倾向性评审，暗示性诱导。严格评审专家费用支取，根据相关规定，制定完善评审专家费用支取标准，上墙公示。增设音、视频采集设备，实行全程监督管理，实现交易现场无缝监管。</w:t>
      </w:r>
      <w:r>
        <w:rPr>
          <w:rFonts w:hint="eastAsia" w:eastAsia="仿宋_GB2312"/>
          <w:sz w:val="32"/>
          <w:szCs w:val="32"/>
        </w:rPr>
        <w:t>深化“放管服”工作，认真落实首问责任制、限时办结制、责任追究制和项目跟踪办理制等制度，用各环节标准化促进全程规范化，用全程规范化防范交易权力寻租。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3、强化帮扶实效，乡村振兴取得新突破。</w:t>
      </w:r>
      <w:r>
        <w:rPr>
          <w:rFonts w:hint="eastAsia" w:ascii="仿宋_GB2312" w:hAnsi="黑体" w:eastAsia="仿宋_GB2312"/>
          <w:sz w:val="32"/>
          <w:szCs w:val="32"/>
        </w:rPr>
        <w:t>抓实脱贫攻坚工作。紧紧围绕“两不愁”、“三保障”、“四个好”目标，聚焦全县脱贫攻坚目标任务，精心制定帮扶计划，选派驻村帮扶干部，开展干部职工结对帮扶，重点围绕“生产扶助、就业引导、医疗救助、产业扶持、教育资助”，以“勤走访”、“共思考”、“齐帮扶”等方式，扎实做好天井村、玛瑙村等联系村脱贫攻坚工作。全年累计投入帮扶资金七万余元。在完成自身脱贫工作的同时，协助其他单位共同参与精准扶贫督导检查，参与全县的脱贫退出验收，全力助推我县脱贫攻坚事业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4、强化党建引领，队伍建设呈现新面貌。</w:t>
      </w:r>
      <w:r>
        <w:rPr>
          <w:rFonts w:hint="eastAsia" w:ascii="仿宋_GB2312" w:hAnsi="黑体" w:eastAsia="仿宋_GB2312"/>
          <w:sz w:val="32"/>
          <w:szCs w:val="32"/>
        </w:rPr>
        <w:t>认真落实党建主体责任，创新工作载体，强化发展保障。积极打造中心党建文化、廉政文化，开展“不忘初心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bookmarkStart w:id="3" w:name="_GoBack"/>
      <w:bookmarkEnd w:id="3"/>
      <w:r>
        <w:rPr>
          <w:rFonts w:hint="eastAsia" w:ascii="仿宋_GB2312" w:hAnsi="黑体" w:eastAsia="仿宋_GB2312"/>
          <w:sz w:val="32"/>
          <w:szCs w:val="32"/>
        </w:rPr>
        <w:t>牢记使命”主题教育，让职工撰写座右铭，并上墙展示。认真落实“三会一课”制度，坚持开好民主生活会、组织生活会和主题党日活动。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（三）部门概况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宣汉县公共资源交易服务中心属财政全额预算事业单位，编制19名，现有在编人员17人。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二、收入支出预算执行情况分析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（一）收入支出预算安排情况</w:t>
      </w:r>
    </w:p>
    <w:p>
      <w:pPr>
        <w:spacing w:line="500" w:lineRule="exact"/>
        <w:ind w:firstLine="516" w:firstLineChars="200"/>
        <w:rPr>
          <w:rFonts w:ascii="仿宋_GB2312" w:eastAsia="仿宋_GB2312"/>
          <w:spacing w:val="-11"/>
          <w:sz w:val="28"/>
          <w:szCs w:val="28"/>
        </w:rPr>
      </w:pPr>
      <w:r>
        <w:rPr>
          <w:rFonts w:hint="eastAsia" w:ascii="仿宋_GB2312" w:eastAsia="仿宋_GB2312"/>
          <w:spacing w:val="-11"/>
          <w:sz w:val="28"/>
          <w:szCs w:val="28"/>
        </w:rPr>
        <w:t>2018年财政拨款年初预算400.81万元，预算调整数412.44万元，其中:一般公共预算412.44万元。一般公务服务支出366.28万元、社会保障23.79万元，医疗卫生8.08万元，住房保障支出14.28万元，</w:t>
      </w:r>
      <w:r>
        <w:rPr>
          <w:rFonts w:hint="eastAsia" w:ascii="仿宋_GB2312" w:eastAsia="仿宋_GB2312"/>
          <w:sz w:val="28"/>
          <w:szCs w:val="28"/>
        </w:rPr>
        <w:t>单位2018年部门相关事务增多，经费支出增加，</w:t>
      </w:r>
      <w:r>
        <w:rPr>
          <w:rFonts w:hint="eastAsia" w:ascii="仿宋_GB2312" w:eastAsia="仿宋_GB2312"/>
          <w:spacing w:val="-11"/>
          <w:sz w:val="28"/>
          <w:szCs w:val="28"/>
        </w:rPr>
        <w:t>较2017年增加8.76万元，增长2.17%。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（二）收入支出预算执行情况</w:t>
      </w:r>
    </w:p>
    <w:p>
      <w:pPr>
        <w:spacing w:line="500" w:lineRule="exact"/>
        <w:ind w:firstLine="560" w:firstLineChars="200"/>
        <w:rPr>
          <w:rFonts w:ascii="仿宋_GB2312" w:eastAsia="仿宋_GB2312"/>
          <w:spacing w:val="-11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1747520</wp:posOffset>
            </wp:positionV>
            <wp:extent cx="5279390" cy="3365500"/>
            <wp:effectExtent l="4445" t="4445" r="12065" b="2095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1709420</wp:posOffset>
            </wp:positionV>
            <wp:extent cx="5279390" cy="2660650"/>
            <wp:effectExtent l="4445" t="4445" r="12065" b="20955"/>
            <wp:wrapSquare wrapText="bothSides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1、2018年财政决算收入</w:t>
      </w:r>
      <w:r>
        <w:rPr>
          <w:rFonts w:hint="eastAsia" w:ascii="仿宋_GB2312" w:eastAsia="仿宋_GB2312"/>
          <w:spacing w:val="-11"/>
          <w:sz w:val="28"/>
          <w:szCs w:val="28"/>
        </w:rPr>
        <w:t>412.44</w:t>
      </w:r>
      <w:r>
        <w:rPr>
          <w:rFonts w:hint="eastAsia" w:ascii="仿宋_GB2312" w:eastAsia="仿宋_GB2312"/>
          <w:sz w:val="28"/>
          <w:szCs w:val="28"/>
        </w:rPr>
        <w:t>万元，支出</w:t>
      </w:r>
      <w:r>
        <w:rPr>
          <w:rFonts w:hint="eastAsia" w:ascii="仿宋_GB2312" w:eastAsia="仿宋_GB2312"/>
          <w:spacing w:val="-11"/>
          <w:sz w:val="28"/>
          <w:szCs w:val="28"/>
        </w:rPr>
        <w:t>412.44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28"/>
          <w:szCs w:val="28"/>
        </w:rPr>
        <w:t>其中：一般公务服务支出</w:t>
      </w:r>
      <w:r>
        <w:rPr>
          <w:rFonts w:hint="eastAsia" w:ascii="仿宋_GB2312" w:eastAsia="仿宋_GB2312"/>
          <w:spacing w:val="-11"/>
          <w:sz w:val="28"/>
          <w:szCs w:val="28"/>
        </w:rPr>
        <w:t>366.28万</w:t>
      </w:r>
      <w:r>
        <w:rPr>
          <w:rFonts w:hint="eastAsia" w:ascii="仿宋_GB2312" w:eastAsia="仿宋_GB2312"/>
          <w:sz w:val="28"/>
          <w:szCs w:val="28"/>
        </w:rPr>
        <w:t>元，占总支出88.81%；社会保障</w:t>
      </w:r>
      <w:r>
        <w:rPr>
          <w:rFonts w:hint="eastAsia" w:ascii="仿宋_GB2312" w:eastAsia="仿宋_GB2312"/>
          <w:spacing w:val="-11"/>
          <w:sz w:val="28"/>
          <w:szCs w:val="28"/>
        </w:rPr>
        <w:t>23.79</w:t>
      </w:r>
      <w:r>
        <w:rPr>
          <w:rFonts w:hint="eastAsia" w:ascii="仿宋_GB2312" w:eastAsia="仿宋_GB2312"/>
          <w:sz w:val="28"/>
          <w:szCs w:val="28"/>
        </w:rPr>
        <w:t>万元，占总支出5.77%；医疗卫生</w:t>
      </w:r>
      <w:r>
        <w:rPr>
          <w:rFonts w:hint="eastAsia" w:ascii="仿宋_GB2312" w:eastAsia="仿宋_GB2312"/>
          <w:spacing w:val="-11"/>
          <w:sz w:val="28"/>
          <w:szCs w:val="28"/>
        </w:rPr>
        <w:t>8.08</w:t>
      </w:r>
      <w:r>
        <w:rPr>
          <w:rFonts w:hint="eastAsia" w:ascii="仿宋_GB2312" w:eastAsia="仿宋_GB2312"/>
          <w:sz w:val="28"/>
          <w:szCs w:val="28"/>
        </w:rPr>
        <w:t>万元、占总支出1.96%；住房保障支出</w:t>
      </w:r>
      <w:r>
        <w:rPr>
          <w:rFonts w:hint="eastAsia" w:ascii="仿宋_GB2312" w:eastAsia="仿宋_GB2312"/>
          <w:spacing w:val="-11"/>
          <w:sz w:val="28"/>
          <w:szCs w:val="28"/>
        </w:rPr>
        <w:t>14.28</w:t>
      </w:r>
      <w:r>
        <w:rPr>
          <w:rFonts w:hint="eastAsia" w:ascii="仿宋_GB2312" w:eastAsia="仿宋_GB2312"/>
          <w:sz w:val="28"/>
          <w:szCs w:val="28"/>
        </w:rPr>
        <w:t>万元，占总支出3.46%；</w:t>
      </w:r>
      <w:bookmarkStart w:id="0" w:name="OLE_LINK2"/>
      <w:r>
        <w:rPr>
          <w:rFonts w:hint="eastAsia" w:ascii="仿宋_GB2312" w:eastAsia="仿宋_GB2312"/>
          <w:sz w:val="28"/>
          <w:szCs w:val="28"/>
        </w:rPr>
        <w:t>单位2018年部门相关事务增多，经费支出增加，</w:t>
      </w:r>
      <w:r>
        <w:rPr>
          <w:rFonts w:hint="eastAsia" w:ascii="仿宋_GB2312" w:eastAsia="仿宋_GB2312"/>
          <w:spacing w:val="-11"/>
          <w:sz w:val="28"/>
          <w:szCs w:val="28"/>
        </w:rPr>
        <w:t>较2017年增加8.76万元，增长2.17%。</w:t>
      </w:r>
    </w:p>
    <w:bookmarkEnd w:id="0"/>
    <w:p>
      <w:pPr>
        <w:spacing w:line="500" w:lineRule="exact"/>
        <w:ind w:firstLine="560" w:firstLineChars="200"/>
        <w:rPr>
          <w:rFonts w:ascii="仿宋_GB2312" w:eastAsia="仿宋_GB2312"/>
          <w:spacing w:val="-11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2、按支出性质和经济分类：基本支出412.44万元，占总支出的100%。其中人员经费173.2万元，占基本支出的41.99%；日常公用经费239.24万元，占基本支出的58.01%；无项目支出</w:t>
      </w:r>
      <w:bookmarkStart w:id="1" w:name="OLE_LINK1"/>
      <w:r>
        <w:rPr>
          <w:rFonts w:hint="eastAsia" w:ascii="仿宋_GB2312" w:eastAsia="仿宋_GB2312"/>
          <w:sz w:val="28"/>
          <w:szCs w:val="28"/>
        </w:rPr>
        <w:t>。单位2018年部门相关事务增多，经费支出增加，</w:t>
      </w:r>
      <w:r>
        <w:rPr>
          <w:rFonts w:hint="eastAsia" w:ascii="仿宋_GB2312" w:eastAsia="仿宋_GB2312"/>
          <w:spacing w:val="-11"/>
          <w:sz w:val="28"/>
          <w:szCs w:val="28"/>
        </w:rPr>
        <w:t>较2017年增加8.76万元，增长2.17%。</w:t>
      </w:r>
    </w:p>
    <w:p>
      <w:pPr>
        <w:spacing w:line="500" w:lineRule="exact"/>
        <w:ind w:firstLine="516" w:firstLineChars="200"/>
        <w:rPr>
          <w:rFonts w:ascii="仿宋_GB2312" w:eastAsia="仿宋_GB2312"/>
          <w:spacing w:val="-11"/>
          <w:sz w:val="28"/>
          <w:szCs w:val="28"/>
        </w:rPr>
      </w:pPr>
    </w:p>
    <w:bookmarkEnd w:id="1"/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41910</wp:posOffset>
            </wp:positionV>
            <wp:extent cx="5080000" cy="2672715"/>
            <wp:effectExtent l="4445" t="4445" r="20955" b="8890"/>
            <wp:wrapSquare wrapText="bothSides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3、“三公”经费支出情况：全年三公经费支出3.5万元，其中公务接待3.5万元、无公车运行维护费，我单位本着厉行节约的原则，节约开支，规范报帐制度，较2017年三公经费基本无增减变化。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4、会议费支出。全年会议费支出0.1万元，节约开支，减少公用经费支出，较2017年减少1.62万元，减少94.19%。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925830</wp:posOffset>
            </wp:positionV>
            <wp:extent cx="5080000" cy="2881630"/>
            <wp:effectExtent l="4445" t="4445" r="20955" b="9525"/>
            <wp:wrapSquare wrapText="bothSides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5、培训费：全年培训费支出8.99万元，2018年工作相关业务培训次数增多，培训费较2017年增长0.69万元。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（三）年末结转和结余情况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无结余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（四）当年预算执行中存在问题、原因及改进措施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由于2018年工资调标以及项目经费及基金预算无法确定，2018年年初预算有一定差异，来年一定加强，进一步完善年初预算数据。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三、资产负债情况分析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2018年末部门资产总额272.19万元，其中固定资产原值266.70万元（通用设备78件，价值216.63万元）2017年我单位无新增固定资产，流动资产5.49万元，较2017年减少904.03万元。</w:t>
      </w:r>
    </w:p>
    <w:p>
      <w:pPr>
        <w:snapToGrid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四、本年度部门决算等财务工作开展情况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按照县财政局的统一安排部署,我单位组织财会人员积极开展2018年度决算编报工作,坚持及时高效、准确第一的原则， 切实做到了数据准确、合理依规，确保了2018年度决算编报工作圆满顺利完成。在此基础上，我单位仍需进一步加强学习，规范财务工作，为扎实做好2018年度决算编报工作打下坚实基础。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（一）进一步响应中央、省、市、县各级政府的规定，加强资金管理，控制财务费用支出，降低行政运行成本，降低三公行政经费支出。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进一步加强财务对经济业务的管控能力，充分发挥财务监督职能。财务部门作为经济业务的最后一道审核、入帐，应严格对所发生的经济业务进行合法性、有效性审查并按规范进行帐务处理，对违法、违规经济业务应坚决抵制，严把财务入帐关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（三）进一步规范财务基础工作，提升财务管理水平和从业人员素质。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一是进一步提高财务基础工作质量，严格遵守《会计法》，全面执行《财务会计准则》，按财政局有关文件要求对所发生的经济业务进行规范处理，如实反映各项财务状况，为决策层提供真实、全面的财务数据。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二是进一步提高财会人员的业务素养，高素质的财会人员是各项财会工作有效实施的保证。财会人员要加强会计核算方面的理论学习和实践工作。在工作中大力提倡良好的工作作风和职业操守精神。</w:t>
      </w:r>
    </w:p>
    <w:p>
      <w:pPr>
        <w:spacing w:line="600" w:lineRule="exact"/>
        <w:ind w:firstLine="645"/>
        <w:rPr>
          <w:rFonts w:ascii="黑体" w:eastAsia="黑体"/>
          <w:sz w:val="40"/>
          <w:szCs w:val="4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2" w:name="E010000"/>
    </w:p>
    <w:bookmarkEnd w:id="2"/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ind w:firstLine="4760" w:firstLineChars="1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宣汉县交共资源交易服务中心</w:t>
      </w:r>
    </w:p>
    <w:p>
      <w:pPr>
        <w:spacing w:line="560" w:lineRule="exact"/>
        <w:ind w:firstLine="5320" w:firstLineChars="19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2019年1月23日</w:t>
      </w:r>
    </w:p>
    <w:p>
      <w:pPr>
        <w:spacing w:line="560" w:lineRule="exact"/>
        <w:ind w:firstLine="5320" w:firstLineChars="19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tbl>
      <w:tblPr>
        <w:tblStyle w:val="7"/>
        <w:tblW w:w="9587" w:type="dxa"/>
        <w:tblInd w:w="-8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3"/>
        <w:gridCol w:w="311"/>
        <w:gridCol w:w="1352"/>
        <w:gridCol w:w="1462"/>
        <w:gridCol w:w="1572"/>
        <w:gridCol w:w="912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587" w:type="dxa"/>
            <w:gridSpan w:val="7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bidi="ar"/>
              </w:rPr>
              <w:t>主要指标情况分析表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指    标</w:t>
            </w:r>
          </w:p>
        </w:tc>
        <w:tc>
          <w:tcPr>
            <w:tcW w:w="31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本年度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上年度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比上年增减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增减％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栏    次 </w:t>
            </w:r>
          </w:p>
        </w:tc>
        <w:tc>
          <w:tcPr>
            <w:tcW w:w="3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一、年度收支情况（单位：元）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1.本年收入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4,124,408.00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4,036,780.00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87,628.00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2.17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其中：一般公共预算财政拨款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4,124,408.00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4,036,780.00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87,628.00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2.17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政府性基金预算财政拨款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*事业收入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经营收入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*其他收入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2.本年支出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4,124,408.00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4,036,780.00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87,628.00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2.17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其中：基本支出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4,124,408.00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2,113,003.20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2,011,404.80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95.19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日常公用支出增加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（1）人员经费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1,732,016.00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1,993,003.20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-260,987.20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-13.10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节约开支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（2）日常公用经费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2,392,392.00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120,000.00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2,272,392.00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1,893.66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日常公用支出增加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项目支出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1,923,776.80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-1,923,776.80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-100.00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项目减少，项目支出减少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（1）基本建设类项目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（2）行政事业类项目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1,923,776.80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-1,923,776.80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-100.00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项目减少，项目支出减少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经营支出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3.年末结转和结余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其中：一般公共预算财政拨款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政府性基金预算财政拨款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二、年末资产负债情况（单位：元）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1.资产总计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2,721,905.00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93,022,043.03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-90,300,138.03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-97.07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其他应付款减少，流动资产减少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其中：固定资产价值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2,667,035.00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2,564,335.00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102,700.00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2.负债总计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54,870.00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90,457,708.03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-90,402,838.03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-99.94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其他应付款减少，流动资产减少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其中：*事业单位借款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3.净资产总计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2,667,035.00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2,564,335.00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102,700.00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其中：*结转和结余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*非流动资产基金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2,667,035.00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2,564,335.00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102,700.00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事业单位事业基金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事业单位专用基金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三、年末机构人员情况（单位：个、人）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1.独立编制机构数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其中：行政机构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事业机构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2.独立核算机构数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其中：行政机构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事业机构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3.年末编制人数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行政人员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其中：行政工勤人员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事业人员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其中：参照公务员法管理人员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4.年末实有人数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在职人员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其中：行政人员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其中：行政工勤人员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事业人员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其中：参照公务员法管理人员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离休人员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退休人员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5.年末一般公共预算财政拨款（补助）开支人数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在职人员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其中：行政工勤人员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离休人员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退休人员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6.年末学生人数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四、补充资料（单位：元）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1.固定资产情况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房屋原值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房屋面积（平方米）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汽车原值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汽车数量（辆）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2.“三公”经费支出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35,000.00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35,000.00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其中：因公出国（境）费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公务用车购置及运行维护费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其中：公务用车购置费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公务用车运行维护费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公务接待费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35,000.00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35,000.00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3.培训费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88,994.00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82,175.00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6,819.00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8.30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会议增长，支出相应增加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4.会议费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17,199.00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-16,199.00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-94.19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节约开支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5.机关运行经费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6.年初预算数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本年收入合计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4,008,140.00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4,036,780.00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-28,640.00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-0.71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本年支出合计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4,008,140.00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4,036,780.00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-28,640.00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-0.71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年末结转和结余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7.调整预算数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本年收入合计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4,124,408.00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4,036,780.00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87,628.00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2.17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本年支出合计</w:t>
            </w:r>
          </w:p>
        </w:tc>
        <w:tc>
          <w:tcPr>
            <w:tcW w:w="3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4,124,408.00</w:t>
            </w:r>
          </w:p>
        </w:tc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4,036,780.00</w:t>
            </w:r>
          </w:p>
        </w:tc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87,628.00</w:t>
            </w:r>
          </w:p>
        </w:tc>
        <w:tc>
          <w:tcPr>
            <w:tcW w:w="9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2.17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7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年末结转和结余</w:t>
            </w:r>
          </w:p>
        </w:tc>
        <w:tc>
          <w:tcPr>
            <w:tcW w:w="311" w:type="dxa"/>
            <w:tcBorders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352" w:type="dxa"/>
            <w:tcBorders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462" w:type="dxa"/>
            <w:tcBorders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572" w:type="dxa"/>
            <w:tcBorders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912" w:type="dxa"/>
            <w:tcBorders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3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F2F39"/>
    <w:multiLevelType w:val="multilevel"/>
    <w:tmpl w:val="261F2F39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B0"/>
    <w:rsid w:val="00020B42"/>
    <w:rsid w:val="00045058"/>
    <w:rsid w:val="00092A18"/>
    <w:rsid w:val="000B423D"/>
    <w:rsid w:val="000C7841"/>
    <w:rsid w:val="000D01E9"/>
    <w:rsid w:val="000E2176"/>
    <w:rsid w:val="000F0510"/>
    <w:rsid w:val="00106F4E"/>
    <w:rsid w:val="00130F82"/>
    <w:rsid w:val="00132CDA"/>
    <w:rsid w:val="00145B7F"/>
    <w:rsid w:val="001514F9"/>
    <w:rsid w:val="00185C75"/>
    <w:rsid w:val="001A2A77"/>
    <w:rsid w:val="001B5549"/>
    <w:rsid w:val="001E00DE"/>
    <w:rsid w:val="001E55DD"/>
    <w:rsid w:val="00213DBD"/>
    <w:rsid w:val="002A5ABA"/>
    <w:rsid w:val="002C326B"/>
    <w:rsid w:val="002C5FFB"/>
    <w:rsid w:val="00363D4F"/>
    <w:rsid w:val="00367F57"/>
    <w:rsid w:val="00375438"/>
    <w:rsid w:val="00381211"/>
    <w:rsid w:val="003951F2"/>
    <w:rsid w:val="003B4289"/>
    <w:rsid w:val="003D2D67"/>
    <w:rsid w:val="003D344B"/>
    <w:rsid w:val="003D501B"/>
    <w:rsid w:val="004134BD"/>
    <w:rsid w:val="00414A52"/>
    <w:rsid w:val="004375D1"/>
    <w:rsid w:val="00466FEC"/>
    <w:rsid w:val="00486F12"/>
    <w:rsid w:val="004933D1"/>
    <w:rsid w:val="004B00AC"/>
    <w:rsid w:val="004B49FC"/>
    <w:rsid w:val="004C50FF"/>
    <w:rsid w:val="004C659B"/>
    <w:rsid w:val="004E3DA1"/>
    <w:rsid w:val="005012D5"/>
    <w:rsid w:val="00505046"/>
    <w:rsid w:val="005203C1"/>
    <w:rsid w:val="00520B90"/>
    <w:rsid w:val="00545B74"/>
    <w:rsid w:val="00565E37"/>
    <w:rsid w:val="00592B18"/>
    <w:rsid w:val="0059550E"/>
    <w:rsid w:val="005F45DF"/>
    <w:rsid w:val="00633EBE"/>
    <w:rsid w:val="00640F49"/>
    <w:rsid w:val="006563BA"/>
    <w:rsid w:val="006779FB"/>
    <w:rsid w:val="00680E22"/>
    <w:rsid w:val="006A471E"/>
    <w:rsid w:val="006E0E6A"/>
    <w:rsid w:val="007166AD"/>
    <w:rsid w:val="00763967"/>
    <w:rsid w:val="00785041"/>
    <w:rsid w:val="007C500B"/>
    <w:rsid w:val="007E306D"/>
    <w:rsid w:val="007E4774"/>
    <w:rsid w:val="00821A58"/>
    <w:rsid w:val="00824C68"/>
    <w:rsid w:val="008B7B50"/>
    <w:rsid w:val="008D3857"/>
    <w:rsid w:val="008F58DA"/>
    <w:rsid w:val="009A039D"/>
    <w:rsid w:val="009B0AC7"/>
    <w:rsid w:val="009C7CF2"/>
    <w:rsid w:val="009D18BB"/>
    <w:rsid w:val="009E4AF0"/>
    <w:rsid w:val="009E6F71"/>
    <w:rsid w:val="00A35AFB"/>
    <w:rsid w:val="00A46809"/>
    <w:rsid w:val="00A50D79"/>
    <w:rsid w:val="00AA7682"/>
    <w:rsid w:val="00B44F12"/>
    <w:rsid w:val="00B550C5"/>
    <w:rsid w:val="00B60119"/>
    <w:rsid w:val="00BE43AB"/>
    <w:rsid w:val="00BF2136"/>
    <w:rsid w:val="00BF23E0"/>
    <w:rsid w:val="00C022D8"/>
    <w:rsid w:val="00C3474D"/>
    <w:rsid w:val="00C36F06"/>
    <w:rsid w:val="00C573FA"/>
    <w:rsid w:val="00C63D3E"/>
    <w:rsid w:val="00C70D2B"/>
    <w:rsid w:val="00C81E89"/>
    <w:rsid w:val="00C9338E"/>
    <w:rsid w:val="00CD13D9"/>
    <w:rsid w:val="00CE11B7"/>
    <w:rsid w:val="00CF157D"/>
    <w:rsid w:val="00D36DEC"/>
    <w:rsid w:val="00DD6EDE"/>
    <w:rsid w:val="00DF536A"/>
    <w:rsid w:val="00E10C8D"/>
    <w:rsid w:val="00E346A8"/>
    <w:rsid w:val="00E51E66"/>
    <w:rsid w:val="00E54A04"/>
    <w:rsid w:val="00E66F3E"/>
    <w:rsid w:val="00E77D4D"/>
    <w:rsid w:val="00EC1352"/>
    <w:rsid w:val="00EC6C49"/>
    <w:rsid w:val="00F026B0"/>
    <w:rsid w:val="00F275A6"/>
    <w:rsid w:val="00F40869"/>
    <w:rsid w:val="00F757DD"/>
    <w:rsid w:val="00F943BC"/>
    <w:rsid w:val="0ABA3700"/>
    <w:rsid w:val="0AEC6818"/>
    <w:rsid w:val="0EE3268E"/>
    <w:rsid w:val="111662E6"/>
    <w:rsid w:val="13695B68"/>
    <w:rsid w:val="18044431"/>
    <w:rsid w:val="243B0DDE"/>
    <w:rsid w:val="2442514B"/>
    <w:rsid w:val="2F081826"/>
    <w:rsid w:val="31E902B1"/>
    <w:rsid w:val="39D26823"/>
    <w:rsid w:val="46145D81"/>
    <w:rsid w:val="5A1E3721"/>
    <w:rsid w:val="7C9A1273"/>
    <w:rsid w:val="7DC3516F"/>
    <w:rsid w:val="7F7BA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uiPriority w:val="0"/>
    <w:pPr>
      <w:shd w:val="clear" w:color="auto" w:fill="000080"/>
    </w:pPr>
    <w:rPr>
      <w:shd w:val="clear" w:color="auto" w:fill="000080"/>
    </w:rPr>
  </w:style>
  <w:style w:type="paragraph" w:styleId="3">
    <w:name w:val="Balloon Text"/>
    <w:basedOn w:val="1"/>
    <w:link w:val="13"/>
    <w:semiHidden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basedOn w:val="8"/>
    <w:qFormat/>
    <w:uiPriority w:val="0"/>
    <w:rPr>
      <w:i/>
      <w:i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文档结构图 Char"/>
    <w:link w:val="2"/>
    <w:semiHidden/>
    <w:qFormat/>
    <w:locked/>
    <w:uiPriority w:val="0"/>
    <w:rPr>
      <w:kern w:val="2"/>
      <w:sz w:val="21"/>
      <w:szCs w:val="24"/>
      <w:shd w:val="clear" w:color="auto" w:fill="000080"/>
      <w:lang w:bidi="ar-SA"/>
    </w:rPr>
  </w:style>
  <w:style w:type="character" w:customStyle="1" w:styleId="12">
    <w:name w:val="页脚 Char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Char"/>
    <w:link w:val="3"/>
    <w:semiHidden/>
    <w:qFormat/>
    <w:locked/>
    <w:uiPriority w:val="0"/>
    <w:rPr>
      <w:rFonts w:ascii="Calibri" w:hAnsi="Calibri"/>
      <w:kern w:val="2"/>
      <w:sz w:val="18"/>
      <w:szCs w:val="18"/>
      <w:lang w:bidi="ar-SA"/>
    </w:rPr>
  </w:style>
  <w:style w:type="character" w:customStyle="1" w:styleId="14">
    <w:name w:val="页眉 Char"/>
    <w:link w:val="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收入支出预算执行情况</a:t>
            </a:r>
            <a:endParaRPr lang="zh-CN" altLang="en-US"/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Sheet1!$B$1</c:f>
              <c:strCache>
                <c:ptCount val="1"/>
                <c:pt idx="0">
                  <c:v>社会保障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2018年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23.79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医疗卫生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2018年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8.08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住房保障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2018年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14.28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一般公共服务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2018年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366.28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187539840"/>
        <c:axId val="187541376"/>
      </c:barChart>
      <c:catAx>
        <c:axId val="187539840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7541376"/>
        <c:crosses val="autoZero"/>
        <c:auto val="true"/>
        <c:lblAlgn val="ctr"/>
        <c:lblOffset val="100"/>
        <c:noMultiLvlLbl val="false"/>
      </c:catAx>
      <c:valAx>
        <c:axId val="187541376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753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收入支出预算执行情况</a:t>
            </a:r>
            <a:endParaRPr lang="zh-CN" altLang="en-US"/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Sheet1!$B$1</c:f>
              <c:strCache>
                <c:ptCount val="1"/>
                <c:pt idx="0">
                  <c:v>社会保障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2018年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医疗卫生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2018年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住房保障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2018年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一般公共服务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2018年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79.86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文化体育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2018年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7.5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城乡社区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2018年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98226944"/>
        <c:axId val="98228480"/>
      </c:barChart>
      <c:catAx>
        <c:axId val="98226944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228480"/>
        <c:crosses val="autoZero"/>
        <c:auto val="true"/>
        <c:lblAlgn val="ctr"/>
        <c:lblOffset val="100"/>
        <c:noMultiLvlLbl val="false"/>
      </c:catAx>
      <c:valAx>
        <c:axId val="9822848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22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支出性质和经济分类情况</a:t>
            </a:r>
            <a:endParaRPr lang="zh-CN" altLang="en-US"/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Sheet1!$B$1</c:f>
              <c:strCache>
                <c:ptCount val="1"/>
                <c:pt idx="0">
                  <c:v>基本支出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2018年</c:v>
                </c:pt>
                <c:pt idx="1">
                  <c:v>2017年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412.44</c:v>
                </c:pt>
                <c:pt idx="1">
                  <c:v>211.3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人员经费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2018年</c:v>
                </c:pt>
                <c:pt idx="1">
                  <c:v>2017年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173.2</c:v>
                </c:pt>
                <c:pt idx="1">
                  <c:v>199.3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公用经费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2018年</c:v>
                </c:pt>
                <c:pt idx="1">
                  <c:v>2017年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239.24</c:v>
                </c:pt>
                <c:pt idx="1">
                  <c:v>12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项目支出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2018年</c:v>
                </c:pt>
                <c:pt idx="1">
                  <c:v>2017年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0</c:v>
                </c:pt>
                <c:pt idx="1">
                  <c:v>192.38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128632704"/>
        <c:axId val="128634240"/>
      </c:barChart>
      <c:catAx>
        <c:axId val="128632704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634240"/>
        <c:crosses val="autoZero"/>
        <c:auto val="true"/>
        <c:lblAlgn val="ctr"/>
        <c:lblOffset val="100"/>
        <c:noMultiLvlLbl val="false"/>
      </c:catAx>
      <c:valAx>
        <c:axId val="12863424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63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三公经费、会议费、培训费支出分析</a:t>
            </a:r>
            <a:endParaRPr lang="zh-CN" altLang="en-US"/>
          </a:p>
        </c:rich>
      </c:tx>
      <c:layout>
        <c:manualLayout>
          <c:xMode val="edge"/>
          <c:yMode val="edge"/>
          <c:x val="0.29875"/>
          <c:y val="0.0265076209410205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Sheet1!$B$1</c:f>
              <c:strCache>
                <c:ptCount val="1"/>
                <c:pt idx="0">
                  <c:v>公务接待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2018年</c:v>
                </c:pt>
                <c:pt idx="1">
                  <c:v>2017年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3.5</c:v>
                </c:pt>
                <c:pt idx="1">
                  <c:v>3.5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会议费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2018年</c:v>
                </c:pt>
                <c:pt idx="1">
                  <c:v>2017年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0.1</c:v>
                </c:pt>
                <c:pt idx="1">
                  <c:v>1.72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培训费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2018年</c:v>
                </c:pt>
                <c:pt idx="1">
                  <c:v>2017年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8.99</c:v>
                </c:pt>
                <c:pt idx="1">
                  <c:v>8.22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128841984"/>
        <c:axId val="128856064"/>
      </c:barChart>
      <c:catAx>
        <c:axId val="128841984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856064"/>
        <c:crosses val="autoZero"/>
        <c:auto val="true"/>
        <c:lblAlgn val="ctr"/>
        <c:lblOffset val="100"/>
        <c:noMultiLvlLbl val="false"/>
      </c:catAx>
      <c:valAx>
        <c:axId val="128856064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84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1081</Words>
  <Characters>6163</Characters>
  <Lines>51</Lines>
  <Paragraphs>14</Paragraphs>
  <TotalTime>14</TotalTime>
  <ScaleCrop>false</ScaleCrop>
  <LinksUpToDate>false</LinksUpToDate>
  <CharactersWithSpaces>7230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2018-01-17T17:53:00Z</dcterms:created>
  <dc:creator>gkg</dc:creator>
  <cp:lastModifiedBy>仁可女青</cp:lastModifiedBy>
  <dcterms:modified xsi:type="dcterms:W3CDTF">2021-11-30T18:38:23Z</dcterms:modified>
  <dc:title>部门决算分析报告撰写提纲（部门参考使用）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