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475"/>
      <w:bookmarkStart w:id="4" w:name="_Toc15377193"/>
      <w:bookmarkStart w:id="5" w:name="_Toc15396597"/>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77194"/>
      <w:bookmarkStart w:id="7" w:name="_Toc15378442"/>
      <w:bookmarkStart w:id="8" w:name="_Toc15396598"/>
      <w:bookmarkStart w:id="9" w:name="_Toc15396476"/>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val="en-US" w:eastAsia="zh-CN"/>
        </w:rPr>
        <w:t>宣汉县东林乡卫生院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11</w:t>
      </w:r>
      <w:r>
        <w:rPr>
          <w:rFonts w:hint="eastAsia"/>
        </w:rPr>
        <w:t>月</w:t>
      </w:r>
      <w:r>
        <w:rPr>
          <w:rFonts w:hint="eastAsia"/>
          <w:lang w:val="en-US" w:eastAsia="zh-CN"/>
        </w:rPr>
        <w:t>11</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11</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16</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12"/>
        <w:spacing w:before="0" w:beforeAutospacing="0" w:after="0" w:afterAutospacing="0"/>
        <w:ind w:firstLine="640" w:firstLineChars="200"/>
        <w:rPr>
          <w:rFonts w:hint="eastAsia" w:ascii="仿宋" w:hAnsi="仿宋" w:eastAsia="仿宋"/>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8446"/>
      <w:bookmarkStart w:id="19" w:name="_Toc15377199"/>
      <w:r>
        <w:rPr>
          <w:rFonts w:hint="eastAsia" w:ascii="仿宋_GB2312" w:eastAsia="仿宋_GB2312"/>
          <w:sz w:val="32"/>
          <w:szCs w:val="32"/>
          <w:lang w:val="en"/>
        </w:rPr>
        <w:t>我院现有在职职工</w:t>
      </w:r>
      <w:r>
        <w:rPr>
          <w:rFonts w:hint="eastAsia" w:ascii="仿宋_GB2312" w:eastAsia="仿宋_GB2312"/>
          <w:sz w:val="32"/>
          <w:szCs w:val="32"/>
          <w:lang w:val="en-US" w:eastAsia="zh-CN"/>
        </w:rPr>
        <w:t>16</w:t>
      </w:r>
      <w:r>
        <w:rPr>
          <w:rFonts w:hint="eastAsia" w:ascii="仿宋_GB2312" w:eastAsia="仿宋_GB2312"/>
          <w:sz w:val="32"/>
          <w:szCs w:val="32"/>
          <w:lang w:val="en"/>
        </w:rPr>
        <w:t>人（其中在编在岗人员</w:t>
      </w:r>
      <w:r>
        <w:rPr>
          <w:rFonts w:hint="eastAsia" w:ascii="仿宋_GB2312" w:eastAsia="仿宋_GB2312"/>
          <w:sz w:val="32"/>
          <w:szCs w:val="32"/>
          <w:lang w:val="en-US" w:eastAsia="zh-CN"/>
        </w:rPr>
        <w:t>10</w:t>
      </w:r>
      <w:r>
        <w:rPr>
          <w:rFonts w:hint="eastAsia" w:ascii="仿宋_GB2312" w:eastAsia="仿宋_GB2312"/>
          <w:sz w:val="32"/>
          <w:szCs w:val="32"/>
          <w:lang w:val="en"/>
        </w:rPr>
        <w:t>人，临聘人员</w:t>
      </w:r>
      <w:r>
        <w:rPr>
          <w:rFonts w:hint="eastAsia" w:ascii="仿宋_GB2312" w:eastAsia="仿宋_GB2312"/>
          <w:sz w:val="32"/>
          <w:szCs w:val="32"/>
          <w:lang w:val="en-US" w:eastAsia="zh-CN"/>
        </w:rPr>
        <w:t>6</w:t>
      </w:r>
      <w:r>
        <w:rPr>
          <w:rFonts w:hint="eastAsia" w:ascii="仿宋_GB2312" w:eastAsia="仿宋_GB2312"/>
          <w:sz w:val="32"/>
          <w:szCs w:val="32"/>
          <w:lang w:val="en"/>
        </w:rPr>
        <w:t>人），退休职工</w:t>
      </w:r>
      <w:r>
        <w:rPr>
          <w:rFonts w:hint="eastAsia" w:ascii="仿宋_GB2312" w:eastAsia="仿宋_GB2312"/>
          <w:sz w:val="32"/>
          <w:szCs w:val="32"/>
          <w:lang w:val="en-US" w:eastAsia="zh-CN"/>
        </w:rPr>
        <w:t>1</w:t>
      </w:r>
      <w:r>
        <w:rPr>
          <w:rFonts w:hint="eastAsia" w:ascii="仿宋_GB2312" w:eastAsia="仿宋_GB2312"/>
          <w:sz w:val="32"/>
          <w:szCs w:val="32"/>
          <w:lang w:val="en"/>
        </w:rPr>
        <w:t>人，遗嘱</w:t>
      </w:r>
      <w:r>
        <w:rPr>
          <w:rFonts w:hint="eastAsia" w:ascii="仿宋_GB2312" w:eastAsia="仿宋_GB2312"/>
          <w:sz w:val="32"/>
          <w:szCs w:val="32"/>
          <w:lang w:val="en-US" w:eastAsia="zh-CN"/>
        </w:rPr>
        <w:t>1</w:t>
      </w:r>
      <w:r>
        <w:rPr>
          <w:rFonts w:hint="eastAsia" w:ascii="仿宋_GB2312" w:eastAsia="仿宋_GB2312"/>
          <w:sz w:val="32"/>
          <w:szCs w:val="32"/>
          <w:lang w:val="en"/>
        </w:rPr>
        <w:t>人，开放病床</w:t>
      </w:r>
      <w:r>
        <w:rPr>
          <w:rFonts w:hint="eastAsia" w:ascii="仿宋_GB2312" w:eastAsia="仿宋_GB2312"/>
          <w:sz w:val="32"/>
          <w:szCs w:val="32"/>
          <w:lang w:val="en-US" w:eastAsia="zh-CN"/>
        </w:rPr>
        <w:t>15</w:t>
      </w:r>
      <w:r>
        <w:rPr>
          <w:rFonts w:hint="eastAsia" w:ascii="仿宋_GB2312" w:eastAsia="仿宋_GB2312"/>
          <w:sz w:val="32"/>
          <w:szCs w:val="32"/>
          <w:lang w:val="en"/>
        </w:rPr>
        <w:t>张。是医保和新农合定点医院。担负着辖区居民的防病、治病重任，是集医药医疗、急救、预防、保健、康复于一体的</w:t>
      </w:r>
      <w:r>
        <w:rPr>
          <w:rFonts w:hint="eastAsia" w:ascii="仿宋" w:hAnsi="仿宋" w:eastAsia="仿宋"/>
          <w:sz w:val="32"/>
          <w:szCs w:val="32"/>
        </w:rPr>
        <w:t>的一级</w:t>
      </w:r>
      <w:r>
        <w:rPr>
          <w:rFonts w:hint="eastAsia" w:ascii="仿宋" w:hAnsi="仿宋" w:eastAsia="仿宋"/>
          <w:sz w:val="32"/>
          <w:szCs w:val="32"/>
          <w:lang w:val="en-US" w:eastAsia="zh-CN"/>
        </w:rPr>
        <w:t>乙</w:t>
      </w:r>
      <w:r>
        <w:rPr>
          <w:rFonts w:hint="eastAsia" w:ascii="仿宋" w:hAnsi="仿宋" w:eastAsia="仿宋"/>
          <w:sz w:val="32"/>
          <w:szCs w:val="32"/>
        </w:rPr>
        <w:t>等医院</w:t>
      </w:r>
      <w:r>
        <w:rPr>
          <w:rFonts w:hint="eastAsia" w:ascii="仿宋" w:hAnsi="仿宋" w:eastAsia="仿宋"/>
          <w:sz w:val="32"/>
          <w:szCs w:val="32"/>
          <w:lang w:eastAsia="zh-CN"/>
        </w:rPr>
        <w:t>，也</w:t>
      </w:r>
      <w:r>
        <w:rPr>
          <w:rFonts w:hint="eastAsia" w:ascii="仿宋_GB2312" w:eastAsia="仿宋_GB2312"/>
          <w:sz w:val="32"/>
          <w:szCs w:val="32"/>
          <w:lang w:val="en"/>
        </w:rPr>
        <w:t>是医保和新农合定点医院。并起着全辖区卫生事业的龙头带动作用。</w:t>
      </w:r>
      <w:r>
        <w:rPr>
          <w:rFonts w:hint="eastAsia" w:ascii="仿宋_GB2312" w:eastAsia="仿宋_GB2312"/>
          <w:sz w:val="32"/>
          <w:szCs w:val="32"/>
          <w:lang w:val="en" w:eastAsia="zh-CN"/>
        </w:rPr>
        <w:t>辖区共</w:t>
      </w:r>
      <w:r>
        <w:rPr>
          <w:rFonts w:hint="eastAsia" w:ascii="仿宋_GB2312" w:eastAsia="仿宋_GB2312"/>
          <w:sz w:val="32"/>
          <w:szCs w:val="32"/>
          <w:lang w:val="en-US" w:eastAsia="zh-CN"/>
        </w:rPr>
        <w:t>9个村卫生室，全乡总人口</w:t>
      </w: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万人，财政基本公共卫生服务计算人口数</w:t>
      </w:r>
      <w:r>
        <w:rPr>
          <w:rFonts w:hint="eastAsia" w:ascii="仿宋" w:hAnsi="仿宋" w:eastAsia="仿宋"/>
          <w:sz w:val="32"/>
          <w:szCs w:val="32"/>
          <w:lang w:val="en-US" w:eastAsia="zh-CN"/>
        </w:rPr>
        <w:t>9172</w:t>
      </w:r>
      <w:r>
        <w:rPr>
          <w:rFonts w:hint="eastAsia" w:ascii="仿宋" w:hAnsi="仿宋" w:eastAsia="仿宋"/>
          <w:sz w:val="32"/>
          <w:szCs w:val="32"/>
        </w:rPr>
        <w:t>人。</w:t>
      </w:r>
    </w:p>
    <w:p>
      <w:pPr>
        <w:ind w:firstLine="640" w:firstLineChars="200"/>
        <w:rPr>
          <w:rFonts w:hint="eastAsia" w:ascii="仿宋" w:hAnsi="仿宋" w:eastAsia="仿宋_GB2312"/>
          <w:sz w:val="32"/>
          <w:szCs w:val="32"/>
          <w:lang w:val="en-US" w:eastAsia="zh-CN"/>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年重点工作完成情况。</w:t>
      </w:r>
      <w:bookmarkEnd w:id="18"/>
      <w:bookmarkEnd w:id="19"/>
      <w:r>
        <w:rPr>
          <w:rFonts w:hint="eastAsia" w:ascii="仿宋_GB2312" w:eastAsia="仿宋_GB2312"/>
          <w:bCs/>
          <w:sz w:val="32"/>
          <w:szCs w:val="32"/>
          <w:lang w:eastAsia="zh-CN"/>
        </w:rPr>
        <w:t>一是</w:t>
      </w:r>
      <w:r>
        <w:rPr>
          <w:rFonts w:hint="eastAsia" w:ascii="仿宋_GB2312" w:eastAsia="仿宋_GB2312"/>
          <w:bCs/>
          <w:sz w:val="32"/>
          <w:szCs w:val="32"/>
        </w:rPr>
        <w:t>不断加强管理，强化内涵建设，切实重抓医疗质量和安全管理，发展人才先行，不断优化病区环境</w:t>
      </w:r>
      <w:r>
        <w:rPr>
          <w:rFonts w:hint="eastAsia" w:ascii="仿宋_GB2312" w:eastAsia="仿宋_GB2312"/>
          <w:sz w:val="32"/>
          <w:szCs w:val="32"/>
        </w:rPr>
        <w:t>，打造让患者舒心、满意的家庭式病房，病人满意度不断提升。</w:t>
      </w:r>
      <w:r>
        <w:rPr>
          <w:rFonts w:hint="eastAsia" w:ascii="仿宋_GB2312" w:eastAsia="仿宋_GB2312"/>
          <w:bCs/>
          <w:sz w:val="32"/>
          <w:szCs w:val="32"/>
        </w:rPr>
        <w:t>高度重视安全维稳信访工作</w:t>
      </w:r>
      <w:r>
        <w:rPr>
          <w:rFonts w:hint="eastAsia" w:ascii="仿宋_GB2312" w:eastAsia="仿宋_GB2312"/>
          <w:sz w:val="32"/>
          <w:szCs w:val="32"/>
        </w:rPr>
        <w:t>，</w:t>
      </w:r>
      <w:r>
        <w:rPr>
          <w:rFonts w:hint="eastAsia" w:ascii="仿宋_GB2312" w:eastAsia="仿宋_GB2312"/>
          <w:bCs/>
          <w:sz w:val="32"/>
          <w:szCs w:val="32"/>
        </w:rPr>
        <w:t>中医工作持续推进</w:t>
      </w:r>
      <w:r>
        <w:rPr>
          <w:rFonts w:hint="eastAsia" w:ascii="仿宋_GB2312" w:eastAsia="仿宋_GB2312"/>
          <w:sz w:val="32"/>
          <w:szCs w:val="32"/>
        </w:rPr>
        <w:t>。</w:t>
      </w:r>
      <w:r>
        <w:rPr>
          <w:rFonts w:hint="eastAsia" w:ascii="仿宋_GB2312" w:eastAsia="仿宋_GB2312"/>
          <w:sz w:val="32"/>
          <w:szCs w:val="32"/>
          <w:lang w:val="en-US" w:eastAsia="zh-CN"/>
        </w:rPr>
        <w:t>二是</w:t>
      </w:r>
      <w:r>
        <w:rPr>
          <w:rFonts w:hint="eastAsia" w:ascii="仿宋_GB2312" w:eastAsia="仿宋_GB2312"/>
          <w:sz w:val="32"/>
          <w:szCs w:val="32"/>
        </w:rPr>
        <w:t>公共卫生坚持“关口前移、重心下沉、主动出击、防患于未然”的工作原则。</w:t>
      </w:r>
      <w:r>
        <w:rPr>
          <w:rFonts w:hint="eastAsia" w:ascii="仿宋" w:hAnsi="仿宋" w:eastAsia="仿宋" w:cs="仿宋"/>
          <w:sz w:val="32"/>
          <w:szCs w:val="32"/>
        </w:rPr>
        <w:t>一是按照县卫计局要求以“家庭医生”签约服务为契机全面推进基本公共卫生服务工作。</w:t>
      </w:r>
      <w:r>
        <w:rPr>
          <w:rFonts w:hint="eastAsia" w:ascii="仿宋" w:hAnsi="仿宋" w:eastAsia="仿宋" w:cs="仿宋"/>
          <w:sz w:val="32"/>
          <w:szCs w:val="32"/>
          <w:lang w:val="en-US" w:eastAsia="zh-CN"/>
        </w:rPr>
        <w:t>三</w:t>
      </w:r>
      <w:r>
        <w:rPr>
          <w:rFonts w:hint="eastAsia" w:ascii="仿宋" w:hAnsi="仿宋" w:eastAsia="仿宋" w:cs="仿宋"/>
          <w:sz w:val="32"/>
          <w:szCs w:val="32"/>
        </w:rPr>
        <w:t>是狠抓医疗服务质量</w:t>
      </w:r>
      <w:r>
        <w:rPr>
          <w:rFonts w:hint="eastAsia" w:ascii="仿宋" w:hAnsi="仿宋" w:eastAsia="仿宋" w:cs="仿宋"/>
          <w:sz w:val="32"/>
          <w:szCs w:val="32"/>
          <w:lang w:eastAsia="zh-CN"/>
        </w:rPr>
        <w:t>和安全</w:t>
      </w: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是以认真学习领会中央</w:t>
      </w:r>
      <w:bookmarkStart w:id="76" w:name="_GoBack"/>
      <w:bookmarkEnd w:id="76"/>
      <w:r>
        <w:rPr>
          <w:rFonts w:hint="eastAsia" w:ascii="仿宋" w:hAnsi="仿宋" w:eastAsia="仿宋" w:cs="仿宋"/>
          <w:sz w:val="32"/>
          <w:szCs w:val="32"/>
        </w:rPr>
        <w:t>八项规定，规范医疗行为，提升医疗队伍的业务素质能力，忠实践行“全心全意为人民服务”的宗旨。</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年我院诊疗人次</w:t>
      </w:r>
      <w:r>
        <w:rPr>
          <w:rFonts w:hint="eastAsia" w:ascii="仿宋" w:hAnsi="仿宋" w:eastAsia="仿宋"/>
          <w:sz w:val="32"/>
          <w:szCs w:val="32"/>
          <w:lang w:val="en-US" w:eastAsia="zh-CN"/>
        </w:rPr>
        <w:t>4267</w:t>
      </w:r>
      <w:r>
        <w:rPr>
          <w:rFonts w:hint="eastAsia" w:ascii="仿宋" w:hAnsi="仿宋" w:eastAsia="仿宋"/>
          <w:sz w:val="32"/>
          <w:szCs w:val="32"/>
        </w:rPr>
        <w:t>人次，收治住院病人</w:t>
      </w:r>
      <w:r>
        <w:rPr>
          <w:rFonts w:hint="eastAsia" w:ascii="仿宋" w:hAnsi="仿宋" w:eastAsia="仿宋"/>
          <w:sz w:val="32"/>
          <w:szCs w:val="32"/>
          <w:lang w:val="en-US" w:eastAsia="zh-CN"/>
        </w:rPr>
        <w:t>583</w:t>
      </w:r>
      <w:r>
        <w:rPr>
          <w:rFonts w:hint="eastAsia" w:ascii="仿宋" w:hAnsi="仿宋" w:eastAsia="仿宋"/>
          <w:sz w:val="32"/>
          <w:szCs w:val="32"/>
        </w:rPr>
        <w:t>人次，实现医疗收入</w:t>
      </w:r>
      <w:r>
        <w:rPr>
          <w:rFonts w:hint="eastAsia" w:ascii="仿宋" w:hAnsi="仿宋" w:eastAsia="仿宋"/>
          <w:sz w:val="32"/>
          <w:szCs w:val="32"/>
          <w:lang w:val="en-US" w:eastAsia="zh-CN"/>
        </w:rPr>
        <w:t>142.02</w:t>
      </w:r>
      <w:r>
        <w:rPr>
          <w:rFonts w:hint="eastAsia" w:ascii="仿宋" w:hAnsi="仿宋" w:eastAsia="仿宋"/>
          <w:sz w:val="32"/>
          <w:szCs w:val="32"/>
        </w:rPr>
        <w:t>元；居民健康建档人数</w:t>
      </w:r>
      <w:r>
        <w:rPr>
          <w:rFonts w:hint="eastAsia" w:ascii="仿宋" w:hAnsi="仿宋" w:eastAsia="仿宋"/>
          <w:sz w:val="32"/>
          <w:szCs w:val="32"/>
          <w:lang w:val="en-US" w:eastAsia="zh-CN"/>
        </w:rPr>
        <w:t>10946</w:t>
      </w:r>
      <w:r>
        <w:rPr>
          <w:rFonts w:hint="eastAsia" w:ascii="仿宋" w:hAnsi="仿宋" w:eastAsia="仿宋"/>
          <w:sz w:val="32"/>
          <w:szCs w:val="32"/>
        </w:rPr>
        <w:t>人，电子建档人数为</w:t>
      </w:r>
      <w:r>
        <w:rPr>
          <w:rFonts w:hint="eastAsia" w:ascii="仿宋" w:hAnsi="仿宋" w:eastAsia="仿宋"/>
          <w:sz w:val="32"/>
          <w:szCs w:val="32"/>
          <w:lang w:val="en-US" w:eastAsia="zh-CN"/>
        </w:rPr>
        <w:t>9472</w:t>
      </w:r>
      <w:r>
        <w:rPr>
          <w:rFonts w:hint="eastAsia" w:ascii="仿宋" w:hAnsi="仿宋" w:eastAsia="仿宋"/>
          <w:sz w:val="32"/>
          <w:szCs w:val="32"/>
        </w:rPr>
        <w:t>人，健康知识讲座受益人数达</w:t>
      </w:r>
      <w:r>
        <w:rPr>
          <w:rFonts w:hint="eastAsia" w:ascii="仿宋" w:hAnsi="仿宋" w:eastAsia="仿宋"/>
          <w:sz w:val="32"/>
          <w:szCs w:val="32"/>
          <w:lang w:val="en-US" w:eastAsia="zh-CN"/>
        </w:rPr>
        <w:t>8356</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次</w:t>
      </w:r>
      <w:r>
        <w:rPr>
          <w:rFonts w:hint="eastAsia" w:ascii="仿宋" w:hAnsi="仿宋" w:eastAsia="仿宋"/>
          <w:sz w:val="32"/>
          <w:szCs w:val="32"/>
          <w:lang w:val="en-US" w:eastAsia="zh-CN"/>
        </w:rPr>
        <w:t>健康体检975人</w:t>
      </w:r>
      <w:r>
        <w:rPr>
          <w:rFonts w:hint="eastAsia" w:ascii="仿宋_GB2312" w:hAnsi="仿宋" w:eastAsia="仿宋_GB2312"/>
          <w:sz w:val="32"/>
          <w:szCs w:val="32"/>
        </w:rPr>
        <w:t>。</w:t>
      </w:r>
      <w:r>
        <w:rPr>
          <w:rFonts w:hint="eastAsia" w:ascii="仿宋_GB2312" w:hAnsi="仿宋" w:eastAsia="仿宋_GB2312"/>
          <w:b w:val="0"/>
          <w:bCs w:val="0"/>
          <w:sz w:val="32"/>
          <w:szCs w:val="32"/>
          <w:lang w:eastAsia="zh-CN"/>
        </w:rPr>
        <w:t>健康扶贫工作三个一批信息录入全面完成，</w:t>
      </w:r>
      <w:r>
        <w:rPr>
          <w:rFonts w:hint="eastAsia" w:ascii="仿宋_GB2312" w:hAnsi="仿宋" w:eastAsia="仿宋_GB2312"/>
          <w:b w:val="0"/>
          <w:bCs w:val="0"/>
          <w:sz w:val="32"/>
          <w:szCs w:val="32"/>
          <w:lang w:val="en-US" w:eastAsia="zh-CN"/>
        </w:rPr>
        <w:t>2019年大病救治21人，慢病签约1045人</w:t>
      </w:r>
      <w:r>
        <w:rPr>
          <w:rFonts w:hint="eastAsia" w:ascii="仿宋_GB2312" w:hAnsi="仿宋" w:eastAsia="仿宋_GB2312"/>
          <w:sz w:val="32"/>
          <w:szCs w:val="32"/>
          <w:lang w:val="en-US" w:eastAsia="zh-CN"/>
        </w:rPr>
        <w:t>。</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我单位无二级决算单位，</w:t>
      </w:r>
      <w:r>
        <w:rPr>
          <w:rFonts w:hint="eastAsia" w:ascii="仿宋" w:hAnsi="仿宋" w:eastAsia="仿宋"/>
          <w:color w:val="000000"/>
          <w:sz w:val="32"/>
          <w:szCs w:val="32"/>
        </w:rPr>
        <w:t>纳入宣汉县</w:t>
      </w:r>
      <w:r>
        <w:rPr>
          <w:rFonts w:hint="eastAsia" w:ascii="仿宋" w:hAnsi="仿宋" w:eastAsia="仿宋"/>
          <w:color w:val="000000"/>
          <w:sz w:val="32"/>
          <w:szCs w:val="32"/>
          <w:lang w:val="en-US" w:eastAsia="zh-CN"/>
        </w:rPr>
        <w:t>东林乡</w:t>
      </w:r>
      <w:r>
        <w:rPr>
          <w:rFonts w:hint="eastAsia" w:ascii="仿宋" w:hAnsi="仿宋" w:eastAsia="仿宋"/>
          <w:color w:val="000000"/>
          <w:sz w:val="32"/>
          <w:szCs w:val="32"/>
        </w:rPr>
        <w:t>卫生院201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年度部门决算编制范围的只有宣汉县</w:t>
      </w:r>
      <w:r>
        <w:rPr>
          <w:rFonts w:hint="eastAsia" w:ascii="仿宋" w:hAnsi="仿宋" w:eastAsia="仿宋"/>
          <w:color w:val="000000"/>
          <w:sz w:val="32"/>
          <w:szCs w:val="32"/>
          <w:lang w:val="en-US" w:eastAsia="zh-CN"/>
        </w:rPr>
        <w:t>东林乡</w:t>
      </w:r>
      <w:r>
        <w:rPr>
          <w:rFonts w:hint="eastAsia" w:ascii="仿宋" w:hAnsi="仿宋" w:eastAsia="仿宋"/>
          <w:color w:val="000000"/>
          <w:sz w:val="32"/>
          <w:szCs w:val="32"/>
        </w:rPr>
        <w:t>卫生院独立单位。</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w:t>
      </w:r>
      <w:r>
        <w:rPr>
          <w:rStyle w:val="25"/>
          <w:rFonts w:hint="eastAsia" w:ascii="黑体" w:hAnsi="黑体" w:eastAsia="黑体"/>
          <w:b w:val="0"/>
          <w:bCs w:val="0"/>
          <w:lang w:val="en-US" w:eastAsia="zh-CN"/>
        </w:rPr>
        <w:t>9</w:t>
      </w:r>
      <w:r>
        <w:rPr>
          <w:rStyle w:val="25"/>
          <w:rFonts w:hint="eastAsia" w:ascii="黑体" w:hAnsi="黑体" w:eastAsia="黑体"/>
          <w:b w:val="0"/>
          <w:bCs w:val="0"/>
        </w:rPr>
        <w:t>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225.22</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年相比，收、支总计各减少</w:t>
      </w:r>
      <w:r>
        <w:rPr>
          <w:rFonts w:hint="eastAsia" w:ascii="仿宋" w:hAnsi="仿宋" w:eastAsia="仿宋"/>
          <w:color w:val="000000"/>
          <w:sz w:val="32"/>
          <w:szCs w:val="32"/>
          <w:lang w:val="en-US" w:eastAsia="zh-CN"/>
        </w:rPr>
        <w:t>36.06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13.8</w:t>
      </w:r>
      <w:r>
        <w:rPr>
          <w:rFonts w:ascii="仿宋" w:hAnsi="仿宋" w:eastAsia="仿宋"/>
          <w:color w:val="000000"/>
          <w:sz w:val="32"/>
          <w:szCs w:val="32"/>
        </w:rPr>
        <w:t>%</w:t>
      </w:r>
      <w:r>
        <w:rPr>
          <w:rFonts w:hint="eastAsia" w:ascii="仿宋" w:hAnsi="仿宋" w:eastAsia="仿宋"/>
          <w:color w:val="000000"/>
          <w:sz w:val="32"/>
          <w:szCs w:val="32"/>
        </w:rPr>
        <w:t>。主要变动原因是一般公共财政拨款收入和事业收入下降。</w:t>
      </w:r>
    </w:p>
    <w:p>
      <w:pPr>
        <w:snapToGrid w:val="0"/>
        <w:spacing w:line="520" w:lineRule="exact"/>
        <w:ind w:firstLine="660"/>
        <w:rPr>
          <w:rFonts w:hint="eastAsia" w:ascii="仿宋_GB2312" w:hAnsi="仿宋" w:eastAsia="宋体"/>
          <w:b/>
          <w:sz w:val="32"/>
          <w:szCs w:val="32"/>
          <w:lang w:val="en-US" w:eastAsia="zh-CN"/>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lang w:eastAsia="zh-CN"/>
        </w:rPr>
        <w:drawing>
          <wp:anchor distT="0" distB="0" distL="114300" distR="114300" simplePos="0" relativeHeight="251658240" behindDoc="0" locked="0" layoutInCell="1" allowOverlap="1">
            <wp:simplePos x="0" y="0"/>
            <wp:positionH relativeFrom="column">
              <wp:posOffset>238125</wp:posOffset>
            </wp:positionH>
            <wp:positionV relativeFrom="paragraph">
              <wp:posOffset>70485</wp:posOffset>
            </wp:positionV>
            <wp:extent cx="4794250" cy="3231515"/>
            <wp:effectExtent l="4445" t="4445" r="17145" b="1016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225.22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101.2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44.93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124.02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55.07</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drawing>
          <wp:anchor distT="0" distB="0" distL="114300" distR="114300" simplePos="0" relativeHeight="251659264" behindDoc="0" locked="0" layoutInCell="1" allowOverlap="1">
            <wp:simplePos x="0" y="0"/>
            <wp:positionH relativeFrom="column">
              <wp:posOffset>436245</wp:posOffset>
            </wp:positionH>
            <wp:positionV relativeFrom="paragraph">
              <wp:posOffset>137795</wp:posOffset>
            </wp:positionV>
            <wp:extent cx="4310380" cy="2893695"/>
            <wp:effectExtent l="4445" t="5080" r="952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225.22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225.22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sz w:val="32"/>
          <w:szCs w:val="32"/>
        </w:rPr>
        <w:drawing>
          <wp:anchor distT="0" distB="0" distL="114300" distR="114300" simplePos="0" relativeHeight="251661312" behindDoc="0" locked="0" layoutInCell="1" allowOverlap="1">
            <wp:simplePos x="0" y="0"/>
            <wp:positionH relativeFrom="column">
              <wp:posOffset>360045</wp:posOffset>
            </wp:positionH>
            <wp:positionV relativeFrom="paragraph">
              <wp:posOffset>515620</wp:posOffset>
            </wp:positionV>
            <wp:extent cx="4310380" cy="2657475"/>
            <wp:effectExtent l="4445" t="5080" r="9525" b="444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FF0000"/>
          <w:sz w:val="32"/>
          <w:szCs w:val="32"/>
        </w:rPr>
        <w:t>四、财</w:t>
      </w:r>
      <w:r>
        <w:rPr>
          <w:rStyle w:val="26"/>
          <w:rFonts w:hint="eastAsia" w:ascii="黑体" w:hAnsi="黑体" w:eastAsia="黑体"/>
          <w:b w:val="0"/>
          <w:color w:val="FF000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101.2</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年相比，财政拨款收、支总计各</w:t>
      </w:r>
      <w:r>
        <w:rPr>
          <w:rFonts w:hint="eastAsia" w:ascii="仿宋" w:hAnsi="仿宋" w:eastAsia="仿宋"/>
          <w:color w:val="000000"/>
          <w:sz w:val="32"/>
          <w:szCs w:val="32"/>
          <w:lang w:val="en-US" w:eastAsia="zh-CN"/>
        </w:rPr>
        <w:t>增加21.88</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上升21.62</w:t>
      </w:r>
      <w:r>
        <w:rPr>
          <w:rFonts w:ascii="仿宋" w:hAnsi="仿宋" w:eastAsia="仿宋"/>
          <w:color w:val="000000"/>
          <w:sz w:val="32"/>
          <w:szCs w:val="32"/>
        </w:rPr>
        <w:t>%</w:t>
      </w:r>
      <w:r>
        <w:rPr>
          <w:rFonts w:hint="eastAsia" w:ascii="仿宋" w:hAnsi="仿宋" w:eastAsia="仿宋"/>
          <w:color w:val="000000"/>
          <w:sz w:val="32"/>
          <w:szCs w:val="32"/>
        </w:rPr>
        <w:t>。主要变动原因是一般公共财政拨款收入</w:t>
      </w:r>
      <w:r>
        <w:rPr>
          <w:rFonts w:hint="eastAsia" w:ascii="仿宋" w:hAnsi="仿宋" w:eastAsia="仿宋"/>
          <w:color w:val="000000"/>
          <w:sz w:val="32"/>
          <w:szCs w:val="32"/>
          <w:lang w:val="en-US" w:eastAsia="zh-CN"/>
        </w:rPr>
        <w:t>增加</w:t>
      </w:r>
      <w:r>
        <w:rPr>
          <w:rFonts w:hint="eastAsia" w:ascii="仿宋" w:hAnsi="仿宋" w:eastAsia="仿宋"/>
          <w:color w:val="000000"/>
          <w:sz w:val="32"/>
          <w:szCs w:val="32"/>
          <w:lang w:eastAsia="zh-CN"/>
        </w:rPr>
        <w:t>。</w:t>
      </w: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rPr>
          <w:rFonts w:ascii="仿宋" w:hAnsi="仿宋" w:eastAsia="仿宋"/>
          <w:b/>
          <w:color w:val="00B050"/>
          <w:sz w:val="32"/>
          <w:szCs w:val="32"/>
        </w:rPr>
      </w:pPr>
      <w:r>
        <w:rPr>
          <w:rFonts w:hint="eastAsia" w:ascii="黑体" w:hAnsi="黑体" w:eastAsia="黑体"/>
          <w:color w:val="000000"/>
          <w:sz w:val="32"/>
          <w:szCs w:val="32"/>
          <w:lang w:eastAsia="zh-CN"/>
        </w:rPr>
        <w:drawing>
          <wp:anchor distT="0" distB="0" distL="114300" distR="114300" simplePos="0" relativeHeight="251680768" behindDoc="0" locked="0" layoutInCell="1" allowOverlap="1">
            <wp:simplePos x="0" y="0"/>
            <wp:positionH relativeFrom="column">
              <wp:posOffset>-138430</wp:posOffset>
            </wp:positionH>
            <wp:positionV relativeFrom="paragraph">
              <wp:posOffset>70485</wp:posOffset>
            </wp:positionV>
            <wp:extent cx="4794250" cy="3231515"/>
            <wp:effectExtent l="4445" t="4445" r="20955" b="2159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FF0000"/>
          <w:sz w:val="32"/>
          <w:szCs w:val="32"/>
        </w:rPr>
      </w:pPr>
      <w:bookmarkStart w:id="34" w:name="_Toc15377210"/>
      <w:r>
        <w:rPr>
          <w:rFonts w:hint="eastAsia" w:ascii="仿宋" w:hAnsi="仿宋" w:eastAsia="仿宋"/>
          <w:b/>
          <w:color w:val="FF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101.2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44.93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val="en-US" w:eastAsia="zh-CN"/>
        </w:rPr>
        <w:t>增加21.88</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上升21.62</w:t>
      </w:r>
      <w:r>
        <w:rPr>
          <w:rFonts w:ascii="仿宋" w:hAnsi="仿宋" w:eastAsia="仿宋"/>
          <w:color w:val="000000"/>
          <w:sz w:val="32"/>
          <w:szCs w:val="32"/>
        </w:rPr>
        <w:t>%</w:t>
      </w:r>
      <w:r>
        <w:rPr>
          <w:rFonts w:hint="eastAsia" w:ascii="仿宋" w:hAnsi="仿宋" w:eastAsia="仿宋"/>
          <w:color w:val="000000"/>
          <w:sz w:val="32"/>
          <w:szCs w:val="32"/>
        </w:rPr>
        <w:t>。主要变动原因是一般公共财政拨款收入</w:t>
      </w:r>
      <w:r>
        <w:rPr>
          <w:rFonts w:hint="eastAsia" w:ascii="仿宋" w:hAnsi="仿宋" w:eastAsia="仿宋"/>
          <w:color w:val="000000"/>
          <w:sz w:val="32"/>
          <w:szCs w:val="32"/>
          <w:lang w:val="en-US" w:eastAsia="zh-CN"/>
        </w:rPr>
        <w:t>增加</w:t>
      </w:r>
      <w:r>
        <w:rPr>
          <w:rFonts w:hint="eastAsia" w:ascii="仿宋" w:hAnsi="仿宋" w:eastAsia="仿宋"/>
          <w:color w:val="000000"/>
          <w:sz w:val="32"/>
          <w:szCs w:val="32"/>
        </w:rPr>
        <w:t>，所以一般公共财政拨款支出相应</w:t>
      </w:r>
      <w:r>
        <w:rPr>
          <w:rFonts w:hint="eastAsia" w:ascii="仿宋" w:hAnsi="仿宋" w:eastAsia="仿宋"/>
          <w:color w:val="000000"/>
          <w:sz w:val="32"/>
          <w:szCs w:val="32"/>
          <w:lang w:val="en-US" w:eastAsia="zh-CN"/>
        </w:rPr>
        <w:t>增加</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b/>
          <w:color w:val="000000"/>
          <w:sz w:val="32"/>
          <w:szCs w:val="32"/>
        </w:rPr>
      </w:pPr>
      <w:bookmarkStart w:id="35" w:name="_Toc15377211"/>
      <w:r>
        <w:rPr>
          <w:rFonts w:hint="eastAsia" w:ascii="黑体" w:hAnsi="黑体" w:eastAsia="黑体"/>
          <w:color w:val="000000"/>
          <w:sz w:val="32"/>
          <w:szCs w:val="32"/>
          <w:lang w:eastAsia="zh-CN"/>
        </w:rPr>
        <w:drawing>
          <wp:anchor distT="0" distB="0" distL="114300" distR="114300" simplePos="0" relativeHeight="251667456" behindDoc="0" locked="0" layoutInCell="1" allowOverlap="1">
            <wp:simplePos x="0" y="0"/>
            <wp:positionH relativeFrom="column">
              <wp:posOffset>290830</wp:posOffset>
            </wp:positionH>
            <wp:positionV relativeFrom="paragraph">
              <wp:posOffset>125730</wp:posOffset>
            </wp:positionV>
            <wp:extent cx="4794250" cy="2492375"/>
            <wp:effectExtent l="4445" t="4445" r="20955" b="1778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lang w:val="en-US"/>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101.2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101.2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b/>
          <w:color w:val="000000" w:themeColor="text1"/>
          <w:sz w:val="32"/>
          <w:szCs w:val="32"/>
          <w:lang w:val="en-US" w:eastAsia="zh-CN"/>
          <w14:textFill>
            <w14:solidFill>
              <w14:schemeClr w14:val="tx1"/>
            </w14:solidFill>
          </w14:textFill>
        </w:rPr>
        <w:t>208</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210</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101.2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8480" behindDoc="0" locked="0" layoutInCell="1" allowOverlap="1">
            <wp:simplePos x="0" y="0"/>
            <wp:positionH relativeFrom="column">
              <wp:posOffset>252095</wp:posOffset>
            </wp:positionH>
            <wp:positionV relativeFrom="paragraph">
              <wp:posOffset>758825</wp:posOffset>
            </wp:positionV>
            <wp:extent cx="4709795" cy="2572385"/>
            <wp:effectExtent l="4445" t="4445" r="10160" b="1397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themeColor="text1"/>
          <w:sz w:val="32"/>
          <w:szCs w:val="32"/>
          <w:lang w:val="en-US"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101.2万元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 xml:space="preserve"> 1</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w:t>
      </w:r>
      <w:r>
        <w:rPr>
          <w:rStyle w:val="15"/>
          <w:rFonts w:hint="eastAsia" w:ascii="仿宋_GB2312" w:eastAsia="仿宋_GB2312"/>
          <w:color w:val="000000"/>
          <w:sz w:val="32"/>
          <w:szCs w:val="32"/>
        </w:rPr>
        <w:t>医疗保障</w:t>
      </w:r>
      <w:r>
        <w:rPr>
          <w:rStyle w:val="15"/>
          <w:rFonts w:hint="eastAsia" w:ascii="仿宋" w:hAnsi="仿宋" w:eastAsia="仿宋"/>
          <w:bCs/>
          <w:color w:val="000000"/>
          <w:sz w:val="32"/>
          <w:szCs w:val="32"/>
        </w:rPr>
        <w:t>（款）</w:t>
      </w:r>
      <w:r>
        <w:rPr>
          <w:rStyle w:val="15"/>
          <w:rFonts w:hint="eastAsia" w:ascii="仿宋_GB2312" w:eastAsia="仿宋_GB2312"/>
          <w:color w:val="000000"/>
          <w:sz w:val="32"/>
          <w:szCs w:val="32"/>
        </w:rPr>
        <w:t>乡镇卫生院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万元，决算数等于预算数。</w:t>
      </w:r>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医疗卫生与计划生育（类）</w:t>
      </w:r>
      <w:r>
        <w:rPr>
          <w:rStyle w:val="15"/>
          <w:rFonts w:hint="eastAsia" w:ascii="仿宋_GB2312" w:eastAsia="仿宋_GB2312"/>
          <w:color w:val="000000"/>
          <w:sz w:val="32"/>
          <w:szCs w:val="32"/>
        </w:rPr>
        <w:t>基层医疗卫生机构</w:t>
      </w:r>
      <w:r>
        <w:rPr>
          <w:rStyle w:val="15"/>
          <w:rFonts w:hint="eastAsia" w:ascii="仿宋" w:hAnsi="仿宋" w:eastAsia="仿宋"/>
          <w:bCs/>
          <w:color w:val="000000"/>
          <w:sz w:val="32"/>
          <w:szCs w:val="32"/>
        </w:rPr>
        <w:t>（款）</w:t>
      </w:r>
      <w:r>
        <w:rPr>
          <w:rStyle w:val="15"/>
          <w:rFonts w:hint="eastAsia" w:ascii="仿宋_GB2312" w:eastAsia="仿宋_GB2312"/>
          <w:color w:val="000000"/>
          <w:sz w:val="32"/>
          <w:szCs w:val="32"/>
        </w:rPr>
        <w:t>乡镇卫生院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101.2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101.2</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37.51</w:t>
      </w:r>
      <w:r>
        <w:rPr>
          <w:rFonts w:hint="eastAsia" w:ascii="仿宋" w:hAnsi="仿宋" w:eastAsia="仿宋"/>
          <w:color w:val="auto"/>
          <w:sz w:val="32"/>
          <w:szCs w:val="32"/>
        </w:rPr>
        <w:t>万元</w:t>
      </w:r>
      <w:r>
        <w:rPr>
          <w:rFonts w:hint="eastAsia" w:ascii="仿宋" w:hAnsi="仿宋" w:eastAsia="仿宋"/>
          <w:color w:val="000000"/>
          <w:sz w:val="32"/>
          <w:szCs w:val="32"/>
        </w:rPr>
        <w:t>，主要包括：基本工资、津贴补贴、奖金、伙食补助费、绩效工资、机关事业单位基本养老保险缴费、职业年金缴费、其他社会保障缴费、其他工资福利支出</w:t>
      </w:r>
      <w:r>
        <w:rPr>
          <w:rFonts w:hint="eastAsia" w:ascii="仿宋" w:hAnsi="仿宋" w:eastAsia="仿宋"/>
          <w:color w:val="000000"/>
          <w:sz w:val="32"/>
          <w:szCs w:val="32"/>
          <w:lang w:eastAsia="zh-CN"/>
        </w:rPr>
        <w:t>、</w:t>
      </w:r>
      <w:r>
        <w:rPr>
          <w:rFonts w:hint="eastAsia" w:ascii="仿宋" w:hAnsi="仿宋" w:eastAsia="仿宋"/>
          <w:color w:val="000000"/>
          <w:sz w:val="32"/>
          <w:szCs w:val="32"/>
        </w:rPr>
        <w:t>离休费、退休费、抚恤金、生活补助、医疗费、奖励金、住房公积金、提租补贴、购房补贴、其他对个人和家庭的补助支出等。　</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63.69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Style w:val="26"/>
          <w:rFonts w:ascii="黑体" w:hAnsi="黑体" w:eastAsia="黑体"/>
          <w:b w:val="0"/>
        </w:rPr>
      </w:pPr>
      <w:bookmarkStart w:id="42" w:name="_Toc15377215"/>
      <w:bookmarkStart w:id="43" w:name="_Toc15396609"/>
      <w:r>
        <w:rPr>
          <w:rFonts w:hint="eastAsia" w:ascii="仿宋" w:hAnsi="仿宋" w:eastAsia="仿宋"/>
          <w:color w:val="000000"/>
          <w:sz w:val="32"/>
          <w:szCs w:val="32"/>
          <w:lang w:val="en-US" w:eastAsia="zh-CN"/>
        </w:rPr>
        <w:t xml:space="preserve"> </w:t>
      </w:r>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w:t>
      </w:r>
      <w:r>
        <w:rPr>
          <w:rFonts w:hint="eastAsia" w:ascii="仿宋" w:hAnsi="仿宋" w:eastAsia="仿宋"/>
          <w:color w:val="auto"/>
          <w:sz w:val="32"/>
          <w:szCs w:val="32"/>
        </w:rPr>
        <w:t>算为</w:t>
      </w:r>
      <w:r>
        <w:rPr>
          <w:rFonts w:hint="eastAsia" w:ascii="仿宋" w:hAnsi="仿宋" w:eastAsia="仿宋"/>
          <w:color w:val="auto"/>
          <w:sz w:val="32"/>
          <w:szCs w:val="32"/>
          <w:lang w:val="en-US" w:eastAsia="zh-CN"/>
        </w:rPr>
        <w:t>4.01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年“三公”经费财政拨款支出决算中，公务用车购置及运行维护费支出决算</w:t>
      </w:r>
      <w:r>
        <w:rPr>
          <w:rFonts w:hint="eastAsia" w:ascii="仿宋" w:hAnsi="仿宋" w:eastAsia="仿宋"/>
          <w:color w:val="000000"/>
          <w:sz w:val="32"/>
          <w:szCs w:val="32"/>
          <w:lang w:val="en-US" w:eastAsia="zh-CN"/>
        </w:rPr>
        <w:t>1.49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37.16</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62.84</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bidi w:val="0"/>
        <w:jc w:val="left"/>
        <w:rPr>
          <w:rFonts w:hint="eastAsia"/>
          <w:lang w:val="en-US" w:eastAsia="zh-CN"/>
        </w:rPr>
      </w:pPr>
    </w:p>
    <w:p>
      <w:pPr>
        <w:spacing w:line="600" w:lineRule="exact"/>
        <w:ind w:firstLine="640"/>
        <w:rPr>
          <w:rFonts w:ascii="仿宋_GB2312" w:eastAsia="仿宋_GB2312"/>
          <w:b/>
          <w:color w:val="000000"/>
          <w:sz w:val="32"/>
          <w:szCs w:val="32"/>
          <w:lang w:val="en-US"/>
        </w:rPr>
      </w:pPr>
      <w:r>
        <w:rPr>
          <w:rFonts w:hint="eastAsia" w:ascii="仿宋" w:hAnsi="仿宋" w:eastAsia="仿宋"/>
          <w:color w:val="000000"/>
          <w:sz w:val="32"/>
          <w:szCs w:val="32"/>
          <w:lang w:eastAsia="zh-CN"/>
        </w:rPr>
        <w:drawing>
          <wp:anchor distT="0" distB="0" distL="114300" distR="114300" simplePos="0" relativeHeight="251726848" behindDoc="0" locked="0" layoutInCell="1" allowOverlap="1">
            <wp:simplePos x="0" y="0"/>
            <wp:positionH relativeFrom="column">
              <wp:posOffset>1052195</wp:posOffset>
            </wp:positionH>
            <wp:positionV relativeFrom="paragraph">
              <wp:posOffset>166370</wp:posOffset>
            </wp:positionV>
            <wp:extent cx="3871595" cy="2239010"/>
            <wp:effectExtent l="4445" t="5080" r="10160" b="2286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1.49</w:t>
      </w:r>
      <w:r>
        <w:rPr>
          <w:rFonts w:hint="eastAsia" w:ascii="仿宋_GB2312" w:eastAsia="仿宋_GB2312"/>
          <w:color w:val="000000"/>
          <w:sz w:val="32"/>
          <w:szCs w:val="32"/>
        </w:rPr>
        <w:t>万元。主要用于医疗救护及基本公共卫生服务下村体检及“</w:t>
      </w:r>
      <w:r>
        <w:rPr>
          <w:rFonts w:hint="eastAsia" w:ascii="仿宋_GB2312" w:eastAsia="仿宋_GB2312"/>
          <w:color w:val="000000"/>
          <w:sz w:val="32"/>
          <w:szCs w:val="32"/>
          <w:lang w:val="en-US" w:eastAsia="zh-CN"/>
        </w:rPr>
        <w:t>家庭医生签约服务</w:t>
      </w:r>
      <w:r>
        <w:rPr>
          <w:rFonts w:hint="eastAsia" w:ascii="仿宋_GB2312" w:eastAsia="仿宋_GB2312"/>
          <w:color w:val="000000"/>
          <w:sz w:val="32"/>
          <w:szCs w:val="32"/>
        </w:rPr>
        <w:t>”团队等所需的公务用车燃料费、维修费、过路过桥费、保险费等支出。</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lang w:val="en-US" w:eastAsia="zh-CN"/>
        </w:rPr>
        <w:t>2</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2.52</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103</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2.52</w:t>
      </w:r>
      <w:r>
        <w:rPr>
          <w:rFonts w:hint="eastAsia" w:ascii="仿宋_GB2312" w:eastAsia="仿宋_GB2312"/>
          <w:color w:val="000000"/>
          <w:sz w:val="32"/>
          <w:szCs w:val="32"/>
        </w:rPr>
        <w:t>万元，具体内容包括：上级部门检查指导工作公务接待，各类医疗业务单位相互学习交流工作接待等。其中：</w:t>
      </w:r>
    </w:p>
    <w:p>
      <w:pPr>
        <w:spacing w:line="600" w:lineRule="exact"/>
        <w:outlineLvl w:val="1"/>
        <w:rPr>
          <w:rStyle w:val="26"/>
          <w:rFonts w:ascii="黑体" w:hAnsi="黑体" w:eastAsia="黑体"/>
        </w:rPr>
      </w:pPr>
      <w:bookmarkStart w:id="46" w:name="_Toc15377218"/>
      <w:bookmarkStart w:id="47" w:name="_Toc15396610"/>
      <w:r>
        <w:rPr>
          <w:rFonts w:hint="eastAsia" w:ascii="仿宋" w:hAnsi="仿宋" w:eastAsia="仿宋"/>
          <w:b/>
          <w:color w:val="000000"/>
          <w:sz w:val="32"/>
          <w:szCs w:val="32"/>
          <w:lang w:val="en-US" w:eastAsia="zh-CN"/>
        </w:rPr>
        <w:t xml:space="preserve"> </w:t>
      </w:r>
      <w:r>
        <w:rPr>
          <w:rFonts w:hint="eastAsia" w:ascii="黑体" w:eastAsia="黑体"/>
          <w:color w:val="000000"/>
          <w:sz w:val="32"/>
          <w:szCs w:val="32"/>
          <w:lang w:val="en-US" w:eastAsia="zh-CN"/>
        </w:rPr>
        <w:t xml:space="preserve">    </w:t>
      </w: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val="en-US" w:eastAsia="zh-CN"/>
        </w:rPr>
        <w:t>东林乡</w:t>
      </w:r>
      <w:r>
        <w:rPr>
          <w:rFonts w:hint="eastAsia" w:ascii="仿宋_GB2312" w:eastAsia="仿宋_GB2312"/>
          <w:color w:val="000000"/>
          <w:sz w:val="32"/>
          <w:szCs w:val="32"/>
        </w:rPr>
        <w:t>卫生院</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年没有政府性基金预算拨款支出</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val="en-US" w:eastAsia="zh-CN"/>
        </w:rPr>
        <w:t>东林乡</w:t>
      </w:r>
      <w:r>
        <w:rPr>
          <w:rFonts w:hint="eastAsia" w:ascii="仿宋_GB2312" w:eastAsia="仿宋_GB2312"/>
          <w:color w:val="000000"/>
          <w:sz w:val="32"/>
          <w:szCs w:val="32"/>
        </w:rPr>
        <w:t>卫生院</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年没有国有资本经营预算拨款支出。</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pStyle w:val="24"/>
        <w:numPr>
          <w:ilvl w:val="0"/>
          <w:numId w:val="0"/>
        </w:numPr>
        <w:spacing w:line="580" w:lineRule="exact"/>
        <w:ind w:left="709" w:leftChars="0"/>
        <w:rPr>
          <w:rStyle w:val="26"/>
          <w:rFonts w:ascii="黑体" w:hAnsi="黑体" w:eastAsia="黑体"/>
          <w:b w:val="0"/>
        </w:rPr>
      </w:pPr>
      <w:r>
        <w:rPr>
          <w:rFonts w:hint="eastAsia" w:ascii="仿宋_GB2312" w:hAnsi="仿宋_GB2312" w:eastAsia="仿宋_GB2312" w:cs="仿宋_GB2312"/>
          <w:sz w:val="32"/>
          <w:szCs w:val="32"/>
        </w:rPr>
        <w:t>本单位在201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年无项目支出。</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77221"/>
      <w:bookmarkStart w:id="51" w:name="_Toc15396612"/>
      <w:bookmarkStart w:id="52" w:name="_Toc15396613"/>
      <w:bookmarkStart w:id="53" w:name="_Toc15377225"/>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4" w:name="_Toc15377222"/>
      <w:r>
        <w:rPr>
          <w:rFonts w:hint="eastAsia" w:ascii="仿宋" w:hAnsi="仿宋" w:eastAsia="仿宋"/>
          <w:b/>
          <w:color w:val="000000"/>
          <w:sz w:val="32"/>
          <w:szCs w:val="32"/>
        </w:rPr>
        <w:t>（一）机关运行经费支出情况</w:t>
      </w:r>
      <w:bookmarkEnd w:id="54"/>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宣汉县</w:t>
      </w:r>
      <w:r>
        <w:rPr>
          <w:rFonts w:hint="eastAsia" w:ascii="仿宋_GB2312" w:eastAsia="仿宋_GB2312"/>
          <w:color w:val="000000"/>
          <w:sz w:val="32"/>
          <w:szCs w:val="32"/>
          <w:lang w:val="en-US" w:eastAsia="zh-CN"/>
        </w:rPr>
        <w:t>东林</w:t>
      </w:r>
      <w:r>
        <w:rPr>
          <w:rFonts w:hint="eastAsia" w:ascii="仿宋_GB2312" w:eastAsia="仿宋_GB2312"/>
          <w:color w:val="000000"/>
          <w:sz w:val="32"/>
          <w:szCs w:val="32"/>
          <w:lang w:eastAsia="zh-CN"/>
        </w:rPr>
        <w:t>乡卫生院</w:t>
      </w:r>
      <w:r>
        <w:rPr>
          <w:rFonts w:hint="eastAsia" w:ascii="仿宋_GB2312" w:eastAsia="仿宋_GB2312"/>
          <w:color w:val="000000"/>
          <w:sz w:val="32"/>
          <w:szCs w:val="32"/>
        </w:rPr>
        <w:t>运行经费支出</w:t>
      </w:r>
      <w:r>
        <w:rPr>
          <w:rFonts w:hint="eastAsia" w:ascii="仿宋_GB2312" w:eastAsia="仿宋_GB2312"/>
          <w:color w:val="000000"/>
          <w:sz w:val="32"/>
          <w:szCs w:val="32"/>
          <w:lang w:val="en-US" w:eastAsia="zh-CN"/>
        </w:rPr>
        <w:t>225.22</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36.06</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13.88</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部分指标滚如下年。</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highlight w:val="none"/>
        </w:rPr>
      </w:pPr>
      <w:bookmarkStart w:id="55" w:name="_Toc15377223"/>
      <w:r>
        <w:rPr>
          <w:rFonts w:hint="eastAsia" w:ascii="仿宋" w:hAnsi="仿宋" w:eastAsia="仿宋"/>
          <w:b/>
          <w:color w:val="000000"/>
          <w:sz w:val="32"/>
          <w:szCs w:val="32"/>
          <w:highlight w:val="none"/>
        </w:rPr>
        <w:t>（二）政府采购支出情况</w:t>
      </w:r>
      <w:bookmarkEnd w:id="55"/>
    </w:p>
    <w:p>
      <w:pPr>
        <w:pStyle w:val="24"/>
        <w:numPr>
          <w:ilvl w:val="0"/>
          <w:numId w:val="0"/>
        </w:numPr>
        <w:spacing w:line="580" w:lineRule="exact"/>
        <w:ind w:left="709" w:leftChars="0"/>
        <w:rPr>
          <w:rStyle w:val="26"/>
          <w:rFonts w:ascii="黑体" w:hAnsi="黑体" w:eastAsia="黑体"/>
          <w:b w:val="0"/>
        </w:rPr>
      </w:pPr>
      <w:r>
        <w:rPr>
          <w:rFonts w:hint="eastAsia" w:ascii="仿宋_GB2312" w:hAnsi="仿宋_GB2312" w:eastAsia="仿宋_GB2312" w:cs="仿宋_GB2312"/>
          <w:sz w:val="32"/>
          <w:szCs w:val="32"/>
        </w:rPr>
        <w:t>本单位在201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年无</w:t>
      </w:r>
      <w:r>
        <w:rPr>
          <w:rFonts w:hint="eastAsia" w:ascii="仿宋_GB2312" w:hAnsi="仿宋_GB2312" w:eastAsia="仿宋_GB2312" w:cs="仿宋_GB2312"/>
          <w:sz w:val="32"/>
          <w:szCs w:val="32"/>
          <w:lang w:val="en-US" w:eastAsia="zh-CN"/>
        </w:rPr>
        <w:t>政府采购</w:t>
      </w:r>
      <w:r>
        <w:rPr>
          <w:rFonts w:hint="eastAsia" w:ascii="仿宋_GB2312" w:hAnsi="仿宋_GB2312" w:eastAsia="仿宋_GB2312" w:cs="仿宋_GB2312"/>
          <w:sz w:val="32"/>
          <w:szCs w:val="32"/>
        </w:rPr>
        <w:t>项目支出。</w:t>
      </w:r>
    </w:p>
    <w:p>
      <w:pPr>
        <w:spacing w:line="600" w:lineRule="exact"/>
        <w:ind w:firstLine="640" w:firstLineChars="200"/>
        <w:rPr>
          <w:rFonts w:ascii="仿宋_GB2312" w:eastAsia="仿宋_GB2312"/>
          <w:color w:val="000000"/>
          <w:sz w:val="32"/>
          <w:szCs w:val="32"/>
          <w:highlight w:val="none"/>
        </w:rPr>
      </w:pP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6" w:name="_Toc15377224"/>
      <w:r>
        <w:rPr>
          <w:rFonts w:hint="eastAsia" w:ascii="仿宋" w:hAnsi="仿宋" w:eastAsia="仿宋"/>
          <w:b/>
          <w:color w:val="000000"/>
          <w:sz w:val="32"/>
          <w:szCs w:val="32"/>
        </w:rPr>
        <w:t>（三）国有资产占有使用情况</w:t>
      </w:r>
      <w:bookmarkEnd w:id="56"/>
    </w:p>
    <w:p>
      <w:pPr>
        <w:autoSpaceDE w:val="0"/>
        <w:autoSpaceDN w:val="0"/>
        <w:adjustRightInd w:val="0"/>
        <w:spacing w:line="600" w:lineRule="exact"/>
        <w:ind w:left="643" w:leftChars="306" w:firstLine="480" w:firstLineChars="150"/>
        <w:jc w:val="left"/>
        <w:rPr>
          <w:rFonts w:ascii="仿宋_GB2312" w:eastAsia="仿宋_GB2312"/>
          <w:color w:val="000000"/>
          <w:sz w:val="32"/>
          <w:szCs w:val="32"/>
        </w:rPr>
      </w:pPr>
      <w:r>
        <w:rPr>
          <w:rFonts w:hint="eastAsia" w:ascii="仿宋_GB2312" w:eastAsia="仿宋_GB2312"/>
          <w:color w:val="000000"/>
          <w:sz w:val="32"/>
          <w:szCs w:val="32"/>
        </w:rPr>
        <w:t>截至201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年12月31日，</w:t>
      </w:r>
      <w:r>
        <w:rPr>
          <w:rFonts w:hint="eastAsia" w:ascii="宋体" w:hAnsi="宋体"/>
          <w:color w:val="000000"/>
          <w:sz w:val="32"/>
          <w:szCs w:val="32"/>
        </w:rPr>
        <w:t>救护车1辆，单价</w:t>
      </w:r>
      <w:r>
        <w:rPr>
          <w:rFonts w:hint="eastAsia" w:ascii="宋体" w:hAnsi="宋体"/>
          <w:color w:val="000000"/>
          <w:sz w:val="32"/>
          <w:szCs w:val="32"/>
          <w:lang w:val="en-US" w:eastAsia="zh-CN"/>
        </w:rPr>
        <w:t>5.8</w:t>
      </w:r>
      <w:r>
        <w:rPr>
          <w:rFonts w:hint="eastAsia" w:ascii="宋体" w:hAnsi="宋体"/>
          <w:color w:val="000000"/>
          <w:sz w:val="32"/>
          <w:szCs w:val="32"/>
        </w:rPr>
        <w:t>万元，已使用</w:t>
      </w:r>
      <w:r>
        <w:rPr>
          <w:rFonts w:hint="eastAsia" w:ascii="宋体" w:hAnsi="宋体"/>
          <w:color w:val="000000"/>
          <w:sz w:val="32"/>
          <w:szCs w:val="32"/>
          <w:lang w:eastAsia="zh-CN"/>
        </w:rPr>
        <w:t>多</w:t>
      </w:r>
      <w:r>
        <w:rPr>
          <w:rFonts w:hint="eastAsia" w:ascii="宋体" w:hAnsi="宋体"/>
          <w:color w:val="000000"/>
          <w:sz w:val="32"/>
          <w:szCs w:val="32"/>
        </w:rPr>
        <w:t>年，经多次维修</w:t>
      </w:r>
      <w:r>
        <w:rPr>
          <w:rFonts w:hint="eastAsia" w:ascii="宋体" w:hAnsi="宋体"/>
          <w:color w:val="000000"/>
          <w:sz w:val="32"/>
          <w:szCs w:val="32"/>
          <w:lang w:eastAsia="zh-CN"/>
        </w:rPr>
        <w:t>年末</w:t>
      </w:r>
      <w:r>
        <w:rPr>
          <w:rFonts w:hint="eastAsia" w:ascii="宋体" w:hAnsi="宋体"/>
          <w:color w:val="000000"/>
          <w:sz w:val="32"/>
          <w:szCs w:val="32"/>
        </w:rPr>
        <w:t>已经</w:t>
      </w:r>
      <w:r>
        <w:rPr>
          <w:rFonts w:hint="eastAsia" w:ascii="宋体" w:hAnsi="宋体"/>
          <w:color w:val="000000"/>
          <w:sz w:val="32"/>
          <w:szCs w:val="32"/>
          <w:lang w:eastAsia="zh-CN"/>
        </w:rPr>
        <w:t>停止使用</w:t>
      </w:r>
      <w:r>
        <w:rPr>
          <w:rFonts w:hint="eastAsia" w:ascii="仿宋_GB2312" w:eastAsia="仿宋_GB2312"/>
          <w:color w:val="000000"/>
          <w:sz w:val="32"/>
          <w:szCs w:val="32"/>
        </w:rPr>
        <w:t>。</w:t>
      </w:r>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按照上级安排部署，认真开展此项目，正在进行中。</w:t>
      </w:r>
    </w:p>
    <w:p>
      <w:pPr>
        <w:numPr>
          <w:ilvl w:val="0"/>
          <w:numId w:val="4"/>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本单位在201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年无项目支出</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无</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宣汉县</w:t>
            </w:r>
            <w:r>
              <w:rPr>
                <w:rFonts w:hint="eastAsia" w:ascii="宋体" w:hAnsi="宋体" w:cs="宋体"/>
                <w:color w:val="000000"/>
                <w:kern w:val="0"/>
                <w:sz w:val="24"/>
                <w:lang w:val="en-US" w:eastAsia="zh-CN"/>
              </w:rPr>
              <w:t>东林</w:t>
            </w:r>
            <w:r>
              <w:rPr>
                <w:rFonts w:hint="eastAsia" w:ascii="宋体" w:hAnsi="宋体" w:cs="宋体"/>
                <w:color w:val="000000"/>
                <w:kern w:val="0"/>
                <w:sz w:val="24"/>
                <w:lang w:eastAsia="zh-CN"/>
              </w:rPr>
              <w:t>乡卫生院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val="en-US" w:eastAsia="zh-CN"/>
        </w:rPr>
        <w:t>东林</w:t>
      </w:r>
      <w:r>
        <w:rPr>
          <w:rFonts w:hint="eastAsia" w:ascii="仿宋_GB2312" w:hAnsi="仿宋_GB2312" w:eastAsia="仿宋_GB2312" w:cs="仿宋_GB2312"/>
          <w:sz w:val="32"/>
          <w:szCs w:val="32"/>
          <w:lang w:eastAsia="zh-CN"/>
        </w:rPr>
        <w:t>乡卫生院</w:t>
      </w:r>
      <w:r>
        <w:rPr>
          <w:rFonts w:hint="eastAsia" w:ascii="仿宋_GB2312" w:hAnsi="仿宋_GB2312" w:eastAsia="仿宋_GB2312" w:cs="仿宋_GB2312"/>
          <w:sz w:val="32"/>
          <w:szCs w:val="32"/>
        </w:rPr>
        <w:t>2019年部门整体支出绩效评价报告》见附件（附件1）。</w:t>
      </w:r>
    </w:p>
    <w:p>
      <w:pPr>
        <w:spacing w:line="580" w:lineRule="exact"/>
        <w:ind w:firstLine="640" w:firstLineChars="200"/>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tbl>
      <w:tblPr>
        <w:tblStyle w:val="13"/>
        <w:tblW w:w="19820" w:type="dxa"/>
        <w:tblInd w:w="0" w:type="dxa"/>
        <w:shd w:val="clear" w:color="auto" w:fill="auto"/>
        <w:tblLayout w:type="fixed"/>
        <w:tblCellMar>
          <w:top w:w="0" w:type="dxa"/>
          <w:left w:w="0" w:type="dxa"/>
          <w:bottom w:w="0" w:type="dxa"/>
          <w:right w:w="0" w:type="dxa"/>
        </w:tblCellMar>
      </w:tblPr>
      <w:tblGrid>
        <w:gridCol w:w="927"/>
        <w:gridCol w:w="1172"/>
        <w:gridCol w:w="240"/>
        <w:gridCol w:w="2623"/>
        <w:gridCol w:w="1530"/>
        <w:gridCol w:w="1065"/>
        <w:gridCol w:w="1140"/>
        <w:gridCol w:w="1800"/>
        <w:gridCol w:w="1800"/>
        <w:gridCol w:w="7523"/>
      </w:tblGrid>
      <w:tr>
        <w:tblPrEx>
          <w:tblCellMar>
            <w:top w:w="0" w:type="dxa"/>
            <w:left w:w="0" w:type="dxa"/>
            <w:bottom w:w="0" w:type="dxa"/>
            <w:right w:w="0" w:type="dxa"/>
          </w:tblCellMar>
        </w:tblPrEx>
        <w:trPr>
          <w:gridAfter w:val="1"/>
          <w:wAfter w:w="7523" w:type="dxa"/>
          <w:trHeight w:val="405" w:hRule="atLeast"/>
        </w:trPr>
        <w:tc>
          <w:tcPr>
            <w:tcW w:w="12297" w:type="dxa"/>
            <w:gridSpan w:val="9"/>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2"/>
                <w:szCs w:val="32"/>
                <w:u w:val="none"/>
                <w:lang w:val="en-US" w:eastAsia="zh-CN" w:bidi="ar"/>
              </w:rPr>
              <w:t>支出决算表</w:t>
            </w:r>
          </w:p>
        </w:tc>
      </w:tr>
      <w:tr>
        <w:tblPrEx>
          <w:tblCellMar>
            <w:top w:w="0" w:type="dxa"/>
            <w:left w:w="0" w:type="dxa"/>
            <w:bottom w:w="0" w:type="dxa"/>
            <w:right w:w="0" w:type="dxa"/>
          </w:tblCellMar>
        </w:tblPrEx>
        <w:trPr>
          <w:gridAfter w:val="1"/>
          <w:wAfter w:w="7523" w:type="dxa"/>
          <w:trHeight w:val="312" w:hRule="atLeast"/>
        </w:trPr>
        <w:tc>
          <w:tcPr>
            <w:tcW w:w="92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7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财决公开03表</w:t>
            </w:r>
          </w:p>
        </w:tc>
      </w:tr>
      <w:tr>
        <w:tblPrEx>
          <w:tblCellMar>
            <w:top w:w="0" w:type="dxa"/>
            <w:left w:w="0" w:type="dxa"/>
            <w:bottom w:w="0" w:type="dxa"/>
            <w:right w:w="0" w:type="dxa"/>
          </w:tblCellMar>
        </w:tblPrEx>
        <w:trPr>
          <w:gridAfter w:val="1"/>
          <w:wAfter w:w="7523" w:type="dxa"/>
          <w:trHeight w:val="255" w:hRule="atLeast"/>
        </w:trPr>
        <w:tc>
          <w:tcPr>
            <w:tcW w:w="2099"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部门：四川省达州市宣汉县</w:t>
            </w:r>
            <w:r>
              <w:rPr>
                <w:rFonts w:hint="eastAsia" w:ascii="宋体" w:hAnsi="宋体" w:cs="宋体"/>
                <w:i w:val="0"/>
                <w:color w:val="000000"/>
                <w:kern w:val="0"/>
                <w:sz w:val="20"/>
                <w:szCs w:val="20"/>
                <w:u w:val="none"/>
                <w:lang w:val="en-US" w:eastAsia="zh-CN" w:bidi="ar"/>
              </w:rPr>
              <w:t>东林</w:t>
            </w:r>
            <w:r>
              <w:rPr>
                <w:rFonts w:hint="eastAsia" w:ascii="宋体" w:hAnsi="宋体" w:eastAsia="宋体" w:cs="宋体"/>
                <w:i w:val="0"/>
                <w:color w:val="000000"/>
                <w:kern w:val="0"/>
                <w:sz w:val="20"/>
                <w:szCs w:val="20"/>
                <w:u w:val="none"/>
                <w:lang w:val="en-US" w:eastAsia="zh-CN" w:bidi="ar"/>
              </w:rPr>
              <w:t>乡卫生院（本级）</w:t>
            </w: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kern w:val="2"/>
                <w:sz w:val="20"/>
                <w:szCs w:val="20"/>
                <w:u w:val="none"/>
                <w:lang w:val="en-US" w:eastAsia="zh-CN" w:bidi="ar-SA"/>
              </w:rPr>
            </w:pPr>
          </w:p>
        </w:tc>
        <w:tc>
          <w:tcPr>
            <w:tcW w:w="15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gridAfter w:val="1"/>
          <w:wAfter w:w="7523" w:type="dxa"/>
          <w:trHeight w:val="312" w:hRule="atLeast"/>
        </w:trPr>
        <w:tc>
          <w:tcPr>
            <w:tcW w:w="2339"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623"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3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06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4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gridAfter w:val="1"/>
          <w:wAfter w:w="7523" w:type="dxa"/>
          <w:trHeight w:val="312" w:hRule="atLeast"/>
        </w:trPr>
        <w:tc>
          <w:tcPr>
            <w:tcW w:w="2339"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3"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7523" w:type="dxa"/>
          <w:trHeight w:val="312" w:hRule="atLeast"/>
        </w:trPr>
        <w:tc>
          <w:tcPr>
            <w:tcW w:w="2339"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3"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7523" w:type="dxa"/>
          <w:trHeight w:val="312" w:hRule="atLeast"/>
        </w:trPr>
        <w:tc>
          <w:tcPr>
            <w:tcW w:w="2339"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3"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7523" w:type="dxa"/>
          <w:trHeight w:val="308" w:hRule="atLeast"/>
        </w:trPr>
        <w:tc>
          <w:tcPr>
            <w:tcW w:w="927"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1172"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4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262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4</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gridAfter w:val="1"/>
          <w:wAfter w:w="7523" w:type="dxa"/>
          <w:trHeight w:val="308" w:hRule="atLeast"/>
        </w:trPr>
        <w:tc>
          <w:tcPr>
            <w:tcW w:w="92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2"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225.22</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225.22</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0</w:t>
            </w:r>
            <w:r>
              <w:rPr>
                <w:rFonts w:hint="eastAsia" w:ascii="宋体" w:hAnsi="宋体" w:eastAsia="宋体" w:cs="宋体"/>
                <w:b/>
                <w:i w:val="0"/>
                <w:color w:val="000000"/>
                <w:kern w:val="0"/>
                <w:sz w:val="22"/>
                <w:szCs w:val="22"/>
                <w:u w:val="none"/>
                <w:lang w:val="en-US" w:eastAsia="zh-CN" w:bidi="ar"/>
              </w:rPr>
              <w:t>.00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10.65</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10.65</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10.65</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10.65</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10.65</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10.65</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207.72</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207.72</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基层医疗卫生机构</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158.18</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158.18</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2100302</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乡镇卫生院</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142.50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142.50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2100399</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其他基层医疗卫生机构支出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15.68</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15.68</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49.52</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49.52</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2100408</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49.52</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49.52</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982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注：本表以“万元”为金额单位（保留两位小数），反映部门本年度各项支出情况。</w:t>
            </w:r>
          </w:p>
        </w:tc>
      </w:tr>
    </w:tbl>
    <w:p>
      <w:pPr>
        <w:spacing w:line="580" w:lineRule="exact"/>
        <w:rPr>
          <w:rFonts w:hint="eastAsia" w:ascii="仿宋_GB2312" w:hAnsi="仿宋_GB2312" w:eastAsia="仿宋_GB2312" w:cs="仿宋_GB2312"/>
          <w:sz w:val="32"/>
          <w:szCs w:val="32"/>
        </w:rPr>
        <w:sectPr>
          <w:pgSz w:w="16838" w:h="11906" w:orient="landscape"/>
          <w:pgMar w:top="1800" w:right="1440" w:bottom="1800" w:left="1440" w:header="851" w:footer="992" w:gutter="0"/>
          <w:pgNumType w:start="1"/>
          <w:cols w:space="425" w:num="1"/>
          <w:titlePg/>
          <w:docGrid w:type="lines" w:linePitch="312" w:charSpace="0"/>
        </w:sectPr>
      </w:pPr>
    </w:p>
    <w:p>
      <w:pPr>
        <w:spacing w:line="600" w:lineRule="exact"/>
        <w:jc w:val="center"/>
        <w:rPr>
          <w:rFonts w:hint="eastAsia" w:ascii="方正小标宋简体" w:hAnsi="宋体" w:eastAsia="方正小标宋简体"/>
          <w:color w:val="000000"/>
          <w:kern w:val="0"/>
          <w:sz w:val="44"/>
          <w:szCs w:val="44"/>
        </w:rPr>
      </w:pPr>
    </w:p>
    <w:p>
      <w:pPr>
        <w:numPr>
          <w:ilvl w:val="0"/>
          <w:numId w:val="0"/>
        </w:numPr>
        <w:spacing w:line="600" w:lineRule="exact"/>
        <w:jc w:val="both"/>
        <w:outlineLvl w:val="0"/>
        <w:rPr>
          <w:rStyle w:val="25"/>
          <w:rFonts w:ascii="黑体" w:hAnsi="黑体" w:eastAsia="黑体"/>
          <w:b w:val="0"/>
        </w:rPr>
      </w:pPr>
      <w:r>
        <w:rPr>
          <w:rFonts w:hint="eastAsia" w:ascii="仿宋" w:hAnsi="仿宋" w:eastAsia="仿宋"/>
          <w:sz w:val="32"/>
          <w:szCs w:val="32"/>
        </w:rPr>
        <w:t>。</w:t>
      </w:r>
    </w:p>
    <w:p>
      <w:pPr>
        <w:widowControl w:val="0"/>
        <w:numPr>
          <w:ilvl w:val="0"/>
          <w:numId w:val="0"/>
        </w:numPr>
        <w:spacing w:line="600" w:lineRule="exact"/>
        <w:jc w:val="center"/>
        <w:outlineLvl w:val="0"/>
        <w:rPr>
          <w:rFonts w:hint="eastAsia" w:ascii="仿宋" w:hAnsi="仿宋" w:eastAsia="仿宋"/>
          <w:sz w:val="32"/>
          <w:szCs w:val="32"/>
        </w:rPr>
      </w:pPr>
    </w:p>
    <w:p>
      <w:pPr>
        <w:widowControl w:val="0"/>
        <w:numPr>
          <w:ilvl w:val="0"/>
          <w:numId w:val="0"/>
        </w:numPr>
        <w:spacing w:line="600" w:lineRule="exact"/>
        <w:jc w:val="center"/>
        <w:outlineLvl w:val="0"/>
        <w:rPr>
          <w:rFonts w:hint="eastAsia" w:ascii="仿宋" w:hAnsi="仿宋" w:eastAsia="仿宋"/>
          <w:sz w:val="32"/>
          <w:szCs w:val="32"/>
        </w:rPr>
      </w:pPr>
    </w:p>
    <w:p>
      <w:pPr>
        <w:widowControl w:val="0"/>
        <w:numPr>
          <w:ilvl w:val="0"/>
          <w:numId w:val="0"/>
        </w:numPr>
        <w:spacing w:line="600" w:lineRule="exact"/>
        <w:jc w:val="center"/>
        <w:outlineLvl w:val="0"/>
        <w:rPr>
          <w:rFonts w:hint="eastAsia" w:ascii="仿宋" w:hAnsi="仿宋" w:eastAsia="仿宋"/>
          <w:sz w:val="32"/>
          <w:szCs w:val="32"/>
        </w:rPr>
      </w:pPr>
    </w:p>
    <w:p>
      <w:pPr>
        <w:widowControl w:val="0"/>
        <w:numPr>
          <w:ilvl w:val="0"/>
          <w:numId w:val="0"/>
        </w:numPr>
        <w:spacing w:line="600" w:lineRule="exact"/>
        <w:jc w:val="center"/>
        <w:outlineLvl w:val="0"/>
        <w:rPr>
          <w:rFonts w:hint="eastAsia" w:ascii="仿宋" w:hAnsi="仿宋" w:eastAsia="仿宋"/>
          <w:sz w:val="32"/>
          <w:szCs w:val="32"/>
        </w:rPr>
      </w:pPr>
    </w:p>
    <w:p>
      <w:pPr>
        <w:numPr>
          <w:ilvl w:val="0"/>
          <w:numId w:val="5"/>
        </w:numPr>
        <w:spacing w:line="600" w:lineRule="exact"/>
        <w:ind w:firstLine="662" w:firstLineChars="150"/>
        <w:jc w:val="center"/>
        <w:outlineLvl w:val="0"/>
        <w:rPr>
          <w:rStyle w:val="25"/>
          <w:rFonts w:ascii="黑体" w:hAnsi="黑体" w:eastAsia="黑体"/>
          <w:b w:val="0"/>
        </w:rPr>
      </w:pPr>
      <w:r>
        <w:rPr>
          <w:rFonts w:hint="eastAsia" w:ascii="黑体" w:hAnsi="黑体" w:eastAsia="黑体"/>
          <w:b/>
          <w:color w:val="000000"/>
          <w:sz w:val="44"/>
          <w:szCs w:val="44"/>
        </w:rPr>
        <w:t>名</w:t>
      </w:r>
      <w:r>
        <w:rPr>
          <w:rStyle w:val="25"/>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hint="eastAsia" w:ascii="仿宋_GB2312" w:eastAsia="仿宋_GB2312" w:cs="黑体"/>
          <w:sz w:val="32"/>
          <w:szCs w:val="32"/>
          <w:lang w:eastAsia="zh-CN"/>
        </w:rPr>
      </w:pPr>
      <w:r>
        <w:rPr>
          <w:rFonts w:hint="eastAsia" w:ascii="仿宋_GB2312" w:eastAsia="仿宋_GB2312"/>
          <w:sz w:val="32"/>
          <w:szCs w:val="32"/>
          <w:lang w:val="en-US" w:eastAsia="zh-CN"/>
        </w:rPr>
        <w:t xml:space="preserve"> </w:t>
      </w:r>
    </w:p>
    <w:p>
      <w:pPr>
        <w:spacing w:line="600" w:lineRule="exact"/>
        <w:jc w:val="center"/>
        <w:outlineLvl w:val="0"/>
        <w:rPr>
          <w:rStyle w:val="25"/>
          <w:rFonts w:ascii="黑体" w:hAnsi="黑体" w:eastAsia="黑体"/>
          <w:b w:val="0"/>
        </w:rPr>
      </w:pPr>
      <w:bookmarkStart w:id="57" w:name="_Toc15377226"/>
      <w:r>
        <w:rPr>
          <w:rFonts w:hint="eastAsia" w:ascii="仿宋" w:hAnsi="仿宋" w:eastAsia="仿宋"/>
          <w:b/>
          <w:color w:val="000000"/>
          <w:sz w:val="32"/>
          <w:szCs w:val="32"/>
          <w:lang w:val="en-US" w:eastAsia="zh-CN"/>
        </w:rPr>
        <w:t xml:space="preserve"> </w:t>
      </w:r>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bookmarkStart w:id="61" w:name="_Toc15396617"/>
      <w:r>
        <w:rPr>
          <w:rFonts w:hint="eastAsia" w:ascii="黑体" w:hAnsi="黑体" w:eastAsia="黑体" w:cs="方正小标宋简体"/>
          <w:sz w:val="36"/>
          <w:szCs w:val="36"/>
        </w:rPr>
        <w:t>宣汉县</w:t>
      </w:r>
      <w:r>
        <w:rPr>
          <w:rFonts w:hint="eastAsia" w:ascii="黑体" w:hAnsi="黑体" w:eastAsia="黑体" w:cs="方正小标宋简体"/>
          <w:sz w:val="36"/>
          <w:szCs w:val="36"/>
          <w:lang w:eastAsia="zh-CN"/>
        </w:rPr>
        <w:t>东林乡</w:t>
      </w:r>
      <w:r>
        <w:rPr>
          <w:rFonts w:hint="eastAsia" w:ascii="黑体" w:hAnsi="黑体" w:eastAsia="黑体" w:cs="方正小标宋简体"/>
          <w:sz w:val="36"/>
          <w:szCs w:val="36"/>
        </w:rPr>
        <w:t>卫生院201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支出绩效评价报告</w:t>
      </w:r>
      <w:bookmarkEnd w:id="60"/>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eastAsia="仿宋_GB2312"/>
          <w:sz w:val="32"/>
          <w:szCs w:val="32"/>
          <w:lang w:val="en-US" w:eastAsia="zh-CN"/>
        </w:rPr>
        <w:t>东林乡</w:t>
      </w:r>
      <w:r>
        <w:rPr>
          <w:rFonts w:hint="eastAsia" w:ascii="仿宋_GB2312" w:eastAsia="仿宋_GB2312"/>
          <w:sz w:val="32"/>
          <w:szCs w:val="32"/>
        </w:rPr>
        <w:t>卫生院属一级预算公益一类事业单位，</w:t>
      </w:r>
      <w:r>
        <w:rPr>
          <w:rFonts w:hint="eastAsia" w:ascii="仿宋_GB2312" w:hAnsi="宋体" w:eastAsia="仿宋_GB2312" w:cs="宋体"/>
          <w:sz w:val="32"/>
          <w:szCs w:val="32"/>
        </w:rPr>
        <w:t>执行基层医疗卫生机构会计制度。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cs="仿宋_GB2312"/>
          <w:sz w:val="32"/>
          <w:szCs w:val="32"/>
        </w:rPr>
        <w:t>：</w:t>
      </w:r>
    </w:p>
    <w:p>
      <w:pPr>
        <w:ind w:firstLine="627" w:firstLineChars="196"/>
        <w:rPr>
          <w:rFonts w:ascii="仿宋_GB2312" w:hAnsi="宋体" w:eastAsia="仿宋_GB2312"/>
          <w:sz w:val="32"/>
          <w:szCs w:val="32"/>
        </w:rPr>
      </w:pPr>
      <w:r>
        <w:rPr>
          <w:rFonts w:hint="eastAsia" w:ascii="仿宋_GB2312" w:hAnsi="宋体" w:eastAsia="仿宋_GB2312"/>
          <w:sz w:val="32"/>
          <w:szCs w:val="32"/>
        </w:rPr>
        <w:t>宣汉县</w:t>
      </w:r>
      <w:r>
        <w:rPr>
          <w:rFonts w:hint="eastAsia" w:ascii="仿宋_GB2312" w:hAnsi="宋体" w:eastAsia="仿宋_GB2312"/>
          <w:sz w:val="32"/>
          <w:szCs w:val="32"/>
          <w:lang w:val="en-US" w:eastAsia="zh-CN"/>
        </w:rPr>
        <w:t>东林乡</w:t>
      </w:r>
      <w:r>
        <w:rPr>
          <w:rFonts w:hint="eastAsia" w:ascii="仿宋_GB2312" w:hAnsi="宋体" w:eastAsia="仿宋_GB2312"/>
          <w:sz w:val="32"/>
          <w:szCs w:val="32"/>
        </w:rPr>
        <w:t>卫生院主要以基本公共卫生服务、一般医疗服务为主全面开展各项工作。卫生院设立了内科、外科、中医科、防保站、居民健康档案室、医保办公室等科室，设置了发热门诊、腹泻门诊；开展了检验、B超等辅助科室。</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hAnsi="宋体" w:eastAsia="仿宋_GB2312"/>
          <w:sz w:val="32"/>
          <w:szCs w:val="32"/>
          <w:lang w:val="en-US" w:eastAsia="zh-CN"/>
        </w:rPr>
        <w:t>东林乡</w:t>
      </w:r>
      <w:r>
        <w:rPr>
          <w:rFonts w:hint="eastAsia" w:ascii="仿宋_GB2312" w:hAnsi="宋体" w:eastAsia="仿宋_GB2312"/>
          <w:sz w:val="32"/>
          <w:szCs w:val="32"/>
        </w:rPr>
        <w:t>卫生院</w:t>
      </w:r>
      <w:r>
        <w:rPr>
          <w:rFonts w:hint="eastAsia" w:ascii="仿宋_GB2312" w:eastAsia="仿宋_GB2312"/>
          <w:sz w:val="32"/>
          <w:szCs w:val="32"/>
        </w:rPr>
        <w:t>核定编制数</w:t>
      </w:r>
      <w:r>
        <w:rPr>
          <w:rFonts w:hint="eastAsia" w:ascii="仿宋_GB2312" w:eastAsia="仿宋_GB2312"/>
          <w:sz w:val="32"/>
          <w:szCs w:val="32"/>
          <w:lang w:val="en-US" w:eastAsia="zh-CN"/>
        </w:rPr>
        <w:t>15</w:t>
      </w:r>
      <w:r>
        <w:rPr>
          <w:rFonts w:hint="eastAsia" w:ascii="仿宋_GB2312" w:eastAsia="仿宋_GB2312"/>
          <w:sz w:val="32"/>
          <w:szCs w:val="32"/>
        </w:rPr>
        <w:t>人。</w:t>
      </w:r>
      <w:r>
        <w:rPr>
          <w:rFonts w:hint="eastAsia" w:ascii="仿宋_GB2312" w:hAnsi="宋体" w:eastAsia="仿宋_GB2312"/>
          <w:sz w:val="32"/>
          <w:szCs w:val="32"/>
        </w:rPr>
        <w:t>现有在职职工</w:t>
      </w:r>
      <w:r>
        <w:rPr>
          <w:rFonts w:hint="eastAsia" w:ascii="仿宋_GB2312" w:hAnsi="宋体" w:eastAsia="仿宋_GB2312"/>
          <w:sz w:val="32"/>
          <w:szCs w:val="32"/>
          <w:lang w:val="en-US" w:eastAsia="zh-CN"/>
        </w:rPr>
        <w:t>16</w:t>
      </w:r>
      <w:r>
        <w:rPr>
          <w:rFonts w:hint="eastAsia" w:ascii="仿宋_GB2312" w:hAnsi="宋体" w:eastAsia="仿宋_GB2312"/>
          <w:sz w:val="32"/>
          <w:szCs w:val="32"/>
        </w:rPr>
        <w:t>人，在编人员</w:t>
      </w:r>
      <w:r>
        <w:rPr>
          <w:rFonts w:hint="eastAsia" w:ascii="仿宋_GB2312" w:hAnsi="宋体" w:eastAsia="仿宋_GB2312"/>
          <w:sz w:val="32"/>
          <w:szCs w:val="32"/>
          <w:lang w:val="en-US" w:eastAsia="zh-CN"/>
        </w:rPr>
        <w:t>10</w:t>
      </w:r>
      <w:r>
        <w:rPr>
          <w:rFonts w:hint="eastAsia" w:ascii="仿宋_GB2312" w:hAnsi="宋体" w:eastAsia="仿宋_GB2312"/>
          <w:sz w:val="32"/>
          <w:szCs w:val="32"/>
        </w:rPr>
        <w:t>人，年末退休人员1人已纳入社会保障管理。卫生技术人员</w:t>
      </w:r>
      <w:r>
        <w:rPr>
          <w:rFonts w:hint="eastAsia" w:ascii="仿宋_GB2312" w:hAnsi="宋体" w:eastAsia="仿宋_GB2312"/>
          <w:sz w:val="32"/>
          <w:szCs w:val="32"/>
          <w:lang w:val="en-US" w:eastAsia="zh-CN"/>
        </w:rPr>
        <w:t>15</w:t>
      </w:r>
      <w:r>
        <w:rPr>
          <w:rFonts w:hint="eastAsia" w:ascii="仿宋_GB2312" w:hAnsi="宋体" w:eastAsia="仿宋_GB2312"/>
          <w:sz w:val="32"/>
          <w:szCs w:val="32"/>
        </w:rPr>
        <w:t>人，其中从事公共卫生人员</w:t>
      </w:r>
      <w:r>
        <w:rPr>
          <w:rFonts w:hint="eastAsia" w:ascii="仿宋_GB2312" w:hAnsi="宋体" w:eastAsia="仿宋_GB2312"/>
          <w:sz w:val="32"/>
          <w:szCs w:val="32"/>
          <w:lang w:val="en-US" w:eastAsia="zh-CN"/>
        </w:rPr>
        <w:t>3</w:t>
      </w:r>
      <w:r>
        <w:rPr>
          <w:rFonts w:hint="eastAsia" w:ascii="仿宋_GB2312" w:hAnsi="宋体" w:eastAsia="仿宋_GB2312"/>
          <w:sz w:val="32"/>
          <w:szCs w:val="32"/>
        </w:rPr>
        <w:t>人，管理人员1人，财会人员</w:t>
      </w:r>
      <w:r>
        <w:rPr>
          <w:rFonts w:hint="eastAsia" w:ascii="仿宋_GB2312" w:hAnsi="宋体" w:eastAsia="仿宋_GB2312"/>
          <w:sz w:val="32"/>
          <w:szCs w:val="32"/>
          <w:lang w:val="en-US" w:eastAsia="zh-CN"/>
        </w:rPr>
        <w:t>2</w:t>
      </w:r>
      <w:r>
        <w:rPr>
          <w:rFonts w:hint="eastAsia" w:ascii="仿宋_GB2312" w:hAnsi="宋体" w:eastAsia="仿宋_GB2312"/>
          <w:sz w:val="32"/>
          <w:szCs w:val="32"/>
        </w:rPr>
        <w:t>人，内科</w:t>
      </w:r>
      <w:r>
        <w:rPr>
          <w:rFonts w:hint="eastAsia" w:ascii="仿宋_GB2312" w:hAnsi="宋体" w:eastAsia="仿宋_GB2312"/>
          <w:sz w:val="32"/>
          <w:szCs w:val="32"/>
          <w:lang w:val="en-US" w:eastAsia="zh-CN"/>
        </w:rPr>
        <w:t>3</w:t>
      </w:r>
      <w:r>
        <w:rPr>
          <w:rFonts w:hint="eastAsia" w:ascii="仿宋_GB2312" w:hAnsi="宋体" w:eastAsia="仿宋_GB2312"/>
          <w:sz w:val="32"/>
          <w:szCs w:val="32"/>
        </w:rPr>
        <w:t>人，外科</w:t>
      </w:r>
      <w:r>
        <w:rPr>
          <w:rFonts w:hint="eastAsia" w:ascii="仿宋_GB2312" w:hAnsi="宋体" w:eastAsia="仿宋_GB2312"/>
          <w:sz w:val="32"/>
          <w:szCs w:val="32"/>
          <w:lang w:val="en-US" w:eastAsia="zh-CN"/>
        </w:rPr>
        <w:t>1</w:t>
      </w:r>
      <w:r>
        <w:rPr>
          <w:rFonts w:hint="eastAsia" w:ascii="仿宋_GB2312" w:hAnsi="宋体" w:eastAsia="仿宋_GB2312"/>
          <w:sz w:val="32"/>
          <w:szCs w:val="32"/>
        </w:rPr>
        <w:t>人，中医科</w:t>
      </w:r>
      <w:r>
        <w:rPr>
          <w:rFonts w:hint="eastAsia" w:ascii="仿宋_GB2312" w:hAnsi="宋体" w:eastAsia="仿宋_GB2312"/>
          <w:sz w:val="32"/>
          <w:szCs w:val="32"/>
          <w:lang w:val="en-US" w:eastAsia="zh-CN"/>
        </w:rPr>
        <w:t>1</w:t>
      </w:r>
      <w:r>
        <w:rPr>
          <w:rFonts w:hint="eastAsia" w:ascii="仿宋_GB2312" w:hAnsi="宋体" w:eastAsia="仿宋_GB2312"/>
          <w:sz w:val="32"/>
          <w:szCs w:val="32"/>
        </w:rPr>
        <w:t>人，护理工作</w:t>
      </w:r>
      <w:r>
        <w:rPr>
          <w:rFonts w:hint="eastAsia" w:ascii="仿宋_GB2312" w:hAnsi="宋体" w:eastAsia="仿宋_GB2312"/>
          <w:sz w:val="32"/>
          <w:szCs w:val="32"/>
          <w:lang w:val="en-US" w:eastAsia="zh-CN"/>
        </w:rPr>
        <w:t>3</w:t>
      </w:r>
      <w:r>
        <w:rPr>
          <w:rFonts w:hint="eastAsia" w:ascii="仿宋_GB2312" w:hAnsi="宋体" w:eastAsia="仿宋_GB2312"/>
          <w:sz w:val="32"/>
          <w:szCs w:val="32"/>
        </w:rPr>
        <w:t xml:space="preserve">人，辅助科室B超，检验各1人。 </w:t>
      </w:r>
    </w:p>
    <w:p>
      <w:pPr>
        <w:spacing w:line="580" w:lineRule="exact"/>
        <w:ind w:firstLine="960" w:firstLineChars="3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年财政拨款收入</w:t>
      </w:r>
      <w:r>
        <w:rPr>
          <w:rFonts w:hint="eastAsia" w:ascii="仿宋_GB2312" w:hAnsi="仿宋" w:eastAsia="仿宋_GB2312"/>
          <w:sz w:val="32"/>
          <w:szCs w:val="32"/>
          <w:lang w:val="en-US" w:eastAsia="zh-CN"/>
        </w:rPr>
        <w:t>101.2</w:t>
      </w:r>
      <w:r>
        <w:rPr>
          <w:rFonts w:hint="eastAsia" w:ascii="仿宋_GB2312" w:hAnsi="仿宋" w:eastAsia="仿宋_GB2312"/>
          <w:sz w:val="32"/>
          <w:szCs w:val="32"/>
        </w:rPr>
        <w:t>万元，支出</w:t>
      </w:r>
      <w:r>
        <w:rPr>
          <w:rFonts w:hint="eastAsia" w:ascii="仿宋_GB2312" w:hAnsi="仿宋" w:eastAsia="仿宋_GB2312"/>
          <w:sz w:val="32"/>
          <w:szCs w:val="32"/>
          <w:lang w:val="en-US" w:eastAsia="zh-CN"/>
        </w:rPr>
        <w:t>101.2</w:t>
      </w:r>
      <w:r>
        <w:rPr>
          <w:rFonts w:hint="eastAsia" w:ascii="仿宋_GB2312" w:hAnsi="仿宋" w:eastAsia="仿宋_GB2312"/>
          <w:sz w:val="32"/>
          <w:szCs w:val="32"/>
        </w:rPr>
        <w:t>万元，其中：基本公共卫生服务支出</w:t>
      </w:r>
      <w:r>
        <w:rPr>
          <w:rFonts w:hint="eastAsia" w:ascii="仿宋_GB2312" w:hAnsi="仿宋" w:eastAsia="仿宋_GB2312"/>
          <w:sz w:val="32"/>
          <w:szCs w:val="32"/>
          <w:lang w:val="en-US" w:eastAsia="zh-CN"/>
        </w:rPr>
        <w:t>49.52</w:t>
      </w:r>
      <w:r>
        <w:rPr>
          <w:rFonts w:hint="eastAsia" w:ascii="仿宋_GB2312" w:hAnsi="仿宋" w:eastAsia="仿宋_GB2312"/>
          <w:sz w:val="32"/>
          <w:szCs w:val="32"/>
        </w:rPr>
        <w:t>万元，</w:t>
      </w:r>
      <w:r>
        <w:rPr>
          <w:rFonts w:hint="eastAsia" w:ascii="仿宋_GB2312" w:hAnsi="仿宋" w:eastAsia="仿宋_GB2312"/>
          <w:sz w:val="32"/>
          <w:szCs w:val="32"/>
          <w:lang w:eastAsia="zh-CN"/>
        </w:rPr>
        <w:t>社会保障和就业支出</w:t>
      </w:r>
      <w:r>
        <w:rPr>
          <w:rFonts w:hint="eastAsia" w:ascii="仿宋_GB2312" w:hAnsi="仿宋" w:eastAsia="仿宋_GB2312"/>
          <w:sz w:val="32"/>
          <w:szCs w:val="32"/>
          <w:lang w:val="en-US" w:eastAsia="zh-CN"/>
        </w:rPr>
        <w:t>0万元，卫生健康支出51.66万元，住房保障金0万元，行政事业支出0.02万元。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年度本单位一如既往重视决算管理，严格编制要求，科学编制预算，严格执行决算编制内容。同时，本单位不断强化内控管理、资产管理、绩效管理，不断丰富和完善相关制度，坚决做到“更加规范、更加高效、更加便利” ，将财务管理与日常事务紧密结合，全力做好保障工作。</w:t>
      </w:r>
    </w:p>
    <w:bookmarkEnd w:id="61"/>
    <w:p>
      <w:pPr>
        <w:spacing w:line="600" w:lineRule="exact"/>
        <w:jc w:val="center"/>
        <w:outlineLvl w:val="0"/>
        <w:rPr>
          <w:rStyle w:val="25"/>
          <w:rFonts w:hint="eastAsia" w:ascii="仿宋" w:hAnsi="仿宋" w:eastAsia="仿宋"/>
          <w:b w:val="0"/>
          <w:bCs w:val="0"/>
          <w:sz w:val="32"/>
          <w:szCs w:val="32"/>
          <w:lang w:val="en-US" w:eastAsia="zh-CN"/>
        </w:rPr>
      </w:pPr>
      <w:bookmarkStart w:id="62" w:name="_Toc15396618"/>
      <w:r>
        <w:rPr>
          <w:rStyle w:val="25"/>
          <w:rFonts w:hint="eastAsia" w:ascii="仿宋" w:hAnsi="仿宋" w:eastAsia="仿宋"/>
          <w:b w:val="0"/>
          <w:bCs w:val="0"/>
          <w:sz w:val="32"/>
          <w:szCs w:val="32"/>
          <w:lang w:val="en-US" w:eastAsia="zh-CN"/>
        </w:rPr>
        <w:t xml:space="preserve"> </w:t>
      </w:r>
    </w:p>
    <w:p>
      <w:pPr>
        <w:spacing w:line="600" w:lineRule="exact"/>
        <w:jc w:val="center"/>
        <w:outlineLvl w:val="0"/>
        <w:rPr>
          <w:rStyle w:val="25"/>
          <w:rFonts w:hint="eastAsia" w:ascii="仿宋" w:hAnsi="仿宋" w:eastAsia="仿宋"/>
          <w:b w:val="0"/>
          <w:bCs w:val="0"/>
          <w:sz w:val="32"/>
          <w:szCs w:val="32"/>
          <w:lang w:val="en-US" w:eastAsia="zh-CN"/>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5"/>
    </w:p>
    <w:sectPr>
      <w:headerReference r:id="rId5" w:type="default"/>
      <w:footerReference r:id="rId6"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18055F40"/>
    <w:multiLevelType w:val="singleLevel"/>
    <w:tmpl w:val="18055F40"/>
    <w:lvl w:ilvl="0" w:tentative="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64EB"/>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1B4134"/>
    <w:rsid w:val="03BB0FAE"/>
    <w:rsid w:val="04760E50"/>
    <w:rsid w:val="08B6667F"/>
    <w:rsid w:val="0B1E0436"/>
    <w:rsid w:val="0C56327E"/>
    <w:rsid w:val="0CBF7435"/>
    <w:rsid w:val="0D893644"/>
    <w:rsid w:val="0DB26BF2"/>
    <w:rsid w:val="0FDE13DF"/>
    <w:rsid w:val="10C055FF"/>
    <w:rsid w:val="1106232B"/>
    <w:rsid w:val="112948A9"/>
    <w:rsid w:val="11EF6C12"/>
    <w:rsid w:val="13CC05A1"/>
    <w:rsid w:val="15283134"/>
    <w:rsid w:val="157F281D"/>
    <w:rsid w:val="16BB723D"/>
    <w:rsid w:val="19F5530F"/>
    <w:rsid w:val="1B8A1379"/>
    <w:rsid w:val="23C22E31"/>
    <w:rsid w:val="240371BF"/>
    <w:rsid w:val="24225CB1"/>
    <w:rsid w:val="256F1817"/>
    <w:rsid w:val="261D6C50"/>
    <w:rsid w:val="292D5216"/>
    <w:rsid w:val="29FD04D3"/>
    <w:rsid w:val="2A675CA6"/>
    <w:rsid w:val="2AEE7970"/>
    <w:rsid w:val="2C2F09B1"/>
    <w:rsid w:val="2DCC0324"/>
    <w:rsid w:val="2DE168E4"/>
    <w:rsid w:val="2FBB27D3"/>
    <w:rsid w:val="314D27C7"/>
    <w:rsid w:val="319F7F4E"/>
    <w:rsid w:val="31B50670"/>
    <w:rsid w:val="33330EE0"/>
    <w:rsid w:val="369863F9"/>
    <w:rsid w:val="38F47320"/>
    <w:rsid w:val="400B208C"/>
    <w:rsid w:val="414250AC"/>
    <w:rsid w:val="43A75E9B"/>
    <w:rsid w:val="45366E3E"/>
    <w:rsid w:val="482D078C"/>
    <w:rsid w:val="48AB6338"/>
    <w:rsid w:val="4B570069"/>
    <w:rsid w:val="4C691EE8"/>
    <w:rsid w:val="4DA43D1E"/>
    <w:rsid w:val="4DA9410E"/>
    <w:rsid w:val="4E132BA9"/>
    <w:rsid w:val="4E36313E"/>
    <w:rsid w:val="4F931976"/>
    <w:rsid w:val="5220202D"/>
    <w:rsid w:val="522C6C0C"/>
    <w:rsid w:val="55B13850"/>
    <w:rsid w:val="55F2332E"/>
    <w:rsid w:val="56011AB3"/>
    <w:rsid w:val="57976230"/>
    <w:rsid w:val="5C53145F"/>
    <w:rsid w:val="5CC8174A"/>
    <w:rsid w:val="5E7E0AC6"/>
    <w:rsid w:val="6037770A"/>
    <w:rsid w:val="60AF3986"/>
    <w:rsid w:val="60F73490"/>
    <w:rsid w:val="61D25663"/>
    <w:rsid w:val="61E11456"/>
    <w:rsid w:val="636C0690"/>
    <w:rsid w:val="63931E2A"/>
    <w:rsid w:val="63D43815"/>
    <w:rsid w:val="64672F38"/>
    <w:rsid w:val="66170866"/>
    <w:rsid w:val="66C02B08"/>
    <w:rsid w:val="68E03A52"/>
    <w:rsid w:val="6A9B6021"/>
    <w:rsid w:val="6D392F61"/>
    <w:rsid w:val="6DDD2E61"/>
    <w:rsid w:val="6F2A37A0"/>
    <w:rsid w:val="775D05E8"/>
    <w:rsid w:val="782F26A7"/>
    <w:rsid w:val="78462B72"/>
    <w:rsid w:val="7DC38634"/>
    <w:rsid w:val="7E792D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next w:val="5"/>
    <w:qFormat/>
    <w:uiPriority w:val="0"/>
    <w:pPr>
      <w:spacing w:before="100" w:beforeAutospacing="1" w:after="100" w:afterAutospacing="1"/>
    </w:pPr>
    <w:rPr>
      <w:rFonts w:ascii="宋体" w:hAnsi="Times New Roman" w:eastAsia="宋体" w:cs="Times New Roman"/>
      <w:sz w:val="24"/>
      <w:szCs w:val="24"/>
      <w:lang w:val="en-US" w:eastAsia="zh-CN" w:bidi="ar-SA"/>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2018年</c:v>
                </c:pt>
              </c:strCache>
            </c:strRef>
          </c:cat>
          <c:val>
            <c:numRef>
              <c:f>Sheet1!$B$2:$B$3</c:f>
              <c:numCache>
                <c:formatCode>General</c:formatCode>
                <c:ptCount val="2"/>
                <c:pt idx="0">
                  <c:v>225.22</c:v>
                </c:pt>
                <c:pt idx="1">
                  <c:v>261.28</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2018年</c:v>
                </c:pt>
              </c:strCache>
            </c:strRef>
          </c:cat>
          <c:val>
            <c:numRef>
              <c:f>Sheet1!$C$2:$C$3</c:f>
              <c:numCache>
                <c:formatCode>General</c:formatCode>
                <c:ptCount val="2"/>
                <c:pt idx="0">
                  <c:v>225.22</c:v>
                </c:pt>
                <c:pt idx="1">
                  <c:v>261.28</c:v>
                </c:pt>
              </c:numCache>
            </c:numRef>
          </c:val>
        </c:ser>
        <c:ser>
          <c:idx val="2"/>
          <c:order val="2"/>
          <c:tx>
            <c:strRef>
              <c:f>Sheet1!$D$1</c:f>
              <c:strCache>
                <c:ptCount val="1"/>
                <c:pt idx="0">
                  <c:v>增加减少</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2018年</c:v>
                </c:pt>
              </c:strCache>
            </c:strRef>
          </c:cat>
          <c:val>
            <c:numRef>
              <c:f>Sheet1!$D$2:$D$3</c:f>
              <c:numCache>
                <c:formatCode>General</c:formatCode>
                <c:ptCount val="2"/>
                <c:pt idx="0">
                  <c:v>36.06</c:v>
                </c:pt>
              </c:numCache>
            </c:numRef>
          </c:val>
        </c:ser>
        <c:ser>
          <c:idx val="3"/>
          <c:order val="3"/>
          <c:tx>
            <c:strRef>
              <c:f>Sheet1!$E$1</c:f>
              <c:strCache>
                <c:ptCount val="1"/>
                <c:pt idx="0">
                  <c:v>增长下降</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2018年</c:v>
                </c:pt>
              </c:strCache>
            </c:strRef>
          </c:cat>
          <c:val>
            <c:numRef>
              <c:f>Sheet1!$E$2:$E$3</c:f>
              <c:numCache>
                <c:formatCode>General</c:formatCode>
                <c:ptCount val="2"/>
                <c:pt idx="0">
                  <c:v>13.8</c:v>
                </c:pt>
              </c:numCache>
            </c:numRef>
          </c:val>
        </c:ser>
        <c:dLbls>
          <c:showLegendKey val="false"/>
          <c:showVal val="true"/>
          <c:showCatName val="false"/>
          <c:showSerName val="false"/>
          <c:showPercent val="false"/>
          <c:showBubbleSize val="false"/>
        </c:dLbls>
        <c:gapWidth val="219"/>
        <c:overlap val="-27"/>
        <c:axId val="45449985"/>
        <c:axId val="694479141"/>
      </c:barChart>
      <c:catAx>
        <c:axId val="4544998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true"/>
        <c:lblAlgn val="ctr"/>
        <c:lblOffset val="100"/>
        <c:noMultiLvlLbl val="false"/>
      </c:catAx>
      <c:valAx>
        <c:axId val="69447914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302003535651149"/>
          <c:y val="0.11077359254759"/>
          <c:w val="0.933411903358869"/>
          <c:h val="0.761441879303362"/>
        </c:manualLayout>
      </c:layout>
      <c:pieChart>
        <c:varyColors val="true"/>
        <c:ser>
          <c:idx val="0"/>
          <c:order val="0"/>
          <c:tx>
            <c:strRef>
              <c:f>Sheet1!$B$1:$C$1</c:f>
              <c:strCache>
                <c:ptCount val="1"/>
                <c:pt idx="0">
                  <c:v>2019年总收入 占百分比</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Pt>
            <c:idx val="5"/>
            <c:bubble3D val="false"/>
            <c:spPr>
              <a:solidFill>
                <a:schemeClr val="accent6"/>
              </a:solidFill>
              <a:ln w="25400">
                <a:solidFill>
                  <a:schemeClr val="lt1"/>
                </a:solidFill>
              </a:ln>
              <a:effectLst/>
            </c:spPr>
          </c:dPt>
          <c:dPt>
            <c:idx val="6"/>
            <c:bubble3D val="false"/>
            <c:spPr>
              <a:solidFill>
                <a:schemeClr val="accent1">
                  <a:lumMod val="60000"/>
                </a:schemeClr>
              </a:solidFill>
              <a:ln w="2540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一般公共</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44.93</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事业</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55.07</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其他</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0.01</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Sheet1!$B$2:$B$8</c:f>
              <c:numCache>
                <c:formatCode>General</c:formatCode>
                <c:ptCount val="7"/>
                <c:pt idx="0">
                  <c:v>101.2</c:v>
                </c:pt>
                <c:pt idx="3">
                  <c:v>124.02</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Pt>
            <c:idx val="5"/>
            <c:bubble3D val="false"/>
            <c:spPr>
              <a:solidFill>
                <a:schemeClr val="accent6"/>
              </a:solidFill>
              <a:ln w="25400">
                <a:solidFill>
                  <a:schemeClr val="lt1"/>
                </a:solidFill>
              </a:ln>
              <a:effectLst/>
            </c:spPr>
          </c:dPt>
          <c:dPt>
            <c:idx val="6"/>
            <c:bubble3D val="false"/>
            <c:spPr>
              <a:solidFill>
                <a:schemeClr val="accent1">
                  <a:lumMod val="60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Sheet1!$C$2:$C$8</c:f>
              <c:numCache>
                <c:formatCode>General</c:formatCode>
                <c:ptCount val="7"/>
                <c:pt idx="0">
                  <c:v>44.93</c:v>
                </c:pt>
                <c:pt idx="3">
                  <c:v>55.07</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02003535651149"/>
          <c:y val="0.11077359254759"/>
          <c:w val="0.933411903358869"/>
          <c:h val="0.761441879303362"/>
        </c:manualLayout>
      </c:layout>
      <c:pieChart>
        <c:varyColors val="true"/>
        <c:ser>
          <c:idx val="0"/>
          <c:order val="0"/>
          <c:tx>
            <c:strRef>
              <c:f>Sheet1!$B$1:$C$1</c:f>
              <c:strCache>
                <c:ptCount val="1"/>
                <c:pt idx="0">
                  <c:v>2018年总支出 占百分比</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Sheet1!$B$2:$B$6</c:f>
              <c:numCache>
                <c:formatCode>General</c:formatCode>
                <c:ptCount val="5"/>
                <c:pt idx="0">
                  <c:v>261.28</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Sheet1!$C$2:$C$6</c:f>
              <c:numCache>
                <c:formatCode>General</c:formatCode>
                <c:ptCount val="5"/>
                <c:pt idx="0">
                  <c:v>100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false"/>
      <c:spPr>
        <a:noFill/>
        <a:ln>
          <a:noFill/>
        </a:ln>
        <a:effectLst/>
      </c:spPr>
    </c:title>
    <c:autoTitleDeleted val="false"/>
    <c:plotArea>
      <c:layout>
        <c:manualLayout>
          <c:layoutTarget val="inner"/>
          <c:xMode val="edge"/>
          <c:yMode val="edge"/>
          <c:x val="0.0494834437086093"/>
          <c:y val="0.276085674985262"/>
          <c:w val="0.899523178807947"/>
          <c:h val="0.666221261544508"/>
        </c:manualLayout>
      </c:layout>
      <c:barChart>
        <c:barDir val="col"/>
        <c:grouping val="clustered"/>
        <c:varyColors val="false"/>
        <c:ser>
          <c:idx val="0"/>
          <c:order val="0"/>
          <c:tx>
            <c:strRef>
              <c:f>Sheet1!$B$1</c:f>
              <c:strCache>
                <c:ptCount val="1"/>
                <c:pt idx="0">
                  <c:v>财政拨款</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2018年</c:v>
                </c:pt>
              </c:strCache>
            </c:strRef>
          </c:cat>
          <c:val>
            <c:numRef>
              <c:f>Sheet1!$B$2:$B$3</c:f>
              <c:numCache>
                <c:formatCode>General</c:formatCode>
                <c:ptCount val="2"/>
                <c:pt idx="0">
                  <c:v>101.2</c:v>
                </c:pt>
                <c:pt idx="1">
                  <c:v>79.32</c:v>
                </c:pt>
              </c:numCache>
            </c:numRef>
          </c:val>
        </c:ser>
        <c:ser>
          <c:idx val="1"/>
          <c:order val="1"/>
          <c:tx>
            <c:strRef>
              <c:f>Sheet1!$C$1</c:f>
              <c:strCache>
                <c:ptCount val="1"/>
                <c:pt idx="0">
                  <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2018年</c:v>
                </c:pt>
              </c:strCache>
            </c:strRef>
          </c:cat>
          <c:val>
            <c:numRef>
              <c:f>Sheet1!$C$2:$C$3</c:f>
              <c:numCache>
                <c:formatCode>General</c:formatCode>
                <c:ptCount val="2"/>
              </c:numCache>
            </c:numRef>
          </c:val>
        </c:ser>
        <c:ser>
          <c:idx val="2"/>
          <c:order val="2"/>
          <c:tx>
            <c:strRef>
              <c:f>Sheet1!$D$1</c:f>
              <c:strCache>
                <c:ptCount val="1"/>
                <c:pt idx="0">
                  <c:v>增加减少</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2018年</c:v>
                </c:pt>
              </c:strCache>
            </c:strRef>
          </c:cat>
          <c:val>
            <c:numRef>
              <c:f>Sheet1!$D$2:$D$3</c:f>
              <c:numCache>
                <c:formatCode>General</c:formatCode>
                <c:ptCount val="2"/>
                <c:pt idx="0">
                  <c:v>21.88</c:v>
                </c:pt>
              </c:numCache>
            </c:numRef>
          </c:val>
        </c:ser>
        <c:ser>
          <c:idx val="3"/>
          <c:order val="3"/>
          <c:tx>
            <c:strRef>
              <c:f>Sheet1!$E$1</c:f>
              <c:strCache>
                <c:ptCount val="1"/>
                <c:pt idx="0">
                  <c:v>增长下降</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2018年</c:v>
                </c:pt>
              </c:strCache>
            </c:strRef>
          </c:cat>
          <c:val>
            <c:numRef>
              <c:f>Sheet1!$E$2:$E$3</c:f>
              <c:numCache>
                <c:formatCode>General</c:formatCode>
                <c:ptCount val="2"/>
                <c:pt idx="0">
                  <c:v>21.62</c:v>
                </c:pt>
              </c:numCache>
            </c:numRef>
          </c:val>
        </c:ser>
        <c:dLbls>
          <c:showLegendKey val="false"/>
          <c:showVal val="true"/>
          <c:showCatName val="false"/>
          <c:showSerName val="false"/>
          <c:showPercent val="false"/>
          <c:showBubbleSize val="false"/>
        </c:dLbls>
        <c:gapWidth val="219"/>
        <c:overlap val="-27"/>
        <c:axId val="45449985"/>
        <c:axId val="694479141"/>
      </c:barChart>
      <c:catAx>
        <c:axId val="4544998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true"/>
        <c:lblAlgn val="ctr"/>
        <c:lblOffset val="100"/>
        <c:noMultiLvlLbl val="false"/>
      </c:catAx>
      <c:valAx>
        <c:axId val="69447914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占本年支付%</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2018年</c:v>
                </c:pt>
              </c:strCache>
            </c:strRef>
          </c:cat>
          <c:val>
            <c:numRef>
              <c:f>Sheet1!$B$2:$B$3</c:f>
              <c:numCache>
                <c:formatCode>General</c:formatCode>
                <c:ptCount val="2"/>
                <c:pt idx="0">
                  <c:v>44.93</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2018年</c:v>
                </c:pt>
              </c:strCache>
            </c:strRef>
          </c:cat>
          <c:val>
            <c:numRef>
              <c:f>Sheet1!$C$2:$C$3</c:f>
              <c:numCache>
                <c:formatCode>General</c:formatCode>
                <c:ptCount val="2"/>
                <c:pt idx="0">
                  <c:v>101.2</c:v>
                </c:pt>
                <c:pt idx="1">
                  <c:v>79.32</c:v>
                </c:pt>
              </c:numCache>
            </c:numRef>
          </c:val>
        </c:ser>
        <c:ser>
          <c:idx val="2"/>
          <c:order val="2"/>
          <c:tx>
            <c:strRef>
              <c:f>Sheet1!$D$1</c:f>
              <c:strCache>
                <c:ptCount val="1"/>
                <c:pt idx="0">
                  <c:v>增加减少</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2018年</c:v>
                </c:pt>
              </c:strCache>
            </c:strRef>
          </c:cat>
          <c:val>
            <c:numRef>
              <c:f>Sheet1!$D$2:$D$3</c:f>
              <c:numCache>
                <c:formatCode>General</c:formatCode>
                <c:ptCount val="2"/>
                <c:pt idx="0">
                  <c:v>21.88</c:v>
                </c:pt>
              </c:numCache>
            </c:numRef>
          </c:val>
        </c:ser>
        <c:ser>
          <c:idx val="3"/>
          <c:order val="3"/>
          <c:tx>
            <c:strRef>
              <c:f>Sheet1!$E$1</c:f>
              <c:strCache>
                <c:ptCount val="1"/>
                <c:pt idx="0">
                  <c:v>增长下降</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2018年</c:v>
                </c:pt>
              </c:strCache>
            </c:strRef>
          </c:cat>
          <c:val>
            <c:numRef>
              <c:f>Sheet1!$E$2:$E$3</c:f>
              <c:numCache>
                <c:formatCode>General</c:formatCode>
                <c:ptCount val="2"/>
                <c:pt idx="0">
                  <c:v>21.62</c:v>
                </c:pt>
              </c:numCache>
            </c:numRef>
          </c:val>
        </c:ser>
        <c:dLbls>
          <c:showLegendKey val="false"/>
          <c:showVal val="false"/>
          <c:showCatName val="false"/>
          <c:showSerName val="false"/>
          <c:showPercent val="false"/>
          <c:showBubbleSize val="false"/>
        </c:dLbls>
        <c:gapWidth val="219"/>
        <c:overlap val="-27"/>
        <c:axId val="45449985"/>
        <c:axId val="694479141"/>
      </c:barChart>
      <c:catAx>
        <c:axId val="4544998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true"/>
        <c:lblAlgn val="ctr"/>
        <c:lblOffset val="100"/>
        <c:noMultiLvlLbl val="false"/>
      </c:catAx>
      <c:valAx>
        <c:axId val="69447914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275"/>
          <c:y val="0.0463333333333333"/>
          <c:w val="0.945"/>
          <c:h val="0.8415"/>
        </c:manualLayout>
      </c:layout>
      <c:pieChart>
        <c:varyColors val="true"/>
        <c:ser>
          <c:idx val="0"/>
          <c:order val="0"/>
          <c:tx>
            <c:strRef>
              <c:f>Sheet1!$B$1</c:f>
              <c:strCache>
                <c:ptCount val="1"/>
                <c:pt idx="0">
                  <c:v>2019年总支出</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Pt>
            <c:idx val="2"/>
            <c:bubble3D val="false"/>
            <c:spPr>
              <a:solidFill>
                <a:schemeClr val="accent3"/>
              </a:solidFill>
              <a:ln w="25400">
                <a:solidFill>
                  <a:schemeClr val="lt1"/>
                </a:solidFill>
              </a:ln>
              <a:effectLst/>
              <a:scene3d>
                <a:camera prst="orthographicFront"/>
                <a:lightRig rig="threePt" dir="t"/>
              </a:scene3d>
              <a:sp3d contourW="25400"/>
            </c:spPr>
          </c:dPt>
          <c:dPt>
            <c:idx val="3"/>
            <c:bubble3D val="false"/>
            <c:spPr>
              <a:solidFill>
                <a:schemeClr val="accent4"/>
              </a:solidFill>
              <a:ln w="25400">
                <a:solidFill>
                  <a:schemeClr val="lt1"/>
                </a:solidFill>
              </a:ln>
              <a:effectLst/>
              <a:scene3d>
                <a:camera prst="orthographicFront"/>
                <a:lightRig rig="threePt" dir="t"/>
              </a:scene3d>
              <a:sp3d contourW="25400"/>
            </c:spPr>
          </c:dPt>
          <c:dPt>
            <c:idx val="4"/>
            <c:bubble3D val="false"/>
            <c:spPr>
              <a:solidFill>
                <a:schemeClr val="accent5"/>
              </a:solidFill>
              <a:ln w="25400">
                <a:solidFill>
                  <a:schemeClr val="lt1"/>
                </a:solidFill>
              </a:ln>
              <a:effectLst/>
              <a:scene3d>
                <a:camera prst="orthographicFront"/>
                <a:lightRig rig="threePt" dir="t"/>
              </a:scene3d>
              <a:sp3d contourW="25400"/>
            </c:spPr>
          </c:dPt>
          <c:dLbls>
            <c:dLbl>
              <c:idx val="3"/>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医疗卫生</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100.00</a:t>
                    </a:r>
                    <a:r>
                      <a:t>%</a:t>
                    </a:r>
                  </a:p>
                </c:rich>
              </c:tx>
              <c:dLblPos val="ctr"/>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住房保障</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0.01</a:t>
                    </a:r>
                    <a:r>
                      <a:t>%</a:t>
                    </a:r>
                  </a:p>
                </c:rich>
              </c:tx>
              <c:dLblPos val="ctr"/>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教育支出</c:v>
                </c:pt>
                <c:pt idx="1">
                  <c:v>科学技术</c:v>
                </c:pt>
                <c:pt idx="2">
                  <c:v>社会保障和就业</c:v>
                </c:pt>
                <c:pt idx="3">
                  <c:v>医疗卫生</c:v>
                </c:pt>
                <c:pt idx="4">
                  <c:v>住房保障</c:v>
                </c:pt>
              </c:strCache>
            </c:strRef>
          </c:cat>
          <c:val>
            <c:numRef>
              <c:f>Sheet1!$B$2:$B$6</c:f>
              <c:numCache>
                <c:formatCode>General</c:formatCode>
                <c:ptCount val="5"/>
                <c:pt idx="2">
                  <c:v>0</c:v>
                </c:pt>
                <c:pt idx="3">
                  <c:v>101.2</c:v>
                </c:pt>
                <c:pt idx="4">
                  <c:v>0</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教育支出</c:v>
                </c:pt>
                <c:pt idx="1">
                  <c:v>科学技术</c:v>
                </c:pt>
                <c:pt idx="2">
                  <c:v>社会保障和就业</c:v>
                </c:pt>
                <c:pt idx="3">
                  <c:v>医疗卫生</c:v>
                </c:pt>
                <c:pt idx="4">
                  <c:v>住房保障</c:v>
                </c:pt>
              </c:strCache>
            </c:strRef>
          </c:cat>
          <c:val>
            <c:numRef>
              <c:f>Sheet1!$C$2:$C$6</c:f>
              <c:numCache>
                <c:formatCode>General</c:formatCode>
                <c:ptCount val="5"/>
                <c:pt idx="2">
                  <c:v>0</c:v>
                </c:pt>
                <c:pt idx="3">
                  <c:v>100</c:v>
                </c:pt>
                <c:pt idx="4">
                  <c:v>0</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275"/>
          <c:y val="0.0463333333333333"/>
          <c:w val="0.945"/>
          <c:h val="0.8415"/>
        </c:manualLayout>
      </c:layout>
      <c:pieChart>
        <c:varyColors val="true"/>
        <c:ser>
          <c:idx val="0"/>
          <c:order val="0"/>
          <c:tx>
            <c:strRef>
              <c:f>Sheet1!$B$1</c:f>
              <c:strCache>
                <c:ptCount val="1"/>
                <c:pt idx="0">
                  <c:v>2019年总支出</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Pt>
            <c:idx val="2"/>
            <c:bubble3D val="false"/>
            <c:spPr>
              <a:solidFill>
                <a:schemeClr val="accent3"/>
              </a:solidFill>
              <a:ln w="25400">
                <a:solidFill>
                  <a:schemeClr val="lt1"/>
                </a:solidFill>
              </a:ln>
              <a:effectLst/>
              <a:scene3d>
                <a:camera prst="orthographicFront"/>
                <a:lightRig rig="threePt" dir="t"/>
              </a:scene3d>
              <a:sp3d contourW="25400"/>
            </c:spPr>
          </c:dPt>
          <c:dLbls>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公用车购置及运行维护费37</a:t>
                    </a:r>
                    <a:r>
                      <a:rPr lang="en-US" altLang="zh-CN"/>
                      <a:t>.16</a:t>
                    </a:r>
                    <a:r>
                      <a:t>%</a:t>
                    </a:r>
                  </a:p>
                </c:rich>
              </c:tx>
              <c:dLblPos val="ctr"/>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公务接待费6</a:t>
                    </a:r>
                    <a:r>
                      <a:rPr lang="en-US" altLang="zh-CN"/>
                      <a:t>2.84</a:t>
                    </a:r>
                    <a:r>
                      <a:t>%</a:t>
                    </a:r>
                  </a:p>
                </c:rich>
              </c:tx>
              <c:dLblPos val="ctr"/>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Sheet1!$B$2:$B$4</c:f>
              <c:numCache>
                <c:formatCode>General</c:formatCode>
                <c:ptCount val="3"/>
                <c:pt idx="0">
                  <c:v>0</c:v>
                </c:pt>
                <c:pt idx="1">
                  <c:v>1.49</c:v>
                </c:pt>
                <c:pt idx="2">
                  <c:v>2.52</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Sheet1!$C$2:$C$4</c:f>
              <c:numCache>
                <c:formatCode>General</c:formatCode>
                <c:ptCount val="3"/>
                <c:pt idx="0">
                  <c:v>0</c:v>
                </c:pt>
                <c:pt idx="1">
                  <c:v>37.16</c:v>
                </c:pt>
                <c:pt idx="2">
                  <c:v>62.84</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2</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2019-09-04T15:56:00Z</cp:lastPrinted>
  <dcterms:modified xsi:type="dcterms:W3CDTF">2022-02-22T10:57:00Z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