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3" w:name="_GoBack"/>
      <w:bookmarkEnd w:id="73"/>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06268"/>
      <w:bookmarkStart w:id="8" w:name="_Toc15377426"/>
      <w:bookmarkStart w:id="9" w:name="_Toc15396476"/>
      <w:bookmarkStart w:id="10" w:name="_Toc15378442"/>
      <w:bookmarkStart w:id="11" w:name="_Toc15377194"/>
      <w:r>
        <w:rPr>
          <w:rFonts w:hint="eastAsia" w:ascii="方正小标宋简体" w:hAnsi="宋体" w:eastAsia="方正小标宋简体"/>
          <w:color w:val="000000"/>
          <w:sz w:val="72"/>
          <w:szCs w:val="72"/>
        </w:rPr>
        <w:t>宣汉县华景镇小学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公开时间：2020年11月12日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color w:val="FF0000"/>
          <w:sz w:val="24"/>
        </w:rPr>
      </w:pPr>
      <w:bookmarkStart w:id="12" w:name="_Toc15377196"/>
      <w:bookmarkStart w:id="13" w:name="_Toc15396599"/>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宣汉县华景镇小学是一所全额拨款事业单位，隶属宣汉县教育科技知识产权局领导。学校财务由县财政统一预算，纳入国库集中支付管理范围，实行县财政核算教科文股统一核算。我校负责全面贯彻党的教育方针，坚持社会主义办学方向，对学生进行德育、智育、体育、美育和劳动等方面的教育，全面组织实施小学和学前教育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2019年，我校在上级主管部门的正确领导和大力支持下，圆满完成了上级下达的各项任务和小学、学前教育的各项工作，大力推动了我镇素质教育的全面发展。</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2019年底，我校纳入部门决算独立核算单位共1个，与上年相比无增减变动。</w:t>
      </w:r>
    </w:p>
    <w:p>
      <w:pPr>
        <w:pStyle w:val="5"/>
        <w:adjustRightInd w:val="0"/>
        <w:snapToGrid w:val="0"/>
        <w:spacing w:before="93" w:line="600" w:lineRule="exact"/>
        <w:ind w:firstLine="640" w:firstLineChars="200"/>
        <w:rPr>
          <w:rFonts w:ascii="仿宋" w:hAnsi="仿宋" w:eastAsia="仿宋"/>
          <w:kern w:val="2"/>
          <w:sz w:val="32"/>
          <w:szCs w:val="32"/>
        </w:rPr>
      </w:pP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2019年度收入总计1233.46万元，支出总计1233.46万元，较2018年各增加了76.</w:t>
      </w:r>
      <w:r>
        <w:rPr>
          <w:rFonts w:ascii="仿宋" w:hAnsi="仿宋" w:eastAsia="仿宋"/>
          <w:color w:val="000000"/>
          <w:sz w:val="32"/>
          <w:szCs w:val="32"/>
        </w:rPr>
        <w:t>69</w:t>
      </w:r>
      <w:r>
        <w:rPr>
          <w:rFonts w:hint="eastAsia" w:ascii="仿宋" w:hAnsi="仿宋" w:eastAsia="仿宋"/>
          <w:color w:val="000000"/>
          <w:sz w:val="32"/>
          <w:szCs w:val="32"/>
        </w:rPr>
        <w:t>万元，增幅为6.63%，其主要原因为教师人数较上年净增加9人，以及2019年新增了困难学生生活补助资助项目。</w:t>
      </w:r>
    </w:p>
    <w:p>
      <w:pPr>
        <w:pStyle w:val="23"/>
        <w:spacing w:line="600" w:lineRule="exact"/>
        <w:ind w:left="1360" w:firstLine="0" w:firstLineChars="0"/>
        <w:rPr>
          <w:rFonts w:ascii="仿宋" w:hAnsi="仿宋" w:eastAsia="仿宋"/>
          <w:color w:val="000000" w:themeColor="text1"/>
          <w:sz w:val="32"/>
          <w:szCs w:val="32"/>
          <w14:textFill>
            <w14:solidFill>
              <w14:schemeClr w14:val="tx1"/>
            </w14:solidFill>
          </w14:textFill>
        </w:rPr>
      </w:pPr>
      <w:bookmarkStart w:id="26" w:name="_Toc15396604"/>
      <w:bookmarkStart w:id="27" w:name="_Toc15377206"/>
      <w:r>
        <w:rPr>
          <w:rFonts w:ascii="仿宋_GB2312" w:eastAsia="仿宋_GB2312"/>
          <w:color w:val="000000"/>
          <w:sz w:val="32"/>
          <w:szCs w:val="32"/>
        </w:rPr>
        <w:drawing>
          <wp:anchor distT="0" distB="0" distL="114300" distR="114300" simplePos="0" relativeHeight="251655168" behindDoc="0" locked="0" layoutInCell="1" allowOverlap="1">
            <wp:simplePos x="0" y="0"/>
            <wp:positionH relativeFrom="column">
              <wp:posOffset>666115</wp:posOffset>
            </wp:positionH>
            <wp:positionV relativeFrom="paragraph">
              <wp:posOffset>113665</wp:posOffset>
            </wp:positionV>
            <wp:extent cx="4486275" cy="2971800"/>
            <wp:effectExtent l="0" t="0" r="9525"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 w:hAnsi="仿宋" w:eastAsia="仿宋"/>
          <w:color w:val="000000" w:themeColor="text1"/>
          <w:sz w:val="32"/>
          <w:szCs w:val="32"/>
          <w14:textFill>
            <w14:solidFill>
              <w14:schemeClr w14:val="tx1"/>
            </w14:solidFill>
          </w14:textFill>
        </w:rPr>
        <w:t xml:space="preserve"> </w:t>
      </w:r>
    </w:p>
    <w:p>
      <w:pPr>
        <w:pStyle w:val="23"/>
        <w:spacing w:line="600" w:lineRule="exact"/>
        <w:ind w:left="1360" w:firstLine="0" w:firstLineChars="0"/>
        <w:outlineLvl w:val="1"/>
        <w:rPr>
          <w:rFonts w:ascii="黑体" w:hAnsi="黑体" w:eastAsia="黑体" w:cstheme="majorBidi"/>
          <w:bCs/>
          <w:sz w:val="32"/>
          <w:szCs w:val="32"/>
        </w:rPr>
      </w:pPr>
    </w:p>
    <w:p>
      <w:pPr>
        <w:pStyle w:val="23"/>
        <w:spacing w:line="600" w:lineRule="exact"/>
        <w:ind w:left="1360" w:firstLine="0" w:firstLineChars="0"/>
        <w:outlineLvl w:val="1"/>
        <w:rPr>
          <w:rFonts w:ascii="黑体" w:hAnsi="黑体" w:eastAsia="黑体" w:cstheme="majorBidi"/>
          <w:bCs/>
          <w:sz w:val="32"/>
          <w:szCs w:val="32"/>
        </w:rPr>
      </w:pPr>
    </w:p>
    <w:p>
      <w:pPr>
        <w:pStyle w:val="23"/>
        <w:spacing w:line="600" w:lineRule="exact"/>
        <w:ind w:left="1360" w:firstLine="0" w:firstLineChars="0"/>
        <w:outlineLvl w:val="1"/>
        <w:rPr>
          <w:rFonts w:ascii="黑体" w:hAnsi="黑体" w:eastAsia="黑体" w:cstheme="majorBidi"/>
          <w:bCs/>
          <w:sz w:val="32"/>
          <w:szCs w:val="32"/>
        </w:rPr>
      </w:pPr>
    </w:p>
    <w:p>
      <w:pPr>
        <w:pStyle w:val="23"/>
        <w:spacing w:line="600" w:lineRule="exact"/>
        <w:ind w:left="1360" w:firstLine="0" w:firstLineChars="0"/>
        <w:outlineLvl w:val="1"/>
        <w:rPr>
          <w:rFonts w:ascii="黑体" w:hAnsi="黑体" w:eastAsia="黑体" w:cstheme="majorBidi"/>
          <w:bCs/>
          <w:sz w:val="32"/>
          <w:szCs w:val="32"/>
        </w:rPr>
      </w:pPr>
    </w:p>
    <w:p>
      <w:pPr>
        <w:pStyle w:val="23"/>
        <w:spacing w:line="600" w:lineRule="exact"/>
        <w:ind w:left="1360" w:firstLine="0" w:firstLineChars="0"/>
        <w:outlineLvl w:val="1"/>
        <w:rPr>
          <w:rFonts w:ascii="黑体" w:hAnsi="黑体" w:eastAsia="黑体" w:cstheme="majorBidi"/>
          <w:bCs/>
          <w:sz w:val="32"/>
          <w:szCs w:val="32"/>
        </w:rPr>
      </w:pPr>
    </w:p>
    <w:p>
      <w:pPr>
        <w:pStyle w:val="23"/>
        <w:spacing w:line="600" w:lineRule="exact"/>
        <w:ind w:left="1360" w:firstLine="0" w:firstLineChars="0"/>
        <w:outlineLvl w:val="1"/>
        <w:rPr>
          <w:rFonts w:ascii="黑体" w:hAnsi="黑体" w:eastAsia="黑体" w:cstheme="majorBidi"/>
          <w:bCs/>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9年本年收入合计1233.46万元，其中：一般公共预算财政拨款收入1233.46万元，占100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1266825</wp:posOffset>
            </wp:positionH>
            <wp:positionV relativeFrom="paragraph">
              <wp:posOffset>37465</wp:posOffset>
            </wp:positionV>
            <wp:extent cx="3095625" cy="1685925"/>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黑体" w:hAnsi="黑体" w:eastAsia="黑体"/>
          <w:color w:val="000000"/>
          <w:sz w:val="32"/>
          <w:szCs w:val="32"/>
        </w:rPr>
      </w:pPr>
      <w:bookmarkStart w:id="28" w:name="_Toc15396605"/>
      <w:bookmarkStart w:id="29" w:name="_Toc15377207"/>
    </w:p>
    <w:p>
      <w:pPr>
        <w:spacing w:line="600" w:lineRule="exact"/>
        <w:ind w:firstLine="640" w:firstLineChars="200"/>
        <w:rPr>
          <w:rStyle w:val="25"/>
          <w:rFonts w:ascii="黑体" w:hAnsi="黑体" w:eastAsia="黑体"/>
          <w:b w:val="0"/>
        </w:rPr>
      </w:pPr>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9年本年支出合计1233.46万元，其中：基本支出982.07万元，占79.6</w:t>
      </w:r>
      <w:r>
        <w:rPr>
          <w:rFonts w:ascii="仿宋" w:hAnsi="仿宋" w:eastAsia="仿宋"/>
          <w:color w:val="000000"/>
          <w:sz w:val="32"/>
          <w:szCs w:val="32"/>
        </w:rPr>
        <w:t>%</w:t>
      </w:r>
      <w:r>
        <w:rPr>
          <w:rFonts w:hint="eastAsia" w:ascii="仿宋" w:hAnsi="仿宋" w:eastAsia="仿宋"/>
          <w:color w:val="000000"/>
          <w:sz w:val="32"/>
          <w:szCs w:val="32"/>
        </w:rPr>
        <w:t>；项目支出251.39万元，占20.4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714375</wp:posOffset>
            </wp:positionH>
            <wp:positionV relativeFrom="paragraph">
              <wp:posOffset>200025</wp:posOffset>
            </wp:positionV>
            <wp:extent cx="3905250" cy="2438400"/>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9年财政拨款收入1233.46万元，支总计1233.46万元。与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8年相比，财政拨款收、支总计各增加76.</w:t>
      </w:r>
      <w:r>
        <w:rPr>
          <w:rFonts w:ascii="仿宋" w:hAnsi="仿宋" w:eastAsia="仿宋"/>
          <w:color w:val="000000"/>
          <w:sz w:val="32"/>
          <w:szCs w:val="32"/>
        </w:rPr>
        <w:t>69</w:t>
      </w:r>
      <w:r>
        <w:rPr>
          <w:rFonts w:hint="eastAsia" w:ascii="仿宋" w:hAnsi="仿宋" w:eastAsia="仿宋"/>
          <w:color w:val="000000"/>
          <w:sz w:val="32"/>
          <w:szCs w:val="32"/>
        </w:rPr>
        <w:t>万元，增长6.63</w:t>
      </w:r>
      <w:r>
        <w:rPr>
          <w:rFonts w:ascii="仿宋" w:hAnsi="仿宋" w:eastAsia="仿宋"/>
          <w:color w:val="000000"/>
          <w:sz w:val="32"/>
          <w:szCs w:val="32"/>
        </w:rPr>
        <w:t>%</w:t>
      </w:r>
      <w:r>
        <w:rPr>
          <w:rFonts w:hint="eastAsia" w:ascii="仿宋" w:hAnsi="仿宋" w:eastAsia="仿宋"/>
          <w:color w:val="000000"/>
          <w:sz w:val="32"/>
          <w:szCs w:val="32"/>
        </w:rPr>
        <w:t>。主要变动原因是教师人数较上年净增加9人，以及2019年新增了困难学生生活补助资助项目。</w:t>
      </w:r>
    </w:p>
    <w:p>
      <w:pPr>
        <w:spacing w:line="600" w:lineRule="exact"/>
        <w:rPr>
          <w:rFonts w:ascii="仿宋" w:hAnsi="仿宋" w:eastAsia="仿宋"/>
          <w:color w:val="000000" w:themeColor="text1"/>
          <w:sz w:val="32"/>
          <w:szCs w:val="32"/>
          <w14:textFill>
            <w14:solidFill>
              <w14:schemeClr w14:val="tx1"/>
            </w14:solidFill>
          </w14:textFill>
        </w:rPr>
      </w:pPr>
      <w:r>
        <w:rPr>
          <w:rFonts w:ascii="仿宋_GB2312" w:eastAsia="仿宋_GB2312"/>
          <w:color w:val="000000"/>
          <w:sz w:val="32"/>
          <w:szCs w:val="32"/>
        </w:rPr>
        <w:drawing>
          <wp:anchor distT="0" distB="0" distL="114300" distR="114300" simplePos="0" relativeHeight="251662336" behindDoc="0" locked="0" layoutInCell="1" allowOverlap="1">
            <wp:simplePos x="0" y="0"/>
            <wp:positionH relativeFrom="column">
              <wp:posOffset>714375</wp:posOffset>
            </wp:positionH>
            <wp:positionV relativeFrom="paragraph">
              <wp:posOffset>152400</wp:posOffset>
            </wp:positionV>
            <wp:extent cx="4324350" cy="2790825"/>
            <wp:effectExtent l="0" t="0" r="0" b="952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9年一般公共预算财政拨款支出1233.46万元，占本年支出合计的100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8年相比，一般公共预算财政拨款增加76.</w:t>
      </w:r>
      <w:r>
        <w:rPr>
          <w:rFonts w:ascii="仿宋" w:hAnsi="仿宋" w:eastAsia="仿宋"/>
          <w:color w:val="000000"/>
          <w:sz w:val="32"/>
          <w:szCs w:val="32"/>
        </w:rPr>
        <w:t>69</w:t>
      </w:r>
      <w:r>
        <w:rPr>
          <w:rFonts w:hint="eastAsia" w:ascii="仿宋" w:hAnsi="仿宋" w:eastAsia="仿宋"/>
          <w:color w:val="000000"/>
          <w:sz w:val="32"/>
          <w:szCs w:val="32"/>
        </w:rPr>
        <w:t>万元，增长6.63</w:t>
      </w:r>
      <w:r>
        <w:rPr>
          <w:rFonts w:ascii="仿宋" w:hAnsi="仿宋" w:eastAsia="仿宋"/>
          <w:color w:val="000000"/>
          <w:sz w:val="32"/>
          <w:szCs w:val="32"/>
        </w:rPr>
        <w:t>%</w:t>
      </w:r>
      <w:r>
        <w:rPr>
          <w:rFonts w:hint="eastAsia" w:ascii="仿宋" w:hAnsi="仿宋" w:eastAsia="仿宋"/>
          <w:color w:val="000000"/>
          <w:sz w:val="32"/>
          <w:szCs w:val="32"/>
        </w:rPr>
        <w:t>。主要变动原因是教师人数较上年净增加9人，以及2019年新增了困难学生生活补助资助项目。</w:t>
      </w:r>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drawing>
          <wp:anchor distT="0" distB="0" distL="114300" distR="114300" simplePos="0" relativeHeight="251664384" behindDoc="0" locked="0" layoutInCell="1" allowOverlap="1">
            <wp:simplePos x="0" y="0"/>
            <wp:positionH relativeFrom="column">
              <wp:posOffset>619125</wp:posOffset>
            </wp:positionH>
            <wp:positionV relativeFrom="paragraph">
              <wp:posOffset>66675</wp:posOffset>
            </wp:positionV>
            <wp:extent cx="4476750" cy="2990850"/>
            <wp:effectExtent l="0" t="0" r="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bookmarkStart w:id="35" w:name="_Toc15377211"/>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政拨款支出1233.46万元，主要用于以下方面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w:t>
      </w:r>
      <w:r>
        <w:rPr>
          <w:rFonts w:hint="eastAsia" w:ascii="仿宋" w:hAnsi="仿宋" w:eastAsia="仿宋"/>
          <w:color w:val="000000" w:themeColor="text1"/>
          <w:sz w:val="32"/>
          <w:szCs w:val="32"/>
          <w14:textFill>
            <w14:solidFill>
              <w14:schemeClr w14:val="tx1"/>
            </w14:solidFill>
          </w14:textFill>
        </w:rPr>
        <w:t>1048.92万元，占85.0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14:textFill>
            <w14:solidFill>
              <w14:schemeClr w14:val="tx1"/>
            </w14:solidFill>
          </w14:textFill>
        </w:rPr>
        <w:t>90.86万元，占7.4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32.91万元，占2.7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60.76万元，占4.9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9504" behindDoc="0" locked="0" layoutInCell="1" allowOverlap="1">
            <wp:simplePos x="0" y="0"/>
            <wp:positionH relativeFrom="column">
              <wp:posOffset>95250</wp:posOffset>
            </wp:positionH>
            <wp:positionV relativeFrom="paragraph">
              <wp:posOffset>-47625</wp:posOffset>
            </wp:positionV>
            <wp:extent cx="5274310" cy="3076575"/>
            <wp:effectExtent l="0" t="0" r="2540" b="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2019年般公共预算支出决算数为1233.46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支出决算为1048.92万元，完成预算100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支出决算为90.86万元，完成预算100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支出决算为32.91万元，完成预算100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Fonts w:hint="eastAsia" w:ascii="仿宋" w:hAnsi="仿宋" w:eastAsia="仿宋"/>
          <w:b/>
          <w:bCs/>
          <w:color w:val="000000" w:themeColor="text1"/>
          <w:sz w:val="32"/>
          <w:szCs w:val="32"/>
          <w14:textFill>
            <w14:solidFill>
              <w14:schemeClr w14:val="tx1"/>
            </w14:solidFill>
          </w14:textFill>
        </w:rPr>
        <w:t>住房保障</w:t>
      </w:r>
      <w:r>
        <w:rPr>
          <w:rStyle w:val="14"/>
          <w:rFonts w:hint="eastAsia" w:ascii="仿宋" w:hAnsi="仿宋" w:eastAsia="仿宋"/>
          <w:bCs/>
          <w:color w:val="000000"/>
          <w:sz w:val="32"/>
          <w:szCs w:val="32"/>
        </w:rPr>
        <w:t>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支出决算为60.76万元，完成预算100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Fonts w:ascii="黑体" w:eastAsia="黑体"/>
          <w:color w:val="000000"/>
          <w:sz w:val="32"/>
          <w:szCs w:val="32"/>
        </w:rPr>
      </w:pPr>
      <w:bookmarkStart w:id="40" w:name="_Toc15396608"/>
      <w:bookmarkStart w:id="41" w:name="_Toc15377214"/>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9年一般公共预算财政拨款基本支出982.07万元，其中：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人员经费859.74万元，主要包括：基本工资、津贴补贴、绩效工资、机关事业单位基本养老保险缴费、职业年金缴费、其他社会保障缴费、其他工资福利支出、生活补助、住房公积金等。</w:t>
      </w:r>
    </w:p>
    <w:p>
      <w:pPr>
        <w:spacing w:line="600" w:lineRule="exact"/>
        <w:rPr>
          <w:rFonts w:ascii="仿宋" w:hAnsi="仿宋" w:eastAsia="仿宋"/>
          <w:color w:val="000000"/>
          <w:sz w:val="32"/>
          <w:szCs w:val="32"/>
        </w:rPr>
      </w:pPr>
      <w:r>
        <w:rPr>
          <w:rFonts w:hint="eastAsia" w:ascii="仿宋" w:hAnsi="仿宋" w:eastAsia="仿宋"/>
          <w:color w:val="000000"/>
          <w:sz w:val="32"/>
          <w:szCs w:val="32"/>
        </w:rPr>
        <w:t>　　日常公用经费122.33万元，主要包括：办公费、印刷费、咨询费、手续费、水费、电费、邮电费、取暖费、物业管理费、差旅费、维修（护）费、会议费、培训费、公务接待费、劳务费、工会经费、福利费、其他交通费、税金及附加费用、其他商品和服务支出、办公设备购置、专用设备购置、其他资本性支出等。</w:t>
      </w:r>
    </w:p>
    <w:p>
      <w:pPr>
        <w:spacing w:line="600" w:lineRule="exact"/>
        <w:ind w:firstLine="640"/>
        <w:outlineLvl w:val="1"/>
        <w:rPr>
          <w:rFonts w:ascii="黑体" w:eastAsia="黑体"/>
          <w:color w:val="000000"/>
          <w:sz w:val="32"/>
          <w:szCs w:val="32"/>
        </w:rPr>
      </w:pPr>
      <w:bookmarkStart w:id="42" w:name="_Toc15377215"/>
      <w:bookmarkStart w:id="43" w:name="_Toc15396609"/>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9年“三公”经费财政拨款支出决算为4.29万元，完成预算100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9年“三公”经费财政拨款支出决算中，公务接待费支出决算4.29万元，占100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8年略有减少，主要用于迎接上级部门工作检查、教学质量抽测等。全年公务接待共136次918人次。</w:t>
      </w:r>
      <w:r>
        <w:rPr>
          <w:rFonts w:ascii="仿宋_GB2312" w:eastAsia="仿宋_GB2312"/>
          <w:color w:val="000000"/>
          <w:sz w:val="32"/>
          <w:szCs w:val="32"/>
        </w:rPr>
        <w:t xml:space="preserve"> </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9年无政府性基金预算拨款支出。</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9年无国有资本经营预算拨款支出。</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9年无</w:t>
      </w:r>
      <w:r>
        <w:rPr>
          <w:rFonts w:hint="eastAsia" w:ascii="仿宋_GB2312" w:eastAsia="仿宋_GB2312"/>
          <w:color w:val="000000" w:themeColor="text1"/>
          <w:sz w:val="32"/>
          <w:szCs w:val="32"/>
          <w14:textFill>
            <w14:solidFill>
              <w14:schemeClr w14:val="tx1"/>
            </w14:solidFill>
          </w14:textFill>
        </w:rPr>
        <w:t>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万元以上的通用设备，无单价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万元以上的专用设备。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学前教育建档立卡贫困家庭免保教费”、“学前教育幼儿学生免保教费”、“义教学生营养改善计划金”“义教经济困难学生生活补助”、“县经公用经费”5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学前教育建档立卡贫困家庭免保教费项目绩效目标完成情况综述。项目全年预算数2.86万元，执行数为2.86万元，完成预算的100%。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学前教育幼儿学生名保教费项目绩效目标完成情况综述。项目全年预算数43.71万元，执行数为43.71万元，完成预算的100%。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义教学生营养改善计划金项目绩效目标完成情况综述。项目全年预算数125.25万元，执行数为125.25万元，完成预算的100%。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义教贫困寄宿生生活补助项目绩效目标完成情况综述。项目全年预算数30.65万元，执行数为30.65万元，完成预算的100%。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县级公用经费绩效目标完成情况综述。项目全年预算数3.162万元，执行数为3.162万元，完成预算的100%。</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本部门按要求对2019年部门整体支出绩效评价情况开展自评，《宣汉县华景镇小学2019年部门整体支出绩效评价报告》见附件（附件1）。</w:t>
      </w:r>
    </w:p>
    <w:p>
      <w:pPr>
        <w:spacing w:line="580" w:lineRule="exact"/>
        <w:ind w:firstLine="640" w:firstLineChars="200"/>
        <w:rPr>
          <w:rFonts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教育支出：学前教育，反映学前教育的支出；小学教育，反映各部门举办的小学教育支出；其他教育附加安排的支出，反映教育费附加安排的支出。。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社会保障和就业支出：机关事业单位基本养老保险缴费支出，指反映机关事业单位实施养老保险制度由单位缴纳的基本养老保险费支出；机关事业单位职业年金缴费支出，指机关事业单位实施养老保险制度由单位缴纳的职业年金缴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rPr>
        <w:t xml:space="preserve"> </w:t>
      </w:r>
      <w:r>
        <w:rPr>
          <w:rFonts w:hint="eastAsia" w:ascii="仿宋_GB2312" w:eastAsia="仿宋_GB2312"/>
          <w:color w:val="000000"/>
          <w:sz w:val="32"/>
          <w:szCs w:val="32"/>
        </w:rPr>
        <w:t>卫生健康支出：事业单位医疗，指反映财政部门集中安排的事业单位基本医疗保险经费经费。。</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rPr>
        <w:t xml:space="preserve"> </w:t>
      </w:r>
      <w:r>
        <w:rPr>
          <w:rFonts w:hint="eastAsia" w:ascii="仿宋_GB2312" w:eastAsia="仿宋_GB2312"/>
          <w:color w:val="000000"/>
          <w:sz w:val="32"/>
          <w:szCs w:val="32"/>
        </w:rPr>
        <w:t>住房保障支出：住房公积金，指反映行政事业单位按人力资源和社会保障部、财政部规定的为职工缴纳的住房公积金。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宣汉县华景镇小学</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一、部门概况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（一）机构组成</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宣汉县华景镇小学是一所公办的全日制小学,主管部门为宣汉县教育科技局，下辖中心校1所，村小6所，中心幼儿园1所。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（二）机构职能</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宣汉县华景镇小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中华人民共和国未成年人保护法》做好“保学控辍”工作，依法保护学生和家</w:t>
      </w:r>
      <w:r>
        <w:rPr>
          <w:rFonts w:hint="eastAsia" w:ascii="黑体" w:hAnsi="宋体" w:eastAsia="黑体" w:cs="宋体"/>
          <w:color w:val="000000"/>
          <w:kern w:val="0"/>
          <w:sz w:val="32"/>
          <w:szCs w:val="32"/>
          <w:shd w:val="clear" w:color="auto" w:fill="FFFFFF"/>
        </w:rPr>
        <w:t>长</w:t>
      </w:r>
      <w:r>
        <w:rPr>
          <w:rFonts w:hint="eastAsia" w:ascii="仿宋_GB2312" w:hAnsi="宋体" w:eastAsia="仿宋_GB2312"/>
          <w:sz w:val="32"/>
          <w:szCs w:val="32"/>
          <w:lang w:val="zh-CN"/>
        </w:rPr>
        <w:t>的利益，更好地为学生服务，为家长服务，为社会服务。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（三）人员概况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宣汉县华景镇小学201</w:t>
      </w:r>
      <w:r>
        <w:rPr>
          <w:rFonts w:ascii="仿宋_GB2312" w:hAnsi="宋体" w:eastAsia="仿宋_GB2312"/>
          <w:sz w:val="32"/>
          <w:szCs w:val="32"/>
          <w:lang w:val="zh-CN"/>
        </w:rPr>
        <w:t>9</w:t>
      </w:r>
      <w:r>
        <w:rPr>
          <w:rFonts w:hint="eastAsia" w:ascii="仿宋_GB2312" w:hAnsi="宋体" w:eastAsia="仿宋_GB2312"/>
          <w:sz w:val="32"/>
          <w:szCs w:val="32"/>
          <w:lang w:val="zh-CN"/>
        </w:rPr>
        <w:t>年在编教职工68人（含特岗教师），退休教师52人，临时聘用教师30人，在校小学生共1652人、在园幼儿407人。</w:t>
      </w:r>
    </w:p>
    <w:p>
      <w:pPr>
        <w:spacing w:line="58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（一）部门财政资金收入情况。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201</w:t>
      </w:r>
      <w:r>
        <w:rPr>
          <w:rFonts w:ascii="仿宋_GB2312" w:hAnsi="宋体" w:eastAsia="仿宋_GB2312"/>
          <w:sz w:val="32"/>
          <w:szCs w:val="32"/>
          <w:lang w:val="zh-CN"/>
        </w:rPr>
        <w:t>9</w:t>
      </w:r>
      <w:r>
        <w:rPr>
          <w:rFonts w:hint="eastAsia" w:ascii="仿宋_GB2312" w:hAnsi="宋体" w:eastAsia="仿宋_GB2312"/>
          <w:sz w:val="32"/>
          <w:szCs w:val="32"/>
          <w:lang w:val="zh-CN"/>
        </w:rPr>
        <w:t>年收入合计</w:t>
      </w:r>
      <w:r>
        <w:rPr>
          <w:rFonts w:ascii="仿宋_GB2312" w:hAnsi="宋体" w:eastAsia="仿宋_GB2312"/>
          <w:sz w:val="32"/>
          <w:szCs w:val="32"/>
          <w:lang w:val="zh-CN"/>
        </w:rPr>
        <w:t>1233.46</w:t>
      </w:r>
      <w:r>
        <w:rPr>
          <w:rFonts w:hint="eastAsia" w:ascii="仿宋_GB2312" w:hAnsi="宋体" w:eastAsia="仿宋_GB2312"/>
          <w:sz w:val="32"/>
          <w:szCs w:val="32"/>
          <w:lang w:val="zh-CN"/>
        </w:rPr>
        <w:t>万元，全部为一般公共预算财政拨款收入。</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（二）部门财政资金支出情况。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2019年一般公共预算财政拨款支出1233.46万元，主要用于以下方面:教育支出1048.92万元，占85.0%；社会保障和就业支出90.86万元，占7.4%；卫生健康支出32.91万元，占2.7%；住房保障支出60.76万元，占4.9%。</w:t>
      </w:r>
    </w:p>
    <w:p>
      <w:pPr>
        <w:spacing w:line="58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（一）部门预算管理。</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201</w:t>
      </w:r>
      <w:r>
        <w:rPr>
          <w:rFonts w:ascii="仿宋_GB2312" w:hAnsi="宋体" w:eastAsia="仿宋_GB2312"/>
          <w:sz w:val="32"/>
          <w:szCs w:val="32"/>
          <w:lang w:val="zh-CN"/>
        </w:rPr>
        <w:t>9</w:t>
      </w:r>
      <w:r>
        <w:rPr>
          <w:rFonts w:hint="eastAsia" w:ascii="仿宋_GB2312" w:hAnsi="宋体" w:eastAsia="仿宋_GB2312"/>
          <w:sz w:val="32"/>
          <w:szCs w:val="32"/>
          <w:lang w:val="zh-CN"/>
        </w:rPr>
        <w:t>年度宣汉县华景镇小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1、在原相对健全的财务管理制度基础上，适时地、针对性地进行了相关制度的增补，制度的建立更为完善。</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3、教师办公条件改善，给教育教学工作带来了很大的帮助，同时也提高了教师的工作积极性。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（二）专项预算管理。</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一是加强领导责任意识，落实管理责任；二是加强资金管理制度建设，确保机构健全、分工明确；三是加强资金支出管理，严格支出标准和范围，确保专款专用，无截留、挤占或挪用。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（三）结果应用情况。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将绩效评价结果作为以后年度安排预算的依据，优化资源配置。</w:t>
      </w:r>
    </w:p>
    <w:p>
      <w:pPr>
        <w:spacing w:line="58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（一）评价结论：优良。</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（二）存在问题。</w:t>
      </w:r>
    </w:p>
    <w:p>
      <w:pPr>
        <w:spacing w:line="580" w:lineRule="exact"/>
        <w:rPr>
          <w:rFonts w:ascii="仿宋_GB2312" w:hAnsi="宋体" w:eastAsia="仿宋_GB2312"/>
          <w:sz w:val="32"/>
          <w:szCs w:val="32"/>
          <w:lang w:val="zh-CN"/>
        </w:rPr>
      </w:pPr>
      <w:r>
        <w:rPr>
          <w:rFonts w:hint="eastAsia" w:ascii="仿宋_GB2312" w:hAnsi="宋体" w:eastAsia="仿宋_GB2312"/>
          <w:sz w:val="32"/>
          <w:szCs w:val="32"/>
          <w:lang w:val="zh-CN"/>
        </w:rPr>
        <w:t>由于我校缺编严重，加之请产假的教师较多，故而我校本年度聘请了很多临时代课老师，学校用于临聘教师资金较多，严重制约了学校的发展。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（三）改进建议。</w:t>
      </w:r>
    </w:p>
    <w:p>
      <w:pPr>
        <w:spacing w:line="580" w:lineRule="exact"/>
        <w:rPr>
          <w:rStyle w:val="24"/>
          <w:rFonts w:ascii="黑体" w:hAnsi="黑体" w:eastAsia="黑体"/>
          <w:b w:val="0"/>
        </w:rPr>
      </w:pPr>
      <w:r>
        <w:rPr>
          <w:rFonts w:hint="eastAsia" w:ascii="仿宋_GB2312" w:hAnsi="宋体" w:eastAsia="仿宋_GB2312"/>
          <w:sz w:val="32"/>
          <w:szCs w:val="32"/>
          <w:lang w:val="zh-CN"/>
        </w:rPr>
        <w:t>厉行节约，开源节流，严格控制支出，根据学校实际有计划地减少临聘人员，合理地运用资金，促进学校不断向前发展。</w:t>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A9A"/>
    <w:rsid w:val="000F3EDD"/>
    <w:rsid w:val="00114E9B"/>
    <w:rsid w:val="00142216"/>
    <w:rsid w:val="00144D6A"/>
    <w:rsid w:val="0014729F"/>
    <w:rsid w:val="00157BAB"/>
    <w:rsid w:val="001654D1"/>
    <w:rsid w:val="00174518"/>
    <w:rsid w:val="0018106D"/>
    <w:rsid w:val="001877A7"/>
    <w:rsid w:val="00191536"/>
    <w:rsid w:val="00196687"/>
    <w:rsid w:val="001A220F"/>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4DE"/>
    <w:rsid w:val="002F567B"/>
    <w:rsid w:val="00314992"/>
    <w:rsid w:val="003216A9"/>
    <w:rsid w:val="00335A74"/>
    <w:rsid w:val="0036561B"/>
    <w:rsid w:val="0037013F"/>
    <w:rsid w:val="00380C92"/>
    <w:rsid w:val="003A484F"/>
    <w:rsid w:val="003A4883"/>
    <w:rsid w:val="003B0BE0"/>
    <w:rsid w:val="003B0C1B"/>
    <w:rsid w:val="003B433A"/>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1AB6"/>
    <w:rsid w:val="004F403E"/>
    <w:rsid w:val="00505A47"/>
    <w:rsid w:val="00512FDA"/>
    <w:rsid w:val="00520DA0"/>
    <w:rsid w:val="005664BB"/>
    <w:rsid w:val="00566FFA"/>
    <w:rsid w:val="00572B03"/>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27E1E"/>
    <w:rsid w:val="00630AEF"/>
    <w:rsid w:val="006325F8"/>
    <w:rsid w:val="00633463"/>
    <w:rsid w:val="00634C9A"/>
    <w:rsid w:val="006440E4"/>
    <w:rsid w:val="0066343B"/>
    <w:rsid w:val="00664777"/>
    <w:rsid w:val="006748A4"/>
    <w:rsid w:val="0067516A"/>
    <w:rsid w:val="00681A31"/>
    <w:rsid w:val="00683E73"/>
    <w:rsid w:val="006A3141"/>
    <w:rsid w:val="006A5E34"/>
    <w:rsid w:val="006B2422"/>
    <w:rsid w:val="006B2B9A"/>
    <w:rsid w:val="006C1937"/>
    <w:rsid w:val="006D188E"/>
    <w:rsid w:val="006F020C"/>
    <w:rsid w:val="00701736"/>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2A89"/>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65D9"/>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043"/>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2857"/>
    <w:rsid w:val="00CB4E70"/>
    <w:rsid w:val="00CC09B6"/>
    <w:rsid w:val="00CC666F"/>
    <w:rsid w:val="00CD1E3F"/>
    <w:rsid w:val="00CE44F6"/>
    <w:rsid w:val="00CE49DA"/>
    <w:rsid w:val="00CE7B61"/>
    <w:rsid w:val="00D00095"/>
    <w:rsid w:val="00D114F0"/>
    <w:rsid w:val="00D14887"/>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516"/>
    <w:rsid w:val="00ED1B63"/>
    <w:rsid w:val="00ED3C1F"/>
    <w:rsid w:val="00ED4085"/>
    <w:rsid w:val="00ED420E"/>
    <w:rsid w:val="00ED6FBE"/>
    <w:rsid w:val="00EE2CE9"/>
    <w:rsid w:val="00EE2F57"/>
    <w:rsid w:val="00EF4C34"/>
    <w:rsid w:val="00EF77C6"/>
    <w:rsid w:val="00F05438"/>
    <w:rsid w:val="00F055A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10C055FF"/>
    <w:rsid w:val="16BB723D"/>
    <w:rsid w:val="240371BF"/>
    <w:rsid w:val="29FD04D3"/>
    <w:rsid w:val="319F7F4E"/>
    <w:rsid w:val="4ECE2238"/>
    <w:rsid w:val="6CF66222"/>
    <w:rsid w:val="72734D90"/>
    <w:rsid w:val="FFFFF7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图</a:t>
            </a:r>
            <a:r>
              <a:rPr lang="en-US" altLang="zh-CN" sz="1200"/>
              <a:t>1</a:t>
            </a:r>
            <a:r>
              <a:rPr lang="zh-CN" altLang="en-US" sz="1200"/>
              <a:t>：收入、支出决算总计变动情况图</a:t>
            </a:r>
            <a:endParaRPr lang="zh-CN" altLang="en-US" sz="1200"/>
          </a:p>
        </c:rich>
      </c:tx>
      <c:layout>
        <c:manualLayout>
          <c:xMode val="edge"/>
          <c:yMode val="edge"/>
          <c:x val="0.166905829596413"/>
          <c:y val="0.0675105485232067"/>
        </c:manualLayout>
      </c:layout>
      <c:overlay val="false"/>
    </c:title>
    <c:autoTitleDeleted val="false"/>
    <c:plotArea>
      <c:layout/>
      <c:barChart>
        <c:barDir val="col"/>
        <c:grouping val="standard"/>
        <c:varyColors val="false"/>
        <c:ser>
          <c:idx val="0"/>
          <c:order val="0"/>
          <c:tx>
            <c:strRef>
              <c:f>Sheet1!$B$1</c:f>
              <c:strCache>
                <c:ptCount val="1"/>
                <c:pt idx="0">
                  <c:v>收入</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1156.77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2018年</c:v>
                </c:pt>
                <c:pt idx="1">
                  <c:v>2019年</c:v>
                </c:pt>
              </c:strCache>
            </c:strRef>
          </c:cat>
          <c:val>
            <c:numRef>
              <c:f>Sheet1!$B$2:$B$3</c:f>
              <c:numCache>
                <c:formatCode>General</c:formatCode>
                <c:ptCount val="2"/>
                <c:pt idx="0">
                  <c:v>1156.75</c:v>
                </c:pt>
                <c:pt idx="1">
                  <c:v>1233.46</c:v>
                </c:pt>
              </c:numCache>
            </c:numRef>
          </c:val>
        </c:ser>
        <c:ser>
          <c:idx val="1"/>
          <c:order val="1"/>
          <c:tx>
            <c:strRef>
              <c:f>Sheet1!$C$1</c:f>
              <c:strCache>
                <c:ptCount val="1"/>
                <c:pt idx="0">
                  <c:v>支出</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1156.77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2018年</c:v>
                </c:pt>
                <c:pt idx="1">
                  <c:v>2019年</c:v>
                </c:pt>
              </c:strCache>
            </c:strRef>
          </c:cat>
          <c:val>
            <c:numRef>
              <c:f>Sheet1!$C$2:$C$3</c:f>
              <c:numCache>
                <c:formatCode>General</c:formatCode>
                <c:ptCount val="2"/>
                <c:pt idx="0">
                  <c:v>1156.75</c:v>
                </c:pt>
                <c:pt idx="1">
                  <c:v>1233.46</c:v>
                </c:pt>
              </c:numCache>
            </c:numRef>
          </c:val>
        </c:ser>
        <c:dLbls>
          <c:showLegendKey val="false"/>
          <c:showVal val="false"/>
          <c:showCatName val="false"/>
          <c:showSerName val="false"/>
          <c:showPercent val="false"/>
          <c:showBubbleSize val="false"/>
        </c:dLbls>
        <c:gapWidth val="150"/>
        <c:axId val="161246592"/>
        <c:axId val="161248384"/>
      </c:barChart>
      <c:catAx>
        <c:axId val="16124659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1248384"/>
        <c:crosses val="autoZero"/>
        <c:auto val="true"/>
        <c:lblAlgn val="ctr"/>
        <c:lblOffset val="100"/>
        <c:noMultiLvlLbl val="false"/>
      </c:catAx>
      <c:valAx>
        <c:axId val="161248384"/>
        <c:scaling>
          <c:orientation val="minMax"/>
          <c:max val="1300"/>
          <c:min val="0"/>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1246592"/>
        <c:crosses val="autoZero"/>
        <c:crossBetween val="between"/>
      </c:valAx>
      <c:spPr>
        <a:solidFill>
          <a:schemeClr val="bg1"/>
        </a:solidFill>
        <a:ln>
          <a:noFill/>
        </a:ln>
        <a:effectLst/>
      </c:spPr>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图</a:t>
            </a:r>
            <a:r>
              <a:rPr lang="en-US" altLang="zh-CN"/>
              <a:t>2</a:t>
            </a:r>
            <a:r>
              <a:rPr lang="zh-CN" altLang="en-US"/>
              <a:t>：收入决算结构图</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一般公共预算财政拨款</c:v>
                </c:pt>
              </c:strCache>
            </c:strRef>
          </c:cat>
          <c:val>
            <c:numRef>
              <c:f>Sheet1!$B$2</c:f>
              <c:numCache>
                <c:formatCode>General</c:formatCode>
                <c:ptCount val="1"/>
                <c:pt idx="0">
                  <c:v>1233.46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图</a:t>
            </a:r>
            <a:r>
              <a:rPr lang="en-US" altLang="zh-CN"/>
              <a:t>3</a:t>
            </a:r>
            <a:r>
              <a:rPr lang="zh-CN" altLang="en-US"/>
              <a:t>：支出决算结构图</a:t>
            </a:r>
            <a:endParaRPr lang="zh-CN" altLang="en-US"/>
          </a:p>
        </c:rich>
      </c:tx>
      <c:layout/>
      <c:overlay val="false"/>
    </c:title>
    <c:autoTitleDeleted val="false"/>
    <c:plotArea>
      <c:layout/>
      <c:pieChart>
        <c:varyColors val="true"/>
        <c:ser>
          <c:idx val="0"/>
          <c:order val="0"/>
          <c:tx>
            <c:strRef>
              <c:f>Sheet1!$B$1</c:f>
              <c:strCache>
                <c:ptCount val="1"/>
                <c:pt idx="0">
                  <c:v>支出决算结构图</c:v>
                </c:pt>
              </c:strCache>
            </c:strRef>
          </c:tx>
          <c:explosion val="12"/>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79.6%</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20.4%</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982.07</c:v>
                </c:pt>
                <c:pt idx="1">
                  <c:v>251.39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b="1" i="0" u="none" strike="noStrike" baseline="0">
                <a:effectLst/>
              </a:rPr>
              <a:t>图</a:t>
            </a:r>
            <a:r>
              <a:rPr lang="en-US" altLang="zh-CN" sz="1400" b="1" i="0" u="none" strike="noStrike" baseline="0">
                <a:effectLst/>
              </a:rPr>
              <a:t>4</a:t>
            </a:r>
            <a:r>
              <a:rPr lang="zh-CN" altLang="en-US" sz="1400" b="1" i="0" u="none" strike="noStrike" baseline="0">
                <a:effectLst/>
              </a:rPr>
              <a:t>：</a:t>
            </a:r>
            <a:r>
              <a:rPr lang="zh-CN" altLang="zh-CN" sz="1400" b="1" i="0" u="none" strike="noStrike" baseline="0">
                <a:effectLst/>
              </a:rPr>
              <a:t>财政拨款收、支决算总计变动情况</a:t>
            </a:r>
            <a:endParaRPr lang="zh-CN" altLang="en-US" sz="1400"/>
          </a:p>
        </c:rich>
      </c:tx>
      <c:layout>
        <c:manualLayout>
          <c:xMode val="edge"/>
          <c:yMode val="edge"/>
          <c:x val="0.166905829596413"/>
          <c:y val="0"/>
        </c:manualLayout>
      </c:layout>
      <c:overlay val="false"/>
    </c:title>
    <c:autoTitleDeleted val="false"/>
    <c:plotArea>
      <c:layout/>
      <c:barChart>
        <c:barDir val="col"/>
        <c:grouping val="clustered"/>
        <c:varyColors val="false"/>
        <c:ser>
          <c:idx val="0"/>
          <c:order val="0"/>
          <c:tx>
            <c:strRef>
              <c:f>Sheet1!$B$1</c:f>
              <c:strCache>
                <c:ptCount val="1"/>
                <c:pt idx="0">
                  <c:v>收入</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1156.77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2018年</c:v>
                </c:pt>
                <c:pt idx="1">
                  <c:v>2019年</c:v>
                </c:pt>
              </c:strCache>
            </c:strRef>
          </c:cat>
          <c:val>
            <c:numRef>
              <c:f>Sheet1!$B$2:$B$3</c:f>
              <c:numCache>
                <c:formatCode>General</c:formatCode>
                <c:ptCount val="2"/>
                <c:pt idx="0">
                  <c:v>1156.75</c:v>
                </c:pt>
                <c:pt idx="1">
                  <c:v>1233.46</c:v>
                </c:pt>
              </c:numCache>
            </c:numRef>
          </c:val>
        </c:ser>
        <c:ser>
          <c:idx val="1"/>
          <c:order val="1"/>
          <c:tx>
            <c:strRef>
              <c:f>Sheet1!$C$1</c:f>
              <c:strCache>
                <c:ptCount val="1"/>
                <c:pt idx="0">
                  <c:v>支出</c:v>
                </c:pt>
              </c:strCache>
            </c:strRef>
          </c:tx>
          <c:invertIfNegative val="false"/>
          <c:dLbls>
            <c:dLbl>
              <c:idx val="0"/>
              <c:layout>
                <c:manualLayout>
                  <c:x val="0.0119581464872945"/>
                  <c:y val="-4.42982601858312e-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1156.77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79372197309418"/>
                  <c:y val="0.011251758087201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2018年</c:v>
                </c:pt>
                <c:pt idx="1">
                  <c:v>2019年</c:v>
                </c:pt>
              </c:strCache>
            </c:strRef>
          </c:cat>
          <c:val>
            <c:numRef>
              <c:f>Sheet1!$C$2:$C$3</c:f>
              <c:numCache>
                <c:formatCode>General</c:formatCode>
                <c:ptCount val="2"/>
                <c:pt idx="0">
                  <c:v>1156.75</c:v>
                </c:pt>
                <c:pt idx="1">
                  <c:v>1233.46</c:v>
                </c:pt>
              </c:numCache>
            </c:numRef>
          </c:val>
        </c:ser>
        <c:dLbls>
          <c:showLegendKey val="false"/>
          <c:showVal val="false"/>
          <c:showCatName val="false"/>
          <c:showSerName val="false"/>
          <c:showPercent val="false"/>
          <c:showBubbleSize val="false"/>
        </c:dLbls>
        <c:gapWidth val="150"/>
        <c:axId val="160151040"/>
        <c:axId val="160152576"/>
      </c:barChart>
      <c:catAx>
        <c:axId val="160151040"/>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0152576"/>
        <c:crosses val="autoZero"/>
        <c:auto val="true"/>
        <c:lblAlgn val="ctr"/>
        <c:lblOffset val="100"/>
        <c:noMultiLvlLbl val="false"/>
      </c:catAx>
      <c:valAx>
        <c:axId val="160152576"/>
        <c:scaling>
          <c:orientation val="minMax"/>
          <c:max val="1300"/>
          <c:min val="0"/>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01510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b="1" i="0" u="none" strike="noStrike" baseline="0">
                <a:effectLst/>
              </a:rPr>
              <a:t>图</a:t>
            </a:r>
            <a:r>
              <a:rPr lang="en-US" altLang="zh-CN" sz="1200" b="1" i="0" u="none" strike="noStrike" baseline="0">
                <a:effectLst/>
              </a:rPr>
              <a:t>5</a:t>
            </a:r>
            <a:r>
              <a:rPr lang="zh-CN" altLang="en-US" sz="1200" b="1" i="0" u="none" strike="noStrike" baseline="0">
                <a:effectLst/>
              </a:rPr>
              <a:t>：</a:t>
            </a:r>
            <a:r>
              <a:rPr lang="zh-CN" altLang="zh-CN" sz="1200" b="1" i="0" u="none" strike="noStrike" baseline="0">
                <a:effectLst/>
              </a:rPr>
              <a:t>一般公共预算财政拨款支出决算变动情况</a:t>
            </a:r>
            <a:endParaRPr lang="zh-CN" altLang="en-US" sz="1200"/>
          </a:p>
        </c:rich>
      </c:tx>
      <c:layout>
        <c:manualLayout>
          <c:xMode val="edge"/>
          <c:yMode val="edge"/>
          <c:x val="0.105603040999185"/>
          <c:y val="0"/>
        </c:manualLayout>
      </c:layout>
      <c:overlay val="false"/>
    </c:title>
    <c:autoTitleDeleted val="false"/>
    <c:plotArea>
      <c:layout/>
      <c:barChart>
        <c:barDir val="col"/>
        <c:grouping val="clustered"/>
        <c:varyColors val="false"/>
        <c:ser>
          <c:idx val="0"/>
          <c:order val="0"/>
          <c:tx>
            <c:strRef>
              <c:f>Sheet1!$B$1</c:f>
              <c:strCache>
                <c:ptCount val="1"/>
                <c:pt idx="0">
                  <c:v>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2018年</c:v>
                </c:pt>
                <c:pt idx="1">
                  <c:v>2019年</c:v>
                </c:pt>
              </c:strCache>
            </c:strRef>
          </c:cat>
          <c:val>
            <c:numRef>
              <c:f>Sheet1!$B$2:$B$3</c:f>
              <c:numCache>
                <c:formatCode>General</c:formatCode>
                <c:ptCount val="2"/>
                <c:pt idx="0">
                  <c:v>1156.75</c:v>
                </c:pt>
                <c:pt idx="1">
                  <c:v>1233.46</c:v>
                </c:pt>
              </c:numCache>
            </c:numRef>
          </c:val>
        </c:ser>
        <c:dLbls>
          <c:showLegendKey val="false"/>
          <c:showVal val="false"/>
          <c:showCatName val="false"/>
          <c:showSerName val="false"/>
          <c:showPercent val="false"/>
          <c:showBubbleSize val="false"/>
        </c:dLbls>
        <c:gapWidth val="150"/>
        <c:axId val="161706752"/>
        <c:axId val="161708288"/>
      </c:barChart>
      <c:catAx>
        <c:axId val="16170675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1708288"/>
        <c:crosses val="autoZero"/>
        <c:auto val="true"/>
        <c:lblAlgn val="ctr"/>
        <c:lblOffset val="100"/>
        <c:noMultiLvlLbl val="false"/>
      </c:catAx>
      <c:valAx>
        <c:axId val="161708288"/>
        <c:scaling>
          <c:orientation val="minMax"/>
          <c:max val="1300"/>
          <c:min val="0"/>
        </c:scaling>
        <c:delete val="false"/>
        <c:axPos val="l"/>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1706752"/>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chemeClr val="tx1"/>
                </a:solidFill>
                <a:latin typeface="+mn-lt"/>
                <a:ea typeface="+mn-ea"/>
                <a:cs typeface="+mn-cs"/>
              </a:defRPr>
            </a:pPr>
            <a:r>
              <a:rPr lang="zh-CN" altLang="en-US" sz="1600" b="1" i="0" u="none" strike="noStrike" baseline="0">
                <a:effectLst/>
              </a:rPr>
              <a:t>图</a:t>
            </a:r>
            <a:r>
              <a:rPr lang="en-US" altLang="zh-CN" sz="1600" b="1" i="0" u="none" strike="noStrike" baseline="0">
                <a:effectLst/>
              </a:rPr>
              <a:t>6</a:t>
            </a:r>
            <a:r>
              <a:rPr lang="zh-CN" altLang="en-US" sz="1600" b="1" i="0" u="none" strike="noStrike" baseline="0">
                <a:effectLst/>
              </a:rPr>
              <a:t>：</a:t>
            </a:r>
            <a:r>
              <a:rPr lang="zh-CN" altLang="zh-CN" sz="1600" b="1" i="0" u="none" strike="noStrike" baseline="0">
                <a:effectLst/>
              </a:rPr>
              <a:t>一般公共预算财政拨款支出决算结构</a:t>
            </a:r>
            <a:r>
              <a:rPr lang="zh-CN" altLang="en-US" sz="1600" b="1" i="0" u="none" strike="noStrike" baseline="0">
                <a:effectLst/>
              </a:rPr>
              <a:t>图</a:t>
            </a:r>
            <a:endParaRPr lang="zh-CN" altLang="en-US" sz="1600"/>
          </a:p>
        </c:rich>
      </c:tx>
      <c:layout/>
      <c:overlay val="false"/>
    </c:title>
    <c:autoTitleDeleted val="false"/>
    <c:plotArea>
      <c:layout/>
      <c:pieChart>
        <c:varyColors val="true"/>
        <c:ser>
          <c:idx val="0"/>
          <c:order val="0"/>
          <c:tx>
            <c:strRef>
              <c:f>Sheet1!$B$1</c:f>
              <c:strCache>
                <c:ptCount val="1"/>
                <c:pt idx="0">
                  <c:v>支出</c:v>
                </c:pt>
              </c:strCache>
            </c:strRef>
          </c:tx>
          <c:explosion val="25"/>
          <c:dPt>
            <c:idx val="0"/>
            <c:bubble3D val="false"/>
          </c:dPt>
          <c:dPt>
            <c:idx val="1"/>
            <c:bubble3D val="false"/>
          </c:dPt>
          <c:dPt>
            <c:idx val="2"/>
            <c:bubble3D val="false"/>
          </c:dPt>
          <c:dPt>
            <c:idx val="3"/>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85.0%</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manualLayout>
                  <c:x val="-0.00199835128912135"/>
                  <c:y val="0.031548393912061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2.7%</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4.9%</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1048.92</c:v>
                </c:pt>
                <c:pt idx="1">
                  <c:v>90.86</c:v>
                </c:pt>
                <c:pt idx="2">
                  <c:v>32.91</c:v>
                </c:pt>
                <c:pt idx="3">
                  <c:v>60.76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5071</Words>
  <Characters>708</Characters>
  <Lines>5</Lines>
  <Paragraphs>11</Paragraphs>
  <TotalTime>274</TotalTime>
  <ScaleCrop>false</ScaleCrop>
  <LinksUpToDate>false</LinksUpToDate>
  <CharactersWithSpaces>5768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2020-11-12T02:07:00Z</dcterms:created>
  <dc:creator>曹颖</dc:creator>
  <cp:lastModifiedBy>user</cp:lastModifiedBy>
  <cp:lastPrinted>2020-07-23T18:58:00Z</cp:lastPrinted>
  <dcterms:modified xsi:type="dcterms:W3CDTF">2022-03-07T10:21:09Z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