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right="0"/>
        <w:textAlignment w:val="auto"/>
        <w:rPr>
          <w:rFonts w:hint="default" w:ascii="Times New Roman" w:hAnsi="Times New Roman" w:eastAsia="仿宋_GB2312" w:cs="Times New Roman"/>
          <w:color w:val="auto"/>
          <w:spacing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outlineLvl w:val="9"/>
        <w:rPr>
          <w:rFonts w:hint="eastAsia" w:ascii="Times New Roman" w:hAnsi="Times New Roman" w:eastAsia="方正小标宋简体" w:cs="Times New Roman"/>
          <w:b w:val="0"/>
          <w:bCs w:val="0"/>
          <w:color w:val="auto"/>
          <w:spacing w:val="0"/>
          <w:w w:val="96"/>
          <w:sz w:val="44"/>
          <w:szCs w:val="44"/>
          <w:lang w:eastAsia="zh-CN"/>
        </w:rPr>
      </w:pPr>
      <w:r>
        <w:rPr>
          <w:rFonts w:hint="eastAsia" w:ascii="Times New Roman" w:hAnsi="Times New Roman" w:eastAsia="方正小标宋简体" w:cs="Times New Roman"/>
          <w:b w:val="0"/>
          <w:bCs w:val="0"/>
          <w:color w:val="auto"/>
          <w:spacing w:val="0"/>
          <w:w w:val="96"/>
          <w:sz w:val="44"/>
          <w:szCs w:val="44"/>
          <w:lang w:eastAsia="zh-CN"/>
        </w:rPr>
        <w:t>宣汉县公共资源交易服务中心</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outlineLvl w:val="9"/>
        <w:rPr>
          <w:rFonts w:hint="default" w:ascii="Times New Roman" w:hAnsi="Times New Roman" w:eastAsia="方正小标宋简体" w:cs="Times New Roman"/>
          <w:b w:val="0"/>
          <w:bCs w:val="0"/>
          <w:color w:val="auto"/>
          <w:spacing w:val="0"/>
          <w:w w:val="96"/>
          <w:sz w:val="44"/>
          <w:szCs w:val="44"/>
        </w:rPr>
      </w:pPr>
      <w:r>
        <w:rPr>
          <w:rFonts w:hint="default" w:ascii="Times New Roman" w:hAnsi="Times New Roman" w:eastAsia="方正小标宋简体" w:cs="Times New Roman"/>
          <w:b w:val="0"/>
          <w:bCs w:val="0"/>
          <w:color w:val="auto"/>
          <w:spacing w:val="0"/>
          <w:w w:val="96"/>
          <w:sz w:val="44"/>
          <w:szCs w:val="44"/>
        </w:rPr>
        <w:t>2021年政府信息公开工作年度报告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482"/>
        <w:textAlignment w:val="auto"/>
        <w:rPr>
          <w:rFonts w:hint="default" w:ascii="Times New Roman" w:hAnsi="Times New Roman" w:eastAsia="仿宋_GB2312" w:cs="Times New Roman"/>
          <w:color w:val="auto"/>
          <w:spacing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黑体" w:hAnsi="黑体" w:eastAsia="黑体" w:cs="黑体"/>
          <w:color w:val="auto"/>
          <w:spacing w:val="0"/>
          <w:sz w:val="32"/>
          <w:szCs w:val="32"/>
        </w:rPr>
      </w:pPr>
      <w:r>
        <w:rPr>
          <w:rFonts w:hint="default" w:ascii="黑体" w:hAnsi="黑体" w:eastAsia="黑体" w:cs="黑体"/>
          <w:color w:val="auto"/>
          <w:spacing w:val="0"/>
          <w:sz w:val="32"/>
          <w:szCs w:val="32"/>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根据《中华人民共和国政府信息公开条例》《国务院办公厅政府信息与政务公开办公室关于印发〈中华人民共和国政府信息公开工作年度报告格式〉的通知》（国办公开办函〔2021〕30号）、《四川省人民政府办公厅关于政府信息公开工作年度报告有关要求的通知》（川办便函〔2021〕306号）和《达州市人民政府办公室关于做好2021年政府信息公开工作年度报告编制发布工作的通知》（〔2021〕120号）要求，</w:t>
      </w:r>
      <w:r>
        <w:rPr>
          <w:rFonts w:hint="eastAsia" w:ascii="仿宋_GB2312" w:hAnsi="仿宋_GB2312" w:eastAsia="仿宋_GB2312" w:cs="仿宋_GB2312"/>
          <w:kern w:val="0"/>
          <w:sz w:val="32"/>
          <w:szCs w:val="32"/>
          <w:lang w:val="en-US" w:eastAsia="zh-CN" w:bidi="ar"/>
        </w:rPr>
        <w:t>对政务公开的公开内容、公开时间、公开程序、公开的方式等进行规范化管理，要求凡是应该公开、能够公开的信息，都要及时、主动公开，更好地满足社会公众的信息需求，切实做好了政府公共资源交易信息主动公开和依申请公开工作。现将有关情况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（一）主动公开政府信息的情况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right="0"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我中心结合公共资源交易工作的需要和特点，通过政府门户网站、政府信息公开平台、宣汉县公共资源交易服务中心网站等渠道，主动、及时发布和更新政务信息。为了切实推进政府信息公开工作，根据上级要求，进一步完善了《信息公开目录》，不断加大公开力度，拓宽公开渠道，创新公开形式，为需要公共资源交易信息的群众提供快捷、方便的服务，使人民群众可以直接上网就可以了解相关的政府采购、土地拍卖和国有产权等信息。截至2021年12月31日，通过主动公开各类信息累计302条。其中矿业权及土地转让3条、国有矿权4条、、农牧产品供求1条、履约保证金退付14条、政府采购信息发布280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（二）依申请公开政府办理情况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我中心业务人员能认真学习《条例》以及省市县有关政务公开工作的文件内容，及时主动积极同县府办信息公开指导中心沟通对接，切实做好我中心政府依申请公开办理工作，确保规范信息公开申请接收、登记、办理、答复等流程，依法保障公民、法人和其他组织获取政府信息。2021年共收到依申请公开件0件</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kern w:val="0"/>
          <w:sz w:val="32"/>
          <w:szCs w:val="32"/>
          <w:lang w:val="en-US" w:eastAsia="zh-CN" w:bidi="ar"/>
        </w:rPr>
        <w:t>（三）政府信息管理。</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我中心严格按照《政府信息公开条例》，及时上报公开内容，把信息公开工作上升到全面加强中心作风建设、落实信息公开的高度上认识。按照“谁公开、谁负责”的原则，建立信息发布三级审核制度和保密审查制度，对发文拟稿需标识公开形式并说明理由，同时作出保密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（四）信息公开平台建设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我中心结合工作实际，采用多种渠道、多种方式向社会广泛公开信息，同时按照便利、实用、有效的原则，着力创新信息公开的载体形式，不断拓宽信息公开范围。一是把宣汉县人民政府官方网站作为政府信息公开的首要平台，及时将相关信息逐一网上发布。二是宣传方式不断拓展，进一步加强对信息的公开力度，将信息通过图文并茂的方式展示出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楷体_GB2312" w:hAnsi="楷体_GB2312" w:eastAsia="楷体_GB2312" w:cs="楷体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（五）信息公开监督保障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我中心要求公开的信息必须在最短的时间内予以公开，对公开的信息要求由相关股室、分管领导和中心负责人严格把关后发布，保证符合国家法律政策规定，保证公开内容真实有效。</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黑体" w:hAnsi="黑体" w:eastAsia="黑体" w:cs="黑体"/>
          <w:color w:val="auto"/>
          <w:spacing w:val="0"/>
          <w:sz w:val="32"/>
          <w:szCs w:val="32"/>
        </w:rPr>
      </w:pPr>
      <w:r>
        <w:rPr>
          <w:rFonts w:hint="default" w:ascii="黑体" w:hAnsi="黑体" w:eastAsia="黑体" w:cs="黑体"/>
          <w:color w:val="auto"/>
          <w:spacing w:val="0"/>
          <w:sz w:val="32"/>
          <w:szCs w:val="32"/>
        </w:rPr>
        <w:t>二、主动公开政府信息情况</w:t>
      </w:r>
    </w:p>
    <w:tbl>
      <w:tblPr>
        <w:tblStyle w:val="7"/>
        <w:tblW w:w="9735" w:type="dxa"/>
        <w:jc w:val="center"/>
        <w:tblLayout w:type="autofit"/>
        <w:tblCellMar>
          <w:top w:w="15" w:type="dxa"/>
          <w:left w:w="15" w:type="dxa"/>
          <w:bottom w:w="15" w:type="dxa"/>
          <w:right w:w="15" w:type="dxa"/>
        </w:tblCellMar>
      </w:tblPr>
      <w:tblGrid>
        <w:gridCol w:w="2430"/>
        <w:gridCol w:w="2430"/>
        <w:gridCol w:w="2430"/>
        <w:gridCol w:w="2445"/>
      </w:tblGrid>
      <w:tr>
        <w:tblPrEx>
          <w:tblCellMar>
            <w:top w:w="15" w:type="dxa"/>
            <w:left w:w="15" w:type="dxa"/>
            <w:bottom w:w="15" w:type="dxa"/>
            <w:right w:w="15" w:type="dxa"/>
          </w:tblCellMar>
        </w:tblPrEx>
        <w:trPr>
          <w:trHeight w:val="345" w:hRule="atLeast"/>
          <w:jc w:val="center"/>
        </w:trPr>
        <w:tc>
          <w:tcPr>
            <w:tcW w:w="9735" w:type="dxa"/>
            <w:gridSpan w:val="4"/>
            <w:tcBorders>
              <w:top w:val="single" w:color="000000" w:sz="8" w:space="0"/>
              <w:left w:val="single" w:color="000000" w:sz="8" w:space="0"/>
              <w:bottom w:val="single" w:color="000000" w:sz="8" w:space="0"/>
              <w:right w:val="single" w:color="000000" w:sz="8" w:space="0"/>
            </w:tcBorders>
            <w:shd w:val="clear" w:color="auto" w:fill="C6D9F1"/>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第二十条第（一）项</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信息内容</w:t>
            </w:r>
          </w:p>
        </w:tc>
        <w:tc>
          <w:tcPr>
            <w:tcW w:w="2430" w:type="dxa"/>
            <w:tcBorders>
              <w:top w:val="single" w:color="000000" w:sz="4" w:space="0"/>
              <w:left w:val="nil"/>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本年制发件数</w:t>
            </w:r>
          </w:p>
        </w:tc>
        <w:tc>
          <w:tcPr>
            <w:tcW w:w="2430" w:type="dxa"/>
            <w:tcBorders>
              <w:top w:val="single" w:color="000000" w:sz="4" w:space="0"/>
              <w:left w:val="nil"/>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本年废止件数</w:t>
            </w:r>
          </w:p>
        </w:tc>
        <w:tc>
          <w:tcPr>
            <w:tcW w:w="2445" w:type="dxa"/>
            <w:tcBorders>
              <w:top w:val="single" w:color="000000" w:sz="4" w:space="0"/>
              <w:left w:val="nil"/>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现行有效件数</w:t>
            </w:r>
          </w:p>
        </w:tc>
      </w:tr>
      <w:tr>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规章</w:t>
            </w:r>
          </w:p>
        </w:tc>
        <w:tc>
          <w:tcPr>
            <w:tcW w:w="2430" w:type="dxa"/>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430" w:type="dxa"/>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2445" w:type="dxa"/>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行政规范性文件</w:t>
            </w:r>
          </w:p>
        </w:tc>
        <w:tc>
          <w:tcPr>
            <w:tcW w:w="2430" w:type="dxa"/>
            <w:tcBorders>
              <w:top w:val="nil"/>
              <w:left w:val="nil"/>
              <w:bottom w:val="single" w:color="000000" w:sz="4" w:space="0"/>
              <w:right w:val="single" w:color="000000" w:sz="4" w:space="0"/>
            </w:tcBorders>
            <w:noWrap w:val="0"/>
            <w:vAlign w:val="center"/>
          </w:tcPr>
          <w:p>
            <w:pPr>
              <w:spacing w:before="0" w:beforeAutospacing="0" w:after="0" w:afterAutospacing="0"/>
              <w:ind w:left="0" w:leftChars="0" w:right="0" w:righ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2430" w:type="dxa"/>
            <w:tcBorders>
              <w:top w:val="nil"/>
              <w:left w:val="nil"/>
              <w:bottom w:val="single" w:color="000000" w:sz="4" w:space="0"/>
              <w:right w:val="single" w:color="000000" w:sz="4" w:space="0"/>
            </w:tcBorders>
            <w:noWrap w:val="0"/>
            <w:vAlign w:val="center"/>
          </w:tcPr>
          <w:p>
            <w:pPr>
              <w:spacing w:before="0" w:beforeAutospacing="0" w:after="0" w:afterAutospacing="0"/>
              <w:ind w:left="0" w:leftChars="0" w:right="0" w:righ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2445" w:type="dxa"/>
            <w:tcBorders>
              <w:top w:val="nil"/>
              <w:left w:val="nil"/>
              <w:bottom w:val="single" w:color="000000" w:sz="4" w:space="0"/>
              <w:right w:val="single" w:color="000000" w:sz="4" w:space="0"/>
            </w:tcBorders>
            <w:noWrap w:val="0"/>
            <w:vAlign w:val="center"/>
          </w:tcPr>
          <w:p>
            <w:pPr>
              <w:spacing w:before="0" w:beforeAutospacing="0" w:after="0" w:afterAutospacing="0"/>
              <w:ind w:left="0" w:leftChars="0" w:right="0" w:right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CellMar>
            <w:top w:w="15" w:type="dxa"/>
            <w:left w:w="15" w:type="dxa"/>
            <w:bottom w:w="15" w:type="dxa"/>
            <w:right w:w="15" w:type="dxa"/>
          </w:tblCellMar>
        </w:tblPrEx>
        <w:trPr>
          <w:trHeight w:val="345" w:hRule="atLeast"/>
          <w:jc w:val="center"/>
        </w:trPr>
        <w:tc>
          <w:tcPr>
            <w:tcW w:w="9735" w:type="dxa"/>
            <w:gridSpan w:val="4"/>
            <w:tcBorders>
              <w:top w:val="nil"/>
              <w:left w:val="single" w:color="000000" w:sz="4" w:space="0"/>
              <w:bottom w:val="single" w:color="000000" w:sz="4" w:space="0"/>
              <w:right w:val="single" w:color="000000" w:sz="4" w:space="0"/>
            </w:tcBorders>
            <w:shd w:val="clear" w:color="auto" w:fill="C6D9F1"/>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第二十条第（五）项</w:t>
            </w:r>
          </w:p>
        </w:tc>
      </w:tr>
      <w:tr>
        <w:tblPrEx>
          <w:tblCellMar>
            <w:top w:w="15" w:type="dxa"/>
            <w:left w:w="15" w:type="dxa"/>
            <w:bottom w:w="15" w:type="dxa"/>
            <w:right w:w="15" w:type="dxa"/>
          </w:tblCellMar>
        </w:tblPrEx>
        <w:trPr>
          <w:trHeight w:val="90"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信息内容</w:t>
            </w:r>
          </w:p>
        </w:tc>
        <w:tc>
          <w:tcPr>
            <w:tcW w:w="7305" w:type="dxa"/>
            <w:gridSpan w:val="3"/>
            <w:tcBorders>
              <w:top w:val="nil"/>
              <w:left w:val="nil"/>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本年处理决定数量</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行政许可</w:t>
            </w:r>
          </w:p>
        </w:tc>
        <w:tc>
          <w:tcPr>
            <w:tcW w:w="7305" w:type="dxa"/>
            <w:gridSpan w:val="3"/>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bookmarkStart w:id="0" w:name="_GoBack"/>
            <w:bookmarkEnd w:id="0"/>
            <w:r>
              <w:rPr>
                <w:rFonts w:hint="eastAsia" w:ascii="仿宋_GB2312" w:hAnsi="仿宋_GB2312" w:eastAsia="仿宋_GB2312" w:cs="仿宋_GB2312"/>
                <w:color w:val="auto"/>
                <w:lang w:val="en-US" w:eastAsia="zh-CN"/>
              </w:rPr>
              <w:t>0</w:t>
            </w:r>
          </w:p>
        </w:tc>
      </w:tr>
      <w:tr>
        <w:tblPrEx>
          <w:tblCellMar>
            <w:top w:w="15" w:type="dxa"/>
            <w:left w:w="15" w:type="dxa"/>
            <w:bottom w:w="15" w:type="dxa"/>
            <w:right w:w="15" w:type="dxa"/>
          </w:tblCellMar>
        </w:tblPrEx>
        <w:trPr>
          <w:trHeight w:val="345" w:hRule="atLeast"/>
          <w:jc w:val="center"/>
        </w:trPr>
        <w:tc>
          <w:tcPr>
            <w:tcW w:w="9735" w:type="dxa"/>
            <w:gridSpan w:val="4"/>
            <w:tcBorders>
              <w:top w:val="nil"/>
              <w:left w:val="single" w:color="000000" w:sz="4" w:space="0"/>
              <w:bottom w:val="single" w:color="000000" w:sz="4" w:space="0"/>
              <w:right w:val="single" w:color="000000" w:sz="4" w:space="0"/>
            </w:tcBorders>
            <w:shd w:val="clear" w:color="auto" w:fill="C6D9F1"/>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第二十条第（六）项</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auto"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信息内容</w:t>
            </w:r>
          </w:p>
        </w:tc>
        <w:tc>
          <w:tcPr>
            <w:tcW w:w="7305" w:type="dxa"/>
            <w:gridSpan w:val="3"/>
            <w:tcBorders>
              <w:top w:val="single" w:color="000000" w:sz="4" w:space="0"/>
              <w:left w:val="nil"/>
              <w:bottom w:val="single" w:color="auto"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本年处理决定数量</w:t>
            </w:r>
          </w:p>
        </w:tc>
      </w:tr>
      <w:tr>
        <w:tblPrEx>
          <w:tblCellMar>
            <w:top w:w="15" w:type="dxa"/>
            <w:left w:w="15" w:type="dxa"/>
            <w:bottom w:w="15" w:type="dxa"/>
            <w:right w:w="15" w:type="dxa"/>
          </w:tblCellMar>
        </w:tblPrEx>
        <w:trPr>
          <w:trHeight w:val="345" w:hRule="atLeast"/>
          <w:jc w:val="center"/>
        </w:trPr>
        <w:tc>
          <w:tcPr>
            <w:tcW w:w="2430" w:type="dxa"/>
            <w:tcBorders>
              <w:top w:val="single" w:color="auto" w:sz="4" w:space="0"/>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行政处罚</w:t>
            </w:r>
          </w:p>
        </w:tc>
        <w:tc>
          <w:tcPr>
            <w:tcW w:w="7305" w:type="dxa"/>
            <w:gridSpan w:val="3"/>
            <w:tcBorders>
              <w:top w:val="single" w:color="auto" w:sz="4" w:space="0"/>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行政强制</w:t>
            </w:r>
          </w:p>
        </w:tc>
        <w:tc>
          <w:tcPr>
            <w:tcW w:w="7305" w:type="dxa"/>
            <w:gridSpan w:val="3"/>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CellMar>
            <w:top w:w="15" w:type="dxa"/>
            <w:left w:w="15" w:type="dxa"/>
            <w:bottom w:w="15" w:type="dxa"/>
            <w:right w:w="15" w:type="dxa"/>
          </w:tblCellMar>
        </w:tblPrEx>
        <w:trPr>
          <w:trHeight w:val="345" w:hRule="atLeast"/>
          <w:jc w:val="center"/>
        </w:trPr>
        <w:tc>
          <w:tcPr>
            <w:tcW w:w="9735" w:type="dxa"/>
            <w:gridSpan w:val="4"/>
            <w:tcBorders>
              <w:top w:val="nil"/>
              <w:left w:val="single" w:color="000000" w:sz="4" w:space="0"/>
              <w:bottom w:val="single" w:color="000000" w:sz="4" w:space="0"/>
              <w:right w:val="single" w:color="000000" w:sz="4" w:space="0"/>
            </w:tcBorders>
            <w:shd w:val="clear" w:color="auto" w:fill="C6D9F1"/>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第二十条第（八）项</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信息内容</w:t>
            </w:r>
          </w:p>
        </w:tc>
        <w:tc>
          <w:tcPr>
            <w:tcW w:w="7305" w:type="dxa"/>
            <w:gridSpan w:val="3"/>
            <w:tcBorders>
              <w:top w:val="nil"/>
              <w:left w:val="nil"/>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本年收费金额（单位：万元）</w:t>
            </w:r>
          </w:p>
        </w:tc>
      </w:tr>
      <w:tr>
        <w:tblPrEx>
          <w:tblCellMar>
            <w:top w:w="15" w:type="dxa"/>
            <w:left w:w="15" w:type="dxa"/>
            <w:bottom w:w="15" w:type="dxa"/>
            <w:right w:w="15" w:type="dxa"/>
          </w:tblCellMar>
        </w:tblPrEx>
        <w:trPr>
          <w:trHeight w:val="345" w:hRule="atLeast"/>
          <w:jc w:val="center"/>
        </w:trPr>
        <w:tc>
          <w:tcPr>
            <w:tcW w:w="243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0"/>
                <w:szCs w:val="20"/>
              </w:rPr>
              <w:t>行政事业性收费</w:t>
            </w:r>
          </w:p>
        </w:tc>
        <w:tc>
          <w:tcPr>
            <w:tcW w:w="7305" w:type="dxa"/>
            <w:gridSpan w:val="3"/>
            <w:tcBorders>
              <w:top w:val="nil"/>
              <w:left w:val="nil"/>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bl>
    <w:p>
      <w:pPr>
        <w:shd w:val="clear" w:color="auto" w:fill="FFFFFF"/>
        <w:spacing w:before="0" w:beforeAutospacing="0" w:after="0" w:afterAutospacing="0"/>
        <w:ind w:left="0" w:right="0" w:firstLine="0"/>
        <w:jc w:val="center"/>
        <w:rPr>
          <w:rFonts w:hint="eastAsia" w:ascii="仿宋_GB2312" w:hAnsi="仿宋_GB2312" w:eastAsia="仿宋_GB2312" w:cs="仿宋_GB2312"/>
          <w:b w:val="0"/>
          <w:bCs w:val="0"/>
          <w:color w:val="auto"/>
          <w:spacing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黑体" w:hAnsi="黑体" w:eastAsia="黑体" w:cs="黑体"/>
          <w:color w:val="auto"/>
          <w:spacing w:val="0"/>
          <w:sz w:val="32"/>
          <w:szCs w:val="32"/>
        </w:rPr>
      </w:pPr>
      <w:r>
        <w:rPr>
          <w:rFonts w:hint="eastAsia" w:ascii="黑体" w:hAnsi="黑体" w:eastAsia="黑体" w:cs="黑体"/>
          <w:color w:val="auto"/>
          <w:spacing w:val="0"/>
          <w:sz w:val="32"/>
          <w:szCs w:val="32"/>
          <w:lang w:eastAsia="zh-CN"/>
        </w:rPr>
        <w:t>三、</w:t>
      </w:r>
      <w:r>
        <w:rPr>
          <w:rFonts w:hint="default" w:ascii="黑体" w:hAnsi="黑体" w:eastAsia="黑体" w:cs="黑体"/>
          <w:color w:val="auto"/>
          <w:spacing w:val="0"/>
          <w:sz w:val="32"/>
          <w:szCs w:val="32"/>
        </w:rPr>
        <w:t>收到和处理政府信息公开申请情况</w:t>
      </w:r>
    </w:p>
    <w:p>
      <w:pPr>
        <w:pStyle w:val="3"/>
        <w:numPr>
          <w:ilvl w:val="0"/>
          <w:numId w:val="0"/>
        </w:numPr>
        <w:rPr>
          <w:rFonts w:hint="default"/>
        </w:rPr>
      </w:pPr>
    </w:p>
    <w:p>
      <w:pPr>
        <w:rPr>
          <w:rFonts w:hint="default"/>
        </w:rPr>
      </w:pPr>
    </w:p>
    <w:tbl>
      <w:tblPr>
        <w:tblStyle w:val="7"/>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747"/>
        <w:gridCol w:w="919"/>
        <w:gridCol w:w="3260"/>
        <w:gridCol w:w="689"/>
        <w:gridCol w:w="689"/>
        <w:gridCol w:w="689"/>
        <w:gridCol w:w="689"/>
        <w:gridCol w:w="689"/>
        <w:gridCol w:w="689"/>
        <w:gridCol w:w="6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（本列数据的勾稽关系为：第一项加第二项之和，等于第三项加第四项之和）</w:t>
            </w:r>
          </w:p>
        </w:tc>
        <w:tc>
          <w:tcPr>
            <w:tcW w:w="4824" w:type="dxa"/>
            <w:gridSpan w:val="7"/>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vMerge w:val="continue"/>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689"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自然人</w:t>
            </w:r>
          </w:p>
        </w:tc>
        <w:tc>
          <w:tcPr>
            <w:tcW w:w="3445" w:type="dxa"/>
            <w:gridSpan w:val="5"/>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法人或其他组织</w:t>
            </w:r>
          </w:p>
        </w:tc>
        <w:tc>
          <w:tcPr>
            <w:tcW w:w="690" w:type="dxa"/>
            <w:vMerge w:val="restart"/>
            <w:tcBorders>
              <w:top w:val="single" w:color="000000" w:sz="4" w:space="0"/>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vMerge w:val="continue"/>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689" w:type="dxa"/>
            <w:vMerge w:val="continue"/>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68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商业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企业</w:t>
            </w:r>
          </w:p>
        </w:tc>
        <w:tc>
          <w:tcPr>
            <w:tcW w:w="689"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科研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机构</w:t>
            </w:r>
          </w:p>
        </w:tc>
        <w:tc>
          <w:tcPr>
            <w:tcW w:w="6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社会公益组织</w:t>
            </w:r>
          </w:p>
        </w:tc>
        <w:tc>
          <w:tcPr>
            <w:tcW w:w="6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法律服务机构</w:t>
            </w:r>
          </w:p>
        </w:tc>
        <w:tc>
          <w:tcPr>
            <w:tcW w:w="6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w:t>
            </w:r>
          </w:p>
        </w:tc>
        <w:tc>
          <w:tcPr>
            <w:tcW w:w="690" w:type="dxa"/>
            <w:vMerge w:val="continue"/>
            <w:tcBorders>
              <w:top w:val="single" w:color="000000" w:sz="4" w:space="0"/>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一、本年新收政府信息公开申请数量</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二、上年结转政府信息公开申请数量</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restart"/>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三、本年度办理结果</w:t>
            </w:r>
          </w:p>
        </w:tc>
        <w:tc>
          <w:tcPr>
            <w:tcW w:w="4179"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（一）予以公开</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4179"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（二）部分公开（区分处理的，只计这一情形，不计其他情形）</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restart"/>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（三）不予公开</w:t>
            </w: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1.属于国家秘密</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2.其他法律行政法规禁止公开</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3.危及“三安全一稳定”</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4.保护第三方合法权益</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5.属于三类内部事务信息</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6.属于四类过程性信息</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7.属于行政执法案卷</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8.属于行政查询事项</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restart"/>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（四）无法提供</w:t>
            </w: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1.本机关不掌握相关政府信息</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2.没有现成信息需要另行制作</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single" w:color="auto" w:sz="4" w:space="0"/>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single" w:color="auto" w:sz="4" w:space="0"/>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single" w:color="auto"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3.补正后申请内容仍不明确</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restart"/>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（五）不予处理</w:t>
            </w: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1.信访举报投诉类申请</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2.重复申请</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3.要求提供公开出版物</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4.无正当理由大量反复申请</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0" w:hRule="atLeast"/>
          <w:jc w:val="center"/>
        </w:trPr>
        <w:tc>
          <w:tcPr>
            <w:tcW w:w="747"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5.要求行政机关确认或重新出具已获取信息</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single" w:color="auto" w:sz="4" w:space="0"/>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restart"/>
            <w:tcBorders>
              <w:top w:val="single" w:color="auto" w:sz="4" w:space="0"/>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both"/>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（六）其他处理</w:t>
            </w:r>
          </w:p>
        </w:tc>
        <w:tc>
          <w:tcPr>
            <w:tcW w:w="3260"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1.申请人无正当理由逾期不补正、行政机关不再处理其政府信息公开申请</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inset" w:color="000000" w:sz="4" w:space="0"/>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2.申请人逾期未按收费通知要求缴纳费用、行政机关不再处理其政府信息公开申请</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919" w:type="dxa"/>
            <w:vMerge w:val="continue"/>
            <w:tcBorders>
              <w:top w:val="inset" w:color="000000" w:sz="4" w:space="0"/>
              <w:left w:val="nil"/>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326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3.其他</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747" w:type="dxa"/>
            <w:vMerge w:val="continue"/>
            <w:tcBorders>
              <w:top w:val="nil"/>
              <w:left w:val="single" w:color="auto" w:sz="4" w:space="0"/>
              <w:bottom w:val="inset"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2" w:lineRule="exact"/>
              <w:textAlignment w:val="auto"/>
              <w:rPr>
                <w:rFonts w:hint="eastAsia" w:ascii="仿宋_GB2312" w:hAnsi="仿宋_GB2312" w:eastAsia="仿宋_GB2312" w:cs="仿宋_GB2312"/>
                <w:color w:val="auto"/>
              </w:rPr>
            </w:pPr>
          </w:p>
        </w:tc>
        <w:tc>
          <w:tcPr>
            <w:tcW w:w="4179"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（七）总计</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4926" w:type="dxa"/>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right="0" w:firstLine="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四、结转下年度继续办理</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89"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c>
          <w:tcPr>
            <w:tcW w:w="69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42" w:lineRule="exact"/>
              <w:ind w:left="0" w:leftChars="0" w:right="0" w:rightChars="0"/>
              <w:jc w:val="center"/>
              <w:textAlignment w:val="auto"/>
              <w:rPr>
                <w:rFonts w:hint="default" w:ascii="Times New Roman" w:hAnsi="Times New Roman" w:cs="Times New Roman"/>
                <w:color w:val="auto"/>
              </w:rPr>
            </w:pPr>
            <w:r>
              <w:rPr>
                <w:rFonts w:hint="eastAsia" w:ascii="仿宋_GB2312" w:hAnsi="仿宋_GB2312" w:eastAsia="仿宋_GB2312" w:cs="仿宋_GB2312"/>
                <w:color w:val="auto"/>
                <w:lang w:val="en-US" w:eastAsia="zh-CN"/>
              </w:rPr>
              <w:t>0</w:t>
            </w:r>
          </w:p>
        </w:tc>
      </w:tr>
    </w:tbl>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黑体" w:hAnsi="黑体" w:eastAsia="黑体" w:cs="黑体"/>
          <w:color w:val="auto"/>
          <w:spacing w:val="0"/>
          <w:sz w:val="32"/>
          <w:szCs w:val="32"/>
          <w:lang w:eastAsia="zh-CN"/>
        </w:rPr>
      </w:pPr>
      <w:r>
        <w:rPr>
          <w:rFonts w:hint="default" w:ascii="黑体" w:hAnsi="黑体" w:eastAsia="黑体" w:cs="黑体"/>
          <w:color w:val="auto"/>
          <w:spacing w:val="0"/>
          <w:sz w:val="32"/>
          <w:szCs w:val="32"/>
          <w:lang w:eastAsia="zh-CN"/>
        </w:rPr>
        <w:t>四、政府信息公开行政复议、行政诉讼情况</w:t>
      </w:r>
    </w:p>
    <w:tbl>
      <w:tblPr>
        <w:tblStyle w:val="7"/>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3250" w:type="dxa"/>
            <w:gridSpan w:val="5"/>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行政复议</w:t>
            </w:r>
          </w:p>
        </w:tc>
        <w:tc>
          <w:tcPr>
            <w:tcW w:w="6500" w:type="dxa"/>
            <w:gridSpan w:val="10"/>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650" w:type="dxa"/>
            <w:vMerge w:val="restart"/>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p>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维持</w:t>
            </w:r>
          </w:p>
        </w:tc>
        <w:tc>
          <w:tcPr>
            <w:tcW w:w="650" w:type="dxa"/>
            <w:vMerge w:val="restart"/>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纠正</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结果</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尚未</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审结</w:t>
            </w:r>
          </w:p>
        </w:tc>
        <w:tc>
          <w:tcPr>
            <w:tcW w:w="650" w:type="dxa"/>
            <w:vMerge w:val="restart"/>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c>
          <w:tcPr>
            <w:tcW w:w="3250" w:type="dxa"/>
            <w:gridSpan w:val="5"/>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未经复议直接起诉</w:t>
            </w:r>
          </w:p>
        </w:tc>
        <w:tc>
          <w:tcPr>
            <w:tcW w:w="3250" w:type="dxa"/>
            <w:gridSpan w:val="5"/>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650" w:type="dxa"/>
            <w:vMerge w:val="continue"/>
            <w:tcBorders>
              <w:top w:val="nil"/>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auto"/>
              </w:rPr>
            </w:pPr>
          </w:p>
        </w:tc>
        <w:tc>
          <w:tcPr>
            <w:tcW w:w="650" w:type="dxa"/>
            <w:vMerge w:val="continue"/>
            <w:tcBorders>
              <w:top w:val="nil"/>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auto"/>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color w:val="auto"/>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color w:val="auto"/>
              </w:rPr>
            </w:pPr>
          </w:p>
        </w:tc>
        <w:tc>
          <w:tcPr>
            <w:tcW w:w="650" w:type="dxa"/>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仿宋_GB2312" w:hAnsi="仿宋_GB2312" w:eastAsia="仿宋_GB2312" w:cs="仿宋_GB2312"/>
                <w:color w:val="auto"/>
              </w:rPr>
            </w:pP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维持</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纠正</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结果</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尚未</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审结</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维持</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结果</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纠正</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其他</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结果</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尚未</w:t>
            </w:r>
            <w:r>
              <w:rPr>
                <w:rFonts w:hint="eastAsia" w:ascii="仿宋_GB2312" w:hAnsi="仿宋_GB2312" w:eastAsia="仿宋_GB2312" w:cs="仿宋_GB2312"/>
                <w:color w:val="auto"/>
                <w:sz w:val="20"/>
                <w:szCs w:val="20"/>
              </w:rPr>
              <w:br w:type="textWrapping"/>
            </w:r>
            <w:r>
              <w:rPr>
                <w:rFonts w:hint="eastAsia" w:ascii="仿宋_GB2312" w:hAnsi="仿宋_GB2312" w:eastAsia="仿宋_GB2312" w:cs="仿宋_GB2312"/>
                <w:color w:val="auto"/>
                <w:sz w:val="20"/>
                <w:szCs w:val="20"/>
              </w:rPr>
              <w:t>审结</w:t>
            </w:r>
          </w:p>
        </w:tc>
        <w:tc>
          <w:tcPr>
            <w:tcW w:w="650" w:type="dxa"/>
            <w:tcBorders>
              <w:top w:val="single" w:color="000000" w:sz="8" w:space="0"/>
              <w:left w:val="single" w:color="000000" w:sz="8" w:space="0"/>
              <w:bottom w:val="single" w:color="000000" w:sz="8" w:space="0"/>
              <w:right w:val="single" w:color="000000" w:sz="8" w:space="0"/>
            </w:tcBorders>
            <w:noWrap w:val="0"/>
            <w:vAlign w:val="center"/>
          </w:tcPr>
          <w:p>
            <w:pPr>
              <w:spacing w:before="0" w:beforeAutospacing="0" w:after="0" w:afterAutospacing="0" w:line="449" w:lineRule="atLeast"/>
              <w:ind w:left="0" w:right="0" w:firstLine="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50" w:type="dxa"/>
            <w:tcBorders>
              <w:top w:val="nil"/>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bl>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right="0"/>
        <w:textAlignment w:val="auto"/>
        <w:rPr>
          <w:rFonts w:hint="default" w:ascii="黑体" w:hAnsi="黑体" w:eastAsia="黑体" w:cs="黑体"/>
          <w:color w:val="auto"/>
          <w:spacing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firstLineChars="200"/>
        <w:textAlignment w:val="auto"/>
        <w:rPr>
          <w:rFonts w:hint="default"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五、</w:t>
      </w:r>
      <w:r>
        <w:rPr>
          <w:rFonts w:hint="default" w:ascii="黑体" w:hAnsi="黑体" w:eastAsia="黑体" w:cs="黑体"/>
          <w:color w:val="auto"/>
          <w:spacing w:val="0"/>
          <w:sz w:val="32"/>
          <w:szCs w:val="32"/>
          <w:lang w:eastAsia="zh-CN"/>
        </w:rPr>
        <w:t>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iCs w:val="0"/>
          <w:caps w:val="0"/>
          <w:color w:val="333333"/>
          <w:spacing w:val="0"/>
          <w:kern w:val="0"/>
          <w:sz w:val="32"/>
          <w:szCs w:val="32"/>
          <w:shd w:val="clear" w:fill="FFFFFF"/>
          <w:lang w:val="en-US" w:eastAsia="zh-CN" w:bidi="ar"/>
        </w:rPr>
        <w:t>2021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年，我中心政府信息公开工作取得了一定的成效，但还存在主动公开载体有待进一步拓展、对外公开形式灵活性不足等问题。在今后工作中，我们将深入贯彻（国办公开办函〔</w:t>
      </w:r>
      <w:r>
        <w:rPr>
          <w:rFonts w:hint="default" w:ascii="仿宋_GB2312" w:hAnsi="仿宋_GB2312" w:eastAsia="仿宋_GB2312" w:cs="仿宋_GB2312"/>
          <w:i w:val="0"/>
          <w:iCs w:val="0"/>
          <w:caps w:val="0"/>
          <w:color w:val="333333"/>
          <w:spacing w:val="0"/>
          <w:kern w:val="0"/>
          <w:sz w:val="32"/>
          <w:szCs w:val="32"/>
          <w:shd w:val="clear" w:fill="FFFFFF"/>
          <w:lang w:val="en-US" w:eastAsia="zh-CN" w:bidi="ar"/>
        </w:rPr>
        <w:t>2021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iCs w:val="0"/>
          <w:caps w:val="0"/>
          <w:color w:val="333333"/>
          <w:spacing w:val="0"/>
          <w:kern w:val="0"/>
          <w:sz w:val="32"/>
          <w:szCs w:val="32"/>
          <w:shd w:val="clear" w:fill="FFFFFF"/>
          <w:lang w:val="en-US" w:eastAsia="zh-CN" w:bidi="ar"/>
        </w:rPr>
        <w:t>30</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号）的精神，进一步加大公开创新力度，积极推进信息公开方式，切实拓宽公开渠道，加强群众宣传和引导，优化信息公开服务，积极探索推广贴近群众的互动举措，充分听取各方意见和建议，及时解决服务对象及群众反映的各种问题，确保各项决策符合广大群众的根本利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default" w:ascii="黑体" w:hAnsi="黑体" w:eastAsia="黑体" w:cs="黑体"/>
          <w:color w:val="auto"/>
          <w:spacing w:val="0"/>
          <w:sz w:val="32"/>
          <w:szCs w:val="32"/>
        </w:rPr>
      </w:pPr>
      <w:r>
        <w:rPr>
          <w:rFonts w:hint="default" w:ascii="黑体" w:hAnsi="黑体" w:eastAsia="黑体" w:cs="黑体"/>
          <w:color w:val="auto"/>
          <w:spacing w:val="0"/>
          <w:sz w:val="32"/>
          <w:szCs w:val="32"/>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无其他需要报告事项。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b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cs="黑体"/>
          <w:b w:val="0"/>
          <w:color w:val="auto"/>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-238125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o:gfxdata="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J/ue/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7221F"/>
    <w:rsid w:val="0BB9675A"/>
    <w:rsid w:val="0EB7232D"/>
    <w:rsid w:val="1FCF8D61"/>
    <w:rsid w:val="23755A35"/>
    <w:rsid w:val="34DBF129"/>
    <w:rsid w:val="3CE820B3"/>
    <w:rsid w:val="3F8FB2D7"/>
    <w:rsid w:val="43FE46C9"/>
    <w:rsid w:val="57B829E4"/>
    <w:rsid w:val="5DBE2BD3"/>
    <w:rsid w:val="5F7595BD"/>
    <w:rsid w:val="5F7D9424"/>
    <w:rsid w:val="5FF3E5EA"/>
    <w:rsid w:val="62BDF947"/>
    <w:rsid w:val="6EFF5C8E"/>
    <w:rsid w:val="6FAEB4ED"/>
    <w:rsid w:val="767D5833"/>
    <w:rsid w:val="77DFB578"/>
    <w:rsid w:val="77FEDE29"/>
    <w:rsid w:val="785F2DA5"/>
    <w:rsid w:val="7BF88521"/>
    <w:rsid w:val="7DBFEFCC"/>
    <w:rsid w:val="7DF8C258"/>
    <w:rsid w:val="7DFDEE1D"/>
    <w:rsid w:val="7F7D5797"/>
    <w:rsid w:val="7FCC7151"/>
    <w:rsid w:val="BFAF8633"/>
    <w:rsid w:val="D7BE87DF"/>
    <w:rsid w:val="DDDD822F"/>
    <w:rsid w:val="DE6FFB87"/>
    <w:rsid w:val="E7DC4A25"/>
    <w:rsid w:val="EBF92657"/>
    <w:rsid w:val="F6F7095F"/>
    <w:rsid w:val="F9FB892E"/>
    <w:rsid w:val="FBE78832"/>
    <w:rsid w:val="FDEF0FE5"/>
    <w:rsid w:val="FFD7221F"/>
    <w:rsid w:val="FFF0C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ind w:firstLine="0" w:firstLineChars="0"/>
    </w:pPr>
    <w:rPr>
      <w:rFonts w:ascii="??" w:hAnsi="??" w:eastAsia="宋体" w:cs="Times New Roman"/>
      <w:sz w:val="21"/>
      <w:szCs w:val="22"/>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3"/>
    <w:qFormat/>
    <w:uiPriority w:val="0"/>
    <w:pPr>
      <w:spacing w:beforeAutospacing="1" w:afterAutospacing="1"/>
      <w:jc w:val="left"/>
    </w:pPr>
    <w:rPr>
      <w:rFonts w:ascii="Calibri" w:hAnsi="Calibri"/>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2022-01-06T01:47:00Z</dcterms:created>
  <dc:creator>仁可女青</dc:creator>
  <cp:lastModifiedBy>陈飞儿</cp:lastModifiedBy>
  <cp:lastPrinted>2022-01-12T18:33:00Z</cp:lastPrinted>
  <dcterms:modified xsi:type="dcterms:W3CDTF">2022-01-13T10:09:06Z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F606E8EE9A1048B991F3EA82FEA0A0A9</vt:lpwstr>
  </property>
</Properties>
</file>