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476"/>
      <w:bookmarkStart w:id="7" w:name="_Toc15396598"/>
      <w:bookmarkStart w:id="8" w:name="_Toc15377194"/>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龙泉学校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（一）主要职能。宣传贯彻执行党和国家的教育方针、政策、法律法规等，坚持依法治教、依法治学，贯彻执行县教</w:t>
      </w:r>
      <w:r>
        <w:rPr>
          <w:rFonts w:hint="eastAsia" w:ascii="仿宋" w:hAnsi="仿宋" w:eastAsia="仿宋"/>
          <w:bCs/>
          <w:color w:val="000000"/>
          <w:sz w:val="32"/>
          <w:szCs w:val="32"/>
          <w:lang w:eastAsia="zh-CN"/>
        </w:rPr>
        <w:t>科</w:t>
      </w:r>
      <w:r>
        <w:rPr>
          <w:rFonts w:hint="eastAsia" w:ascii="仿宋" w:hAnsi="仿宋" w:eastAsia="仿宋"/>
          <w:bCs/>
          <w:color w:val="000000"/>
          <w:sz w:val="32"/>
          <w:szCs w:val="32"/>
        </w:rPr>
        <w:t>局的行政规章制度</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组织开展本校的教育教学科研和教育教学改革。负责对本校教育教学业务的具体管理，负责教育教学管理及教研教改工作，全力推进素质教育实施。（职能参照省政府批准的三定方案）</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hAnsi="Times New Roman" w:eastAsia="仿宋_GB2312" w:cs="Times New Roman"/>
          <w:color w:val="000000"/>
          <w:kern w:val="2"/>
          <w:sz w:val="32"/>
          <w:szCs w:val="32"/>
          <w:lang w:val="en-US" w:eastAsia="zh-CN" w:bidi="ar-SA"/>
        </w:rPr>
        <w:t>通过全体教职工的团结协作，共同努力，完成了义务教育的教育教学任务，学校先后获得“师德先进集体”、“教育教学先进集体”、“最佳文明单位”、“星级平安学校”“特色文化教育先进集体”等荣誉称号。</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宣汉县龙泉学校无</w:t>
      </w:r>
      <w:r>
        <w:rPr>
          <w:rFonts w:hint="eastAsia" w:ascii="仿宋" w:hAnsi="仿宋" w:eastAsia="仿宋"/>
          <w:sz w:val="32"/>
          <w:szCs w:val="32"/>
        </w:rPr>
        <w:t>下属二级单位。</w:t>
      </w:r>
    </w:p>
    <w:p>
      <w:pPr>
        <w:widowControl/>
        <w:jc w:val="left"/>
        <w:rPr>
          <w:rFonts w:ascii="仿宋" w:hAnsi="仿宋" w:eastAsia="仿宋"/>
          <w:color w:val="000000"/>
          <w:kern w:val="0"/>
          <w:sz w:val="32"/>
          <w:szCs w:val="32"/>
        </w:rPr>
      </w:pPr>
    </w:p>
    <w:p>
      <w:pPr>
        <w:pStyle w:val="2"/>
        <w:ind w:right="440"/>
        <w:jc w:val="right"/>
        <w:rPr>
          <w:rFonts w:hint="eastAsia" w:ascii="黑体" w:hAnsi="黑体" w:eastAsia="黑体"/>
          <w:b w:val="0"/>
          <w:color w:val="000000"/>
          <w:sz w:val="28"/>
          <w:szCs w:val="28"/>
        </w:rPr>
      </w:pPr>
      <w:bookmarkStart w:id="22" w:name="_Toc15396602"/>
      <w:bookmarkStart w:id="23" w:name="_Toc15377204"/>
    </w:p>
    <w:p>
      <w:pPr>
        <w:rPr>
          <w:rFonts w:hint="eastAsia" w:ascii="黑体" w:hAnsi="黑体" w:eastAsia="黑体"/>
          <w:b w:val="0"/>
          <w:color w:val="000000"/>
          <w:sz w:val="28"/>
          <w:szCs w:val="28"/>
        </w:rPr>
      </w:pPr>
    </w:p>
    <w:p>
      <w:pPr>
        <w:rPr>
          <w:rFonts w:hint="eastAsia" w:ascii="黑体" w:hAnsi="黑体" w:eastAsia="黑体"/>
          <w:b w:val="0"/>
          <w:color w:val="000000"/>
          <w:sz w:val="28"/>
          <w:szCs w:val="28"/>
        </w:rPr>
      </w:pP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138.74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208280</wp:posOffset>
            </wp:positionH>
            <wp:positionV relativeFrom="paragraph">
              <wp:posOffset>161925</wp:posOffset>
            </wp:positionV>
            <wp:extent cx="5275580" cy="3072765"/>
            <wp:effectExtent l="4445" t="4445" r="15875" b="88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474980</wp:posOffset>
            </wp:positionH>
            <wp:positionV relativeFrom="paragraph">
              <wp:posOffset>217170</wp:posOffset>
            </wp:positionV>
            <wp:extent cx="4843780" cy="4141470"/>
            <wp:effectExtent l="4445" t="4445" r="9525" b="698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一般公共预算财政拨款收入</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931.75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242.41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Fonts w:hint="eastAsia" w:ascii="黑体" w:hAnsi="黑体" w:eastAsia="黑体"/>
          <w:color w:val="000000"/>
          <w:sz w:val="32"/>
          <w:szCs w:val="32"/>
          <w:lang w:eastAsia="zh-CN"/>
        </w:rPr>
      </w:pPr>
      <w:bookmarkStart w:id="30" w:name="_Toc15377208"/>
      <w:bookmarkStart w:id="31" w:name="_Toc15396606"/>
      <w:r>
        <w:rPr>
          <w:rFonts w:hint="eastAsia" w:ascii="黑体" w:hAnsi="黑体" w:eastAsia="黑体"/>
          <w:color w:val="000000"/>
          <w:sz w:val="32"/>
          <w:szCs w:val="32"/>
          <w:lang w:eastAsia="zh-CN"/>
        </w:rPr>
        <w:drawing>
          <wp:anchor distT="0" distB="0" distL="114300" distR="114300" simplePos="0" relativeHeight="251660288" behindDoc="0" locked="0" layoutInCell="1" allowOverlap="1">
            <wp:simplePos x="0" y="0"/>
            <wp:positionH relativeFrom="column">
              <wp:posOffset>360045</wp:posOffset>
            </wp:positionH>
            <wp:positionV relativeFrom="paragraph">
              <wp:posOffset>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138.74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建设项目减少。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4384" behindDoc="0" locked="0" layoutInCell="1" allowOverlap="0">
            <wp:simplePos x="0" y="0"/>
            <wp:positionH relativeFrom="page">
              <wp:posOffset>1141095</wp:posOffset>
            </wp:positionH>
            <wp:positionV relativeFrom="paragraph">
              <wp:posOffset>0</wp:posOffset>
            </wp:positionV>
            <wp:extent cx="4793615" cy="3456940"/>
            <wp:effectExtent l="5080" t="4445" r="20955" b="57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仿宋" w:hAnsi="仿宋" w:eastAsia="仿宋"/>
          <w:color w:val="000000"/>
          <w:sz w:val="32"/>
          <w:szCs w:val="32"/>
        </w:rPr>
        <w:drawing>
          <wp:anchor distT="0" distB="0" distL="114300" distR="114300" simplePos="0" relativeHeight="251668480" behindDoc="0" locked="0" layoutInCell="1" allowOverlap="0">
            <wp:simplePos x="0" y="0"/>
            <wp:positionH relativeFrom="page">
              <wp:posOffset>1160145</wp:posOffset>
            </wp:positionH>
            <wp:positionV relativeFrom="paragraph">
              <wp:posOffset>5391150</wp:posOffset>
            </wp:positionV>
            <wp:extent cx="5382895" cy="3029585"/>
            <wp:effectExtent l="4445" t="4445" r="2286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1174.15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ascii="仿宋" w:hAnsi="仿宋" w:eastAsia="仿宋"/>
          <w:color w:val="000000"/>
          <w:sz w:val="32"/>
          <w:szCs w:val="32"/>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138.74</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10.57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建设项目减少</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hint="eastAsia" w:ascii="仿宋" w:hAnsi="仿宋" w:eastAsia="仿宋"/>
          <w:b/>
          <w:color w:val="000000"/>
          <w:sz w:val="32"/>
          <w:szCs w:val="32"/>
        </w:rPr>
      </w:pPr>
      <w:bookmarkStart w:id="35" w:name="_Toc15377211"/>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1174.15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1002.34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82.27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57.09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83840" behindDoc="0" locked="0" layoutInCell="1" allowOverlap="1">
            <wp:simplePos x="0" y="0"/>
            <wp:positionH relativeFrom="column">
              <wp:posOffset>187325</wp:posOffset>
            </wp:positionH>
            <wp:positionV relativeFrom="paragraph">
              <wp:posOffset>595630</wp:posOffset>
            </wp:positionV>
            <wp:extent cx="5438775" cy="2498725"/>
            <wp:effectExtent l="4445" t="4445" r="5080" b="1143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1174.15</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176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1002.34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182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w:t>
      </w:r>
      <w:r>
        <w:rPr>
          <w:rStyle w:val="15"/>
          <w:rFonts w:hint="eastAsia" w:ascii="仿宋" w:hAnsi="仿宋" w:eastAsia="仿宋"/>
          <w:b w:val="0"/>
          <w:bCs/>
          <w:color w:val="000000"/>
          <w:sz w:val="32"/>
          <w:szCs w:val="32"/>
        </w:rPr>
        <w:t>于预算数的主要原因是</w:t>
      </w:r>
      <w:r>
        <w:rPr>
          <w:rStyle w:val="15"/>
          <w:rFonts w:hint="eastAsia" w:ascii="仿宋" w:hAnsi="仿宋" w:eastAsia="仿宋"/>
          <w:b w:val="0"/>
          <w:bCs/>
          <w:color w:val="000000"/>
          <w:sz w:val="32"/>
          <w:szCs w:val="32"/>
          <w:lang w:eastAsia="zh-CN"/>
        </w:rPr>
        <w:t>没有预算商品服务支出，学生助学金和新增人员经费等</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82.27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32.45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931.75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766.95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144.44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2.89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2.89</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321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2.89</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校本培训聘请外来人员用餐等</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hint="default" w:ascii="仿宋_GB2312" w:eastAsia="仿宋_GB2312"/>
          <w:color w:val="000000"/>
          <w:sz w:val="32"/>
          <w:szCs w:val="32"/>
          <w:lang w:val="en-US"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2.89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聘请外来人员开展培训人员用餐等。</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，能够按照预算列支，由于人员变化，预算稍有出入</w:t>
      </w:r>
      <w:r>
        <w:rPr>
          <w:rFonts w:hint="eastAsia" w:ascii="仿宋_GB2312" w:hAnsi="仿宋_GB2312" w:eastAsia="仿宋_GB2312" w:cs="仿宋_GB2312"/>
          <w:sz w:val="32"/>
          <w:szCs w:val="32"/>
        </w:rPr>
        <w:t>。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宣汉县龙泉学校</w:t>
      </w:r>
      <w:r>
        <w:rPr>
          <w:rFonts w:hint="eastAsia" w:ascii="仿宋_GB2312" w:hAnsi="仿宋_GB2312" w:eastAsia="仿宋_GB2312" w:cs="仿宋_GB2312"/>
          <w:sz w:val="32"/>
          <w:szCs w:val="32"/>
        </w:rPr>
        <w:t>部门2018年部门整体支出绩效评价报告》见附件。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hint="default" w:ascii="仿宋" w:hAnsi="仿宋" w:eastAsia="仿宋"/>
          <w:b/>
          <w:color w:val="000000"/>
          <w:sz w:val="32"/>
          <w:szCs w:val="32"/>
          <w:lang w:val="en-US" w:eastAsia="zh-CN"/>
        </w:rPr>
      </w:pPr>
      <w:r>
        <w:rPr>
          <w:rFonts w:hint="eastAsia" w:ascii="仿宋_GB2312" w:eastAsia="仿宋_GB2312"/>
          <w:color w:val="000000"/>
          <w:sz w:val="32"/>
          <w:szCs w:val="32"/>
          <w:lang w:val="en-US" w:eastAsia="zh-CN"/>
        </w:rPr>
        <w:t>2018年无机关运行经费支出。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2018年无政府采购支出</w:t>
      </w:r>
      <w:bookmarkStart w:id="54" w:name="_Toc15377224"/>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龙泉学校</w:t>
      </w:r>
      <w:r>
        <w:rPr>
          <w:rFonts w:hint="eastAsia" w:ascii="仿宋_GB2312" w:eastAsia="仿宋_GB2312"/>
          <w:color w:val="000000"/>
          <w:sz w:val="32"/>
          <w:szCs w:val="32"/>
        </w:rPr>
        <w:t>共</w:t>
      </w:r>
      <w:r>
        <w:rPr>
          <w:rFonts w:hint="eastAsia" w:ascii="仿宋_GB2312" w:eastAsia="仿宋_GB2312"/>
          <w:color w:val="000000"/>
          <w:sz w:val="32"/>
          <w:szCs w:val="32"/>
          <w:lang w:eastAsia="zh-CN"/>
        </w:rPr>
        <w:t>无公务用</w:t>
      </w:r>
      <w:r>
        <w:rPr>
          <w:rFonts w:hint="eastAsia" w:ascii="仿宋_GB2312" w:eastAsia="仿宋_GB2312"/>
          <w:color w:val="000000"/>
          <w:sz w:val="32"/>
          <w:szCs w:val="32"/>
        </w:rPr>
        <w:t>车</w:t>
      </w:r>
      <w:r>
        <w:rPr>
          <w:rFonts w:hint="eastAsia" w:ascii="仿宋_GB2312" w:eastAsia="仿宋_GB2312"/>
          <w:color w:val="000000"/>
          <w:sz w:val="32"/>
          <w:szCs w:val="32"/>
          <w:lang w:eastAsia="zh-CN"/>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宣汉县龙泉学校</w:t>
      </w: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龙泉学校</w:t>
      </w:r>
      <w:r>
        <w:rPr>
          <w:rFonts w:hint="eastAsia" w:ascii="仿宋_GB2312" w:hAnsi="Calibri" w:eastAsia="仿宋_GB2312" w:cs="仿宋"/>
          <w:color w:val="000000"/>
          <w:kern w:val="0"/>
          <w:sz w:val="32"/>
          <w:szCs w:val="32"/>
        </w:rPr>
        <w:t>是一所公办的</w:t>
      </w:r>
      <w:r>
        <w:rPr>
          <w:rFonts w:hint="eastAsia" w:ascii="仿宋_GB2312" w:hAnsi="Calibri" w:eastAsia="仿宋_GB2312" w:cs="仿宋"/>
          <w:color w:val="000000"/>
          <w:kern w:val="0"/>
          <w:sz w:val="32"/>
          <w:szCs w:val="32"/>
          <w:lang w:eastAsia="zh-CN"/>
        </w:rPr>
        <w:t>九年一贯制学校</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龙泉学校</w:t>
      </w:r>
      <w:r>
        <w:rPr>
          <w:rFonts w:hint="eastAsia" w:ascii="仿宋_GB2312" w:hAnsi="Calibri" w:eastAsia="仿宋_GB2312" w:cs="仿宋"/>
          <w:color w:val="000000"/>
          <w:kern w:val="0"/>
          <w:sz w:val="32"/>
          <w:szCs w:val="32"/>
        </w:rPr>
        <w:t>的基本职能和主要工作是：</w:t>
      </w:r>
      <w:r>
        <w:rPr>
          <w:rFonts w:hint="eastAsia" w:ascii="仿宋" w:hAnsi="仿宋" w:eastAsia="仿宋"/>
          <w:bCs/>
          <w:color w:val="000000"/>
          <w:sz w:val="32"/>
          <w:szCs w:val="32"/>
        </w:rPr>
        <w:t>宣传贯彻执行党和国家的教育方针、政策、法律法规等，坚持依法治教、依法治学，贯彻执行县教</w:t>
      </w:r>
      <w:r>
        <w:rPr>
          <w:rFonts w:hint="eastAsia" w:ascii="仿宋" w:hAnsi="仿宋" w:eastAsia="仿宋"/>
          <w:bCs/>
          <w:color w:val="000000"/>
          <w:sz w:val="32"/>
          <w:szCs w:val="32"/>
          <w:lang w:eastAsia="zh-CN"/>
        </w:rPr>
        <w:t>科</w:t>
      </w:r>
      <w:r>
        <w:rPr>
          <w:rFonts w:hint="eastAsia" w:ascii="仿宋" w:hAnsi="仿宋" w:eastAsia="仿宋"/>
          <w:bCs/>
          <w:color w:val="000000"/>
          <w:sz w:val="32"/>
          <w:szCs w:val="32"/>
        </w:rPr>
        <w:t>局的行政规章制度</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组织开展本校的教育教学科研和教育教学改革。负责对本校教育教学业务的具体管理，负责教育教学管理及教研教改工作，全力推进素质教育实施。</w:t>
      </w:r>
    </w:p>
    <w:p>
      <w:pPr>
        <w:spacing w:line="58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通过全体教职工的团结协作，共同努力，完成了义务教育的教育教学任务，学校先后获得“师德先进集体”、“教育教学先进集体”、“最佳文明单位”、“星级平安学校”“特色文化教育先进集体”等荣誉称号。</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龙泉学校</w:t>
      </w:r>
      <w:r>
        <w:rPr>
          <w:rFonts w:hint="eastAsia" w:ascii="仿宋_GB2312" w:hAnsi="Calibri" w:eastAsia="仿宋_GB2312" w:cs="仿宋"/>
          <w:color w:val="000000"/>
          <w:kern w:val="0"/>
          <w:sz w:val="32"/>
          <w:szCs w:val="32"/>
        </w:rPr>
        <w:t>2018年在编教职工</w:t>
      </w:r>
      <w:r>
        <w:rPr>
          <w:rFonts w:hint="eastAsia" w:ascii="仿宋_GB2312" w:hAnsi="Calibri" w:eastAsia="仿宋_GB2312" w:cs="仿宋"/>
          <w:color w:val="000000"/>
          <w:kern w:val="0"/>
          <w:sz w:val="32"/>
          <w:szCs w:val="32"/>
          <w:lang w:val="en-US" w:eastAsia="zh-CN"/>
        </w:rPr>
        <w:t>68</w:t>
      </w:r>
      <w:r>
        <w:rPr>
          <w:rFonts w:hint="eastAsia" w:ascii="仿宋_GB2312" w:hAnsi="Calibri" w:eastAsia="仿宋_GB2312" w:cs="仿宋"/>
          <w:color w:val="000000"/>
          <w:kern w:val="0"/>
          <w:sz w:val="32"/>
          <w:szCs w:val="32"/>
        </w:rPr>
        <w:t>人（含特岗教师），退休教师</w:t>
      </w:r>
      <w:r>
        <w:rPr>
          <w:rFonts w:hint="eastAsia" w:ascii="仿宋_GB2312" w:hAnsi="Calibri" w:eastAsia="仿宋_GB2312" w:cs="仿宋"/>
          <w:color w:val="000000"/>
          <w:kern w:val="0"/>
          <w:sz w:val="32"/>
          <w:szCs w:val="32"/>
          <w:lang w:val="en-US" w:eastAsia="zh-CN"/>
        </w:rPr>
        <w:t>43</w:t>
      </w:r>
      <w:r>
        <w:rPr>
          <w:rFonts w:hint="eastAsia" w:ascii="仿宋_GB2312" w:hAnsi="Calibri" w:eastAsia="仿宋_GB2312" w:cs="仿宋"/>
          <w:color w:val="000000"/>
          <w:kern w:val="0"/>
          <w:sz w:val="32"/>
          <w:szCs w:val="32"/>
        </w:rPr>
        <w:t>人，临时聘用教师</w:t>
      </w:r>
      <w:r>
        <w:rPr>
          <w:rFonts w:hint="eastAsia" w:ascii="仿宋_GB2312" w:hAnsi="Calibri" w:eastAsia="仿宋_GB2312" w:cs="仿宋"/>
          <w:color w:val="000000"/>
          <w:kern w:val="0"/>
          <w:sz w:val="32"/>
          <w:szCs w:val="32"/>
          <w:lang w:val="en-US" w:eastAsia="zh-CN"/>
        </w:rPr>
        <w:t>15</w:t>
      </w:r>
      <w:r>
        <w:rPr>
          <w:rFonts w:hint="eastAsia" w:ascii="仿宋_GB2312" w:hAnsi="Calibri" w:eastAsia="仿宋_GB2312" w:cs="仿宋"/>
          <w:color w:val="000000"/>
          <w:kern w:val="0"/>
          <w:sz w:val="32"/>
          <w:szCs w:val="32"/>
        </w:rPr>
        <w:t>人，在校学生</w:t>
      </w:r>
      <w:r>
        <w:rPr>
          <w:rFonts w:hint="eastAsia" w:ascii="仿宋_GB2312" w:hAnsi="Calibri" w:eastAsia="仿宋_GB2312" w:cs="仿宋"/>
          <w:color w:val="000000"/>
          <w:kern w:val="0"/>
          <w:sz w:val="32"/>
          <w:szCs w:val="32"/>
          <w:lang w:val="en-US" w:eastAsia="zh-CN"/>
        </w:rPr>
        <w:t>1002</w:t>
      </w:r>
      <w:r>
        <w:rPr>
          <w:rFonts w:hint="eastAsia" w:ascii="仿宋_GB2312" w:hAnsi="Calibri" w:eastAsia="仿宋_GB2312" w:cs="仿宋"/>
          <w:color w:val="000000"/>
          <w:kern w:val="0"/>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w:t>
      </w:r>
      <w:r>
        <w:rPr>
          <w:rFonts w:hint="eastAsia" w:ascii="仿宋_GB2312" w:hAnsi="Calibri" w:eastAsia="仿宋_GB2312" w:cs="仿宋"/>
          <w:color w:val="000000"/>
          <w:kern w:val="0"/>
          <w:sz w:val="32"/>
          <w:szCs w:val="32"/>
          <w:lang w:val="en-US" w:eastAsia="zh-CN"/>
        </w:rPr>
        <w:t>1174.15</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1174.15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1002.34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82.27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57.09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w:t>
      </w:r>
      <w:r>
        <w:rPr>
          <w:rFonts w:hint="eastAsia" w:ascii="仿宋_GB2312" w:hAnsi="Calibri" w:eastAsia="仿宋_GB2312" w:cs="仿宋"/>
          <w:color w:val="000000"/>
          <w:kern w:val="0"/>
          <w:sz w:val="32"/>
          <w:szCs w:val="32"/>
          <w:lang w:eastAsia="zh-CN"/>
        </w:rPr>
        <w:t>龙泉学校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w:t>
      </w:r>
      <w:bookmarkStart w:id="76" w:name="_GoBack"/>
      <w:bookmarkEnd w:id="76"/>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w:t>
      </w:r>
      <w:r>
        <w:rPr>
          <w:rFonts w:hint="eastAsia" w:ascii="仿宋_GB2312" w:hAnsi="Calibri" w:eastAsia="仿宋_GB2312" w:cs="仿宋"/>
          <w:color w:val="000000"/>
          <w:kern w:val="0"/>
          <w:sz w:val="32"/>
          <w:szCs w:val="32"/>
          <w:lang w:eastAsia="zh-CN"/>
        </w:rPr>
        <w:t>教学点</w:t>
      </w:r>
      <w:r>
        <w:rPr>
          <w:rFonts w:hint="eastAsia" w:ascii="仿宋_GB2312" w:hAnsi="Calibri" w:eastAsia="仿宋_GB2312" w:cs="仿宋"/>
          <w:color w:val="000000"/>
          <w:kern w:val="0"/>
          <w:sz w:val="32"/>
          <w:szCs w:val="32"/>
        </w:rPr>
        <w:t>多</w:t>
      </w:r>
      <w:r>
        <w:rPr>
          <w:rFonts w:hint="eastAsia" w:ascii="仿宋_GB2312" w:hAnsi="Calibri" w:eastAsia="仿宋_GB2312" w:cs="仿宋"/>
          <w:color w:val="000000"/>
          <w:kern w:val="0"/>
          <w:sz w:val="32"/>
          <w:szCs w:val="32"/>
          <w:lang w:eastAsia="zh-CN"/>
        </w:rPr>
        <w:t>且分散</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eastAsia="zh-CN"/>
        </w:rPr>
        <w:t>外籍教师较多，缺编严重，</w:t>
      </w:r>
      <w:r>
        <w:rPr>
          <w:rFonts w:hint="eastAsia" w:ascii="仿宋_GB2312" w:hAnsi="Calibri" w:eastAsia="仿宋_GB2312" w:cs="仿宋"/>
          <w:color w:val="000000"/>
          <w:kern w:val="0"/>
          <w:sz w:val="32"/>
          <w:szCs w:val="32"/>
        </w:rPr>
        <w:t>故而我校本年度聘请了</w:t>
      </w:r>
      <w:r>
        <w:rPr>
          <w:rFonts w:hint="eastAsia" w:ascii="仿宋_GB2312" w:hAnsi="Calibri" w:eastAsia="仿宋_GB2312" w:cs="仿宋"/>
          <w:color w:val="000000"/>
          <w:kern w:val="0"/>
          <w:sz w:val="32"/>
          <w:szCs w:val="32"/>
          <w:lang w:val="en-US" w:eastAsia="zh-CN"/>
        </w:rPr>
        <w:t>16位</w:t>
      </w:r>
      <w:r>
        <w:rPr>
          <w:rFonts w:hint="eastAsia" w:ascii="仿宋_GB2312" w:hAnsi="Calibri" w:eastAsia="仿宋_GB2312" w:cs="仿宋"/>
          <w:color w:val="000000"/>
          <w:kern w:val="0"/>
          <w:sz w:val="32"/>
          <w:szCs w:val="32"/>
        </w:rPr>
        <w:t>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Calibri" w:eastAsia="仿宋_GB2312" w:cs="仿宋"/>
          <w:color w:val="000000"/>
          <w:kern w:val="0"/>
          <w:sz w:val="32"/>
          <w:szCs w:val="32"/>
          <w:lang w:eastAsia="zh-CN"/>
        </w:rPr>
        <w:t>搞好预算，</w:t>
      </w:r>
      <w:r>
        <w:rPr>
          <w:rFonts w:hint="eastAsia" w:ascii="仿宋_GB2312" w:hAnsi="Calibri" w:eastAsia="仿宋_GB2312" w:cs="仿宋"/>
          <w:color w:val="000000"/>
          <w:kern w:val="0"/>
          <w:sz w:val="32"/>
          <w:szCs w:val="32"/>
        </w:rPr>
        <w:t>厉行节约，开源节流，严格控制支出，根据学校实际有计划地减少临聘人员</w:t>
      </w:r>
      <w:r>
        <w:rPr>
          <w:rFonts w:hint="eastAsia" w:ascii="仿宋_GB2312" w:hAnsi="Calibri" w:eastAsia="仿宋_GB2312" w:cs="仿宋"/>
          <w:color w:val="000000"/>
          <w:kern w:val="0"/>
          <w:sz w:val="32"/>
          <w:szCs w:val="32"/>
          <w:lang w:eastAsia="zh-CN"/>
        </w:rPr>
        <w:t>，加强固定资产的管理，促进学校健康发展。</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486" w:bottom="1440" w:left="16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6BB723D"/>
    <w:rsid w:val="18A35D2B"/>
    <w:rsid w:val="1D9DD45C"/>
    <w:rsid w:val="240371BF"/>
    <w:rsid w:val="29FD04D3"/>
    <w:rsid w:val="3147238C"/>
    <w:rsid w:val="31650E11"/>
    <w:rsid w:val="319F7F4E"/>
    <w:rsid w:val="3AED5F48"/>
    <w:rsid w:val="433E44D1"/>
    <w:rsid w:val="51CB516C"/>
    <w:rsid w:val="52422B43"/>
    <w:rsid w:val="53FE5D61"/>
    <w:rsid w:val="55AD594E"/>
    <w:rsid w:val="571D6D58"/>
    <w:rsid w:val="59D11542"/>
    <w:rsid w:val="64F50E26"/>
    <w:rsid w:val="73EA44EC"/>
    <w:rsid w:val="7A4F2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8711774620756"/>
          <c:y val="0.0518059855521156"/>
          <c:w val="0.764026005297375"/>
          <c:h val="0.846233230134159"/>
        </c:manualLayout>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1312.89</c:v>
                </c:pt>
                <c:pt idx="1">
                  <c:v>1312.89</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1174.15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1174.15</c:v>
                </c:pt>
                <c:pt idx="1">
                  <c:v>1174.15</c:v>
                </c:pt>
              </c:numCache>
            </c:numRef>
          </c:val>
        </c:ser>
        <c:dLbls>
          <c:showLegendKey val="false"/>
          <c:showVal val="true"/>
          <c:showCatName val="false"/>
          <c:showSerName val="false"/>
          <c:showPercent val="false"/>
          <c:showBubbleSize val="false"/>
        </c:dLbls>
        <c:gapWidth val="150"/>
        <c:axId val="97564160"/>
        <c:axId val="97565696"/>
      </c:barChart>
      <c:catAx>
        <c:axId val="975641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5696"/>
        <c:crosses val="autoZero"/>
        <c:auto val="true"/>
        <c:lblAlgn val="ctr"/>
        <c:lblOffset val="100"/>
        <c:noMultiLvlLbl val="false"/>
      </c:catAx>
      <c:valAx>
        <c:axId val="97565696"/>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416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false"/>
      <c:spPr>
        <a:noFill/>
        <a:ln>
          <a:noFill/>
        </a:ln>
        <a:effectLst/>
      </c:spPr>
    </c:title>
    <c:autoTitleDeleted val="false"/>
    <c:plotArea>
      <c:layout/>
      <c:pieChart>
        <c:varyColors val="true"/>
        <c:ser>
          <c:idx val="0"/>
          <c:order val="0"/>
          <c:tx>
            <c:strRef>
              <c:f>Sheet1!$B$1</c:f>
              <c:strCache>
                <c:ptCount val="1"/>
                <c:pt idx="0">
                  <c:v>收入决算</c:v>
                </c:pt>
              </c:strCache>
            </c:strRef>
          </c:tx>
          <c:spPr/>
          <c:explosion val="0"/>
          <c:dPt>
            <c:idx val="0"/>
            <c:bubble3D val="false"/>
            <c:explosion val="0"/>
            <c:spPr>
              <a:solidFill>
                <a:schemeClr val="accent1"/>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1174.15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133875"/>
          <c:y val="0.127833333333333"/>
          <c:w val="0.62725"/>
          <c:h val="0.836333333333333"/>
        </c:manualLayout>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931.75</c:v>
                </c:pt>
                <c:pt idx="1">
                  <c:v>242.41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1312.89</c:v>
                </c:pt>
                <c:pt idx="1">
                  <c:v>1312.89</c:v>
                </c:pt>
              </c:numCache>
            </c:numRef>
          </c:val>
        </c:ser>
        <c:ser>
          <c:idx val="1"/>
          <c:order val="1"/>
          <c:tx>
            <c:strRef>
              <c:f>Sheet1!$C$1</c:f>
              <c:strCache>
                <c:ptCount val="1"/>
                <c:pt idx="0">
                  <c:v>2018年</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1174.15</c:v>
                </c:pt>
                <c:pt idx="1">
                  <c:v>1174.15</c:v>
                </c:pt>
              </c:numCache>
            </c:numRef>
          </c:val>
        </c:ser>
        <c:dLbls>
          <c:showLegendKey val="false"/>
          <c:showVal val="true"/>
          <c:showCatName val="false"/>
          <c:showSerName val="false"/>
          <c:showPercent val="false"/>
          <c:showBubbleSize val="false"/>
        </c:dLbls>
        <c:gapWidth val="75"/>
        <c:overlap val="0"/>
        <c:axId val="97564160"/>
        <c:axId val="97565696"/>
      </c:barChart>
      <c:catAx>
        <c:axId val="975641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5696"/>
        <c:crosses val="autoZero"/>
        <c:auto val="true"/>
        <c:lblAlgn val="ctr"/>
        <c:lblOffset val="100"/>
        <c:noMultiLvlLbl val="false"/>
      </c:catAx>
      <c:valAx>
        <c:axId val="97565696"/>
        <c:scaling>
          <c:orientation val="minMax"/>
          <c:min val="0"/>
        </c:scaling>
        <c:delete val="false"/>
        <c:axPos val="l"/>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4160"/>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1312.89</c:v>
                </c:pt>
                <c:pt idx="1">
                  <c:v>1312.89</c:v>
                </c:pt>
              </c:numCache>
            </c:numRef>
          </c:val>
        </c:ser>
        <c:ser>
          <c:idx val="1"/>
          <c:order val="1"/>
          <c:tx>
            <c:strRef>
              <c:f>Sheet1!$C$1</c:f>
              <c:strCache>
                <c:ptCount val="1"/>
                <c:pt idx="0">
                  <c:v>2018年</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1174.15</c:v>
                </c:pt>
                <c:pt idx="1">
                  <c:v>1174.15</c:v>
                </c:pt>
              </c:numCache>
            </c:numRef>
          </c:val>
        </c:ser>
        <c:dLbls>
          <c:showLegendKey val="false"/>
          <c:showVal val="true"/>
          <c:showCatName val="false"/>
          <c:showSerName val="false"/>
          <c:showPercent val="false"/>
          <c:showBubbleSize val="false"/>
        </c:dLbls>
        <c:gapWidth val="75"/>
        <c:overlap val="0"/>
        <c:axId val="97564160"/>
        <c:axId val="97565696"/>
      </c:barChart>
      <c:catAx>
        <c:axId val="975641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5696"/>
        <c:crosses val="autoZero"/>
        <c:auto val="true"/>
        <c:lblAlgn val="ctr"/>
        <c:lblOffset val="100"/>
        <c:noMultiLvlLbl val="false"/>
      </c:catAx>
      <c:valAx>
        <c:axId val="97565696"/>
        <c:scaling>
          <c:orientation val="minMax"/>
          <c:min val="0"/>
        </c:scaling>
        <c:delete val="false"/>
        <c:axPos val="l"/>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4160"/>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85</c:v>
                </c:pt>
                <c:pt idx="1">
                  <c:v>7</c:v>
                </c:pt>
                <c:pt idx="2">
                  <c:v>3</c:v>
                </c:pt>
                <c:pt idx="3">
                  <c:v>5</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8</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2022-02-22T14:54:33Z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