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78" w:lineRule="exact"/>
        <w:jc w:val="center"/>
        <w:textAlignment w:val="auto"/>
        <w:rPr>
          <w:rFonts w:hint="default" w:eastAsia="方正小标宋简体"/>
          <w:color w:val="auto"/>
          <w:sz w:val="44"/>
          <w:szCs w:val="44"/>
          <w:highlight w:val="none"/>
          <w:lang w:val="en-US" w:eastAsia="zh-CN"/>
        </w:rPr>
      </w:pPr>
      <w:bookmarkStart w:id="0" w:name="_Toc19459"/>
      <w:bookmarkStart w:id="1" w:name="_Toc52960440"/>
      <w:bookmarkStart w:id="2" w:name="_Toc25114"/>
      <w:bookmarkStart w:id="3" w:name="_Toc25603"/>
      <w:r>
        <w:rPr>
          <w:rFonts w:hint="eastAsia" w:eastAsia="方正小标宋简体"/>
          <w:color w:val="auto"/>
          <w:sz w:val="44"/>
          <w:szCs w:val="44"/>
          <w:highlight w:val="none"/>
          <w:lang w:eastAsia="zh-CN"/>
        </w:rPr>
        <w:t>宣汉县</w:t>
      </w:r>
      <w:r>
        <w:rPr>
          <w:rFonts w:eastAsia="方正小标宋简体"/>
          <w:color w:val="auto"/>
          <w:sz w:val="44"/>
          <w:szCs w:val="44"/>
          <w:highlight w:val="none"/>
        </w:rPr>
        <w:t>“一老一小”整体解决方案</w:t>
      </w:r>
    </w:p>
    <w:p>
      <w:pPr>
        <w:widowControl w:val="0"/>
        <w:adjustRightInd w:val="0"/>
        <w:snapToGrid w:val="0"/>
        <w:spacing w:line="578" w:lineRule="exact"/>
        <w:ind w:firstLine="3840" w:firstLineChars="1200"/>
        <w:jc w:val="both"/>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征求意见</w:t>
      </w:r>
      <w:bookmarkStart w:id="5" w:name="_GoBack"/>
      <w:bookmarkEnd w:id="5"/>
      <w:r>
        <w:rPr>
          <w:rFonts w:hint="eastAsia" w:eastAsia="仿宋_GB2312"/>
          <w:color w:val="auto"/>
          <w:sz w:val="32"/>
          <w:szCs w:val="32"/>
          <w:highlight w:val="none"/>
          <w:lang w:eastAsia="zh-CN"/>
        </w:rPr>
        <w:t>稿）</w:t>
      </w:r>
    </w:p>
    <w:p>
      <w:pPr>
        <w:widowControl w:val="0"/>
        <w:adjustRightInd w:val="0"/>
        <w:snapToGrid w:val="0"/>
        <w:spacing w:line="550" w:lineRule="exact"/>
        <w:ind w:firstLine="640" w:firstLineChars="200"/>
        <w:jc w:val="both"/>
        <w:textAlignment w:val="auto"/>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eastAsia="仿宋_GB2312"/>
          <w:color w:val="auto"/>
          <w:sz w:val="32"/>
          <w:szCs w:val="32"/>
          <w:highlight w:val="none"/>
        </w:rPr>
      </w:pPr>
      <w:r>
        <w:rPr>
          <w:rFonts w:eastAsia="仿宋_GB2312"/>
          <w:color w:val="auto"/>
          <w:sz w:val="32"/>
          <w:szCs w:val="32"/>
          <w:highlight w:val="none"/>
        </w:rPr>
        <w:t>为贯彻落实《国务院办公厅关于促进养老托育服务健康发展的意见》（国办发〔2020〕52号）《国家发展改革委办公厅关于做好〈国务院办公厅关于促进养老托育服务健康发展的意见〉贯彻落实工</w:t>
      </w:r>
      <w:r>
        <w:rPr>
          <w:rFonts w:ascii="Times New Roman" w:hAnsi="Times New Roman" w:eastAsia="仿宋_GB2312" w:cs="Times New Roman"/>
          <w:color w:val="auto"/>
          <w:sz w:val="32"/>
          <w:szCs w:val="32"/>
          <w:highlight w:val="none"/>
        </w:rPr>
        <w:t>作的通知》（发改办社会〔2021〕192号）</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达州市人民政府关于印发达州市“一老一小”整体解决方案的通知</w:t>
      </w:r>
      <w:r>
        <w:rPr>
          <w:rFonts w:hint="eastAsia" w:eastAsia="仿宋_GB2312"/>
          <w:color w:val="auto"/>
          <w:sz w:val="32"/>
          <w:szCs w:val="32"/>
          <w:highlight w:val="none"/>
          <w:lang w:eastAsia="zh-CN"/>
        </w:rPr>
        <w:t>》（</w:t>
      </w:r>
      <w:r>
        <w:rPr>
          <w:rFonts w:eastAsia="仿宋_GB2312"/>
          <w:color w:val="auto"/>
          <w:sz w:val="32"/>
          <w:szCs w:val="32"/>
          <w:highlight w:val="none"/>
        </w:rPr>
        <w:t>达市府发〔2022〕26号</w:t>
      </w:r>
      <w:r>
        <w:rPr>
          <w:rFonts w:hint="eastAsia" w:eastAsia="仿宋_GB2312"/>
          <w:color w:val="auto"/>
          <w:sz w:val="32"/>
          <w:szCs w:val="32"/>
          <w:highlight w:val="none"/>
          <w:lang w:eastAsia="zh-CN"/>
        </w:rPr>
        <w:t>）</w:t>
      </w:r>
      <w:r>
        <w:rPr>
          <w:rFonts w:eastAsia="仿宋_GB2312"/>
          <w:color w:val="auto"/>
          <w:sz w:val="32"/>
          <w:szCs w:val="32"/>
          <w:highlight w:val="none"/>
        </w:rPr>
        <w:t>精神，高质量推进“一老一小”决策部署落地见效，促进我</w:t>
      </w:r>
      <w:r>
        <w:rPr>
          <w:rFonts w:hint="eastAsia" w:eastAsia="仿宋_GB2312"/>
          <w:color w:val="auto"/>
          <w:sz w:val="32"/>
          <w:szCs w:val="32"/>
          <w:highlight w:val="none"/>
          <w:lang w:eastAsia="zh-CN"/>
        </w:rPr>
        <w:t>县</w:t>
      </w:r>
      <w:r>
        <w:rPr>
          <w:rFonts w:eastAsia="仿宋_GB2312"/>
          <w:color w:val="auto"/>
          <w:sz w:val="32"/>
          <w:szCs w:val="32"/>
          <w:highlight w:val="none"/>
        </w:rPr>
        <w:t>养老托育服务健康发展，特制定</w:t>
      </w:r>
      <w:r>
        <w:rPr>
          <w:rFonts w:hint="eastAsia" w:eastAsia="仿宋_GB2312"/>
          <w:color w:val="auto"/>
          <w:sz w:val="32"/>
          <w:szCs w:val="32"/>
          <w:highlight w:val="none"/>
          <w:lang w:eastAsia="zh-CN"/>
        </w:rPr>
        <w:t>宣汉县</w:t>
      </w:r>
      <w:r>
        <w:rPr>
          <w:rFonts w:eastAsia="仿宋_GB2312"/>
          <w:color w:val="auto"/>
          <w:sz w:val="32"/>
          <w:szCs w:val="32"/>
          <w:highlight w:val="none"/>
        </w:rPr>
        <w:t>“一老一小”整体解决方案。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黑体"/>
          <w:color w:val="auto"/>
          <w:sz w:val="32"/>
          <w:szCs w:val="32"/>
          <w:highlight w:val="none"/>
        </w:rPr>
      </w:pPr>
      <w:r>
        <w:rPr>
          <w:rFonts w:hAnsi="黑体" w:eastAsia="黑体"/>
          <w:color w:val="auto"/>
          <w:sz w:val="32"/>
          <w:szCs w:val="32"/>
          <w:highlight w:val="none"/>
        </w:rPr>
        <w:t>一、编制实施</w:t>
      </w:r>
      <w:r>
        <w:rPr>
          <w:rFonts w:eastAsia="黑体"/>
          <w:color w:val="auto"/>
          <w:sz w:val="32"/>
          <w:szCs w:val="32"/>
          <w:highlight w:val="none"/>
        </w:rPr>
        <w:t>“</w:t>
      </w:r>
      <w:r>
        <w:rPr>
          <w:rFonts w:hAnsi="黑体" w:eastAsia="黑体"/>
          <w:color w:val="auto"/>
          <w:sz w:val="32"/>
          <w:szCs w:val="32"/>
          <w:highlight w:val="none"/>
        </w:rPr>
        <w:t>一老一小</w:t>
      </w:r>
      <w:r>
        <w:rPr>
          <w:rFonts w:eastAsia="黑体"/>
          <w:color w:val="auto"/>
          <w:sz w:val="32"/>
          <w:szCs w:val="32"/>
          <w:highlight w:val="none"/>
        </w:rPr>
        <w:t>”</w:t>
      </w:r>
      <w:r>
        <w:rPr>
          <w:rFonts w:hAnsi="黑体" w:eastAsia="黑体"/>
          <w:color w:val="auto"/>
          <w:sz w:val="32"/>
          <w:szCs w:val="32"/>
          <w:highlight w:val="none"/>
        </w:rPr>
        <w:t>整体解决方案的重要意义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Style w:val="59"/>
          <w:rFonts w:eastAsia="仿宋_GB2312"/>
          <w:bCs/>
          <w:color w:val="auto"/>
          <w:sz w:val="32"/>
          <w:szCs w:val="32"/>
          <w:highlight w:val="none"/>
        </w:rPr>
        <w:t>伴随着我国人口老龄化与严重少子化，养老、医疗、托幼、学前教育等民生领域的公共服务供需势必增加。</w:t>
      </w:r>
      <w:r>
        <w:rPr>
          <w:rFonts w:eastAsia="仿宋_GB2312"/>
          <w:bCs/>
          <w:color w:val="auto"/>
          <w:sz w:val="32"/>
          <w:szCs w:val="32"/>
          <w:highlight w:val="none"/>
        </w:rPr>
        <w:t>近年来</w:t>
      </w:r>
      <w:r>
        <w:rPr>
          <w:rFonts w:hint="eastAsia" w:eastAsia="仿宋_GB2312"/>
          <w:bCs/>
          <w:color w:val="auto"/>
          <w:sz w:val="32"/>
          <w:szCs w:val="32"/>
          <w:highlight w:val="none"/>
          <w:lang w:eastAsia="zh-CN"/>
        </w:rPr>
        <w:t>国家、省、市各层级</w:t>
      </w:r>
      <w:r>
        <w:rPr>
          <w:rFonts w:eastAsia="仿宋_GB2312"/>
          <w:color w:val="auto"/>
          <w:sz w:val="32"/>
          <w:szCs w:val="32"/>
          <w:highlight w:val="none"/>
        </w:rPr>
        <w:t>围绕推动养老托育服务发展作出了一系列重要部署，养老服务体系初步形成，托育服务供给快速增长。我</w:t>
      </w:r>
      <w:r>
        <w:rPr>
          <w:rFonts w:hint="eastAsia" w:eastAsia="仿宋_GB2312"/>
          <w:color w:val="auto"/>
          <w:sz w:val="32"/>
          <w:szCs w:val="32"/>
          <w:highlight w:val="none"/>
          <w:lang w:eastAsia="zh-CN"/>
        </w:rPr>
        <w:t>县</w:t>
      </w:r>
      <w:r>
        <w:rPr>
          <w:rFonts w:eastAsia="仿宋_GB2312"/>
          <w:color w:val="auto"/>
          <w:sz w:val="32"/>
          <w:szCs w:val="32"/>
          <w:highlight w:val="none"/>
        </w:rPr>
        <w:t>养老托育需求持续刚性增长，但当前养老托育服务供给远不能满足多层次多样化的需求，仍存在总量不足、结构不平衡等突出矛盾。</w:t>
      </w:r>
      <w:r>
        <w:rPr>
          <w:rFonts w:hint="eastAsia" w:eastAsia="仿宋_GB2312"/>
          <w:color w:val="auto"/>
          <w:sz w:val="32"/>
          <w:szCs w:val="32"/>
          <w:highlight w:val="none"/>
          <w:lang w:eastAsia="zh-CN"/>
        </w:rPr>
        <w:t>县</w:t>
      </w:r>
      <w:r>
        <w:rPr>
          <w:rFonts w:eastAsia="仿宋_GB2312"/>
          <w:color w:val="auto"/>
          <w:sz w:val="32"/>
          <w:szCs w:val="32"/>
          <w:highlight w:val="none"/>
        </w:rPr>
        <w:t>城区养老机构布局少，</w:t>
      </w:r>
      <w:r>
        <w:rPr>
          <w:rFonts w:hint="eastAsia" w:eastAsia="仿宋_GB2312"/>
          <w:color w:val="auto"/>
          <w:sz w:val="32"/>
          <w:szCs w:val="32"/>
          <w:highlight w:val="none"/>
          <w:lang w:eastAsia="zh-CN"/>
        </w:rPr>
        <w:t>乡镇</w:t>
      </w:r>
      <w:r>
        <w:rPr>
          <w:rFonts w:eastAsia="仿宋_GB2312"/>
          <w:color w:val="auto"/>
          <w:sz w:val="32"/>
          <w:szCs w:val="32"/>
          <w:highlight w:val="none"/>
        </w:rPr>
        <w:t>养老服务较为短缺</w:t>
      </w:r>
      <w:r>
        <w:rPr>
          <w:rFonts w:eastAsia="仿宋_GB2312"/>
          <w:bCs/>
          <w:color w:val="auto"/>
          <w:sz w:val="32"/>
          <w:szCs w:val="32"/>
          <w:highlight w:val="none"/>
        </w:rPr>
        <w:t>，</w:t>
      </w:r>
      <w:r>
        <w:rPr>
          <w:rFonts w:eastAsia="仿宋_GB2312"/>
          <w:color w:val="auto"/>
          <w:sz w:val="32"/>
          <w:szCs w:val="32"/>
          <w:highlight w:val="none"/>
        </w:rPr>
        <w:t>敬老院设施条件差、护理人员少、服务能力弱，养老床位空置率较高。</w:t>
      </w:r>
      <w:r>
        <w:rPr>
          <w:rFonts w:eastAsia="仿宋_GB2312"/>
          <w:bCs/>
          <w:color w:val="auto"/>
          <w:sz w:val="32"/>
          <w:szCs w:val="32"/>
          <w:highlight w:val="none"/>
        </w:rPr>
        <w:t>编制实施“一老一小”整体解决方案，</w:t>
      </w:r>
      <w:r>
        <w:rPr>
          <w:rFonts w:eastAsia="仿宋_GB2312"/>
          <w:color w:val="auto"/>
          <w:sz w:val="32"/>
          <w:szCs w:val="32"/>
          <w:highlight w:val="none"/>
        </w:rPr>
        <w:t>系统谋划地方政府政策措施，充分调动政府和社会两方面力量的积极性，</w:t>
      </w:r>
      <w:r>
        <w:rPr>
          <w:rFonts w:eastAsia="仿宋_GB2312"/>
          <w:bCs/>
          <w:color w:val="auto"/>
          <w:sz w:val="32"/>
          <w:szCs w:val="32"/>
          <w:highlight w:val="none"/>
        </w:rPr>
        <w:t>促进中央养老托育服务决策部署落地落实，是积极应对人口结构变化的迫切需要，是以人民为中心发展的内在要求，是更好满足群众养老托育服务需要的务实举措。</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黑体"/>
          <w:color w:val="auto"/>
          <w:sz w:val="32"/>
          <w:szCs w:val="32"/>
          <w:highlight w:val="none"/>
        </w:rPr>
      </w:pPr>
      <w:r>
        <w:rPr>
          <w:rFonts w:hAnsi="黑体" w:eastAsia="黑体"/>
          <w:color w:val="auto"/>
          <w:sz w:val="32"/>
          <w:szCs w:val="32"/>
          <w:highlight w:val="none"/>
        </w:rPr>
        <w:t>二、发展基础和面临形势</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（一）发展基础。</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1．养老托育服务政策体系逐渐完善。“十三五”期间，</w:t>
      </w:r>
      <w:r>
        <w:rPr>
          <w:rFonts w:hint="eastAsia" w:eastAsia="仿宋_GB2312"/>
          <w:color w:val="auto"/>
          <w:sz w:val="32"/>
          <w:szCs w:val="32"/>
          <w:highlight w:val="none"/>
          <w:lang w:eastAsia="zh-CN"/>
        </w:rPr>
        <w:t>县委、县政府</w:t>
      </w:r>
      <w:r>
        <w:rPr>
          <w:rFonts w:eastAsia="仿宋_GB2312"/>
          <w:color w:val="auto"/>
          <w:sz w:val="32"/>
          <w:szCs w:val="32"/>
          <w:highlight w:val="none"/>
        </w:rPr>
        <w:t>高度重视养老托育服务发展，在国家、省</w:t>
      </w:r>
      <w:r>
        <w:rPr>
          <w:rFonts w:hint="eastAsia" w:eastAsia="仿宋_GB2312"/>
          <w:color w:val="auto"/>
          <w:sz w:val="32"/>
          <w:szCs w:val="32"/>
          <w:highlight w:val="none"/>
          <w:lang w:eastAsia="zh-CN"/>
        </w:rPr>
        <w:t>、市</w:t>
      </w:r>
      <w:r>
        <w:rPr>
          <w:rFonts w:eastAsia="仿宋_GB2312"/>
          <w:color w:val="auto"/>
          <w:sz w:val="32"/>
          <w:szCs w:val="32"/>
          <w:highlight w:val="none"/>
        </w:rPr>
        <w:t>出台相关政策基础上，先后出台了《</w:t>
      </w:r>
      <w:r>
        <w:rPr>
          <w:rFonts w:hint="eastAsia" w:eastAsia="仿宋_GB2312"/>
          <w:color w:val="auto"/>
          <w:sz w:val="32"/>
          <w:szCs w:val="32"/>
          <w:highlight w:val="none"/>
          <w:lang w:eastAsia="zh-CN"/>
        </w:rPr>
        <w:t>宣汉县</w:t>
      </w:r>
      <w:r>
        <w:rPr>
          <w:rFonts w:eastAsia="仿宋_GB2312"/>
          <w:color w:val="auto"/>
          <w:sz w:val="32"/>
          <w:szCs w:val="32"/>
          <w:highlight w:val="none"/>
        </w:rPr>
        <w:t>人民政府办公室关于全面放开养老服务市场提升养老服务质量的实施意见》（</w:t>
      </w:r>
      <w:r>
        <w:rPr>
          <w:rFonts w:hint="eastAsia" w:eastAsia="仿宋_GB2312"/>
          <w:color w:val="auto"/>
          <w:sz w:val="32"/>
          <w:szCs w:val="32"/>
          <w:highlight w:val="none"/>
          <w:lang w:eastAsia="zh-CN"/>
        </w:rPr>
        <w:t>宣</w:t>
      </w:r>
      <w:r>
        <w:rPr>
          <w:rFonts w:eastAsia="仿宋_GB2312"/>
          <w:color w:val="auto"/>
          <w:sz w:val="32"/>
          <w:szCs w:val="32"/>
          <w:highlight w:val="none"/>
        </w:rPr>
        <w:t>府办〔2018〕</w:t>
      </w:r>
      <w:r>
        <w:rPr>
          <w:rFonts w:hint="eastAsia" w:eastAsia="仿宋_GB2312"/>
          <w:color w:val="auto"/>
          <w:sz w:val="32"/>
          <w:szCs w:val="32"/>
          <w:highlight w:val="none"/>
          <w:lang w:val="en-US" w:eastAsia="zh-CN"/>
        </w:rPr>
        <w:t>130</w:t>
      </w:r>
      <w:r>
        <w:rPr>
          <w:rFonts w:eastAsia="仿宋_GB2312"/>
          <w:color w:val="auto"/>
          <w:sz w:val="32"/>
          <w:szCs w:val="32"/>
          <w:highlight w:val="none"/>
        </w:rPr>
        <w:t>号）、《</w:t>
      </w:r>
      <w:r>
        <w:rPr>
          <w:rFonts w:hint="eastAsia" w:eastAsia="仿宋_GB2312"/>
          <w:color w:val="auto"/>
          <w:sz w:val="32"/>
          <w:szCs w:val="32"/>
          <w:highlight w:val="none"/>
          <w:lang w:eastAsia="zh-CN"/>
        </w:rPr>
        <w:t>宣汉县</w:t>
      </w:r>
      <w:r>
        <w:rPr>
          <w:rFonts w:eastAsia="仿宋_GB2312"/>
          <w:color w:val="auto"/>
          <w:sz w:val="32"/>
          <w:szCs w:val="32"/>
          <w:highlight w:val="none"/>
        </w:rPr>
        <w:t>人民政府办公室关于制定和实施老年人照顾服务项目的实施意见》（</w:t>
      </w:r>
      <w:r>
        <w:rPr>
          <w:rFonts w:hint="eastAsia" w:eastAsia="仿宋_GB2312"/>
          <w:color w:val="auto"/>
          <w:sz w:val="32"/>
          <w:szCs w:val="32"/>
          <w:highlight w:val="none"/>
          <w:lang w:eastAsia="zh-CN"/>
        </w:rPr>
        <w:t>宣</w:t>
      </w:r>
      <w:r>
        <w:rPr>
          <w:rFonts w:eastAsia="仿宋_GB2312"/>
          <w:color w:val="auto"/>
          <w:sz w:val="32"/>
          <w:szCs w:val="32"/>
          <w:highlight w:val="none"/>
        </w:rPr>
        <w:t>府办〔2018〕</w:t>
      </w:r>
      <w:r>
        <w:rPr>
          <w:rFonts w:hint="eastAsia" w:eastAsia="仿宋_GB2312"/>
          <w:color w:val="auto"/>
          <w:sz w:val="32"/>
          <w:szCs w:val="32"/>
          <w:highlight w:val="none"/>
          <w:lang w:val="en-US" w:eastAsia="zh-CN"/>
        </w:rPr>
        <w:t>136</w:t>
      </w:r>
      <w:r>
        <w:rPr>
          <w:rFonts w:eastAsia="仿宋_GB2312"/>
          <w:color w:val="auto"/>
          <w:sz w:val="32"/>
          <w:szCs w:val="32"/>
          <w:highlight w:val="none"/>
        </w:rPr>
        <w:t>号）、《</w:t>
      </w:r>
      <w:r>
        <w:rPr>
          <w:rFonts w:hint="eastAsia" w:eastAsia="仿宋_GB2312"/>
          <w:color w:val="auto"/>
          <w:sz w:val="32"/>
          <w:szCs w:val="32"/>
          <w:highlight w:val="none"/>
          <w:lang w:eastAsia="zh-CN"/>
        </w:rPr>
        <w:t>宣汉县</w:t>
      </w:r>
      <w:r>
        <w:rPr>
          <w:rFonts w:eastAsia="仿宋_GB2312"/>
          <w:color w:val="auto"/>
          <w:sz w:val="32"/>
          <w:szCs w:val="32"/>
          <w:highlight w:val="none"/>
        </w:rPr>
        <w:t>人民政府办公室关于促进3岁以下婴幼儿照护服务发展的实施意见》（</w:t>
      </w:r>
      <w:r>
        <w:rPr>
          <w:rFonts w:hint="eastAsia" w:eastAsia="仿宋_GB2312"/>
          <w:color w:val="auto"/>
          <w:sz w:val="32"/>
          <w:szCs w:val="32"/>
          <w:highlight w:val="none"/>
          <w:lang w:eastAsia="zh-CN"/>
        </w:rPr>
        <w:t>宣</w:t>
      </w:r>
      <w:r>
        <w:rPr>
          <w:rFonts w:eastAsia="仿宋_GB2312"/>
          <w:color w:val="auto"/>
          <w:sz w:val="32"/>
          <w:szCs w:val="32"/>
          <w:highlight w:val="none"/>
        </w:rPr>
        <w:t>府办〔202</w:t>
      </w:r>
      <w:r>
        <w:rPr>
          <w:rFonts w:hint="eastAsia" w:eastAsia="仿宋_GB2312"/>
          <w:color w:val="auto"/>
          <w:sz w:val="32"/>
          <w:szCs w:val="32"/>
          <w:highlight w:val="none"/>
          <w:lang w:val="en-US" w:eastAsia="zh-CN"/>
        </w:rPr>
        <w:t>1</w:t>
      </w:r>
      <w:r>
        <w:rPr>
          <w:rFonts w:eastAsia="仿宋_GB2312"/>
          <w:color w:val="auto"/>
          <w:sz w:val="32"/>
          <w:szCs w:val="32"/>
          <w:highlight w:val="none"/>
        </w:rPr>
        <w:t>〕</w:t>
      </w:r>
      <w:r>
        <w:rPr>
          <w:rFonts w:hint="eastAsia" w:eastAsia="仿宋_GB2312"/>
          <w:color w:val="auto"/>
          <w:sz w:val="32"/>
          <w:szCs w:val="32"/>
          <w:highlight w:val="none"/>
          <w:lang w:val="en-US" w:eastAsia="zh-CN"/>
        </w:rPr>
        <w:t>27</w:t>
      </w:r>
      <w:r>
        <w:rPr>
          <w:rFonts w:eastAsia="仿宋_GB2312"/>
          <w:color w:val="auto"/>
          <w:sz w:val="32"/>
          <w:szCs w:val="32"/>
          <w:highlight w:val="none"/>
        </w:rPr>
        <w:t>号）等政策措施，加强了对养老托育服务业发展的政策支持。</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2．养老托育服务有效供给明显扩大。全</w:t>
      </w:r>
      <w:r>
        <w:rPr>
          <w:rFonts w:hint="eastAsia" w:eastAsia="仿宋_GB2312"/>
          <w:color w:val="auto"/>
          <w:sz w:val="32"/>
          <w:szCs w:val="32"/>
          <w:highlight w:val="none"/>
          <w:lang w:eastAsia="zh-CN"/>
        </w:rPr>
        <w:t>县</w:t>
      </w:r>
      <w:r>
        <w:rPr>
          <w:rFonts w:eastAsia="仿宋_GB2312"/>
          <w:color w:val="auto"/>
          <w:sz w:val="32"/>
          <w:szCs w:val="32"/>
          <w:highlight w:val="none"/>
        </w:rPr>
        <w:t>建有养老机构</w:t>
      </w:r>
      <w:r>
        <w:rPr>
          <w:rFonts w:hint="eastAsia" w:eastAsia="仿宋_GB2312"/>
          <w:color w:val="auto"/>
          <w:sz w:val="32"/>
          <w:szCs w:val="32"/>
          <w:highlight w:val="none"/>
          <w:lang w:val="en-US" w:eastAsia="zh-CN"/>
        </w:rPr>
        <w:t>34</w:t>
      </w:r>
      <w:r>
        <w:rPr>
          <w:rFonts w:eastAsia="仿宋_GB2312"/>
          <w:color w:val="auto"/>
          <w:sz w:val="32"/>
          <w:szCs w:val="32"/>
          <w:highlight w:val="none"/>
        </w:rPr>
        <w:t>家、社区日间照料中心</w:t>
      </w:r>
      <w:r>
        <w:rPr>
          <w:rFonts w:hint="eastAsia" w:eastAsia="仿宋_GB2312"/>
          <w:color w:val="auto"/>
          <w:sz w:val="32"/>
          <w:szCs w:val="32"/>
          <w:highlight w:val="none"/>
          <w:lang w:val="en-US" w:eastAsia="zh-CN"/>
        </w:rPr>
        <w:t>83</w:t>
      </w:r>
      <w:r>
        <w:rPr>
          <w:rFonts w:eastAsia="仿宋_GB2312"/>
          <w:color w:val="auto"/>
          <w:sz w:val="32"/>
          <w:szCs w:val="32"/>
          <w:highlight w:val="none"/>
        </w:rPr>
        <w:t>个、农村幸福院</w:t>
      </w:r>
      <w:r>
        <w:rPr>
          <w:rFonts w:hint="eastAsia" w:eastAsia="仿宋_GB2312"/>
          <w:color w:val="auto"/>
          <w:sz w:val="32"/>
          <w:szCs w:val="32"/>
          <w:highlight w:val="none"/>
          <w:lang w:val="en-US" w:eastAsia="zh-CN"/>
        </w:rPr>
        <w:t>10</w:t>
      </w:r>
      <w:r>
        <w:rPr>
          <w:rFonts w:eastAsia="仿宋_GB2312"/>
          <w:color w:val="auto"/>
          <w:sz w:val="32"/>
          <w:szCs w:val="32"/>
          <w:highlight w:val="none"/>
        </w:rPr>
        <w:t>个，各类养老床位</w:t>
      </w:r>
      <w:r>
        <w:rPr>
          <w:rFonts w:hint="eastAsia" w:eastAsia="仿宋_GB2312"/>
          <w:color w:val="auto"/>
          <w:sz w:val="32"/>
          <w:szCs w:val="32"/>
          <w:highlight w:val="none"/>
          <w:lang w:val="en-US" w:eastAsia="zh-CN"/>
        </w:rPr>
        <w:t>6200</w:t>
      </w:r>
      <w:r>
        <w:rPr>
          <w:rFonts w:eastAsia="仿宋_GB2312"/>
          <w:color w:val="auto"/>
          <w:sz w:val="32"/>
          <w:szCs w:val="32"/>
          <w:highlight w:val="none"/>
        </w:rPr>
        <w:t>张，养老机构护理型床位占比</w:t>
      </w:r>
      <w:r>
        <w:rPr>
          <w:rFonts w:hint="eastAsia" w:eastAsia="仿宋_GB2312"/>
          <w:color w:val="auto"/>
          <w:sz w:val="32"/>
          <w:szCs w:val="32"/>
          <w:highlight w:val="none"/>
          <w:lang w:val="en-US" w:eastAsia="zh-CN"/>
        </w:rPr>
        <w:t>40</w:t>
      </w:r>
      <w:r>
        <w:rPr>
          <w:rFonts w:eastAsia="仿宋_GB2312"/>
          <w:color w:val="auto"/>
          <w:sz w:val="32"/>
          <w:szCs w:val="32"/>
          <w:highlight w:val="none"/>
        </w:rPr>
        <w:t>%。全</w:t>
      </w:r>
      <w:r>
        <w:rPr>
          <w:rFonts w:hint="eastAsia" w:eastAsia="仿宋_GB2312"/>
          <w:color w:val="auto"/>
          <w:sz w:val="32"/>
          <w:szCs w:val="32"/>
          <w:highlight w:val="none"/>
          <w:lang w:eastAsia="zh-CN"/>
        </w:rPr>
        <w:t>县</w:t>
      </w:r>
      <w:r>
        <w:rPr>
          <w:rFonts w:eastAsia="仿宋_GB2312"/>
          <w:color w:val="auto"/>
          <w:sz w:val="32"/>
          <w:szCs w:val="32"/>
          <w:highlight w:val="none"/>
        </w:rPr>
        <w:t>共有各类托育机构</w:t>
      </w:r>
      <w:r>
        <w:rPr>
          <w:rFonts w:hint="eastAsia" w:eastAsia="仿宋_GB2312"/>
          <w:color w:val="auto"/>
          <w:sz w:val="32"/>
          <w:szCs w:val="32"/>
          <w:highlight w:val="none"/>
          <w:lang w:eastAsia="zh-CN"/>
        </w:rPr>
        <w:t>（含幼儿园托班）</w:t>
      </w:r>
      <w:r>
        <w:rPr>
          <w:rFonts w:hint="eastAsia" w:eastAsia="仿宋_GB2312"/>
          <w:color w:val="auto"/>
          <w:sz w:val="32"/>
          <w:szCs w:val="32"/>
          <w:highlight w:val="none"/>
          <w:lang w:val="en-US" w:eastAsia="zh-CN"/>
        </w:rPr>
        <w:t>180</w:t>
      </w:r>
      <w:r>
        <w:rPr>
          <w:rFonts w:eastAsia="仿宋_GB2312"/>
          <w:color w:val="auto"/>
          <w:sz w:val="32"/>
          <w:szCs w:val="32"/>
          <w:highlight w:val="none"/>
        </w:rPr>
        <w:t>家</w:t>
      </w:r>
      <w:r>
        <w:rPr>
          <w:rFonts w:hint="eastAsia" w:eastAsia="仿宋_GB2312"/>
          <w:color w:val="auto"/>
          <w:sz w:val="32"/>
          <w:szCs w:val="32"/>
          <w:highlight w:val="none"/>
          <w:lang w:eastAsia="zh-CN"/>
        </w:rPr>
        <w:t>，其中民办机构</w:t>
      </w:r>
      <w:r>
        <w:rPr>
          <w:rFonts w:hint="eastAsia" w:eastAsia="仿宋_GB2312"/>
          <w:color w:val="auto"/>
          <w:sz w:val="32"/>
          <w:szCs w:val="32"/>
          <w:highlight w:val="none"/>
          <w:lang w:val="en-US" w:eastAsia="zh-CN"/>
        </w:rPr>
        <w:t>109家</w:t>
      </w:r>
      <w:r>
        <w:rPr>
          <w:rFonts w:hint="eastAsia" w:eastAsia="仿宋_GB2312"/>
          <w:color w:val="auto"/>
          <w:sz w:val="32"/>
          <w:szCs w:val="32"/>
          <w:highlight w:val="none"/>
          <w:lang w:eastAsia="zh-CN"/>
        </w:rPr>
        <w:t>（登记注册有“托育服务”的民办机构</w:t>
      </w:r>
      <w:r>
        <w:rPr>
          <w:rFonts w:hint="eastAsia" w:eastAsia="仿宋_GB2312"/>
          <w:color w:val="auto"/>
          <w:sz w:val="32"/>
          <w:szCs w:val="32"/>
          <w:highlight w:val="none"/>
          <w:lang w:val="en-US" w:eastAsia="zh-CN"/>
        </w:rPr>
        <w:t>9家，民办幼儿园托班100家），公办机构（公办幼儿园托班）71家</w:t>
      </w:r>
      <w:r>
        <w:rPr>
          <w:rFonts w:eastAsia="仿宋_GB2312"/>
          <w:color w:val="auto"/>
          <w:sz w:val="32"/>
          <w:szCs w:val="32"/>
          <w:highlight w:val="none"/>
        </w:rPr>
        <w:t>，</w:t>
      </w:r>
      <w:r>
        <w:rPr>
          <w:rFonts w:hint="eastAsia" w:eastAsia="仿宋_GB2312"/>
          <w:color w:val="auto"/>
          <w:sz w:val="32"/>
          <w:szCs w:val="32"/>
          <w:highlight w:val="none"/>
          <w:lang w:eastAsia="zh-CN"/>
        </w:rPr>
        <w:t>占比分别为</w:t>
      </w:r>
      <w:r>
        <w:rPr>
          <w:rFonts w:hint="eastAsia" w:eastAsia="仿宋_GB2312"/>
          <w:color w:val="auto"/>
          <w:sz w:val="32"/>
          <w:szCs w:val="32"/>
          <w:highlight w:val="none"/>
          <w:lang w:val="en-US" w:eastAsia="zh-CN"/>
        </w:rPr>
        <w:t>60.56%、39.44%。</w:t>
      </w:r>
      <w:r>
        <w:rPr>
          <w:rFonts w:hint="eastAsia" w:eastAsia="仿宋_GB2312"/>
          <w:color w:val="auto"/>
          <w:sz w:val="32"/>
          <w:szCs w:val="32"/>
          <w:highlight w:val="none"/>
          <w:lang w:eastAsia="zh-CN"/>
        </w:rPr>
        <w:t>全县</w:t>
      </w:r>
      <w:r>
        <w:rPr>
          <w:rFonts w:hint="eastAsia" w:eastAsia="仿宋_GB2312"/>
          <w:color w:val="auto"/>
          <w:sz w:val="32"/>
          <w:szCs w:val="32"/>
          <w:highlight w:val="none"/>
          <w:lang w:val="en-US" w:eastAsia="zh-CN"/>
        </w:rPr>
        <w:t>3岁以下婴幼儿托位数2390个，</w:t>
      </w:r>
      <w:r>
        <w:rPr>
          <w:rFonts w:eastAsia="仿宋_GB2312"/>
          <w:color w:val="auto"/>
          <w:sz w:val="32"/>
          <w:szCs w:val="32"/>
          <w:highlight w:val="none"/>
        </w:rPr>
        <w:t>每千人口婴幼儿托位数</w:t>
      </w:r>
      <w:r>
        <w:rPr>
          <w:rFonts w:hint="eastAsia" w:eastAsia="仿宋_GB2312"/>
          <w:color w:val="auto"/>
          <w:sz w:val="32"/>
          <w:szCs w:val="32"/>
          <w:highlight w:val="none"/>
          <w:lang w:val="en-US" w:eastAsia="zh-CN"/>
        </w:rPr>
        <w:t>2.5</w:t>
      </w:r>
      <w:r>
        <w:rPr>
          <w:rFonts w:eastAsia="仿宋_GB2312"/>
          <w:color w:val="auto"/>
          <w:sz w:val="32"/>
          <w:szCs w:val="32"/>
          <w:highlight w:val="none"/>
        </w:rPr>
        <w:t>个。</w:t>
      </w:r>
    </w:p>
    <w:p>
      <w:pPr>
        <w:pStyle w:val="9"/>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3</w:t>
      </w:r>
      <w:r>
        <w:rPr>
          <w:rFonts w:eastAsia="仿宋_GB2312"/>
          <w:bCs/>
          <w:color w:val="auto"/>
          <w:sz w:val="32"/>
          <w:szCs w:val="32"/>
          <w:highlight w:val="none"/>
        </w:rPr>
        <w:t>．</w:t>
      </w:r>
      <w:r>
        <w:rPr>
          <w:rFonts w:eastAsia="仿宋_GB2312"/>
          <w:color w:val="auto"/>
          <w:sz w:val="32"/>
          <w:szCs w:val="32"/>
          <w:highlight w:val="none"/>
        </w:rPr>
        <w:t>养老托育服务质量大幅提升。全</w:t>
      </w:r>
      <w:r>
        <w:rPr>
          <w:rFonts w:hint="eastAsia" w:eastAsia="仿宋_GB2312"/>
          <w:color w:val="auto"/>
          <w:sz w:val="32"/>
          <w:szCs w:val="32"/>
          <w:highlight w:val="none"/>
          <w:lang w:eastAsia="zh-CN"/>
        </w:rPr>
        <w:t>县</w:t>
      </w:r>
      <w:r>
        <w:rPr>
          <w:rFonts w:eastAsia="仿宋_GB2312"/>
          <w:color w:val="auto"/>
          <w:sz w:val="32"/>
          <w:szCs w:val="32"/>
          <w:highlight w:val="none"/>
        </w:rPr>
        <w:t>连续四年深入开展养老院服务质量建设专项行动，不合格养老院整治率达100%，</w:t>
      </w:r>
      <w:r>
        <w:rPr>
          <w:rFonts w:hint="eastAsia" w:eastAsia="仿宋_GB2312"/>
          <w:color w:val="auto"/>
          <w:sz w:val="32"/>
          <w:szCs w:val="32"/>
          <w:highlight w:val="none"/>
          <w:lang w:val="en-US" w:eastAsia="zh-CN"/>
        </w:rPr>
        <w:t>34</w:t>
      </w:r>
      <w:r>
        <w:rPr>
          <w:rFonts w:eastAsia="仿宋_GB2312"/>
          <w:color w:val="auto"/>
          <w:sz w:val="32"/>
          <w:szCs w:val="32"/>
          <w:highlight w:val="none"/>
        </w:rPr>
        <w:t>家养老机构达到《养老机构服务质量基本规范》国家标准。连续三年对</w:t>
      </w:r>
      <w:r>
        <w:rPr>
          <w:rFonts w:hint="eastAsia" w:eastAsia="仿宋_GB2312"/>
          <w:color w:val="auto"/>
          <w:sz w:val="32"/>
          <w:szCs w:val="32"/>
          <w:highlight w:val="none"/>
          <w:lang w:val="en-US" w:eastAsia="zh-CN"/>
        </w:rPr>
        <w:t>13</w:t>
      </w:r>
      <w:r>
        <w:rPr>
          <w:rFonts w:eastAsia="仿宋_GB2312"/>
          <w:color w:val="auto"/>
          <w:sz w:val="32"/>
          <w:szCs w:val="32"/>
          <w:highlight w:val="none"/>
        </w:rPr>
        <w:t>家公办养老机构</w:t>
      </w:r>
      <w:r>
        <w:rPr>
          <w:rFonts w:hint="eastAsia" w:eastAsia="仿宋_GB2312"/>
          <w:color w:val="auto"/>
          <w:sz w:val="32"/>
          <w:szCs w:val="32"/>
          <w:highlight w:val="none"/>
          <w:lang w:val="en-US" w:eastAsia="zh-CN"/>
        </w:rPr>
        <w:t>1282</w:t>
      </w:r>
      <w:r>
        <w:rPr>
          <w:rFonts w:eastAsia="仿宋_GB2312"/>
          <w:color w:val="auto"/>
          <w:sz w:val="32"/>
          <w:szCs w:val="32"/>
          <w:highlight w:val="none"/>
        </w:rPr>
        <w:t>张床位进行适老化改造，加快构建“1+N”农村公办养老服务联合体，推动乡镇敬老院提升转型为区域性养老服务中心。理顺管理体制，</w:t>
      </w:r>
      <w:r>
        <w:rPr>
          <w:rFonts w:eastAsia="仿宋_GB2312"/>
          <w:bCs/>
          <w:color w:val="auto"/>
          <w:sz w:val="32"/>
          <w:szCs w:val="32"/>
          <w:highlight w:val="none"/>
        </w:rPr>
        <w:t>全</w:t>
      </w:r>
      <w:r>
        <w:rPr>
          <w:rFonts w:hint="eastAsia" w:eastAsia="仿宋_GB2312"/>
          <w:bCs/>
          <w:color w:val="auto"/>
          <w:sz w:val="32"/>
          <w:szCs w:val="32"/>
          <w:highlight w:val="none"/>
          <w:lang w:eastAsia="zh-CN"/>
        </w:rPr>
        <w:t>县</w:t>
      </w:r>
      <w:r>
        <w:rPr>
          <w:rFonts w:eastAsia="仿宋_GB2312"/>
          <w:color w:val="auto"/>
          <w:sz w:val="32"/>
          <w:szCs w:val="32"/>
          <w:highlight w:val="none"/>
        </w:rPr>
        <w:t>区域性养老服务中心和乡镇敬老院</w:t>
      </w:r>
      <w:r>
        <w:rPr>
          <w:rFonts w:hint="eastAsia" w:eastAsia="仿宋_GB2312"/>
          <w:color w:val="auto"/>
          <w:sz w:val="32"/>
          <w:szCs w:val="32"/>
          <w:highlight w:val="none"/>
          <w:lang w:eastAsia="zh-CN"/>
        </w:rPr>
        <w:t>由</w:t>
      </w:r>
      <w:r>
        <w:rPr>
          <w:rFonts w:eastAsia="仿宋_GB2312"/>
          <w:color w:val="auto"/>
          <w:sz w:val="32"/>
          <w:szCs w:val="32"/>
          <w:highlight w:val="none"/>
        </w:rPr>
        <w:t>县民政部门直管。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4．养老托育服务市场活力不断激发。取消了养老机构设立许可，全面实行备案管理。探索转变经营方</w:t>
      </w:r>
      <w:r>
        <w:rPr>
          <w:rFonts w:ascii="Times New Roman" w:hAnsi="Times New Roman" w:eastAsia="仿宋_GB2312" w:cs="Times New Roman"/>
          <w:color w:val="auto"/>
          <w:sz w:val="32"/>
          <w:szCs w:val="32"/>
          <w:highlight w:val="none"/>
        </w:rPr>
        <w:t>式，积极稳妥推进公办养老机构开展公建民营试点。鼓励引导社会力</w:t>
      </w:r>
      <w:r>
        <w:rPr>
          <w:rFonts w:eastAsia="仿宋_GB2312"/>
          <w:bCs/>
          <w:color w:val="auto"/>
          <w:sz w:val="32"/>
          <w:szCs w:val="32"/>
          <w:highlight w:val="none"/>
        </w:rPr>
        <w:t>量建设普惠性功能型养老机构，</w:t>
      </w:r>
      <w:r>
        <w:rPr>
          <w:rFonts w:hint="eastAsia" w:eastAsia="仿宋_GB2312"/>
          <w:bCs/>
          <w:color w:val="auto"/>
          <w:sz w:val="32"/>
          <w:szCs w:val="32"/>
          <w:highlight w:val="none"/>
          <w:lang w:eastAsia="zh-CN"/>
        </w:rPr>
        <w:t>落实</w:t>
      </w:r>
      <w:r>
        <w:rPr>
          <w:rFonts w:eastAsia="仿宋_GB2312"/>
          <w:color w:val="auto"/>
          <w:sz w:val="32"/>
          <w:szCs w:val="32"/>
          <w:highlight w:val="none"/>
        </w:rPr>
        <w:t>了养老机构建设补助、运营补贴等扶持政策，不断激发养老服务市场活力。</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（二）面临形势。</w:t>
      </w:r>
    </w:p>
    <w:p>
      <w:pPr>
        <w:pStyle w:val="9"/>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1．</w:t>
      </w:r>
      <w:r>
        <w:rPr>
          <w:rFonts w:eastAsia="仿宋_GB2312"/>
          <w:bCs/>
          <w:color w:val="auto"/>
          <w:sz w:val="32"/>
          <w:szCs w:val="32"/>
          <w:highlight w:val="none"/>
        </w:rPr>
        <w:t>形势严峻。全</w:t>
      </w:r>
      <w:r>
        <w:rPr>
          <w:rFonts w:hint="eastAsia" w:eastAsia="仿宋_GB2312"/>
          <w:bCs/>
          <w:color w:val="auto"/>
          <w:sz w:val="32"/>
          <w:szCs w:val="32"/>
          <w:highlight w:val="none"/>
          <w:lang w:eastAsia="zh-CN"/>
        </w:rPr>
        <w:t>县第七次全国人口普查</w:t>
      </w:r>
      <w:r>
        <w:rPr>
          <w:rFonts w:eastAsia="仿宋_GB2312"/>
          <w:bCs/>
          <w:color w:val="auto"/>
          <w:sz w:val="32"/>
          <w:szCs w:val="32"/>
          <w:highlight w:val="none"/>
        </w:rPr>
        <w:t>常住人口为</w:t>
      </w:r>
      <w:r>
        <w:rPr>
          <w:rFonts w:hint="eastAsia" w:eastAsia="仿宋_GB2312"/>
          <w:bCs/>
          <w:color w:val="auto"/>
          <w:sz w:val="32"/>
          <w:szCs w:val="32"/>
          <w:highlight w:val="none"/>
          <w:lang w:val="en-US" w:eastAsia="zh-CN"/>
        </w:rPr>
        <w:t>95.4</w:t>
      </w:r>
      <w:r>
        <w:rPr>
          <w:rFonts w:eastAsia="仿宋_GB2312"/>
          <w:bCs/>
          <w:color w:val="auto"/>
          <w:sz w:val="32"/>
          <w:szCs w:val="32"/>
          <w:highlight w:val="none"/>
        </w:rPr>
        <w:t>万人，0</w:t>
      </w:r>
      <w:r>
        <w:rPr>
          <w:rFonts w:hint="default" w:ascii="Times New Roman" w:hAnsi="Times New Roman" w:eastAsia="仿宋_GB2312" w:cs="Times New Roman"/>
          <w:bCs/>
          <w:color w:val="auto"/>
          <w:sz w:val="32"/>
          <w:szCs w:val="32"/>
          <w:highlight w:val="none"/>
        </w:rPr>
        <w:t>~</w:t>
      </w:r>
      <w:r>
        <w:rPr>
          <w:rFonts w:eastAsia="仿宋_GB2312"/>
          <w:bCs/>
          <w:color w:val="auto"/>
          <w:sz w:val="32"/>
          <w:szCs w:val="32"/>
          <w:highlight w:val="none"/>
        </w:rPr>
        <w:t>14岁人口为</w:t>
      </w:r>
      <w:r>
        <w:rPr>
          <w:rFonts w:hint="eastAsia" w:eastAsia="仿宋_GB2312" w:cs="Times New Roman"/>
          <w:bCs/>
          <w:color w:val="auto"/>
          <w:sz w:val="32"/>
          <w:szCs w:val="32"/>
          <w:highlight w:val="none"/>
          <w:lang w:val="en-US" w:eastAsia="zh-CN"/>
        </w:rPr>
        <w:t>19.95</w:t>
      </w:r>
      <w:r>
        <w:rPr>
          <w:rFonts w:eastAsia="仿宋_GB2312"/>
          <w:bCs/>
          <w:color w:val="auto"/>
          <w:sz w:val="32"/>
          <w:szCs w:val="32"/>
          <w:highlight w:val="none"/>
        </w:rPr>
        <w:t>万人，占比</w:t>
      </w:r>
      <w:r>
        <w:rPr>
          <w:rFonts w:hint="eastAsia" w:eastAsia="仿宋_GB2312" w:cs="Times New Roman"/>
          <w:bCs/>
          <w:color w:val="auto"/>
          <w:sz w:val="32"/>
          <w:szCs w:val="32"/>
          <w:highlight w:val="none"/>
          <w:lang w:val="en-US" w:eastAsia="zh-CN"/>
        </w:rPr>
        <w:t>20.91</w:t>
      </w:r>
      <w:r>
        <w:rPr>
          <w:rFonts w:ascii="Times New Roman" w:hAnsi="Times New Roman" w:eastAsia="仿宋_GB2312" w:cs="Times New Roman"/>
          <w:bCs/>
          <w:color w:val="auto"/>
          <w:sz w:val="32"/>
          <w:szCs w:val="32"/>
          <w:highlight w:val="none"/>
        </w:rPr>
        <w:t>%</w:t>
      </w:r>
      <w:r>
        <w:rPr>
          <w:rFonts w:eastAsia="仿宋_GB2312"/>
          <w:bCs/>
          <w:color w:val="auto"/>
          <w:sz w:val="32"/>
          <w:szCs w:val="32"/>
          <w:highlight w:val="none"/>
        </w:rPr>
        <w:t>；60岁及以上人口为</w:t>
      </w:r>
      <w:r>
        <w:rPr>
          <w:rFonts w:hint="eastAsia" w:ascii="Times New Roman" w:hAnsi="Times New Roman" w:eastAsia="仿宋_GB2312" w:cs="Times New Roman"/>
          <w:bCs/>
          <w:color w:val="auto"/>
          <w:sz w:val="32"/>
          <w:szCs w:val="32"/>
          <w:highlight w:val="none"/>
          <w:lang w:val="en-US" w:eastAsia="zh-CN"/>
        </w:rPr>
        <w:t>20.61</w:t>
      </w:r>
      <w:r>
        <w:rPr>
          <w:rFonts w:eastAsia="仿宋_GB2312"/>
          <w:bCs/>
          <w:color w:val="auto"/>
          <w:sz w:val="32"/>
          <w:szCs w:val="32"/>
          <w:highlight w:val="none"/>
        </w:rPr>
        <w:t>万人，占比</w:t>
      </w:r>
      <w:r>
        <w:rPr>
          <w:rFonts w:hint="eastAsia" w:ascii="Times New Roman" w:hAnsi="Times New Roman" w:eastAsia="仿宋_GB2312" w:cs="Times New Roman"/>
          <w:bCs/>
          <w:color w:val="auto"/>
          <w:sz w:val="32"/>
          <w:szCs w:val="32"/>
          <w:highlight w:val="none"/>
          <w:lang w:val="en-US" w:eastAsia="zh-CN"/>
        </w:rPr>
        <w:t>21.61</w:t>
      </w:r>
      <w:r>
        <w:rPr>
          <w:rFonts w:ascii="Times New Roman" w:hAnsi="Times New Roman" w:eastAsia="仿宋_GB2312" w:cs="Times New Roman"/>
          <w:bCs/>
          <w:color w:val="auto"/>
          <w:sz w:val="32"/>
          <w:szCs w:val="32"/>
          <w:highlight w:val="none"/>
        </w:rPr>
        <w:t>%</w:t>
      </w:r>
      <w:r>
        <w:rPr>
          <w:rFonts w:eastAsia="仿宋_GB2312"/>
          <w:bCs/>
          <w:color w:val="auto"/>
          <w:sz w:val="32"/>
          <w:szCs w:val="32"/>
          <w:highlight w:val="none"/>
        </w:rPr>
        <w:t>；其中65岁及以上人口为</w:t>
      </w:r>
      <w:r>
        <w:rPr>
          <w:rFonts w:hint="eastAsia" w:ascii="Times New Roman" w:hAnsi="Times New Roman" w:eastAsia="仿宋_GB2312" w:cs="Times New Roman"/>
          <w:bCs/>
          <w:color w:val="auto"/>
          <w:sz w:val="32"/>
          <w:szCs w:val="32"/>
          <w:highlight w:val="none"/>
          <w:lang w:val="en-US" w:eastAsia="zh-CN"/>
        </w:rPr>
        <w:t>16.96</w:t>
      </w:r>
      <w:r>
        <w:rPr>
          <w:rFonts w:eastAsia="仿宋_GB2312"/>
          <w:bCs/>
          <w:color w:val="auto"/>
          <w:sz w:val="32"/>
          <w:szCs w:val="32"/>
          <w:highlight w:val="none"/>
        </w:rPr>
        <w:t>万人，占比</w:t>
      </w:r>
      <w:r>
        <w:rPr>
          <w:rFonts w:ascii="Times New Roman" w:hAnsi="Times New Roman" w:eastAsia="仿宋_GB2312" w:cs="Times New Roman"/>
          <w:bCs/>
          <w:color w:val="auto"/>
          <w:sz w:val="32"/>
          <w:szCs w:val="32"/>
          <w:highlight w:val="none"/>
        </w:rPr>
        <w:t>17.</w:t>
      </w:r>
      <w:r>
        <w:rPr>
          <w:rFonts w:hint="eastAsia" w:ascii="Times New Roman" w:hAnsi="Times New Roman" w:eastAsia="仿宋_GB2312" w:cs="Times New Roman"/>
          <w:bCs/>
          <w:color w:val="auto"/>
          <w:sz w:val="32"/>
          <w:szCs w:val="32"/>
          <w:highlight w:val="none"/>
          <w:lang w:val="en-US" w:eastAsia="zh-CN"/>
        </w:rPr>
        <w:t>78</w:t>
      </w:r>
      <w:r>
        <w:rPr>
          <w:rFonts w:ascii="Times New Roman" w:hAnsi="Times New Roman" w:eastAsia="仿宋_GB2312" w:cs="Times New Roman"/>
          <w:bCs/>
          <w:color w:val="auto"/>
          <w:sz w:val="32"/>
          <w:szCs w:val="32"/>
          <w:highlight w:val="none"/>
        </w:rPr>
        <w:t>%</w:t>
      </w:r>
      <w:r>
        <w:rPr>
          <w:rFonts w:eastAsia="仿宋_GB2312"/>
          <w:bCs/>
          <w:color w:val="auto"/>
          <w:sz w:val="32"/>
          <w:szCs w:val="32"/>
          <w:highlight w:val="none"/>
        </w:rPr>
        <w:t>。60岁及以上老年人口比重超过</w:t>
      </w:r>
      <w:r>
        <w:rPr>
          <w:rFonts w:ascii="Times New Roman" w:hAnsi="Times New Roman" w:eastAsia="仿宋_GB2312" w:cs="Times New Roman"/>
          <w:bCs/>
          <w:color w:val="auto"/>
          <w:sz w:val="32"/>
          <w:szCs w:val="32"/>
          <w:highlight w:val="none"/>
        </w:rPr>
        <w:t>20%。</w:t>
      </w:r>
      <w:r>
        <w:rPr>
          <w:rFonts w:eastAsia="仿宋_GB2312"/>
          <w:bCs/>
          <w:color w:val="auto"/>
          <w:sz w:val="32"/>
          <w:szCs w:val="32"/>
          <w:highlight w:val="none"/>
        </w:rPr>
        <w:t>与2010年第六次全国人口普查相比，0</w:t>
      </w:r>
      <w:r>
        <w:rPr>
          <w:rFonts w:hint="default" w:ascii="Times New Roman" w:hAnsi="Times New Roman" w:eastAsia="仿宋_GB2312" w:cs="Times New Roman"/>
          <w:bCs/>
          <w:color w:val="auto"/>
          <w:sz w:val="32"/>
          <w:szCs w:val="32"/>
          <w:highlight w:val="none"/>
        </w:rPr>
        <w:t>~</w:t>
      </w:r>
      <w:r>
        <w:rPr>
          <w:rFonts w:eastAsia="仿宋_GB2312"/>
          <w:bCs/>
          <w:color w:val="auto"/>
          <w:sz w:val="32"/>
          <w:szCs w:val="32"/>
          <w:highlight w:val="none"/>
        </w:rPr>
        <w:t>14岁人口的比重下降</w:t>
      </w:r>
      <w:r>
        <w:rPr>
          <w:rFonts w:hint="eastAsia" w:eastAsia="仿宋_GB2312" w:cs="Times New Roman"/>
          <w:bCs/>
          <w:color w:val="auto"/>
          <w:sz w:val="32"/>
          <w:szCs w:val="32"/>
          <w:highlight w:val="none"/>
          <w:lang w:val="en-US" w:eastAsia="zh-CN"/>
        </w:rPr>
        <w:t>2.01</w:t>
      </w:r>
      <w:r>
        <w:rPr>
          <w:rFonts w:ascii="Times New Roman" w:hAnsi="Times New Roman" w:eastAsia="仿宋_GB2312" w:cs="Times New Roman"/>
          <w:bCs/>
          <w:color w:val="auto"/>
          <w:sz w:val="32"/>
          <w:szCs w:val="32"/>
          <w:highlight w:val="none"/>
        </w:rPr>
        <w:t>个百分点，60岁及以上人口比重上升5.</w:t>
      </w:r>
      <w:r>
        <w:rPr>
          <w:rFonts w:hint="eastAsia" w:ascii="Times New Roman" w:hAnsi="Times New Roman" w:eastAsia="仿宋_GB2312" w:cs="Times New Roman"/>
          <w:bCs/>
          <w:color w:val="auto"/>
          <w:sz w:val="32"/>
          <w:szCs w:val="32"/>
          <w:highlight w:val="none"/>
          <w:lang w:val="en-US" w:eastAsia="zh-CN"/>
        </w:rPr>
        <w:t>15</w:t>
      </w:r>
      <w:r>
        <w:rPr>
          <w:rFonts w:ascii="Times New Roman" w:hAnsi="Times New Roman" w:eastAsia="仿宋_GB2312" w:cs="Times New Roman"/>
          <w:bCs/>
          <w:color w:val="auto"/>
          <w:sz w:val="32"/>
          <w:szCs w:val="32"/>
          <w:highlight w:val="none"/>
        </w:rPr>
        <w:t>个百分点，65岁及以上人口的比重上升7.</w:t>
      </w:r>
      <w:r>
        <w:rPr>
          <w:rFonts w:hint="eastAsia" w:ascii="Times New Roman" w:hAnsi="Times New Roman" w:eastAsia="仿宋_GB2312" w:cs="Times New Roman"/>
          <w:bCs/>
          <w:color w:val="auto"/>
          <w:sz w:val="32"/>
          <w:szCs w:val="32"/>
          <w:highlight w:val="none"/>
          <w:lang w:val="en-US" w:eastAsia="zh-CN"/>
        </w:rPr>
        <w:t>23</w:t>
      </w:r>
      <w:r>
        <w:rPr>
          <w:rFonts w:ascii="Times New Roman" w:hAnsi="Times New Roman" w:eastAsia="仿宋_GB2312" w:cs="Times New Roman"/>
          <w:bCs/>
          <w:color w:val="auto"/>
          <w:sz w:val="32"/>
          <w:szCs w:val="32"/>
          <w:highlight w:val="none"/>
        </w:rPr>
        <w:t>个百分点。预计到2025年全</w:t>
      </w:r>
      <w:r>
        <w:rPr>
          <w:rFonts w:hint="eastAsia" w:ascii="Times New Roman" w:hAnsi="Times New Roman" w:eastAsia="仿宋_GB2312" w:cs="Times New Roman"/>
          <w:bCs/>
          <w:color w:val="auto"/>
          <w:sz w:val="32"/>
          <w:szCs w:val="32"/>
          <w:highlight w:val="none"/>
          <w:lang w:eastAsia="zh-CN"/>
        </w:rPr>
        <w:t>县</w:t>
      </w:r>
      <w:r>
        <w:rPr>
          <w:rFonts w:ascii="Times New Roman" w:hAnsi="Times New Roman" w:eastAsia="仿宋_GB2312" w:cs="Times New Roman"/>
          <w:bCs/>
          <w:color w:val="auto"/>
          <w:sz w:val="32"/>
          <w:szCs w:val="32"/>
          <w:highlight w:val="none"/>
        </w:rPr>
        <w:t>60周岁以上老年人口将超过</w:t>
      </w:r>
      <w:r>
        <w:rPr>
          <w:rFonts w:hint="eastAsia" w:ascii="Times New Roman" w:hAnsi="Times New Roman" w:eastAsia="仿宋_GB2312" w:cs="Times New Roman"/>
          <w:bCs/>
          <w:color w:val="auto"/>
          <w:sz w:val="32"/>
          <w:szCs w:val="32"/>
          <w:highlight w:val="none"/>
          <w:lang w:val="en-US" w:eastAsia="zh-CN"/>
        </w:rPr>
        <w:t>25</w:t>
      </w:r>
      <w:r>
        <w:rPr>
          <w:rFonts w:ascii="Times New Roman" w:hAnsi="Times New Roman" w:eastAsia="仿宋_GB2312" w:cs="Times New Roman"/>
          <w:bCs/>
          <w:color w:val="auto"/>
          <w:sz w:val="32"/>
          <w:szCs w:val="32"/>
          <w:highlight w:val="none"/>
        </w:rPr>
        <w:t>万人，占比25%以上，其中80周岁以上老年人口约</w:t>
      </w:r>
      <w:r>
        <w:rPr>
          <w:rFonts w:hint="eastAsia" w:ascii="Times New Roman" w:hAnsi="Times New Roman" w:eastAsia="仿宋_GB2312" w:cs="Times New Roman"/>
          <w:bCs/>
          <w:color w:val="auto"/>
          <w:sz w:val="32"/>
          <w:szCs w:val="32"/>
          <w:highlight w:val="none"/>
          <w:lang w:val="en-US" w:eastAsia="zh-CN"/>
        </w:rPr>
        <w:t>3.5</w:t>
      </w:r>
      <w:r>
        <w:rPr>
          <w:rFonts w:ascii="Times New Roman" w:hAnsi="Times New Roman" w:eastAsia="仿宋_GB2312" w:cs="Times New Roman"/>
          <w:bCs/>
          <w:color w:val="auto"/>
          <w:sz w:val="32"/>
          <w:szCs w:val="32"/>
          <w:highlight w:val="none"/>
        </w:rPr>
        <w:t>万人，占老年人口总数的1</w:t>
      </w:r>
      <w:r>
        <w:rPr>
          <w:rFonts w:hint="eastAsia" w:ascii="Times New Roman" w:hAnsi="Times New Roman" w:eastAsia="仿宋_GB2312" w:cs="Times New Roman"/>
          <w:bCs/>
          <w:color w:val="auto"/>
          <w:sz w:val="32"/>
          <w:szCs w:val="32"/>
          <w:highlight w:val="none"/>
          <w:lang w:val="en-US" w:eastAsia="zh-CN"/>
        </w:rPr>
        <w:t>4</w:t>
      </w:r>
      <w:r>
        <w:rPr>
          <w:rFonts w:ascii="Times New Roman" w:hAnsi="Times New Roman" w:eastAsia="仿宋_GB2312" w:cs="Times New Roman"/>
          <w:bCs/>
          <w:color w:val="auto"/>
          <w:sz w:val="32"/>
          <w:szCs w:val="32"/>
          <w:highlight w:val="none"/>
        </w:rPr>
        <w:t>%以上。</w:t>
      </w:r>
      <w:r>
        <w:rPr>
          <w:rFonts w:eastAsia="仿宋_GB2312"/>
          <w:color w:val="auto"/>
          <w:sz w:val="32"/>
          <w:szCs w:val="32"/>
          <w:highlight w:val="none"/>
        </w:rPr>
        <w:t>老龄化、高龄化、失能化、空巢化和家庭养老功能弱化带来的社会问题更加突出，社会保障、医疗卫生和养老服务等任务更加繁重，尤其是农村空心化、农户空巢化、农民老龄化程度不断加剧，应对人口老龄化任务艰巨而复杂。</w:t>
      </w:r>
    </w:p>
    <w:p>
      <w:pPr>
        <w:pStyle w:val="2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ind w:firstLine="640" w:firstLineChars="200"/>
        <w:jc w:val="both"/>
        <w:textAlignment w:val="auto"/>
        <w:rPr>
          <w:rFonts w:ascii="Times New Roman" w:hAnsi="Times New Roman" w:eastAsia="仿宋_GB2312" w:cs="Times New Roman"/>
          <w:color w:val="auto"/>
          <w:kern w:val="2"/>
          <w:sz w:val="32"/>
          <w:szCs w:val="32"/>
          <w:highlight w:val="none"/>
        </w:rPr>
      </w:pPr>
      <w:r>
        <w:rPr>
          <w:rFonts w:ascii="Times New Roman" w:hAnsi="Times New Roman" w:eastAsia="仿宋_GB2312" w:cs="Times New Roman"/>
          <w:color w:val="auto"/>
          <w:sz w:val="32"/>
          <w:szCs w:val="32"/>
          <w:highlight w:val="none"/>
        </w:rPr>
        <w:t>2．</w:t>
      </w:r>
      <w:r>
        <w:rPr>
          <w:rFonts w:ascii="Times New Roman" w:hAnsi="Times New Roman" w:eastAsia="仿宋_GB2312" w:cs="Times New Roman"/>
          <w:bCs/>
          <w:color w:val="auto"/>
          <w:kern w:val="2"/>
          <w:sz w:val="32"/>
          <w:szCs w:val="32"/>
          <w:highlight w:val="none"/>
        </w:rPr>
        <w:t>短板明显。全</w:t>
      </w:r>
      <w:r>
        <w:rPr>
          <w:rFonts w:hint="eastAsia" w:ascii="Times New Roman" w:hAnsi="Times New Roman" w:eastAsia="仿宋_GB2312" w:cs="Times New Roman"/>
          <w:bCs/>
          <w:color w:val="auto"/>
          <w:kern w:val="2"/>
          <w:sz w:val="32"/>
          <w:szCs w:val="32"/>
          <w:highlight w:val="none"/>
          <w:lang w:eastAsia="zh-CN"/>
        </w:rPr>
        <w:t>县</w:t>
      </w:r>
      <w:r>
        <w:rPr>
          <w:rFonts w:ascii="Times New Roman" w:hAnsi="Times New Roman" w:eastAsia="仿宋_GB2312" w:cs="Times New Roman"/>
          <w:bCs/>
          <w:color w:val="auto"/>
          <w:kern w:val="2"/>
          <w:sz w:val="32"/>
          <w:szCs w:val="32"/>
          <w:highlight w:val="none"/>
        </w:rPr>
        <w:t>人口</w:t>
      </w:r>
      <w:r>
        <w:rPr>
          <w:rFonts w:ascii="Times New Roman" w:hAnsi="Times New Roman" w:eastAsia="仿宋_GB2312" w:cs="Times New Roman"/>
          <w:color w:val="auto"/>
          <w:kern w:val="2"/>
          <w:sz w:val="32"/>
          <w:szCs w:val="32"/>
          <w:highlight w:val="none"/>
        </w:rPr>
        <w:t>老龄化程度加快、人口出生率降低与养老托育服务体系建设相对滞后的矛盾凸显。养老托育服务总量不足，养老托育城乡、区域间发展不平衡，</w:t>
      </w:r>
      <w:r>
        <w:rPr>
          <w:rFonts w:ascii="Times New Roman" w:hAnsi="Times New Roman" w:eastAsia="仿宋_GB2312" w:cs="Times New Roman"/>
          <w:color w:val="auto"/>
          <w:sz w:val="32"/>
          <w:szCs w:val="32"/>
          <w:highlight w:val="none"/>
        </w:rPr>
        <w:t>服务设施、服务网络、服务功能不健全；居家社区养老服务发展滞后，社区日间照料中心等设施作用发挥不充分；</w:t>
      </w:r>
      <w:r>
        <w:rPr>
          <w:rFonts w:ascii="Times New Roman" w:hAnsi="Times New Roman" w:eastAsia="仿宋_GB2312" w:cs="Times New Roman"/>
          <w:color w:val="auto"/>
          <w:kern w:val="2"/>
          <w:sz w:val="32"/>
          <w:szCs w:val="32"/>
          <w:highlight w:val="none"/>
        </w:rPr>
        <w:t>养老托育服务有效供给不足，质量效益不高，养老托育服务队伍专业化程度不够；工作体制不健全，社会参与不充分，基层基础较为薄弱</w:t>
      </w:r>
      <w:r>
        <w:rPr>
          <w:rStyle w:val="59"/>
          <w:rFonts w:ascii="Times New Roman" w:hAnsi="Times New Roman" w:eastAsia="仿宋_GB2312" w:cs="Times New Roman"/>
          <w:color w:val="auto"/>
          <w:kern w:val="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（三）有利条件。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党中央、国务院将积极应对人口老龄化作为国家的一项长期战略任务，省委省政府、市委市政府</w:t>
      </w:r>
      <w:r>
        <w:rPr>
          <w:rFonts w:hint="eastAsia" w:eastAsia="仿宋_GB2312"/>
          <w:color w:val="auto"/>
          <w:sz w:val="32"/>
          <w:szCs w:val="32"/>
          <w:highlight w:val="none"/>
          <w:lang w:eastAsia="zh-CN"/>
        </w:rPr>
        <w:t>和县委县政府</w:t>
      </w:r>
      <w:r>
        <w:rPr>
          <w:rFonts w:eastAsia="仿宋_GB2312"/>
          <w:color w:val="auto"/>
          <w:sz w:val="32"/>
          <w:szCs w:val="32"/>
          <w:highlight w:val="none"/>
        </w:rPr>
        <w:t>高度重视养老托育体系建设。达州正在加快建设四川东出北上综合交通枢纽、川渝陕结合部区域中心城市和万达开川渝统筹发展示范区，发展形势总体向好</w:t>
      </w:r>
      <w:r>
        <w:rPr>
          <w:rFonts w:hint="eastAsia" w:eastAsia="仿宋_GB2312"/>
          <w:color w:val="auto"/>
          <w:sz w:val="32"/>
          <w:szCs w:val="32"/>
          <w:highlight w:val="none"/>
          <w:lang w:eastAsia="zh-CN"/>
        </w:rPr>
        <w:t>。宣汉县</w:t>
      </w:r>
      <w:r>
        <w:rPr>
          <w:rFonts w:hint="eastAsia" w:eastAsia="仿宋_GB2312"/>
          <w:color w:val="auto"/>
          <w:sz w:val="32"/>
          <w:szCs w:val="32"/>
          <w:highlight w:val="none"/>
          <w:lang w:val="en-US" w:eastAsia="zh-CN"/>
        </w:rPr>
        <w:t>2021年</w:t>
      </w:r>
      <w:r>
        <w:rPr>
          <w:rFonts w:hint="eastAsia" w:eastAsia="仿宋_GB2312"/>
          <w:color w:val="auto"/>
          <w:sz w:val="32"/>
          <w:szCs w:val="32"/>
          <w:highlight w:val="none"/>
          <w:lang w:eastAsia="zh-CN"/>
        </w:rPr>
        <w:t>被省委省政府确定为全国百强县培育，正在积极创建城宣万革命老区振兴发展示范区，发展机遇前所未有。</w:t>
      </w:r>
      <w:r>
        <w:rPr>
          <w:rFonts w:eastAsia="仿宋_GB2312"/>
          <w:color w:val="auto"/>
          <w:sz w:val="32"/>
          <w:szCs w:val="32"/>
          <w:highlight w:val="none"/>
        </w:rPr>
        <w:t>供给侧结构性改革加快推进，公共服务和民生保障能力不断增强，</w:t>
      </w:r>
      <w:r>
        <w:rPr>
          <w:rFonts w:hint="eastAsia" w:eastAsia="仿宋_GB2312"/>
          <w:color w:val="auto"/>
          <w:sz w:val="32"/>
          <w:szCs w:val="32"/>
          <w:highlight w:val="none"/>
          <w:lang w:eastAsia="zh-CN"/>
        </w:rPr>
        <w:t>人力资源</w:t>
      </w:r>
      <w:r>
        <w:rPr>
          <w:rFonts w:eastAsia="仿宋_GB2312"/>
          <w:color w:val="auto"/>
          <w:sz w:val="32"/>
          <w:szCs w:val="32"/>
          <w:highlight w:val="none"/>
        </w:rPr>
        <w:t>较为充足，养老托育产业潜力巨大，社会力量参与老龄事业发展和托育体系建设的积极性不断提高</w:t>
      </w:r>
      <w:r>
        <w:rPr>
          <w:rFonts w:hint="eastAsia" w:eastAsia="仿宋_GB2312"/>
          <w:color w:val="auto"/>
          <w:sz w:val="32"/>
          <w:szCs w:val="32"/>
          <w:highlight w:val="none"/>
          <w:lang w:eastAsia="zh-CN"/>
        </w:rPr>
        <w:t>，发展基础不断夯实</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黑体"/>
          <w:color w:val="auto"/>
          <w:sz w:val="32"/>
          <w:szCs w:val="32"/>
          <w:highlight w:val="none"/>
        </w:rPr>
      </w:pPr>
      <w:r>
        <w:rPr>
          <w:rFonts w:hAnsi="黑体" w:eastAsia="黑体"/>
          <w:color w:val="auto"/>
          <w:sz w:val="32"/>
          <w:szCs w:val="32"/>
          <w:highlight w:val="none"/>
        </w:rPr>
        <w:t>三、发展目标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到2025年，全</w:t>
      </w:r>
      <w:r>
        <w:rPr>
          <w:rFonts w:hint="eastAsia" w:eastAsia="仿宋_GB2312"/>
          <w:color w:val="auto"/>
          <w:sz w:val="32"/>
          <w:szCs w:val="32"/>
          <w:highlight w:val="none"/>
          <w:lang w:eastAsia="zh-CN"/>
        </w:rPr>
        <w:t>县</w:t>
      </w:r>
      <w:r>
        <w:rPr>
          <w:rFonts w:eastAsia="仿宋_GB2312"/>
          <w:color w:val="auto"/>
          <w:sz w:val="32"/>
          <w:szCs w:val="32"/>
          <w:highlight w:val="none"/>
        </w:rPr>
        <w:t>养老床位达到</w:t>
      </w:r>
      <w:r>
        <w:rPr>
          <w:rFonts w:hint="eastAsia" w:eastAsia="仿宋_GB2312"/>
          <w:color w:val="auto"/>
          <w:sz w:val="32"/>
          <w:szCs w:val="32"/>
          <w:highlight w:val="none"/>
          <w:lang w:val="en-US" w:eastAsia="zh-CN"/>
        </w:rPr>
        <w:t>7000</w:t>
      </w:r>
      <w:r>
        <w:rPr>
          <w:rFonts w:eastAsia="仿宋_GB2312"/>
          <w:color w:val="auto"/>
          <w:sz w:val="32"/>
          <w:szCs w:val="32"/>
          <w:highlight w:val="none"/>
        </w:rPr>
        <w:t>张，护理型床位占比不低于55%；每千人口拥有三岁以下婴幼儿托位数达4.5个。全</w:t>
      </w:r>
      <w:r>
        <w:rPr>
          <w:rFonts w:hint="eastAsia" w:eastAsia="仿宋_GB2312"/>
          <w:color w:val="auto"/>
          <w:sz w:val="32"/>
          <w:szCs w:val="32"/>
          <w:highlight w:val="none"/>
          <w:lang w:eastAsia="zh-CN"/>
        </w:rPr>
        <w:t>县</w:t>
      </w:r>
      <w:r>
        <w:rPr>
          <w:rFonts w:eastAsia="仿宋_GB2312"/>
          <w:color w:val="auto"/>
          <w:sz w:val="32"/>
          <w:szCs w:val="32"/>
          <w:highlight w:val="none"/>
        </w:rPr>
        <w:t>养老托育事业发展和养老托育体系建设整体水平达到全面建成小康社会的新要求，构建符合</w:t>
      </w:r>
      <w:r>
        <w:rPr>
          <w:rFonts w:hint="eastAsia" w:eastAsia="仿宋_GB2312"/>
          <w:color w:val="auto"/>
          <w:sz w:val="32"/>
          <w:szCs w:val="32"/>
          <w:highlight w:val="none"/>
          <w:lang w:eastAsia="zh-CN"/>
        </w:rPr>
        <w:t>宣汉</w:t>
      </w:r>
      <w:r>
        <w:rPr>
          <w:rFonts w:eastAsia="仿宋_GB2312"/>
          <w:color w:val="auto"/>
          <w:sz w:val="32"/>
          <w:szCs w:val="32"/>
          <w:highlight w:val="none"/>
        </w:rPr>
        <w:t>实际、制度完善、覆盖城乡、区域平衡、协调发展的养老托育事业发展和养老托育体系建设新格局。支持养老托育健康发展的社会环境更加友好，综合应对人口老龄化的能力显著提升。</w:t>
      </w:r>
    </w:p>
    <w:p>
      <w:pPr>
        <w:pStyle w:val="135"/>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eastAsia="仿宋_GB2312"/>
          <w:color w:val="auto"/>
          <w:szCs w:val="32"/>
          <w:highlight w:val="none"/>
        </w:rPr>
      </w:pPr>
      <w:r>
        <w:rPr>
          <w:rFonts w:eastAsia="楷体_GB2312"/>
          <w:color w:val="auto"/>
          <w:kern w:val="0"/>
          <w:szCs w:val="32"/>
          <w:highlight w:val="none"/>
        </w:rPr>
        <w:t>（一）养老方面。</w:t>
      </w:r>
      <w:r>
        <w:rPr>
          <w:rFonts w:eastAsia="仿宋_GB2312"/>
          <w:bCs/>
          <w:color w:val="auto"/>
          <w:kern w:val="0"/>
          <w:szCs w:val="32"/>
          <w:highlight w:val="none"/>
        </w:rPr>
        <w:t>2022年至少建有1所县级特困人员供养服务设施（养护院），</w:t>
      </w:r>
      <w:r>
        <w:rPr>
          <w:rFonts w:eastAsia="仿宋_GB2312"/>
          <w:color w:val="auto"/>
          <w:szCs w:val="32"/>
          <w:highlight w:val="none"/>
        </w:rPr>
        <w:t>每个街道和有条件的乡镇至少建有1个社区养老服务综合体，</w:t>
      </w:r>
      <w:r>
        <w:rPr>
          <w:rStyle w:val="59"/>
          <w:rFonts w:eastAsia="仿宋_GB2312"/>
          <w:color w:val="auto"/>
          <w:szCs w:val="32"/>
          <w:highlight w:val="none"/>
        </w:rPr>
        <w:t>新增床位</w:t>
      </w:r>
      <w:r>
        <w:rPr>
          <w:rStyle w:val="59"/>
          <w:rFonts w:hint="eastAsia" w:eastAsia="仿宋_GB2312"/>
          <w:color w:val="auto"/>
          <w:szCs w:val="32"/>
          <w:highlight w:val="none"/>
          <w:lang w:val="en-US" w:eastAsia="zh-CN"/>
        </w:rPr>
        <w:t>300</w:t>
      </w:r>
      <w:r>
        <w:rPr>
          <w:rStyle w:val="59"/>
          <w:rFonts w:eastAsia="仿宋_GB2312"/>
          <w:color w:val="auto"/>
          <w:szCs w:val="32"/>
          <w:highlight w:val="none"/>
        </w:rPr>
        <w:t>张；2023年新增床位</w:t>
      </w:r>
      <w:r>
        <w:rPr>
          <w:rStyle w:val="59"/>
          <w:rFonts w:hint="eastAsia" w:eastAsia="仿宋_GB2312"/>
          <w:color w:val="auto"/>
          <w:szCs w:val="32"/>
          <w:highlight w:val="none"/>
          <w:lang w:val="en-US" w:eastAsia="zh-CN"/>
        </w:rPr>
        <w:t>200</w:t>
      </w:r>
      <w:r>
        <w:rPr>
          <w:rStyle w:val="59"/>
          <w:rFonts w:eastAsia="仿宋_GB2312"/>
          <w:color w:val="auto"/>
          <w:szCs w:val="32"/>
          <w:highlight w:val="none"/>
        </w:rPr>
        <w:t>张；2024年新增床位</w:t>
      </w:r>
      <w:r>
        <w:rPr>
          <w:rStyle w:val="59"/>
          <w:rFonts w:hint="eastAsia" w:eastAsia="仿宋_GB2312"/>
          <w:color w:val="auto"/>
          <w:szCs w:val="32"/>
          <w:highlight w:val="none"/>
          <w:lang w:val="en-US" w:eastAsia="zh-CN"/>
        </w:rPr>
        <w:t>200</w:t>
      </w:r>
      <w:r>
        <w:rPr>
          <w:rStyle w:val="59"/>
          <w:rFonts w:eastAsia="仿宋_GB2312"/>
          <w:color w:val="auto"/>
          <w:szCs w:val="32"/>
          <w:highlight w:val="none"/>
        </w:rPr>
        <w:t>张</w:t>
      </w:r>
      <w:r>
        <w:rPr>
          <w:rFonts w:eastAsia="仿宋_GB2312"/>
          <w:color w:val="auto"/>
          <w:szCs w:val="32"/>
          <w:highlight w:val="none"/>
        </w:rPr>
        <w:t>。到</w:t>
      </w:r>
      <w:r>
        <w:rPr>
          <w:rFonts w:eastAsia="仿宋_GB2312"/>
          <w:color w:val="auto"/>
          <w:szCs w:val="32"/>
          <w:highlight w:val="none"/>
          <w:lang w:val="en" w:eastAsia="en"/>
        </w:rPr>
        <w:t>2025年</w:t>
      </w:r>
      <w:r>
        <w:rPr>
          <w:rFonts w:eastAsia="仿宋_GB2312"/>
          <w:bCs/>
          <w:color w:val="auto"/>
          <w:kern w:val="0"/>
          <w:szCs w:val="32"/>
          <w:highlight w:val="none"/>
        </w:rPr>
        <w:t>全</w:t>
      </w:r>
      <w:r>
        <w:rPr>
          <w:rFonts w:hint="eastAsia" w:eastAsia="仿宋_GB2312"/>
          <w:bCs/>
          <w:color w:val="auto"/>
          <w:kern w:val="0"/>
          <w:szCs w:val="32"/>
          <w:highlight w:val="none"/>
          <w:lang w:eastAsia="zh-CN"/>
        </w:rPr>
        <w:t>县</w:t>
      </w:r>
      <w:r>
        <w:rPr>
          <w:rFonts w:eastAsia="仿宋_GB2312"/>
          <w:bCs/>
          <w:color w:val="auto"/>
          <w:kern w:val="0"/>
          <w:szCs w:val="32"/>
          <w:highlight w:val="none"/>
        </w:rPr>
        <w:t>建成</w:t>
      </w:r>
      <w:r>
        <w:rPr>
          <w:rFonts w:hint="eastAsia" w:eastAsia="仿宋_GB2312"/>
          <w:bCs/>
          <w:color w:val="auto"/>
          <w:kern w:val="0"/>
          <w:szCs w:val="32"/>
          <w:highlight w:val="none"/>
          <w:lang w:val="en-US" w:eastAsia="zh-CN"/>
        </w:rPr>
        <w:t>22</w:t>
      </w:r>
      <w:r>
        <w:rPr>
          <w:rFonts w:eastAsia="仿宋_GB2312"/>
          <w:bCs/>
          <w:color w:val="auto"/>
          <w:kern w:val="0"/>
          <w:szCs w:val="32"/>
          <w:highlight w:val="none"/>
        </w:rPr>
        <w:t>个区域性养老服务中心，</w:t>
      </w:r>
      <w:r>
        <w:rPr>
          <w:rStyle w:val="59"/>
          <w:rFonts w:eastAsia="仿宋_GB2312"/>
          <w:color w:val="auto"/>
          <w:szCs w:val="32"/>
          <w:highlight w:val="none"/>
        </w:rPr>
        <w:t>二级以上综合医院和二级以上中医医院开设老年医学科达</w:t>
      </w:r>
      <w:r>
        <w:rPr>
          <w:rFonts w:eastAsia="仿宋_GB2312"/>
          <w:color w:val="auto"/>
          <w:szCs w:val="32"/>
          <w:highlight w:val="none"/>
        </w:rPr>
        <w:t>60%以上</w:t>
      </w:r>
      <w:r>
        <w:rPr>
          <w:rStyle w:val="59"/>
          <w:rFonts w:eastAsia="仿宋_GB2312"/>
          <w:color w:val="auto"/>
          <w:szCs w:val="32"/>
          <w:highlight w:val="none"/>
        </w:rPr>
        <w:t>。</w:t>
      </w:r>
      <w:r>
        <w:rPr>
          <w:rFonts w:eastAsia="仿宋_GB2312"/>
          <w:color w:val="auto"/>
          <w:szCs w:val="32"/>
          <w:highlight w:val="none"/>
        </w:rPr>
        <w:t>养老服务信息化平台基本建立，</w:t>
      </w:r>
      <w:r>
        <w:rPr>
          <w:rFonts w:hint="eastAsia" w:eastAsia="仿宋_GB2312"/>
          <w:color w:val="auto"/>
          <w:szCs w:val="32"/>
          <w:highlight w:val="none"/>
          <w:lang w:eastAsia="zh-CN"/>
        </w:rPr>
        <w:t>创建</w:t>
      </w:r>
      <w:r>
        <w:rPr>
          <w:rFonts w:eastAsia="仿宋_GB2312"/>
          <w:color w:val="auto"/>
          <w:szCs w:val="32"/>
          <w:highlight w:val="none"/>
        </w:rPr>
        <w:t>全国示范性老年友好型社区</w:t>
      </w:r>
      <w:r>
        <w:rPr>
          <w:rFonts w:hint="eastAsia" w:eastAsia="仿宋_GB2312"/>
          <w:color w:val="auto"/>
          <w:szCs w:val="32"/>
          <w:highlight w:val="none"/>
          <w:lang w:val="en-US" w:eastAsia="zh-CN"/>
        </w:rPr>
        <w:t>2</w:t>
      </w:r>
      <w:r>
        <w:rPr>
          <w:rFonts w:eastAsia="仿宋_GB2312"/>
          <w:color w:val="auto"/>
          <w:szCs w:val="32"/>
          <w:highlight w:val="none"/>
        </w:rPr>
        <w:t>个。机构、社区、居家养老服务基本实现信息化和网络管理。</w:t>
      </w:r>
    </w:p>
    <w:p>
      <w:pPr>
        <w:pStyle w:val="135"/>
        <w:spacing w:line="578" w:lineRule="exact"/>
        <w:ind w:firstLine="0" w:firstLineChars="0"/>
        <w:jc w:val="center"/>
        <w:rPr>
          <w:rFonts w:eastAsia="黑体"/>
          <w:color w:val="auto"/>
          <w:sz w:val="28"/>
          <w:szCs w:val="28"/>
          <w:highlight w:val="none"/>
        </w:rPr>
      </w:pPr>
      <w:r>
        <w:rPr>
          <w:rFonts w:hAnsi="黑体" w:eastAsia="黑体"/>
          <w:color w:val="auto"/>
          <w:sz w:val="28"/>
          <w:szCs w:val="28"/>
          <w:highlight w:val="none"/>
        </w:rPr>
        <w:t>表</w:t>
      </w:r>
      <w:r>
        <w:rPr>
          <w:rFonts w:eastAsia="黑体"/>
          <w:color w:val="auto"/>
          <w:sz w:val="28"/>
          <w:szCs w:val="28"/>
          <w:highlight w:val="none"/>
        </w:rPr>
        <w:t>1“</w:t>
      </w:r>
      <w:r>
        <w:rPr>
          <w:rFonts w:hAnsi="黑体" w:eastAsia="黑体"/>
          <w:color w:val="auto"/>
          <w:sz w:val="28"/>
          <w:szCs w:val="28"/>
          <w:highlight w:val="none"/>
        </w:rPr>
        <w:t>十四五</w:t>
      </w:r>
      <w:r>
        <w:rPr>
          <w:rFonts w:eastAsia="黑体"/>
          <w:color w:val="auto"/>
          <w:sz w:val="28"/>
          <w:szCs w:val="28"/>
          <w:highlight w:val="none"/>
        </w:rPr>
        <w:t>”</w:t>
      </w:r>
      <w:r>
        <w:rPr>
          <w:rFonts w:hAnsi="黑体" w:eastAsia="黑体"/>
          <w:color w:val="auto"/>
          <w:sz w:val="28"/>
          <w:szCs w:val="28"/>
          <w:highlight w:val="none"/>
        </w:rPr>
        <w:t>时期</w:t>
      </w:r>
      <w:r>
        <w:rPr>
          <w:rFonts w:hint="eastAsia" w:hAnsi="黑体" w:eastAsia="黑体"/>
          <w:color w:val="auto"/>
          <w:sz w:val="28"/>
          <w:szCs w:val="28"/>
          <w:highlight w:val="none"/>
          <w:lang w:eastAsia="zh-CN"/>
        </w:rPr>
        <w:t>宣汉县</w:t>
      </w:r>
      <w:r>
        <w:rPr>
          <w:rFonts w:hAnsi="黑体" w:eastAsia="黑体"/>
          <w:color w:val="auto"/>
          <w:sz w:val="28"/>
          <w:szCs w:val="28"/>
          <w:highlight w:val="none"/>
        </w:rPr>
        <w:t>养老服务主要发展指标</w:t>
      </w:r>
    </w:p>
    <w:tbl>
      <w:tblPr>
        <w:tblStyle w:val="2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38"/>
        <w:gridCol w:w="5143"/>
        <w:gridCol w:w="147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638" w:type="dxa"/>
            <w:noWrap/>
            <w:vAlign w:val="center"/>
          </w:tcPr>
          <w:p>
            <w:pPr>
              <w:adjustRightInd w:val="0"/>
              <w:snapToGrid w:val="0"/>
              <w:spacing w:line="340" w:lineRule="exact"/>
              <w:jc w:val="center"/>
              <w:textAlignment w:val="center"/>
              <w:rPr>
                <w:rFonts w:eastAsia="黑体"/>
                <w:bCs/>
                <w:color w:val="auto"/>
                <w:sz w:val="24"/>
                <w:highlight w:val="none"/>
              </w:rPr>
            </w:pPr>
            <w:r>
              <w:rPr>
                <w:rFonts w:eastAsia="黑体"/>
                <w:bCs/>
                <w:color w:val="auto"/>
                <w:sz w:val="24"/>
                <w:highlight w:val="none"/>
              </w:rPr>
              <w:t>序号</w:t>
            </w:r>
          </w:p>
        </w:tc>
        <w:tc>
          <w:tcPr>
            <w:tcW w:w="5143" w:type="dxa"/>
            <w:noWrap/>
            <w:vAlign w:val="center"/>
          </w:tcPr>
          <w:p>
            <w:pPr>
              <w:adjustRightInd w:val="0"/>
              <w:snapToGrid w:val="0"/>
              <w:spacing w:line="340" w:lineRule="exact"/>
              <w:jc w:val="center"/>
              <w:textAlignment w:val="center"/>
              <w:rPr>
                <w:rFonts w:eastAsia="黑体"/>
                <w:bCs/>
                <w:color w:val="auto"/>
                <w:sz w:val="24"/>
                <w:highlight w:val="none"/>
              </w:rPr>
            </w:pPr>
            <w:r>
              <w:rPr>
                <w:rFonts w:eastAsia="黑体"/>
                <w:bCs/>
                <w:color w:val="auto"/>
                <w:sz w:val="24"/>
                <w:highlight w:val="none"/>
              </w:rPr>
              <w:t>主要指标</w:t>
            </w:r>
          </w:p>
        </w:tc>
        <w:tc>
          <w:tcPr>
            <w:tcW w:w="1476" w:type="dxa"/>
            <w:noWrap/>
            <w:vAlign w:val="center"/>
          </w:tcPr>
          <w:p>
            <w:pPr>
              <w:adjustRightInd w:val="0"/>
              <w:snapToGrid w:val="0"/>
              <w:spacing w:line="340" w:lineRule="exact"/>
              <w:jc w:val="center"/>
              <w:textAlignment w:val="center"/>
              <w:rPr>
                <w:rFonts w:eastAsia="黑体"/>
                <w:bCs/>
                <w:color w:val="auto"/>
                <w:sz w:val="24"/>
                <w:highlight w:val="none"/>
              </w:rPr>
            </w:pPr>
            <w:r>
              <w:rPr>
                <w:rFonts w:eastAsia="黑体"/>
                <w:bCs/>
                <w:color w:val="auto"/>
                <w:sz w:val="24"/>
                <w:highlight w:val="none"/>
              </w:rPr>
              <w:t>2020年基值</w:t>
            </w:r>
          </w:p>
        </w:tc>
        <w:tc>
          <w:tcPr>
            <w:tcW w:w="1588" w:type="dxa"/>
            <w:noWrap/>
            <w:vAlign w:val="center"/>
          </w:tcPr>
          <w:p>
            <w:pPr>
              <w:adjustRightInd w:val="0"/>
              <w:snapToGrid w:val="0"/>
              <w:spacing w:line="340" w:lineRule="exact"/>
              <w:jc w:val="center"/>
              <w:textAlignment w:val="center"/>
              <w:rPr>
                <w:rFonts w:eastAsia="黑体"/>
                <w:bCs/>
                <w:color w:val="auto"/>
                <w:sz w:val="24"/>
                <w:highlight w:val="none"/>
              </w:rPr>
            </w:pPr>
            <w:r>
              <w:rPr>
                <w:rFonts w:eastAsia="黑体"/>
                <w:bCs/>
                <w:color w:val="auto"/>
                <w:sz w:val="24"/>
                <w:highlight w:val="none"/>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pStyle w:val="25"/>
              <w:spacing w:before="0" w:after="0" w:line="340" w:lineRule="exact"/>
              <w:textAlignment w:val="center"/>
              <w:rPr>
                <w:rFonts w:ascii="Times New Roman" w:hAnsi="Times New Roman" w:eastAsia="仿宋_GB2312" w:cs="Times New Roman"/>
                <w:b w:val="0"/>
                <w:color w:val="auto"/>
                <w:sz w:val="24"/>
                <w:szCs w:val="24"/>
                <w:highlight w:val="none"/>
              </w:rPr>
            </w:pPr>
            <w:r>
              <w:rPr>
                <w:rFonts w:ascii="Times New Roman" w:hAnsi="Times New Roman" w:eastAsia="仿宋_GB2312" w:cs="Times New Roman"/>
                <w:b w:val="0"/>
                <w:color w:val="auto"/>
                <w:sz w:val="24"/>
                <w:szCs w:val="24"/>
                <w:highlight w:val="none"/>
              </w:rPr>
              <w:t>1</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基本养老保险参保率（%）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lang w:val="en" w:eastAsia="en"/>
              </w:rPr>
            </w:pPr>
            <w:r>
              <w:rPr>
                <w:rFonts w:eastAsia="仿宋_GB2312"/>
                <w:color w:val="auto"/>
                <w:sz w:val="24"/>
                <w:highlight w:val="none"/>
                <w:lang w:val="en" w:eastAsia="en"/>
              </w:rPr>
              <w:t>89.5</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lang w:val="en" w:eastAsia="en"/>
              </w:rPr>
            </w:pPr>
            <w:r>
              <w:rPr>
                <w:rFonts w:eastAsia="仿宋_GB2312"/>
                <w:color w:val="auto"/>
                <w:sz w:val="24"/>
                <w:highlight w:val="none"/>
              </w:rPr>
              <w:t>≥</w:t>
            </w:r>
            <w:r>
              <w:rPr>
                <w:rFonts w:eastAsia="仿宋_GB2312"/>
                <w:color w:val="auto"/>
                <w:sz w:val="24"/>
                <w:highlight w:val="none"/>
                <w:lang w:val="en" w:eastAsia="e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2</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基本医疗保险参保率（%）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lang w:val="en" w:eastAsia="en"/>
              </w:rPr>
            </w:pPr>
            <w:r>
              <w:rPr>
                <w:rFonts w:eastAsia="仿宋_GB2312"/>
                <w:color w:val="auto"/>
                <w:sz w:val="24"/>
                <w:highlight w:val="none"/>
                <w:lang w:val="en" w:eastAsia="en"/>
              </w:rPr>
              <w:t>99</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lang w:val="en" w:eastAsia="en"/>
              </w:rPr>
            </w:pPr>
            <w:r>
              <w:rPr>
                <w:rFonts w:eastAsia="仿宋_GB2312"/>
                <w:color w:val="auto"/>
                <w:sz w:val="24"/>
                <w:highlight w:val="none"/>
              </w:rPr>
              <w:t>≥9</w:t>
            </w:r>
            <w:r>
              <w:rPr>
                <w:rFonts w:eastAsia="仿宋_GB2312"/>
                <w:color w:val="auto"/>
                <w:sz w:val="24"/>
                <w:highlight w:val="none"/>
                <w:lang w:val="en" w:eastAsia="e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3</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失能特困人员集中供养率（%）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30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4</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有集中供养意愿的兜底保障对象集中供养率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5</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居家社区养老服务机构覆盖率（%）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70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84"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6</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新建城区和新建居住区配套建设养老服务设施达标率（%）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7</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护理型养老床位占比（%）</w:t>
            </w:r>
          </w:p>
        </w:tc>
        <w:tc>
          <w:tcPr>
            <w:tcW w:w="1476" w:type="dxa"/>
            <w:noWrap/>
            <w:vAlign w:val="center"/>
          </w:tcPr>
          <w:p>
            <w:pPr>
              <w:adjustRightInd w:val="0"/>
              <w:snapToGrid w:val="0"/>
              <w:spacing w:line="340" w:lineRule="exact"/>
              <w:jc w:val="center"/>
              <w:textAlignment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40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8</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老年人健康管理率（%）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9</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特殊困难老年人月探访率（%）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80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10</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人均预期寿命（岁）</w:t>
            </w:r>
          </w:p>
        </w:tc>
        <w:tc>
          <w:tcPr>
            <w:tcW w:w="1476" w:type="dxa"/>
            <w:noWrap/>
            <w:vAlign w:val="center"/>
          </w:tcPr>
          <w:p>
            <w:pPr>
              <w:adjustRightInd w:val="0"/>
              <w:snapToGrid w:val="0"/>
              <w:spacing w:line="340" w:lineRule="exact"/>
              <w:jc w:val="center"/>
              <w:textAlignment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77.18</w:t>
            </w:r>
          </w:p>
        </w:tc>
        <w:tc>
          <w:tcPr>
            <w:tcW w:w="1588" w:type="dxa"/>
            <w:noWrap/>
            <w:vAlign w:val="center"/>
          </w:tcPr>
          <w:p>
            <w:pPr>
              <w:adjustRightInd w:val="0"/>
              <w:snapToGrid w:val="0"/>
              <w:spacing w:line="340" w:lineRule="exact"/>
              <w:jc w:val="center"/>
              <w:textAlignment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11</w:t>
            </w:r>
          </w:p>
        </w:tc>
        <w:tc>
          <w:tcPr>
            <w:tcW w:w="5143" w:type="dxa"/>
            <w:noWrap/>
            <w:vAlign w:val="center"/>
          </w:tcPr>
          <w:p>
            <w:pPr>
              <w:adjustRightInd w:val="0"/>
              <w:snapToGrid w:val="0"/>
              <w:spacing w:line="340" w:lineRule="exact"/>
              <w:textAlignment w:val="center"/>
              <w:rPr>
                <w:rFonts w:eastAsia="仿宋_GB2312"/>
                <w:color w:val="auto"/>
                <w:spacing w:val="-6"/>
                <w:sz w:val="24"/>
                <w:szCs w:val="24"/>
                <w:highlight w:val="none"/>
              </w:rPr>
            </w:pPr>
            <w:r>
              <w:rPr>
                <w:rFonts w:eastAsia="仿宋_GB2312"/>
                <w:color w:val="auto"/>
                <w:spacing w:val="-6"/>
                <w:sz w:val="24"/>
                <w:szCs w:val="24"/>
                <w:highlight w:val="none"/>
              </w:rPr>
              <w:t>乡镇（街道）范围具备综合功能的养老机构覆盖率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30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spacing w:line="340" w:lineRule="exact"/>
              <w:jc w:val="center"/>
              <w:textAlignment w:val="center"/>
              <w:rPr>
                <w:rFonts w:eastAsia="仿宋_GB2312"/>
                <w:color w:val="auto"/>
                <w:sz w:val="24"/>
                <w:highlight w:val="none"/>
              </w:rPr>
            </w:pPr>
            <w:r>
              <w:rPr>
                <w:rFonts w:eastAsia="仿宋_GB2312"/>
                <w:color w:val="auto"/>
                <w:sz w:val="24"/>
                <w:highlight w:val="none"/>
              </w:rPr>
              <w:t>12</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每千名老人配备社会工作者（人）</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13</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每百张养老床位配备社会工作者（人）</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14</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培育骨干养老企业数量（个）</w:t>
            </w:r>
          </w:p>
        </w:tc>
        <w:tc>
          <w:tcPr>
            <w:tcW w:w="1476" w:type="dxa"/>
            <w:noWrap/>
            <w:vAlign w:val="center"/>
          </w:tcPr>
          <w:p>
            <w:pPr>
              <w:adjustRightInd w:val="0"/>
              <w:snapToGrid w:val="0"/>
              <w:spacing w:line="340" w:lineRule="exact"/>
              <w:jc w:val="center"/>
              <w:textAlignment w:val="center"/>
              <w:rPr>
                <w:rFonts w:hint="eastAsia" w:eastAsia="仿宋_GB2312"/>
                <w:color w:val="auto"/>
                <w:sz w:val="24"/>
                <w:highlight w:val="none"/>
                <w:lang w:eastAsia="zh-CN"/>
              </w:rPr>
            </w:pPr>
            <w:r>
              <w:rPr>
                <w:rFonts w:hint="eastAsia" w:eastAsia="仿宋_GB2312"/>
                <w:color w:val="auto"/>
                <w:sz w:val="24"/>
                <w:highlight w:val="none"/>
                <w:lang w:val="en-US" w:eastAsia="zh-CN"/>
              </w:rPr>
              <w:t>0</w:t>
            </w:r>
          </w:p>
        </w:tc>
        <w:tc>
          <w:tcPr>
            <w:tcW w:w="1588" w:type="dxa"/>
            <w:noWrap/>
            <w:vAlign w:val="center"/>
          </w:tcPr>
          <w:p>
            <w:pPr>
              <w:adjustRightInd w:val="0"/>
              <w:snapToGrid w:val="0"/>
              <w:spacing w:line="340" w:lineRule="exact"/>
              <w:jc w:val="center"/>
              <w:textAlignment w:val="center"/>
              <w:rPr>
                <w:rFonts w:hint="default" w:eastAsia="仿宋_GB2312"/>
                <w:color w:val="auto"/>
                <w:sz w:val="24"/>
                <w:highlight w:val="none"/>
                <w:lang w:val="en-US" w:eastAsia="zh-CN"/>
              </w:rPr>
            </w:pPr>
            <w:r>
              <w:rPr>
                <w:rFonts w:eastAsia="仿宋_GB2312"/>
                <w:color w:val="auto"/>
                <w:sz w:val="24"/>
                <w:highlight w:val="none"/>
              </w:rPr>
              <w:t>≥</w:t>
            </w:r>
            <w:r>
              <w:rPr>
                <w:rFonts w:hint="eastAsia" w:eastAsia="仿宋_GB2312"/>
                <w:color w:val="auto"/>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15</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县级老年大学覆盖面（%）</w:t>
            </w:r>
          </w:p>
        </w:tc>
        <w:tc>
          <w:tcPr>
            <w:tcW w:w="1476" w:type="dxa"/>
            <w:noWrap/>
            <w:vAlign w:val="center"/>
          </w:tcPr>
          <w:p>
            <w:pPr>
              <w:adjustRightInd w:val="0"/>
              <w:snapToGrid w:val="0"/>
              <w:spacing w:line="340" w:lineRule="exact"/>
              <w:jc w:val="center"/>
              <w:textAlignment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100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16</w:t>
            </w:r>
          </w:p>
        </w:tc>
        <w:tc>
          <w:tcPr>
            <w:tcW w:w="5143" w:type="dxa"/>
            <w:noWrap/>
            <w:vAlign w:val="center"/>
          </w:tcPr>
          <w:p>
            <w:pPr>
              <w:pStyle w:val="25"/>
              <w:spacing w:before="0" w:after="0" w:line="340" w:lineRule="exact"/>
              <w:jc w:val="both"/>
              <w:textAlignment w:val="center"/>
              <w:rPr>
                <w:rFonts w:ascii="Times New Roman" w:hAnsi="Times New Roman" w:eastAsia="仿宋_GB2312" w:cs="Times New Roman"/>
                <w:b w:val="0"/>
                <w:color w:val="auto"/>
                <w:sz w:val="24"/>
                <w:szCs w:val="24"/>
                <w:highlight w:val="none"/>
              </w:rPr>
            </w:pPr>
            <w:r>
              <w:rPr>
                <w:rFonts w:ascii="Times New Roman" w:hAnsi="Times New Roman" w:eastAsia="仿宋_GB2312" w:cs="Times New Roman"/>
                <w:b w:val="0"/>
                <w:bCs w:val="0"/>
                <w:color w:val="auto"/>
                <w:kern w:val="0"/>
                <w:sz w:val="24"/>
                <w:szCs w:val="24"/>
                <w:highlight w:val="none"/>
              </w:rPr>
              <w:t>养老护理员岗前培训率（%）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80</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17</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县级养老实训基地覆盖率（%）</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3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18</w:t>
            </w:r>
          </w:p>
        </w:tc>
        <w:tc>
          <w:tcPr>
            <w:tcW w:w="5143" w:type="dxa"/>
            <w:noWrap/>
            <w:vAlign w:val="center"/>
          </w:tcPr>
          <w:p>
            <w:pPr>
              <w:adjustRightInd w:val="0"/>
              <w:snapToGrid w:val="0"/>
              <w:spacing w:line="340" w:lineRule="exact"/>
              <w:textAlignment w:val="center"/>
              <w:rPr>
                <w:rFonts w:eastAsia="仿宋_GB2312"/>
                <w:color w:val="auto"/>
                <w:sz w:val="24"/>
                <w:highlight w:val="none"/>
              </w:rPr>
            </w:pPr>
            <w:r>
              <w:rPr>
                <w:rFonts w:eastAsia="仿宋_GB2312"/>
                <w:color w:val="auto"/>
                <w:sz w:val="24"/>
                <w:highlight w:val="none"/>
              </w:rPr>
              <w:t>养老机构等级评定达到一星级以上标准的比例（%）</w:t>
            </w:r>
          </w:p>
        </w:tc>
        <w:tc>
          <w:tcPr>
            <w:tcW w:w="1476"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w:t>
            </w:r>
          </w:p>
        </w:tc>
        <w:tc>
          <w:tcPr>
            <w:tcW w:w="1588" w:type="dxa"/>
            <w:noWrap/>
            <w:vAlign w:val="center"/>
          </w:tcPr>
          <w:p>
            <w:pPr>
              <w:adjustRightInd w:val="0"/>
              <w:snapToGrid w:val="0"/>
              <w:spacing w:line="340" w:lineRule="exact"/>
              <w:jc w:val="center"/>
              <w:textAlignment w:val="center"/>
              <w:rPr>
                <w:rFonts w:eastAsia="仿宋_GB2312"/>
                <w:color w:val="auto"/>
                <w:sz w:val="24"/>
                <w:highlight w:val="none"/>
              </w:rPr>
            </w:pPr>
            <w:r>
              <w:rPr>
                <w:rFonts w:eastAsia="仿宋_GB2312"/>
                <w:color w:val="auto"/>
                <w:sz w:val="24"/>
                <w:highlight w:val="none"/>
              </w:rPr>
              <w:t>60%</w:t>
            </w:r>
          </w:p>
        </w:tc>
      </w:tr>
    </w:tbl>
    <w:p>
      <w:pPr>
        <w:pStyle w:val="7"/>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eastAsia="仿宋_GB2312"/>
          <w:color w:val="auto"/>
          <w:sz w:val="32"/>
          <w:szCs w:val="32"/>
          <w:highlight w:val="none"/>
        </w:rPr>
      </w:pPr>
      <w:r>
        <w:rPr>
          <w:rFonts w:eastAsia="楷体_GB2312"/>
          <w:color w:val="auto"/>
          <w:kern w:val="0"/>
          <w:sz w:val="32"/>
          <w:szCs w:val="32"/>
          <w:highlight w:val="none"/>
        </w:rPr>
        <w:t>（二）托育方面。</w:t>
      </w:r>
      <w:r>
        <w:rPr>
          <w:rFonts w:eastAsia="仿宋_GB2312"/>
          <w:color w:val="auto"/>
          <w:sz w:val="32"/>
          <w:szCs w:val="32"/>
          <w:highlight w:val="none"/>
        </w:rPr>
        <w:t>2022年全</w:t>
      </w:r>
      <w:r>
        <w:rPr>
          <w:rFonts w:hint="eastAsia" w:eastAsia="仿宋_GB2312"/>
          <w:color w:val="auto"/>
          <w:sz w:val="32"/>
          <w:szCs w:val="32"/>
          <w:highlight w:val="none"/>
          <w:lang w:eastAsia="zh-CN"/>
        </w:rPr>
        <w:t>县</w:t>
      </w:r>
      <w:r>
        <w:rPr>
          <w:rFonts w:ascii="Times New Roman" w:hAnsi="Times New Roman" w:eastAsia="仿宋_GB2312" w:cs="Times New Roman"/>
          <w:color w:val="auto"/>
          <w:sz w:val="32"/>
          <w:szCs w:val="32"/>
          <w:highlight w:val="none"/>
        </w:rPr>
        <w:t>婴幼儿照护服务</w:t>
      </w:r>
      <w:r>
        <w:rPr>
          <w:rFonts w:ascii="Times New Roman" w:hAnsi="Times New Roman" w:eastAsia="仿宋_GB2312" w:cs="Times New Roman"/>
          <w:color w:val="auto"/>
          <w:sz w:val="32"/>
          <w:szCs w:val="32"/>
          <w:highlight w:val="none"/>
          <w:u w:val="none"/>
        </w:rPr>
        <w:t>的政策体系初步建立</w:t>
      </w:r>
      <w:r>
        <w:rPr>
          <w:rFonts w:hint="eastAsia" w:ascii="Times New Roman" w:hAnsi="Times New Roman" w:eastAsia="仿宋_GB2312" w:cs="Times New Roman"/>
          <w:color w:val="auto"/>
          <w:sz w:val="32"/>
          <w:szCs w:val="32"/>
          <w:highlight w:val="none"/>
          <w:u w:val="none"/>
          <w:lang w:eastAsia="zh-CN"/>
        </w:rPr>
        <w:t>，</w:t>
      </w:r>
      <w:r>
        <w:rPr>
          <w:rFonts w:eastAsia="仿宋_GB2312"/>
          <w:color w:val="auto"/>
          <w:sz w:val="32"/>
          <w:szCs w:val="32"/>
          <w:highlight w:val="none"/>
          <w:u w:val="none"/>
        </w:rPr>
        <w:t>至少建成1个婴幼儿照护服务机构；2023年、2024</w:t>
      </w:r>
      <w:r>
        <w:rPr>
          <w:rFonts w:eastAsia="仿宋_GB2312"/>
          <w:color w:val="auto"/>
          <w:sz w:val="32"/>
          <w:szCs w:val="32"/>
          <w:highlight w:val="none"/>
        </w:rPr>
        <w:t>年、2025年3岁以下婴幼儿托位数分别达到</w:t>
      </w:r>
      <w:r>
        <w:rPr>
          <w:rFonts w:hint="eastAsia" w:eastAsia="仿宋_GB2312"/>
          <w:color w:val="auto"/>
          <w:sz w:val="32"/>
          <w:szCs w:val="32"/>
          <w:highlight w:val="none"/>
          <w:lang w:val="en-US" w:eastAsia="zh-CN"/>
        </w:rPr>
        <w:t>2900</w:t>
      </w:r>
      <w:r>
        <w:rPr>
          <w:rFonts w:eastAsia="仿宋_GB2312"/>
          <w:color w:val="auto"/>
          <w:sz w:val="32"/>
          <w:szCs w:val="32"/>
          <w:highlight w:val="none"/>
        </w:rPr>
        <w:t>个、</w:t>
      </w:r>
      <w:r>
        <w:rPr>
          <w:rFonts w:hint="eastAsia" w:eastAsia="仿宋_GB2312" w:cs="Times New Roman"/>
          <w:color w:val="auto"/>
          <w:sz w:val="32"/>
          <w:szCs w:val="32"/>
          <w:highlight w:val="none"/>
          <w:lang w:val="en-US" w:eastAsia="zh-CN"/>
        </w:rPr>
        <w:t>3400</w:t>
      </w:r>
      <w:r>
        <w:rPr>
          <w:rFonts w:ascii="Times New Roman" w:hAnsi="Times New Roman" w:eastAsia="仿宋_GB2312" w:cs="Times New Roman"/>
          <w:color w:val="auto"/>
          <w:sz w:val="32"/>
          <w:szCs w:val="32"/>
          <w:highlight w:val="none"/>
        </w:rPr>
        <w:t>个、</w:t>
      </w:r>
      <w:r>
        <w:rPr>
          <w:rFonts w:hint="eastAsia" w:eastAsia="仿宋_GB2312" w:cs="Times New Roman"/>
          <w:color w:val="auto"/>
          <w:sz w:val="32"/>
          <w:szCs w:val="32"/>
          <w:highlight w:val="none"/>
          <w:lang w:val="en-US" w:eastAsia="zh-CN"/>
        </w:rPr>
        <w:t>4300</w:t>
      </w:r>
      <w:r>
        <w:rPr>
          <w:rFonts w:ascii="Times New Roman" w:hAnsi="Times New Roman" w:eastAsia="仿宋_GB2312" w:cs="Times New Roman"/>
          <w:color w:val="auto"/>
          <w:sz w:val="32"/>
          <w:szCs w:val="32"/>
          <w:highlight w:val="none"/>
        </w:rPr>
        <w:t>个</w:t>
      </w:r>
      <w:r>
        <w:rPr>
          <w:rFonts w:eastAsia="仿宋_GB2312"/>
          <w:color w:val="auto"/>
          <w:sz w:val="32"/>
          <w:szCs w:val="32"/>
          <w:highlight w:val="none"/>
        </w:rPr>
        <w:t>，多元化、多样化、覆盖城乡的婴幼儿照护服务体系基本形成，照护服务水平有所提升。</w:t>
      </w:r>
    </w:p>
    <w:p>
      <w:pPr>
        <w:pStyle w:val="135"/>
        <w:spacing w:line="578" w:lineRule="exact"/>
        <w:ind w:firstLine="0" w:firstLineChars="0"/>
        <w:jc w:val="center"/>
        <w:rPr>
          <w:rFonts w:eastAsia="黑体"/>
          <w:color w:val="auto"/>
          <w:sz w:val="28"/>
          <w:szCs w:val="28"/>
          <w:highlight w:val="none"/>
        </w:rPr>
      </w:pPr>
      <w:r>
        <w:rPr>
          <w:rFonts w:hAnsi="黑体" w:eastAsia="黑体"/>
          <w:color w:val="auto"/>
          <w:sz w:val="28"/>
          <w:szCs w:val="28"/>
          <w:highlight w:val="none"/>
        </w:rPr>
        <w:t>表</w:t>
      </w:r>
      <w:r>
        <w:rPr>
          <w:rFonts w:eastAsia="黑体"/>
          <w:color w:val="auto"/>
          <w:sz w:val="28"/>
          <w:szCs w:val="28"/>
          <w:highlight w:val="none"/>
        </w:rPr>
        <w:t>2“</w:t>
      </w:r>
      <w:r>
        <w:rPr>
          <w:rFonts w:hAnsi="黑体" w:eastAsia="黑体"/>
          <w:color w:val="auto"/>
          <w:sz w:val="28"/>
          <w:szCs w:val="28"/>
          <w:highlight w:val="none"/>
        </w:rPr>
        <w:t>十四五</w:t>
      </w:r>
      <w:r>
        <w:rPr>
          <w:rFonts w:eastAsia="黑体"/>
          <w:color w:val="auto"/>
          <w:sz w:val="28"/>
          <w:szCs w:val="28"/>
          <w:highlight w:val="none"/>
        </w:rPr>
        <w:t>”</w:t>
      </w:r>
      <w:r>
        <w:rPr>
          <w:rFonts w:hAnsi="黑体" w:eastAsia="黑体"/>
          <w:color w:val="auto"/>
          <w:sz w:val="28"/>
          <w:szCs w:val="28"/>
          <w:highlight w:val="none"/>
        </w:rPr>
        <w:t>时期</w:t>
      </w:r>
      <w:r>
        <w:rPr>
          <w:rFonts w:hint="eastAsia" w:hAnsi="黑体" w:eastAsia="黑体"/>
          <w:color w:val="auto"/>
          <w:sz w:val="28"/>
          <w:szCs w:val="28"/>
          <w:highlight w:val="none"/>
          <w:lang w:eastAsia="zh-CN"/>
        </w:rPr>
        <w:t>宣汉县</w:t>
      </w:r>
      <w:r>
        <w:rPr>
          <w:rFonts w:hAnsi="黑体" w:eastAsia="黑体"/>
          <w:color w:val="auto"/>
          <w:sz w:val="28"/>
          <w:szCs w:val="28"/>
          <w:highlight w:val="none"/>
        </w:rPr>
        <w:t>婴幼儿照护主要发展指标</w:t>
      </w:r>
    </w:p>
    <w:tbl>
      <w:tblPr>
        <w:tblStyle w:val="27"/>
        <w:tblW w:w="4997" w:type="pct"/>
        <w:jc w:val="center"/>
        <w:tblLayout w:type="autofit"/>
        <w:tblCellMar>
          <w:top w:w="0" w:type="dxa"/>
          <w:left w:w="17" w:type="dxa"/>
          <w:bottom w:w="0" w:type="dxa"/>
          <w:right w:w="17" w:type="dxa"/>
        </w:tblCellMar>
      </w:tblPr>
      <w:tblGrid>
        <w:gridCol w:w="775"/>
        <w:gridCol w:w="4625"/>
        <w:gridCol w:w="1737"/>
        <w:gridCol w:w="1737"/>
      </w:tblGrid>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eastAsia="黑体"/>
                <w:color w:val="auto"/>
                <w:sz w:val="24"/>
                <w:highlight w:val="none"/>
                <w:lang w:bidi="ar"/>
              </w:rPr>
            </w:pPr>
            <w:r>
              <w:rPr>
                <w:rFonts w:eastAsia="黑体"/>
                <w:color w:val="auto"/>
                <w:sz w:val="24"/>
                <w:highlight w:val="none"/>
                <w:lang w:bidi="ar"/>
              </w:rPr>
              <w:t>序号</w:t>
            </w:r>
          </w:p>
        </w:tc>
        <w:tc>
          <w:tcPr>
            <w:tcW w:w="46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eastAsia="黑体"/>
                <w:color w:val="auto"/>
                <w:sz w:val="24"/>
                <w:highlight w:val="none"/>
              </w:rPr>
            </w:pPr>
            <w:r>
              <w:rPr>
                <w:rFonts w:eastAsia="黑体"/>
                <w:color w:val="auto"/>
                <w:sz w:val="24"/>
                <w:highlight w:val="none"/>
                <w:lang w:bidi="ar"/>
              </w:rPr>
              <w:t>主要指标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eastAsia="黑体"/>
                <w:color w:val="auto"/>
                <w:sz w:val="24"/>
                <w:highlight w:val="none"/>
              </w:rPr>
            </w:pPr>
            <w:r>
              <w:rPr>
                <w:rFonts w:eastAsia="黑体"/>
                <w:color w:val="auto"/>
                <w:sz w:val="24"/>
                <w:highlight w:val="none"/>
                <w:lang w:bidi="ar"/>
              </w:rPr>
              <w:t>2020年基值</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eastAsia="黑体"/>
                <w:color w:val="auto"/>
                <w:sz w:val="24"/>
                <w:highlight w:val="none"/>
              </w:rPr>
            </w:pPr>
            <w:r>
              <w:rPr>
                <w:rFonts w:eastAsia="黑体"/>
                <w:color w:val="auto"/>
                <w:sz w:val="24"/>
                <w:highlight w:val="none"/>
                <w:lang w:bidi="ar"/>
              </w:rPr>
              <w:t>2025年目标值</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1</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新生儿访视率（%）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2</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3岁以下儿童系统管理率（%）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3</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新生儿遗传代谢性疾病筛查率（%）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95</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≥95</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4</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新生儿听力筛查率（%）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80</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85</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5</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0—3岁婴幼儿预防接种率（%）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≥90</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6</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每千人拥有3岁以下婴幼儿托位数（个）</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val="en" w:eastAsia="en"/>
              </w:rPr>
            </w:pPr>
            <w:r>
              <w:rPr>
                <w:rFonts w:eastAsia="仿宋_GB2312"/>
                <w:color w:val="auto"/>
                <w:sz w:val="24"/>
                <w:highlight w:val="none"/>
                <w:lang w:bidi="ar"/>
              </w:rPr>
              <w:t>1.</w:t>
            </w:r>
            <w:r>
              <w:rPr>
                <w:rFonts w:eastAsia="仿宋_GB2312"/>
                <w:color w:val="auto"/>
                <w:sz w:val="24"/>
                <w:highlight w:val="none"/>
                <w:lang w:val="en" w:eastAsia="en" w:bidi="ar"/>
              </w:rPr>
              <w:t>3</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4.5</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7</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托育机构保育人员（万人）</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0.095</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8</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新建居住社区配套托育服务设施覆盖率（%）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100</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9</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社区托育服务设施覆盖率（%）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rPr>
              <w:t>≥</w:t>
            </w:r>
            <w:r>
              <w:rPr>
                <w:rFonts w:eastAsia="仿宋_GB2312"/>
                <w:color w:val="auto"/>
                <w:sz w:val="24"/>
                <w:highlight w:val="none"/>
                <w:lang w:bidi="ar"/>
              </w:rPr>
              <w:t>60</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lang w:bidi="ar"/>
              </w:rPr>
            </w:pPr>
            <w:r>
              <w:rPr>
                <w:rFonts w:eastAsia="仿宋_GB2312"/>
                <w:color w:val="auto"/>
                <w:sz w:val="24"/>
                <w:highlight w:val="none"/>
                <w:lang w:bidi="ar"/>
              </w:rPr>
              <w:t>10</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公共场所和用人单位配置标准化的母婴设施</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应建尽建</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bidi="ar"/>
              </w:rPr>
            </w:pPr>
            <w:r>
              <w:rPr>
                <w:rFonts w:eastAsia="仿宋_GB2312"/>
                <w:color w:val="auto"/>
                <w:sz w:val="24"/>
                <w:highlight w:val="none"/>
                <w:lang w:bidi="ar"/>
              </w:rPr>
              <w:t>1</w:t>
            </w:r>
            <w:r>
              <w:rPr>
                <w:rFonts w:hint="eastAsia" w:eastAsia="仿宋_GB2312"/>
                <w:color w:val="auto"/>
                <w:sz w:val="24"/>
                <w:highlight w:val="none"/>
                <w:lang w:val="en-US" w:eastAsia="zh-CN" w:bidi="ar"/>
              </w:rPr>
              <w:t>1</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县级区域综合托育中心数量（个）</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0</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rPr>
            </w:pPr>
            <w:r>
              <w:rPr>
                <w:rFonts w:hint="eastAsia" w:eastAsia="仿宋_GB2312"/>
                <w:color w:val="auto"/>
                <w:sz w:val="24"/>
                <w:highlight w:val="none"/>
                <w:lang w:val="en-US" w:eastAsia="zh-CN" w:bidi="ar"/>
              </w:rPr>
              <w:t>1</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bidi="ar"/>
              </w:rPr>
            </w:pPr>
            <w:r>
              <w:rPr>
                <w:rFonts w:eastAsia="仿宋_GB2312"/>
                <w:color w:val="auto"/>
                <w:sz w:val="24"/>
                <w:highlight w:val="none"/>
                <w:lang w:bidi="ar"/>
              </w:rPr>
              <w:t>1</w:t>
            </w:r>
            <w:r>
              <w:rPr>
                <w:rFonts w:hint="eastAsia" w:eastAsia="仿宋_GB2312"/>
                <w:color w:val="auto"/>
                <w:sz w:val="24"/>
                <w:highlight w:val="none"/>
                <w:lang w:val="en-US" w:eastAsia="zh-CN" w:bidi="ar"/>
              </w:rPr>
              <w:t>2</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备案托育服务机构数（个）</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rPr>
            </w:pPr>
            <w:r>
              <w:rPr>
                <w:rFonts w:hint="eastAsia" w:eastAsia="仿宋_GB2312"/>
                <w:color w:val="auto"/>
                <w:sz w:val="24"/>
                <w:highlight w:val="none"/>
                <w:lang w:val="en-US" w:eastAsia="zh-CN" w:bidi="ar"/>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rPr>
            </w:pPr>
            <w:r>
              <w:rPr>
                <w:rFonts w:hint="eastAsia" w:eastAsia="仿宋_GB2312"/>
                <w:color w:val="auto"/>
                <w:sz w:val="24"/>
                <w:highlight w:val="none"/>
                <w:lang w:val="en-US" w:eastAsia="zh-CN" w:bidi="ar"/>
              </w:rPr>
              <w:t>5</w:t>
            </w:r>
          </w:p>
        </w:tc>
      </w:tr>
      <w:tr>
        <w:tblPrEx>
          <w:tblCellMar>
            <w:top w:w="0" w:type="dxa"/>
            <w:left w:w="17" w:type="dxa"/>
            <w:bottom w:w="0" w:type="dxa"/>
            <w:right w:w="17" w:type="dxa"/>
          </w:tblCellMar>
        </w:tblPrEx>
        <w:trPr>
          <w:cantSplit/>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eastAsia="仿宋_GB2312"/>
                <w:color w:val="auto"/>
                <w:sz w:val="24"/>
                <w:highlight w:val="none"/>
                <w:lang w:eastAsia="zh-CN" w:bidi="ar"/>
              </w:rPr>
            </w:pPr>
            <w:r>
              <w:rPr>
                <w:rFonts w:eastAsia="仿宋_GB2312"/>
                <w:color w:val="auto"/>
                <w:sz w:val="24"/>
                <w:highlight w:val="none"/>
                <w:lang w:bidi="ar"/>
              </w:rPr>
              <w:t>1</w:t>
            </w:r>
            <w:r>
              <w:rPr>
                <w:rFonts w:hint="eastAsia" w:eastAsia="仿宋_GB2312"/>
                <w:color w:val="auto"/>
                <w:sz w:val="24"/>
                <w:highlight w:val="none"/>
                <w:lang w:val="en-US" w:eastAsia="zh-CN" w:bidi="ar"/>
              </w:rPr>
              <w:t>3</w:t>
            </w:r>
          </w:p>
        </w:tc>
        <w:tc>
          <w:tcPr>
            <w:tcW w:w="46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托育从业人员培训合格（或持证）率（%）</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eastAsia="仿宋_GB2312"/>
                <w:color w:val="auto"/>
                <w:sz w:val="24"/>
                <w:highlight w:val="none"/>
              </w:rPr>
            </w:pPr>
            <w:r>
              <w:rPr>
                <w:rFonts w:eastAsia="仿宋_GB2312"/>
                <w:color w:val="auto"/>
                <w:sz w:val="24"/>
                <w:highlight w:val="none"/>
                <w:lang w:bidi="ar"/>
              </w:rPr>
              <w:t>100</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黑体"/>
          <w:color w:val="auto"/>
          <w:sz w:val="32"/>
          <w:szCs w:val="32"/>
          <w:highlight w:val="none"/>
        </w:rPr>
      </w:pPr>
      <w:r>
        <w:rPr>
          <w:rFonts w:hAnsi="黑体" w:eastAsia="黑体"/>
          <w:color w:val="auto"/>
          <w:sz w:val="32"/>
          <w:szCs w:val="32"/>
          <w:highlight w:val="none"/>
        </w:rPr>
        <w:t>四、重点任务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u w:val="none" w:color="auto"/>
        </w:rPr>
      </w:pPr>
      <w:r>
        <w:rPr>
          <w:rFonts w:eastAsia="楷体_GB2312"/>
          <w:color w:val="auto"/>
          <w:sz w:val="32"/>
          <w:szCs w:val="32"/>
          <w:highlight w:val="none"/>
          <w:u w:val="none" w:color="auto"/>
        </w:rPr>
        <w:t>（一）完善兜底性养老托育保障。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1．建立健全养老托育制度体系。建立基本养老服务清单，制定政府购买基本养老服务指南，明确基本养老服务的具体内容、范围和标准，优先将经济困难的失能、重度残疾、高龄、空巢、留守、计划生育特殊家庭等老年人纳入基本养老服务清单制度重点保障对象。完善兜底性养老服务救助，将符合条件的困难老年人全部纳入最低生活保障、特困人员救助供养，适时调整完善救助标准并稳步提高。衔接实施全国统一的老年人能力和照护需求评估标准，全面开展老年人综合能力评估。到2025年，实现有集中供养意愿的兜底保障对象集中供养率达到100%。建立健全托育服务标准，包括基本公共服务项目、标准和资金保障渠道，切实做好基本妇幼保健服务工作，为婴幼儿家庭开展新生儿访视、膳食营养、生长发育、预防接种、安全防护、疾病防控等服务。</w:t>
      </w:r>
      <w:r>
        <w:rPr>
          <w:rFonts w:hint="eastAsia" w:eastAsia="仿宋_GB2312"/>
          <w:color w:val="auto"/>
          <w:sz w:val="32"/>
          <w:szCs w:val="32"/>
          <w:highlight w:val="none"/>
          <w:lang w:eastAsia="zh-CN"/>
        </w:rPr>
        <w:t>（责任单位：县民政局、县卫生健康局牵头，</w:t>
      </w:r>
      <w:r>
        <w:rPr>
          <w:rFonts w:hint="eastAsia" w:eastAsia="仿宋_GB2312"/>
          <w:color w:val="auto"/>
          <w:sz w:val="32"/>
          <w:szCs w:val="32"/>
          <w:highlight w:val="none"/>
          <w:lang w:val="en-US" w:eastAsia="zh-CN"/>
        </w:rPr>
        <w:t>县财政局、县残联</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2．完善养老托育保障制度</w:t>
      </w:r>
      <w:bookmarkStart w:id="4" w:name="_Toc14099"/>
      <w:r>
        <w:rPr>
          <w:rFonts w:eastAsia="仿宋_GB2312"/>
          <w:color w:val="auto"/>
          <w:sz w:val="32"/>
          <w:szCs w:val="32"/>
          <w:highlight w:val="none"/>
        </w:rPr>
        <w:t>。</w:t>
      </w:r>
      <w:r>
        <w:rPr>
          <w:rFonts w:hint="eastAsia" w:eastAsia="仿宋_GB2312"/>
          <w:color w:val="auto"/>
          <w:sz w:val="32"/>
          <w:szCs w:val="32"/>
          <w:highlight w:val="none"/>
          <w:lang w:eastAsia="zh-CN"/>
        </w:rPr>
        <w:t>完善城乡居民养老保险制度，全面落实困难群体参保缴费、政府代缴政策，鼓励广大参保群众早缴费、多缴费、长缴费，逐步提高退休人员基本养老金和城乡居民基础养老金标准。加强社会保障信息系统建设，坚持线上、线下业务经办相结合，在城乡居民参保缴费、待遇申领、资格认证、关系转移等方面优化服务。完善医疗</w:t>
      </w:r>
      <w:r>
        <w:rPr>
          <w:rFonts w:eastAsia="仿宋_GB2312"/>
          <w:bCs/>
          <w:color w:val="auto"/>
          <w:sz w:val="32"/>
          <w:szCs w:val="32"/>
          <w:highlight w:val="none"/>
        </w:rPr>
        <w:t>保险制度，</w:t>
      </w:r>
      <w:r>
        <w:rPr>
          <w:rFonts w:eastAsia="仿宋_GB2312"/>
          <w:color w:val="auto"/>
          <w:sz w:val="32"/>
          <w:szCs w:val="32"/>
          <w:highlight w:val="none"/>
        </w:rPr>
        <w:t>加快推进基本医疗保险全国联网和异地就医结算，实现符合规定的跨省异地安置老年人住院费用直接结算。健全城乡居民大病保险制度，采取降低起付线、提高报销比例、合理确定合规医疗费用范围等措施，提高大病保险对困难群众支付的精准性。</w:t>
      </w:r>
      <w:r>
        <w:rPr>
          <w:rFonts w:eastAsia="仿宋_GB2312"/>
          <w:bCs/>
          <w:color w:val="auto"/>
          <w:sz w:val="32"/>
          <w:szCs w:val="32"/>
          <w:highlight w:val="none"/>
        </w:rPr>
        <w:t>完善老年社会福利制度，</w:t>
      </w:r>
      <w:r>
        <w:rPr>
          <w:rFonts w:eastAsia="仿宋_GB2312"/>
          <w:color w:val="auto"/>
          <w:sz w:val="32"/>
          <w:szCs w:val="32"/>
          <w:highlight w:val="none"/>
        </w:rPr>
        <w:t>提高老年人社会优待水平，完善经济困难老年人居家养老服务补贴制度，建立完善各项津贴、补贴标准动态调整机制。落实农村计划生育家庭奖励扶助制度和计划生育特殊家庭特别扶助制度，完善计划生育特殊家庭老年人住院护理补贴保险制度。</w:t>
      </w:r>
      <w:r>
        <w:rPr>
          <w:rFonts w:eastAsia="仿宋_GB2312"/>
          <w:bCs/>
          <w:color w:val="auto"/>
          <w:sz w:val="32"/>
          <w:szCs w:val="32"/>
          <w:highlight w:val="none"/>
        </w:rPr>
        <w:t>完善老年社会救助制度，</w:t>
      </w:r>
      <w:r>
        <w:rPr>
          <w:rFonts w:eastAsia="仿宋_GB2312"/>
          <w:color w:val="auto"/>
          <w:sz w:val="32"/>
          <w:szCs w:val="32"/>
          <w:highlight w:val="none"/>
        </w:rPr>
        <w:t>将符合条件的困难老年人家庭全部纳入最低生活保障范围，逐步提高保障标准和水平。完善医疗救助制度，</w:t>
      </w:r>
      <w:r>
        <w:rPr>
          <w:rFonts w:hint="eastAsia" w:eastAsia="仿宋_GB2312"/>
          <w:color w:val="auto"/>
          <w:sz w:val="32"/>
          <w:szCs w:val="32"/>
          <w:highlight w:val="none"/>
          <w:lang w:eastAsia="zh-CN"/>
        </w:rPr>
        <w:t>将特困人员、因高额医疗费用支出导致家庭基本生活出现严重困难的老年大病患者</w:t>
      </w:r>
      <w:r>
        <w:rPr>
          <w:rFonts w:eastAsia="仿宋_GB2312"/>
          <w:color w:val="auto"/>
          <w:sz w:val="32"/>
          <w:szCs w:val="32"/>
          <w:highlight w:val="none"/>
        </w:rPr>
        <w:t>纳入救助范围。加强老年人“救急难”工作，按规定对流浪乞讨、遭受遗弃等生活无着老年人给予救助。</w:t>
      </w:r>
      <w:r>
        <w:rPr>
          <w:rFonts w:hint="eastAsia" w:eastAsia="仿宋_GB2312"/>
          <w:color w:val="auto"/>
          <w:sz w:val="32"/>
          <w:szCs w:val="32"/>
          <w:highlight w:val="none"/>
          <w:lang w:eastAsia="zh-CN"/>
        </w:rPr>
        <w:t>（责任单位：县民政局、县卫生健康局牵头，县人社局、县医疗保障局、县财政局）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3．</w:t>
      </w:r>
      <w:r>
        <w:rPr>
          <w:rFonts w:eastAsia="仿宋_GB2312"/>
          <w:bCs/>
          <w:color w:val="auto"/>
          <w:sz w:val="32"/>
          <w:szCs w:val="32"/>
          <w:highlight w:val="none"/>
        </w:rPr>
        <w:t>加强科学规划布局。</w:t>
      </w:r>
      <w:r>
        <w:rPr>
          <w:rFonts w:eastAsia="仿宋_GB2312"/>
          <w:color w:val="auto"/>
          <w:sz w:val="32"/>
          <w:szCs w:val="32"/>
          <w:highlight w:val="none"/>
        </w:rPr>
        <w:t>推进国土空间规划与养老托育专项规划统筹衔接，按照人均用地不少于0.1平方米的标准，分区分级规划设置养老服务设施。新建居住（小）区，要按照每100户（平均每户3人计算）不低于30平方米的标准提出养老服务设施规划要求。凡新建城区和新建居住（小）区，要按照规划和标准配套建设社区养老服务设施，与住宅同步规划、同步建设、同步验收、同步交付使用，列入土地出让（租赁）合同内容，不计入要求配建的社区综合服务设施用房面积。已建成居住（小）区无养老服务设施或现有设施没有达到规划要求的，通过购置、置换、租赁、利用闲置资源等方式建设。加强社区日间照料中心、老年活动中心、嵌入式中小微养老机构等城乡社区养老服务设施建设，并配备医疗护理、康复辅具、文娱活动等设备。根据人口空间聚集态势，在新建居住区，按照每千人口不少于10个托位，老城区和已建成居住区按照每千人口不少于8个托位规划、建设婴幼儿照护服务设施及配套安全设施，并与住宅同步验收、同步交付使用。</w:t>
      </w:r>
      <w:r>
        <w:rPr>
          <w:rFonts w:hint="eastAsia" w:eastAsia="仿宋_GB2312"/>
          <w:color w:val="auto"/>
          <w:sz w:val="32"/>
          <w:szCs w:val="32"/>
          <w:highlight w:val="none"/>
          <w:lang w:eastAsia="zh-CN"/>
        </w:rPr>
        <w:t>（责任单位：县自然资源局、县住建局牵头，县民政局、县卫生健康局）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bCs/>
          <w:color w:val="auto"/>
          <w:sz w:val="32"/>
          <w:szCs w:val="32"/>
          <w:highlight w:val="none"/>
        </w:rPr>
        <w:t>4．完善养老托育设施建设。</w:t>
      </w:r>
      <w:r>
        <w:rPr>
          <w:rFonts w:eastAsia="仿宋_GB2312"/>
          <w:color w:val="auto"/>
          <w:sz w:val="32"/>
          <w:szCs w:val="32"/>
          <w:highlight w:val="none"/>
        </w:rPr>
        <w:t>“十四五”期间，全</w:t>
      </w:r>
      <w:r>
        <w:rPr>
          <w:rFonts w:hint="eastAsia" w:eastAsia="仿宋_GB2312"/>
          <w:color w:val="auto"/>
          <w:sz w:val="32"/>
          <w:szCs w:val="32"/>
          <w:highlight w:val="none"/>
          <w:lang w:eastAsia="zh-CN"/>
        </w:rPr>
        <w:t>县</w:t>
      </w:r>
      <w:r>
        <w:rPr>
          <w:rFonts w:eastAsia="仿宋_GB2312"/>
          <w:color w:val="auto"/>
          <w:sz w:val="32"/>
          <w:szCs w:val="32"/>
          <w:highlight w:val="none"/>
        </w:rPr>
        <w:t>规划公办养老服务机构（含特困人员供养服务机构）、区域养老服务中心、社区</w:t>
      </w:r>
      <w:r>
        <w:rPr>
          <w:rFonts w:eastAsia="仿宋_GB2312"/>
          <w:bCs/>
          <w:color w:val="auto"/>
          <w:sz w:val="32"/>
          <w:szCs w:val="32"/>
          <w:highlight w:val="none"/>
        </w:rPr>
        <w:t>养老服务综合体、</w:t>
      </w:r>
      <w:r>
        <w:rPr>
          <w:rFonts w:eastAsia="仿宋_GB2312"/>
          <w:color w:val="auto"/>
          <w:sz w:val="32"/>
          <w:szCs w:val="32"/>
          <w:highlight w:val="none"/>
        </w:rPr>
        <w:t>社区居</w:t>
      </w:r>
      <w:r>
        <w:rPr>
          <w:rFonts w:eastAsia="仿宋_GB2312"/>
          <w:bCs/>
          <w:color w:val="auto"/>
          <w:sz w:val="32"/>
          <w:szCs w:val="32"/>
          <w:highlight w:val="none"/>
        </w:rPr>
        <w:t>家养老服务网络等养老服务体系新建（改扩建）</w:t>
      </w:r>
      <w:r>
        <w:rPr>
          <w:rFonts w:eastAsia="仿宋_GB2312"/>
          <w:color w:val="auto"/>
          <w:sz w:val="32"/>
          <w:szCs w:val="32"/>
          <w:highlight w:val="none"/>
        </w:rPr>
        <w:t>项目</w:t>
      </w:r>
      <w:r>
        <w:rPr>
          <w:rFonts w:hint="eastAsia" w:eastAsia="仿宋_GB2312"/>
          <w:color w:val="auto"/>
          <w:sz w:val="32"/>
          <w:szCs w:val="32"/>
          <w:highlight w:val="none"/>
          <w:lang w:val="en-US" w:eastAsia="zh-CN"/>
        </w:rPr>
        <w:t>6</w:t>
      </w:r>
      <w:r>
        <w:rPr>
          <w:rFonts w:eastAsia="仿宋_GB2312"/>
          <w:color w:val="auto"/>
          <w:sz w:val="32"/>
          <w:szCs w:val="32"/>
          <w:highlight w:val="none"/>
        </w:rPr>
        <w:t>个，总投资</w:t>
      </w:r>
      <w:r>
        <w:rPr>
          <w:rFonts w:hint="eastAsia" w:eastAsia="仿宋_GB2312"/>
          <w:color w:val="auto"/>
          <w:sz w:val="32"/>
          <w:szCs w:val="32"/>
          <w:highlight w:val="none"/>
          <w:lang w:val="en-US" w:eastAsia="zh-CN"/>
        </w:rPr>
        <w:t>11500</w:t>
      </w:r>
      <w:r>
        <w:rPr>
          <w:rFonts w:hint="eastAsia" w:eastAsia="仿宋_GB2312"/>
          <w:color w:val="auto"/>
          <w:sz w:val="32"/>
          <w:szCs w:val="32"/>
          <w:highlight w:val="none"/>
          <w:lang w:eastAsia="zh-CN"/>
        </w:rPr>
        <w:t>万</w:t>
      </w:r>
      <w:r>
        <w:rPr>
          <w:rFonts w:eastAsia="仿宋_GB2312"/>
          <w:color w:val="auto"/>
          <w:sz w:val="32"/>
          <w:szCs w:val="32"/>
          <w:highlight w:val="none"/>
        </w:rPr>
        <w:t>元，</w:t>
      </w:r>
      <w:r>
        <w:rPr>
          <w:rFonts w:hint="eastAsia" w:eastAsia="仿宋_GB2312"/>
          <w:color w:val="auto"/>
          <w:sz w:val="32"/>
          <w:szCs w:val="32"/>
          <w:highlight w:val="none"/>
          <w:lang w:eastAsia="zh-CN"/>
        </w:rPr>
        <w:t>可</w:t>
      </w:r>
      <w:r>
        <w:rPr>
          <w:rFonts w:eastAsia="仿宋_GB2312"/>
          <w:color w:val="auto"/>
          <w:sz w:val="32"/>
          <w:szCs w:val="32"/>
          <w:highlight w:val="none"/>
        </w:rPr>
        <w:t>新增养老床位</w:t>
      </w:r>
      <w:r>
        <w:rPr>
          <w:rFonts w:hint="eastAsia" w:eastAsia="仿宋_GB2312"/>
          <w:color w:val="auto"/>
          <w:sz w:val="32"/>
          <w:szCs w:val="32"/>
          <w:highlight w:val="none"/>
          <w:lang w:val="en-US" w:eastAsia="zh-CN"/>
        </w:rPr>
        <w:t>720</w:t>
      </w:r>
      <w:r>
        <w:rPr>
          <w:rFonts w:eastAsia="仿宋_GB2312"/>
          <w:color w:val="auto"/>
          <w:sz w:val="32"/>
          <w:szCs w:val="32"/>
          <w:highlight w:val="none"/>
        </w:rPr>
        <w:t>张。全</w:t>
      </w:r>
      <w:r>
        <w:rPr>
          <w:rFonts w:hint="eastAsia" w:eastAsia="仿宋_GB2312"/>
          <w:color w:val="auto"/>
          <w:sz w:val="32"/>
          <w:szCs w:val="32"/>
          <w:highlight w:val="none"/>
          <w:lang w:eastAsia="zh-CN"/>
        </w:rPr>
        <w:t>县</w:t>
      </w:r>
      <w:r>
        <w:rPr>
          <w:rFonts w:eastAsia="仿宋_GB2312"/>
          <w:color w:val="auto"/>
          <w:sz w:val="32"/>
          <w:szCs w:val="32"/>
          <w:highlight w:val="none"/>
        </w:rPr>
        <w:t>区域养老服务中心达到</w:t>
      </w:r>
      <w:r>
        <w:rPr>
          <w:rFonts w:hint="eastAsia" w:eastAsia="仿宋_GB2312"/>
          <w:color w:val="auto"/>
          <w:sz w:val="32"/>
          <w:szCs w:val="32"/>
          <w:highlight w:val="none"/>
          <w:lang w:val="en-US" w:eastAsia="zh-CN"/>
        </w:rPr>
        <w:t>22</w:t>
      </w:r>
      <w:r>
        <w:rPr>
          <w:rFonts w:eastAsia="仿宋_GB2312"/>
          <w:color w:val="auto"/>
          <w:sz w:val="32"/>
          <w:szCs w:val="32"/>
          <w:highlight w:val="none"/>
        </w:rPr>
        <w:t>个、社区养老服务综合体</w:t>
      </w:r>
      <w:r>
        <w:rPr>
          <w:rFonts w:hint="eastAsia" w:eastAsia="仿宋_GB2312"/>
          <w:color w:val="auto"/>
          <w:sz w:val="32"/>
          <w:szCs w:val="32"/>
          <w:highlight w:val="none"/>
          <w:lang w:val="en-US" w:eastAsia="zh-CN"/>
        </w:rPr>
        <w:t>3</w:t>
      </w:r>
      <w:r>
        <w:rPr>
          <w:rFonts w:eastAsia="仿宋_GB2312"/>
          <w:color w:val="auto"/>
          <w:sz w:val="32"/>
          <w:szCs w:val="32"/>
          <w:highlight w:val="none"/>
        </w:rPr>
        <w:t>个。规划建设一批公办托育服务机构，扩大普惠托育服务供给，新建（改扩建）托育项目</w:t>
      </w:r>
      <w:r>
        <w:rPr>
          <w:rFonts w:hint="eastAsia" w:eastAsia="仿宋_GB2312"/>
          <w:color w:val="auto"/>
          <w:sz w:val="32"/>
          <w:szCs w:val="32"/>
          <w:highlight w:val="none"/>
          <w:lang w:val="en-US" w:eastAsia="zh-CN"/>
        </w:rPr>
        <w:t>8</w:t>
      </w:r>
      <w:r>
        <w:rPr>
          <w:rFonts w:eastAsia="仿宋_GB2312"/>
          <w:color w:val="auto"/>
          <w:sz w:val="32"/>
          <w:szCs w:val="32"/>
          <w:highlight w:val="none"/>
        </w:rPr>
        <w:t>个，总投资</w:t>
      </w:r>
      <w:r>
        <w:rPr>
          <w:rFonts w:hint="eastAsia" w:eastAsia="仿宋_GB2312"/>
          <w:color w:val="auto"/>
          <w:sz w:val="32"/>
          <w:szCs w:val="32"/>
          <w:highlight w:val="none"/>
          <w:lang w:val="en-US" w:eastAsia="zh-CN"/>
        </w:rPr>
        <w:t>4014</w:t>
      </w:r>
      <w:r>
        <w:rPr>
          <w:rFonts w:hint="eastAsia" w:eastAsia="仿宋_GB2312"/>
          <w:color w:val="auto"/>
          <w:sz w:val="32"/>
          <w:szCs w:val="32"/>
          <w:highlight w:val="none"/>
          <w:lang w:eastAsia="zh-CN"/>
        </w:rPr>
        <w:t>万</w:t>
      </w:r>
      <w:r>
        <w:rPr>
          <w:rFonts w:eastAsia="仿宋_GB2312"/>
          <w:color w:val="auto"/>
          <w:sz w:val="32"/>
          <w:szCs w:val="32"/>
          <w:highlight w:val="none"/>
        </w:rPr>
        <w:t>元，</w:t>
      </w:r>
      <w:r>
        <w:rPr>
          <w:rFonts w:hint="eastAsia" w:eastAsia="仿宋_GB2312"/>
          <w:color w:val="auto"/>
          <w:sz w:val="32"/>
          <w:szCs w:val="32"/>
          <w:highlight w:val="none"/>
          <w:lang w:eastAsia="zh-CN"/>
        </w:rPr>
        <w:t>可</w:t>
      </w:r>
      <w:r>
        <w:rPr>
          <w:rFonts w:eastAsia="仿宋_GB2312"/>
          <w:color w:val="auto"/>
          <w:sz w:val="32"/>
          <w:szCs w:val="32"/>
          <w:highlight w:val="none"/>
        </w:rPr>
        <w:t>新增托位数860个。</w:t>
      </w:r>
      <w:r>
        <w:rPr>
          <w:rFonts w:hint="eastAsia" w:eastAsia="仿宋_GB2312"/>
          <w:color w:val="auto"/>
          <w:sz w:val="32"/>
          <w:szCs w:val="32"/>
          <w:highlight w:val="none"/>
          <w:lang w:eastAsia="zh-CN"/>
        </w:rPr>
        <w:t>（责任单位：县民政局、县卫生健康局牵头，县发改局、</w:t>
      </w:r>
      <w:r>
        <w:rPr>
          <w:rFonts w:hint="eastAsia" w:eastAsia="仿宋_GB2312"/>
          <w:color w:val="auto"/>
          <w:sz w:val="32"/>
          <w:szCs w:val="32"/>
          <w:highlight w:val="none"/>
          <w:lang w:val="en-US" w:eastAsia="zh-CN"/>
        </w:rPr>
        <w:t>县财政局、县教科局</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5．健全三级养老托育服务网络。将补齐农村养老服务短板纳入乡村振兴战略统筹推进。</w:t>
      </w:r>
      <w:r>
        <w:rPr>
          <w:rFonts w:eastAsia="仿宋_GB2312"/>
          <w:bCs/>
          <w:color w:val="auto"/>
          <w:sz w:val="32"/>
          <w:szCs w:val="32"/>
          <w:highlight w:val="none"/>
        </w:rPr>
        <w:t>建立健全以县级失能特困人员养护院为中心、乡镇级农村区域性养老服务中心为骨干、村级互助养老服务点为网点的三级养老服务网络。</w:t>
      </w:r>
      <w:r>
        <w:rPr>
          <w:rFonts w:eastAsia="仿宋_GB2312"/>
          <w:color w:val="auto"/>
          <w:sz w:val="32"/>
          <w:szCs w:val="32"/>
          <w:highlight w:val="none"/>
        </w:rPr>
        <w:t>在建设农村社区综合服务设施时，统筹考虑养老托育服务设施建设，</w:t>
      </w:r>
      <w:r>
        <w:rPr>
          <w:rFonts w:hint="eastAsia" w:eastAsia="仿宋_GB2312"/>
          <w:color w:val="auto"/>
          <w:sz w:val="32"/>
          <w:szCs w:val="32"/>
          <w:highlight w:val="none"/>
          <w:lang w:eastAsia="zh-CN"/>
        </w:rPr>
        <w:t>鼓励</w:t>
      </w:r>
      <w:r>
        <w:rPr>
          <w:rFonts w:eastAsia="仿宋_GB2312"/>
          <w:color w:val="auto"/>
          <w:sz w:val="32"/>
          <w:szCs w:val="32"/>
          <w:highlight w:val="none"/>
        </w:rPr>
        <w:t>利用农村公共服务设施、“两项改革”闲置资产等场所，建设非营利性养老托育机构。2022年，至少建有1所以失能特困人员、残疾和计划生育特殊家庭老年人专业照护为主的县级特困人员供养服务设施（养护院）。到2025年，乡镇（街道）范围建有并运营具备综合功能的养老机构覆盖率达到60%。</w:t>
      </w:r>
      <w:r>
        <w:rPr>
          <w:rFonts w:hint="eastAsia" w:eastAsia="仿宋_GB2312"/>
          <w:color w:val="auto"/>
          <w:sz w:val="32"/>
          <w:szCs w:val="32"/>
          <w:highlight w:val="none"/>
          <w:lang w:eastAsia="zh-CN"/>
        </w:rPr>
        <w:t>（责任单位：县民政局、县卫生健康局牵头，县乡村振兴局、县发改局、县财政局、县国有资产管理服务中心）</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hint="eastAsia" w:eastAsia="仿宋_GB2312"/>
          <w:bCs/>
          <w:color w:val="auto"/>
          <w:szCs w:val="32"/>
          <w:highlight w:val="none"/>
          <w:lang w:eastAsia="zh-CN"/>
        </w:rPr>
      </w:pPr>
      <w:r>
        <w:rPr>
          <w:rFonts w:eastAsia="仿宋_GB2312"/>
          <w:bCs/>
          <w:color w:val="auto"/>
          <w:szCs w:val="32"/>
          <w:highlight w:val="none"/>
        </w:rPr>
        <w:t>6</w:t>
      </w:r>
      <w:r>
        <w:rPr>
          <w:rFonts w:eastAsia="仿宋_GB2312"/>
          <w:color w:val="auto"/>
          <w:szCs w:val="32"/>
          <w:highlight w:val="none"/>
        </w:rPr>
        <w:t>．</w:t>
      </w:r>
      <w:r>
        <w:rPr>
          <w:rFonts w:eastAsia="仿宋_GB2312"/>
          <w:bCs/>
          <w:color w:val="auto"/>
          <w:szCs w:val="32"/>
          <w:highlight w:val="none"/>
        </w:rPr>
        <w:t>深化公办养老托育机构改革。按</w:t>
      </w:r>
      <w:r>
        <w:rPr>
          <w:rFonts w:eastAsia="仿宋_GB2312"/>
          <w:color w:val="auto"/>
          <w:szCs w:val="32"/>
          <w:highlight w:val="none"/>
        </w:rPr>
        <w:t>照“宜公则公、宜民则民”的原则，探索通过政府购买服务、委托管理、租赁经营、TOT（移交—运营—移交）等方式，</w:t>
      </w:r>
      <w:r>
        <w:rPr>
          <w:rFonts w:eastAsia="仿宋_GB2312"/>
          <w:bCs/>
          <w:color w:val="auto"/>
          <w:szCs w:val="32"/>
          <w:highlight w:val="none"/>
        </w:rPr>
        <w:t>引入社会力量管理运营公办养老托育机构。鼓励有条件的公办养老托育机构改制为国有养老托育服务企业，引入专业化团队实行企业化管理。推行农村公办养老机构县级直管模式，将农村公办养老服务资源整体打包托管运营，在保障特困人员集中供养服务基础上，逐步为社会老年人提供基本养老服务。</w:t>
      </w:r>
      <w:r>
        <w:rPr>
          <w:rFonts w:hint="eastAsia" w:eastAsia="仿宋_GB2312"/>
          <w:bCs/>
          <w:color w:val="auto"/>
          <w:szCs w:val="32"/>
          <w:highlight w:val="none"/>
          <w:lang w:eastAsia="zh-CN"/>
        </w:rPr>
        <w:t>（责任单位：县民政局、县卫生健康局牵头，县市场监督管理局、县行政审批局、县国有资产管理服务中心、县人社局、县委编办）</w:t>
      </w:r>
    </w:p>
    <w:p>
      <w:pPr>
        <w:pStyle w:val="9"/>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7．整治消防隐患提升应急能力。开展养老机构消防安全专项整治三年行动，对具备消防改造条件的养老机构，及时制定整改方案、细化整改措施，2022年底整改率达50%，2023年底整改率达100%。</w:t>
      </w:r>
      <w:r>
        <w:rPr>
          <w:rFonts w:eastAsia="仿宋_GB2312"/>
          <w:bCs/>
          <w:color w:val="auto"/>
          <w:sz w:val="32"/>
          <w:szCs w:val="32"/>
          <w:highlight w:val="none"/>
        </w:rPr>
        <w:t>将养老服务应急救援体系建设作为省</w:t>
      </w:r>
      <w:r>
        <w:rPr>
          <w:rFonts w:hint="eastAsia" w:eastAsia="仿宋_GB2312"/>
          <w:bCs/>
          <w:color w:val="auto"/>
          <w:sz w:val="32"/>
          <w:szCs w:val="32"/>
          <w:highlight w:val="none"/>
          <w:lang w:val="en-US" w:eastAsia="zh-CN"/>
        </w:rPr>
        <w:t>、市</w:t>
      </w:r>
      <w:r>
        <w:rPr>
          <w:rFonts w:eastAsia="仿宋_GB2312"/>
          <w:bCs/>
          <w:color w:val="auto"/>
          <w:sz w:val="32"/>
          <w:szCs w:val="32"/>
          <w:highlight w:val="none"/>
        </w:rPr>
        <w:t>应急救援体系和公共卫生防控救治能力建设的重要组成部分，建立县、乡养老应急救援服务网络。</w:t>
      </w:r>
      <w:r>
        <w:rPr>
          <w:rFonts w:hint="eastAsia" w:eastAsia="仿宋_GB2312"/>
          <w:bCs/>
          <w:color w:val="auto"/>
          <w:sz w:val="32"/>
          <w:szCs w:val="32"/>
          <w:highlight w:val="none"/>
          <w:lang w:eastAsia="zh-CN"/>
        </w:rPr>
        <w:t>（责任单位：县应急管理局牵头，县民政局）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（二）大力发展普惠养老托育服务。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8．完善普惠养老托育服务支持政策。政府</w:t>
      </w:r>
      <w:r>
        <w:rPr>
          <w:rFonts w:eastAsia="仿宋_GB2312"/>
          <w:bCs/>
          <w:color w:val="auto"/>
          <w:sz w:val="32"/>
          <w:szCs w:val="32"/>
          <w:highlight w:val="none"/>
        </w:rPr>
        <w:t>通过提供场地、财政补贴、减税降费、人才培养、多渠道融资等方式，充分调动市场主体参与的积极性，引导社会资本和国有资本积极参与，建设一批价格可负担、质量有保障、运行可持续的普惠性养老托育服务机构，</w:t>
      </w:r>
      <w:r>
        <w:rPr>
          <w:rFonts w:eastAsia="仿宋_GB2312"/>
          <w:color w:val="auto"/>
          <w:sz w:val="32"/>
          <w:szCs w:val="32"/>
          <w:highlight w:val="none"/>
        </w:rPr>
        <w:t>加大对养老托育服务投入力度，</w:t>
      </w:r>
      <w:r>
        <w:rPr>
          <w:rFonts w:eastAsia="仿宋_GB2312"/>
          <w:bCs/>
          <w:color w:val="auto"/>
          <w:sz w:val="32"/>
          <w:szCs w:val="32"/>
          <w:highlight w:val="none"/>
        </w:rPr>
        <w:t>扩大“一老一小”普惠性服务供给。细化</w:t>
      </w:r>
      <w:r>
        <w:rPr>
          <w:rFonts w:eastAsia="仿宋_GB2312"/>
          <w:color w:val="auto"/>
          <w:sz w:val="32"/>
          <w:szCs w:val="32"/>
          <w:highlight w:val="none"/>
        </w:rPr>
        <w:t>制定优惠政策，综合研究完善土地、融资、税收等政策支持清单，开展普惠养老城企联动专项行动。积极推进培疗机构转型，增加普惠养老床位储备。出台本地普惠养老机构收费指导价格，普惠养老机构原则上收费不超过当地城镇居民可支配收入标准的150%，且不高于完全市场化养老机构价格的80%，逐步达到不高于70%的目标。支持发展普惠托育服务，鼓励支持企事业单位、社会组织和社区等提供普惠托育和婴幼儿照护服务。</w:t>
      </w:r>
      <w:r>
        <w:rPr>
          <w:rFonts w:hint="eastAsia" w:eastAsia="仿宋_GB2312"/>
          <w:color w:val="auto"/>
          <w:sz w:val="32"/>
          <w:szCs w:val="32"/>
          <w:highlight w:val="none"/>
          <w:lang w:eastAsia="zh-CN"/>
        </w:rPr>
        <w:t>（责任单位：县民政局、县卫生健康局牵头，县自然资源局、县发改局、县财政局、县税务局、县人社局、县市场监督管理局、县行政审批局）</w:t>
      </w:r>
    </w:p>
    <w:p>
      <w:pPr>
        <w:pStyle w:val="9"/>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9．</w:t>
      </w:r>
      <w:r>
        <w:rPr>
          <w:rFonts w:eastAsia="仿宋_GB2312"/>
          <w:bCs/>
          <w:color w:val="auto"/>
          <w:sz w:val="32"/>
          <w:szCs w:val="32"/>
          <w:highlight w:val="none"/>
        </w:rPr>
        <w:t>扩大普惠养老托育服务供给。开展养老机构等级评定工作，建立全</w:t>
      </w:r>
      <w:r>
        <w:rPr>
          <w:rFonts w:hint="eastAsia" w:eastAsia="仿宋_GB2312"/>
          <w:bCs/>
          <w:color w:val="auto"/>
          <w:sz w:val="32"/>
          <w:szCs w:val="32"/>
          <w:highlight w:val="none"/>
          <w:lang w:eastAsia="zh-CN"/>
        </w:rPr>
        <w:t>县</w:t>
      </w:r>
      <w:r>
        <w:rPr>
          <w:rFonts w:eastAsia="仿宋_GB2312"/>
          <w:bCs/>
          <w:color w:val="auto"/>
          <w:sz w:val="32"/>
          <w:szCs w:val="32"/>
          <w:highlight w:val="none"/>
        </w:rPr>
        <w:t>养老服务人才专家库，到2025年底，全</w:t>
      </w:r>
      <w:r>
        <w:rPr>
          <w:rFonts w:hint="eastAsia" w:eastAsia="仿宋_GB2312"/>
          <w:bCs/>
          <w:color w:val="auto"/>
          <w:sz w:val="32"/>
          <w:szCs w:val="32"/>
          <w:highlight w:val="none"/>
          <w:lang w:eastAsia="zh-CN"/>
        </w:rPr>
        <w:t>县</w:t>
      </w:r>
      <w:r>
        <w:rPr>
          <w:rFonts w:eastAsia="仿宋_GB2312"/>
          <w:bCs/>
          <w:color w:val="auto"/>
          <w:sz w:val="32"/>
          <w:szCs w:val="32"/>
          <w:highlight w:val="none"/>
        </w:rPr>
        <w:t>一星级及以上的养老机构达到60%。支持妇幼保健院、社区医疗卫生服务机构等设立托育服务设施。鼓励有条件的幼儿园开设托班，招收2</w:t>
      </w:r>
      <w:r>
        <w:rPr>
          <w:rFonts w:hint="default" w:ascii="Times New Roman" w:hAnsi="Times New Roman" w:eastAsia="仿宋_GB2312" w:cs="Times New Roman"/>
          <w:bCs/>
          <w:color w:val="auto"/>
          <w:sz w:val="32"/>
          <w:szCs w:val="32"/>
          <w:highlight w:val="none"/>
        </w:rPr>
        <w:t>~</w:t>
      </w:r>
      <w:r>
        <w:rPr>
          <w:rFonts w:eastAsia="仿宋_GB2312"/>
          <w:bCs/>
          <w:color w:val="auto"/>
          <w:sz w:val="32"/>
          <w:szCs w:val="32"/>
          <w:highlight w:val="none"/>
        </w:rPr>
        <w:t>3岁幼儿，促进托幼一体化发展。鼓励国有企业、民营企业和社会组织参加普惠养老托育服务，认定一批示范性普惠养老、普惠托育机构，支持养老托育机构规模化、连锁化、专业化发展。</w:t>
      </w:r>
      <w:r>
        <w:rPr>
          <w:rFonts w:hint="eastAsia" w:eastAsia="仿宋_GB2312"/>
          <w:bCs/>
          <w:color w:val="auto"/>
          <w:sz w:val="32"/>
          <w:szCs w:val="32"/>
          <w:highlight w:val="none"/>
          <w:lang w:eastAsia="zh-CN"/>
        </w:rPr>
        <w:t>（责任单位：县民政局、县卫生健康局牵头，县教科局、县市场监督管理局、县自然资源局、县行政审批局、县国有资产管理服务中心）</w:t>
      </w:r>
    </w:p>
    <w:p>
      <w:pPr>
        <w:pStyle w:val="7"/>
        <w:keepNext w:val="0"/>
        <w:keepLines w:val="0"/>
        <w:pageBreakBefore w:val="0"/>
        <w:kinsoku/>
        <w:wordWrap/>
        <w:overflowPunct/>
        <w:topLinePunct w:val="0"/>
        <w:autoSpaceDE/>
        <w:autoSpaceDN/>
        <w:bidi w:val="0"/>
        <w:adjustRightInd w:val="0"/>
        <w:snapToGrid w:val="0"/>
        <w:spacing w:line="580" w:lineRule="exact"/>
        <w:ind w:firstLine="640"/>
        <w:rPr>
          <w:rFonts w:hint="default" w:eastAsia="仿宋_GB2312"/>
          <w:color w:val="auto"/>
          <w:kern w:val="0"/>
          <w:sz w:val="32"/>
          <w:szCs w:val="32"/>
          <w:highlight w:val="none"/>
          <w:u w:val="none"/>
          <w:lang w:val="en-US" w:eastAsia="zh-CN"/>
        </w:rPr>
      </w:pPr>
      <w:r>
        <w:rPr>
          <w:rFonts w:eastAsia="仿宋_GB2312"/>
          <w:bCs/>
          <w:color w:val="auto"/>
          <w:sz w:val="32"/>
          <w:szCs w:val="32"/>
          <w:highlight w:val="none"/>
        </w:rPr>
        <w:t>10</w:t>
      </w:r>
      <w:r>
        <w:rPr>
          <w:rFonts w:eastAsia="仿宋_GB2312"/>
          <w:color w:val="auto"/>
          <w:sz w:val="32"/>
          <w:szCs w:val="32"/>
          <w:highlight w:val="none"/>
        </w:rPr>
        <w:t>．</w:t>
      </w:r>
      <w:r>
        <w:rPr>
          <w:rFonts w:eastAsia="仿宋_GB2312"/>
          <w:bCs/>
          <w:color w:val="auto"/>
          <w:sz w:val="32"/>
          <w:szCs w:val="32"/>
          <w:highlight w:val="none"/>
        </w:rPr>
        <w:t>提升养老托育服务发展水平。优化营商环境，深化“放</w:t>
      </w:r>
      <w:r>
        <w:rPr>
          <w:rFonts w:eastAsia="仿宋_GB2312"/>
          <w:color w:val="auto"/>
          <w:kern w:val="0"/>
          <w:sz w:val="32"/>
          <w:szCs w:val="32"/>
          <w:highlight w:val="none"/>
        </w:rPr>
        <w:t>管服”改革，大力推进全</w:t>
      </w:r>
      <w:r>
        <w:rPr>
          <w:rFonts w:hint="eastAsia" w:eastAsia="仿宋_GB2312"/>
          <w:color w:val="auto"/>
          <w:kern w:val="0"/>
          <w:sz w:val="32"/>
          <w:szCs w:val="32"/>
          <w:highlight w:val="none"/>
          <w:lang w:eastAsia="zh-CN"/>
        </w:rPr>
        <w:t>县</w:t>
      </w:r>
      <w:r>
        <w:rPr>
          <w:rFonts w:eastAsia="仿宋_GB2312"/>
          <w:color w:val="auto"/>
          <w:kern w:val="0"/>
          <w:sz w:val="32"/>
          <w:szCs w:val="32"/>
          <w:highlight w:val="none"/>
        </w:rPr>
        <w:t>养老托育服务向服务专业化、产业规模化、运营连锁化、发展集团化方向迈进，打造一批在养老托育服务领域具有竞争力和影响力的养老托育服务企业。鼓励社会资本通过多种方式和途径参与养老托育服务设施建设、运营和服务，培育一批各具特色、管理规范、服务标准的骨干企业。到2025年，培育骨干养老企业</w:t>
      </w:r>
      <w:r>
        <w:rPr>
          <w:rFonts w:hint="eastAsia" w:eastAsia="仿宋_GB2312"/>
          <w:color w:val="auto"/>
          <w:kern w:val="0"/>
          <w:sz w:val="32"/>
          <w:szCs w:val="32"/>
          <w:highlight w:val="none"/>
          <w:lang w:val="en-US" w:eastAsia="zh-CN"/>
        </w:rPr>
        <w:t>1</w:t>
      </w:r>
      <w:r>
        <w:rPr>
          <w:rFonts w:eastAsia="仿宋_GB2312"/>
          <w:color w:val="auto"/>
          <w:kern w:val="0"/>
          <w:sz w:val="32"/>
          <w:szCs w:val="32"/>
          <w:highlight w:val="none"/>
        </w:rPr>
        <w:t>个，骨干婴幼儿照护服务企业</w:t>
      </w:r>
      <w:r>
        <w:rPr>
          <w:rFonts w:hint="eastAsia" w:eastAsia="仿宋_GB2312"/>
          <w:color w:val="auto"/>
          <w:kern w:val="0"/>
          <w:sz w:val="32"/>
          <w:szCs w:val="32"/>
          <w:highlight w:val="none"/>
          <w:lang w:val="en-US" w:eastAsia="zh-CN"/>
        </w:rPr>
        <w:t>1</w:t>
      </w:r>
      <w:r>
        <w:rPr>
          <w:rFonts w:eastAsia="仿宋_GB2312"/>
          <w:color w:val="auto"/>
          <w:kern w:val="0"/>
          <w:sz w:val="32"/>
          <w:szCs w:val="32"/>
          <w:highlight w:val="none"/>
        </w:rPr>
        <w:t>个。</w:t>
      </w:r>
      <w:r>
        <w:rPr>
          <w:rFonts w:hint="eastAsia" w:eastAsia="仿宋_GB2312"/>
          <w:color w:val="auto"/>
          <w:kern w:val="0"/>
          <w:sz w:val="32"/>
          <w:szCs w:val="32"/>
          <w:highlight w:val="none"/>
          <w:u w:val="none"/>
          <w:lang w:eastAsia="zh-CN"/>
        </w:rPr>
        <w:t>（责任单位：县民政局、县卫生健康局牵头，县行政审批局、县发改局）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11．推动培训疗养资源转型发展养老服务。</w:t>
      </w:r>
      <w:r>
        <w:rPr>
          <w:rFonts w:eastAsia="仿宋_GB2312"/>
          <w:bCs/>
          <w:color w:val="auto"/>
          <w:sz w:val="32"/>
          <w:szCs w:val="32"/>
          <w:highlight w:val="none"/>
        </w:rPr>
        <w:t>摸清全</w:t>
      </w:r>
      <w:r>
        <w:rPr>
          <w:rFonts w:hint="eastAsia" w:eastAsia="仿宋_GB2312"/>
          <w:bCs/>
          <w:color w:val="auto"/>
          <w:sz w:val="32"/>
          <w:szCs w:val="32"/>
          <w:highlight w:val="none"/>
          <w:lang w:eastAsia="zh-CN"/>
        </w:rPr>
        <w:t>县</w:t>
      </w:r>
      <w:r>
        <w:rPr>
          <w:rFonts w:eastAsia="仿宋_GB2312"/>
          <w:bCs/>
          <w:color w:val="auto"/>
          <w:sz w:val="32"/>
          <w:szCs w:val="32"/>
          <w:highlight w:val="none"/>
        </w:rPr>
        <w:t>党政机关和国有企事业单位培训疗养资源底数，落实“应改尽改、能转则转”原则，将转型发展养老服务作为培训疗养机构改革的主要方向。主要采取划转整合方式，集中解决资产划转、改变土地用途、房屋报建、规划衔接等困难，由从事相关业务的国有企业整合资源、统筹规划、建设运营。</w:t>
      </w:r>
      <w:r>
        <w:rPr>
          <w:rFonts w:hint="eastAsia" w:eastAsia="仿宋_GB2312"/>
          <w:bCs/>
          <w:color w:val="auto"/>
          <w:sz w:val="32"/>
          <w:szCs w:val="32"/>
          <w:highlight w:val="none"/>
          <w:lang w:eastAsia="zh-CN"/>
        </w:rPr>
        <w:t>（责任单位：县发改局牵头，县民政局、县国有资产管理服务中心、县自然资源局、县住建局）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bCs/>
          <w:color w:val="auto"/>
          <w:sz w:val="32"/>
          <w:szCs w:val="32"/>
          <w:highlight w:val="none"/>
        </w:rPr>
        <w:t>12．支持社会力量兴办养老托育机构。</w:t>
      </w:r>
      <w:r>
        <w:rPr>
          <w:rFonts w:eastAsia="仿宋_GB2312"/>
          <w:color w:val="auto"/>
          <w:sz w:val="32"/>
          <w:szCs w:val="32"/>
          <w:highlight w:val="none"/>
        </w:rPr>
        <w:t>贯彻落实全面放开养老托育服务市场、提升养老托育服务质量的有关政策要求，加快推进养老托育服务“放管服”改革，加强开办支持和服务指导。落实支持社会力量兴办养老托育机构的投融资、税费、土地、人才等扶持政策，探索采取特许经营、政府购买服务、政府和社会资本合作等方式，支持社会力量举办养老托育机构，逐步使社会力量成为发展养老托育服务的主体。支持养老托育机构依法依规设立多个服务网点，实施规模化、连锁化、品牌化运营。</w:t>
      </w:r>
      <w:r>
        <w:rPr>
          <w:rFonts w:hint="eastAsia" w:eastAsia="仿宋_GB2312"/>
          <w:color w:val="auto"/>
          <w:sz w:val="32"/>
          <w:szCs w:val="32"/>
          <w:highlight w:val="none"/>
          <w:lang w:eastAsia="zh-CN"/>
        </w:rPr>
        <w:t>（责任单位：县民政局、县卫生健康局牵头，县行政审批局、县自然资源局、县财政局、县发改局、县税务局、县人社局）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13．培育发展社会组织。大力培育发展养老托育领域社会组织和社会企业，引导社会工作者提供专业服务，逐步扩大政府向社会组织和社会企业购买养老托育服务的范围和规模。充分发挥养老托育领域行业协会商会等社会组织积极性，开展机构服务能力综合评价，引导建立养老托育机构用户评价体系，引领行业规范发展。</w:t>
      </w:r>
      <w:r>
        <w:rPr>
          <w:rFonts w:hint="eastAsia" w:eastAsia="仿宋_GB2312"/>
          <w:color w:val="auto"/>
          <w:sz w:val="32"/>
          <w:szCs w:val="32"/>
          <w:highlight w:val="none"/>
          <w:lang w:eastAsia="zh-CN"/>
        </w:rPr>
        <w:t>（责任单位：县民政局、县卫生健康局牵头，县财政局、县人社局）</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hint="eastAsia" w:eastAsia="仿宋_GB2312"/>
          <w:color w:val="auto"/>
          <w:szCs w:val="32"/>
          <w:highlight w:val="none"/>
          <w:lang w:eastAsia="zh-CN"/>
        </w:rPr>
      </w:pPr>
      <w:r>
        <w:rPr>
          <w:rFonts w:eastAsia="仿宋_GB2312"/>
          <w:bCs/>
          <w:color w:val="auto"/>
          <w:szCs w:val="32"/>
          <w:highlight w:val="none"/>
        </w:rPr>
        <w:t>14</w:t>
      </w:r>
      <w:r>
        <w:rPr>
          <w:rFonts w:eastAsia="仿宋_GB2312"/>
          <w:color w:val="auto"/>
          <w:szCs w:val="32"/>
          <w:highlight w:val="none"/>
        </w:rPr>
        <w:t>．</w:t>
      </w:r>
      <w:r>
        <w:rPr>
          <w:rFonts w:eastAsia="仿宋_GB2312"/>
          <w:bCs/>
          <w:color w:val="auto"/>
          <w:szCs w:val="32"/>
          <w:highlight w:val="none"/>
        </w:rPr>
        <w:t>建立养老托育志愿服务队伍。</w:t>
      </w:r>
      <w:r>
        <w:rPr>
          <w:rFonts w:eastAsia="仿宋_GB2312"/>
          <w:color w:val="auto"/>
          <w:szCs w:val="32"/>
          <w:highlight w:val="none"/>
        </w:rPr>
        <w:t>加大养老托育志愿服务骨干培养力度，培养一批具有模范带头作用的养老托育志愿服务集体与个人。老年大学、老年协会、老年社会组织等要在老年志愿服务队伍组建、项目开展、资源链接、传播推广等方面制定工作计划，落实工作任务。鼓励具有专业经验的退休教师及医生发挥积极作用，依法组建婴幼儿照护志愿服务队，对社区内婴幼儿家庭提供科学育儿指导志愿服务。</w:t>
      </w:r>
      <w:r>
        <w:rPr>
          <w:rFonts w:hint="eastAsia" w:eastAsia="仿宋_GB2312"/>
          <w:color w:val="auto"/>
          <w:szCs w:val="32"/>
          <w:highlight w:val="none"/>
          <w:lang w:eastAsia="zh-CN"/>
        </w:rPr>
        <w:t>（责任单位：县民政局、县卫生健康局牵头，县人社局、县教科局）</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hint="eastAsia" w:eastAsia="仿宋_GB2312"/>
          <w:color w:val="auto"/>
          <w:szCs w:val="32"/>
          <w:highlight w:val="none"/>
          <w:lang w:eastAsia="zh-CN"/>
        </w:rPr>
      </w:pPr>
      <w:r>
        <w:rPr>
          <w:rFonts w:eastAsia="仿宋_GB2312"/>
          <w:bCs/>
          <w:color w:val="auto"/>
          <w:szCs w:val="32"/>
          <w:highlight w:val="none"/>
        </w:rPr>
        <w:t>15．大力发展老年教育。发展“老年开放大学”“网上老年大学”，支持各类机构举办老年大学、参与老年教育和发展老年人互联网远程教育，</w:t>
      </w:r>
      <w:r>
        <w:rPr>
          <w:rFonts w:eastAsia="仿宋_GB2312"/>
          <w:color w:val="auto"/>
          <w:szCs w:val="32"/>
          <w:highlight w:val="none"/>
        </w:rPr>
        <w:t>推动老年大学向基层延伸，</w:t>
      </w:r>
      <w:r>
        <w:rPr>
          <w:rFonts w:eastAsia="仿宋_GB2312"/>
          <w:bCs/>
          <w:color w:val="auto"/>
          <w:szCs w:val="32"/>
          <w:highlight w:val="none"/>
        </w:rPr>
        <w:t>到</w:t>
      </w:r>
      <w:r>
        <w:rPr>
          <w:rFonts w:eastAsia="仿宋_GB2312"/>
          <w:bCs/>
          <w:color w:val="auto"/>
          <w:szCs w:val="32"/>
          <w:highlight w:val="none"/>
          <w:lang w:val="en" w:eastAsia="en"/>
        </w:rPr>
        <w:t>2025年，基本形成</w:t>
      </w:r>
      <w:r>
        <w:rPr>
          <w:rFonts w:hint="eastAsia" w:eastAsia="仿宋_GB2312"/>
          <w:bCs/>
          <w:color w:val="auto"/>
          <w:szCs w:val="32"/>
          <w:highlight w:val="none"/>
          <w:lang w:val="en" w:eastAsia="zh-CN"/>
        </w:rPr>
        <w:t>县、乡、村</w:t>
      </w:r>
      <w:r>
        <w:rPr>
          <w:rFonts w:hint="eastAsia" w:eastAsia="仿宋_GB2312"/>
          <w:bCs/>
          <w:color w:val="auto"/>
          <w:szCs w:val="32"/>
          <w:highlight w:val="none"/>
          <w:lang w:eastAsia="zh-CN"/>
        </w:rPr>
        <w:t>三</w:t>
      </w:r>
      <w:r>
        <w:rPr>
          <w:rFonts w:eastAsia="仿宋_GB2312"/>
          <w:bCs/>
          <w:color w:val="auto"/>
          <w:szCs w:val="32"/>
          <w:highlight w:val="none"/>
        </w:rPr>
        <w:t>级老年教育办学网络。</w:t>
      </w:r>
      <w:r>
        <w:rPr>
          <w:rFonts w:hint="eastAsia" w:eastAsia="仿宋_GB2312"/>
          <w:bCs/>
          <w:color w:val="auto"/>
          <w:szCs w:val="32"/>
          <w:highlight w:val="none"/>
          <w:lang w:eastAsia="zh-CN"/>
        </w:rPr>
        <w:t>（责任单位：县民政局牵头，县教科局、县人社局）</w:t>
      </w:r>
    </w:p>
    <w:p>
      <w:pPr>
        <w:pStyle w:val="9"/>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仿宋_GB2312"/>
          <w:color w:val="auto"/>
          <w:sz w:val="32"/>
          <w:szCs w:val="32"/>
          <w:highlight w:val="none"/>
          <w:lang w:eastAsia="zh-CN"/>
        </w:rPr>
      </w:pPr>
      <w:r>
        <w:rPr>
          <w:rFonts w:eastAsia="仿宋_GB2312"/>
          <w:bCs/>
          <w:color w:val="auto"/>
          <w:sz w:val="32"/>
          <w:szCs w:val="32"/>
          <w:highlight w:val="none"/>
        </w:rPr>
        <w:t>16</w:t>
      </w:r>
      <w:r>
        <w:rPr>
          <w:rFonts w:eastAsia="仿宋_GB2312"/>
          <w:color w:val="auto"/>
          <w:sz w:val="32"/>
          <w:szCs w:val="32"/>
          <w:highlight w:val="none"/>
        </w:rPr>
        <w:t>．</w:t>
      </w:r>
      <w:r>
        <w:rPr>
          <w:rFonts w:eastAsia="仿宋_GB2312"/>
          <w:bCs/>
          <w:color w:val="auto"/>
          <w:sz w:val="32"/>
          <w:szCs w:val="32"/>
          <w:highlight w:val="none"/>
        </w:rPr>
        <w:t>发展智慧养老托育。</w:t>
      </w:r>
      <w:r>
        <w:rPr>
          <w:rFonts w:eastAsia="仿宋_GB2312"/>
          <w:color w:val="auto"/>
          <w:sz w:val="32"/>
          <w:szCs w:val="32"/>
          <w:highlight w:val="none"/>
        </w:rPr>
        <w:t>加快推进互联网、大数据、人工智能、5G等信息技术和智能硬</w:t>
      </w:r>
      <w:r>
        <w:rPr>
          <w:rFonts w:eastAsia="仿宋_GB2312"/>
          <w:bCs/>
          <w:color w:val="auto"/>
          <w:sz w:val="32"/>
          <w:szCs w:val="32"/>
          <w:highlight w:val="none"/>
        </w:rPr>
        <w:t>件在“一老一小”用品领域的深度应用。实施“互联网＋养老”行动，</w:t>
      </w:r>
      <w:r>
        <w:rPr>
          <w:rFonts w:hint="eastAsia" w:eastAsia="仿宋_GB2312"/>
          <w:bCs/>
          <w:color w:val="auto"/>
          <w:sz w:val="32"/>
          <w:szCs w:val="32"/>
          <w:highlight w:val="none"/>
          <w:lang w:eastAsia="zh-CN"/>
        </w:rPr>
        <w:t>推进</w:t>
      </w:r>
      <w:r>
        <w:rPr>
          <w:rFonts w:eastAsia="仿宋_GB2312"/>
          <w:bCs/>
          <w:color w:val="auto"/>
          <w:sz w:val="32"/>
          <w:szCs w:val="32"/>
          <w:highlight w:val="none"/>
        </w:rPr>
        <w:t>建设养老托育服务信</w:t>
      </w:r>
      <w:r>
        <w:rPr>
          <w:rFonts w:eastAsia="仿宋_GB2312"/>
          <w:color w:val="auto"/>
          <w:sz w:val="32"/>
          <w:szCs w:val="32"/>
          <w:highlight w:val="none"/>
        </w:rPr>
        <w:t>息平台。培育智慧养老托育服务企业、机构，推动建立一批智慧养老院，推广物联网和远程智能安防监控技术。推广互联网直播互动式家庭育儿服务，鼓励开发婴幼儿养育课程、父母课堂。</w:t>
      </w:r>
      <w:r>
        <w:rPr>
          <w:rFonts w:hint="eastAsia" w:eastAsia="仿宋_GB2312"/>
          <w:color w:val="auto"/>
          <w:sz w:val="32"/>
          <w:szCs w:val="32"/>
          <w:highlight w:val="none"/>
          <w:lang w:eastAsia="zh-CN"/>
        </w:rPr>
        <w:t>（责任单位：县民政局、县卫生健康局牵头，县经信局、县教科局）</w:t>
      </w:r>
    </w:p>
    <w:p>
      <w:pPr>
        <w:pStyle w:val="9"/>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17．推进区域养老托育服务协同发展。积极融入打造“成渝地区双城经济圈”“万达开川渝统筹发展示范区”</w:t>
      </w:r>
      <w:r>
        <w:rPr>
          <w:rFonts w:hint="eastAsia" w:eastAsia="仿宋_GB2312"/>
          <w:color w:val="auto"/>
          <w:sz w:val="32"/>
          <w:szCs w:val="32"/>
          <w:highlight w:val="none"/>
          <w:lang w:eastAsia="zh-CN"/>
        </w:rPr>
        <w:t>“城宣万革命老区振兴发展示范区”</w:t>
      </w:r>
      <w:r>
        <w:rPr>
          <w:rFonts w:eastAsia="仿宋_GB2312"/>
          <w:color w:val="auto"/>
          <w:sz w:val="32"/>
          <w:szCs w:val="32"/>
          <w:highlight w:val="none"/>
        </w:rPr>
        <w:t>建设，进一步深化“放管服”改革，优化营商环境，建立区域内养老托育服务协作协商机制，建设区域养老托育行业联合平台，建立互认互通的养老服务设施管理服务及养老托育服务补贴标准。试行“费随人走”“费随人给”统一标准的异地养老机制，实现养老服务补贴异地结算。</w:t>
      </w:r>
      <w:r>
        <w:rPr>
          <w:rFonts w:hint="eastAsia" w:eastAsia="仿宋_GB2312"/>
          <w:color w:val="auto"/>
          <w:sz w:val="32"/>
          <w:szCs w:val="32"/>
          <w:highlight w:val="none"/>
          <w:lang w:eastAsia="zh-CN"/>
        </w:rPr>
        <w:t>（责任单位：县民政局、县卫生健康局牵头，县行政审批局、县发改局、县医疗保障局）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（三）强化居家社区服务发展。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bCs/>
          <w:color w:val="auto"/>
          <w:sz w:val="32"/>
          <w:szCs w:val="32"/>
          <w:highlight w:val="none"/>
          <w:lang w:eastAsia="zh-CN"/>
        </w:rPr>
      </w:pPr>
      <w:r>
        <w:rPr>
          <w:rFonts w:eastAsia="仿宋_GB2312"/>
          <w:color w:val="auto"/>
          <w:sz w:val="32"/>
          <w:szCs w:val="32"/>
          <w:highlight w:val="none"/>
        </w:rPr>
        <w:t>18．提升家庭照护能力。</w:t>
      </w:r>
      <w:r>
        <w:rPr>
          <w:rFonts w:eastAsia="仿宋_GB2312"/>
          <w:bCs/>
          <w:color w:val="auto"/>
          <w:sz w:val="32"/>
          <w:szCs w:val="32"/>
          <w:highlight w:val="none"/>
        </w:rPr>
        <w:t>强化家庭赡养老年人和监护婴幼儿的主体责任，落实监护人对孤寡老人、遗弃儿童的监护责任。</w:t>
      </w:r>
      <w:r>
        <w:rPr>
          <w:rFonts w:eastAsia="仿宋_GB2312"/>
          <w:color w:val="auto"/>
          <w:sz w:val="32"/>
          <w:szCs w:val="32"/>
          <w:highlight w:val="none"/>
        </w:rPr>
        <w:t>通过政府补贴、购买服务等方式，优先保障经济困难的高龄、重度残疾、失能半</w:t>
      </w:r>
      <w:r>
        <w:rPr>
          <w:rFonts w:eastAsia="仿宋_GB2312"/>
          <w:bCs/>
          <w:color w:val="auto"/>
          <w:sz w:val="32"/>
          <w:szCs w:val="32"/>
          <w:highlight w:val="none"/>
        </w:rPr>
        <w:t>失能、独居以及计划生育特殊家庭等特殊困难老年人群体养老服务需求。</w:t>
      </w:r>
      <w:r>
        <w:rPr>
          <w:rFonts w:eastAsia="仿宋_GB2312"/>
          <w:color w:val="auto"/>
          <w:sz w:val="32"/>
          <w:szCs w:val="32"/>
          <w:highlight w:val="none"/>
        </w:rPr>
        <w:t>开展失能老年人家庭成员照护培训，探索建立家庭“喘息服务”机制。</w:t>
      </w:r>
      <w:r>
        <w:rPr>
          <w:rFonts w:eastAsia="仿宋_GB2312"/>
          <w:bCs/>
          <w:color w:val="auto"/>
          <w:sz w:val="32"/>
          <w:szCs w:val="32"/>
          <w:highlight w:val="none"/>
        </w:rPr>
        <w:t>完善家庭育儿指导支持体系，依托基层妇幼保健、婴幼儿照护服务机构、学前教育、社区等力量，为婴幼儿家庭开展照护指导服务。到202</w:t>
      </w:r>
      <w:r>
        <w:rPr>
          <w:rFonts w:eastAsia="仿宋_GB2312"/>
          <w:bCs/>
          <w:color w:val="auto"/>
          <w:sz w:val="32"/>
          <w:szCs w:val="32"/>
          <w:highlight w:val="none"/>
          <w:lang w:val="en" w:eastAsia="en"/>
        </w:rPr>
        <w:t>5</w:t>
      </w:r>
      <w:r>
        <w:rPr>
          <w:rFonts w:eastAsia="仿宋_GB2312"/>
          <w:bCs/>
          <w:color w:val="auto"/>
          <w:sz w:val="32"/>
          <w:szCs w:val="32"/>
          <w:highlight w:val="none"/>
        </w:rPr>
        <w:t>年，特殊困难老年人、空巢老人、留守老人月探访率达100%，每个村至少配备1名巡访专员。</w:t>
      </w:r>
      <w:r>
        <w:rPr>
          <w:rFonts w:hint="eastAsia" w:eastAsia="仿宋_GB2312"/>
          <w:bCs/>
          <w:color w:val="auto"/>
          <w:sz w:val="32"/>
          <w:szCs w:val="32"/>
          <w:highlight w:val="none"/>
          <w:lang w:eastAsia="zh-CN"/>
        </w:rPr>
        <w:t>（责任单位：县民政局、县卫生健康局牵头，县财政局、县教科局、县人社局）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eastAsia="仿宋_GB2312"/>
          <w:bCs/>
          <w:color w:val="auto"/>
          <w:sz w:val="32"/>
          <w:szCs w:val="32"/>
          <w:highlight w:val="none"/>
          <w:lang w:val="en-US" w:eastAsia="zh-CN"/>
        </w:rPr>
      </w:pPr>
      <w:r>
        <w:rPr>
          <w:rFonts w:eastAsia="仿宋_GB2312"/>
          <w:color w:val="auto"/>
          <w:sz w:val="32"/>
          <w:szCs w:val="32"/>
          <w:highlight w:val="none"/>
        </w:rPr>
        <w:t>19．完善居家社区养老托育服务。分级分类配建补齐居家社区养老托育服务设施，制订</w:t>
      </w:r>
      <w:r>
        <w:rPr>
          <w:rFonts w:hint="eastAsia" w:eastAsia="仿宋_GB2312"/>
          <w:color w:val="auto"/>
          <w:sz w:val="32"/>
          <w:szCs w:val="32"/>
          <w:highlight w:val="none"/>
          <w:lang w:eastAsia="zh-CN"/>
        </w:rPr>
        <w:t>宣汉县</w:t>
      </w:r>
      <w:r>
        <w:rPr>
          <w:rFonts w:eastAsia="仿宋_GB2312"/>
          <w:color w:val="auto"/>
          <w:sz w:val="32"/>
          <w:szCs w:val="32"/>
          <w:highlight w:val="none"/>
        </w:rPr>
        <w:t>住宅小区配建社区居家养老托育服务设施建设、移交和管理工作实施方案。支持养老机构专业化、连锁化运营社区养老服务设施，建设“家庭养老床位”。</w:t>
      </w:r>
      <w:r>
        <w:rPr>
          <w:rFonts w:eastAsia="仿宋_GB2312"/>
          <w:bCs/>
          <w:color w:val="auto"/>
          <w:sz w:val="32"/>
          <w:szCs w:val="32"/>
          <w:highlight w:val="none"/>
        </w:rPr>
        <w:t>社区养老服务机构通过设置护理站、医务室等方式提供医养结合服务，社区卫生服务中心和乡镇卫生院建设康复、护理、精神关爱等服务点。在乡镇（街道）建设具备托养、日间照料、上门服务、供需对接、资源统筹等功能的区域养老服务中心。2022年底前，每个街道和有条件的乡镇至少建有1个社区养老服务综合体。到2025年，乡镇（街道）区域养老服务中心建有率达到60%，构建“一刻钟”居家养老服务圈。</w:t>
      </w:r>
      <w:r>
        <w:rPr>
          <w:rFonts w:hint="eastAsia" w:eastAsia="仿宋_GB2312"/>
          <w:bCs/>
          <w:color w:val="auto"/>
          <w:sz w:val="32"/>
          <w:szCs w:val="32"/>
          <w:highlight w:val="none"/>
          <w:lang w:eastAsia="zh-CN"/>
        </w:rPr>
        <w:t>（责任单位：县民政局、县卫生健康局牵头，县住建局、县自然资源局、县发改局）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20．加强宜居环境建设。</w:t>
      </w:r>
      <w:r>
        <w:rPr>
          <w:rFonts w:eastAsia="仿宋_GB2312"/>
          <w:bCs/>
          <w:color w:val="auto"/>
          <w:sz w:val="32"/>
          <w:szCs w:val="32"/>
          <w:highlight w:val="none"/>
        </w:rPr>
        <w:t>在城</w:t>
      </w:r>
      <w:r>
        <w:rPr>
          <w:rFonts w:eastAsia="仿宋_GB2312"/>
          <w:color w:val="auto"/>
          <w:sz w:val="32"/>
          <w:szCs w:val="32"/>
          <w:highlight w:val="none"/>
        </w:rPr>
        <w:t>镇老旧小区改造中，统筹推进适老化设施改造，为老年人提供安全、舒适、便利的社区环境。支持老年人集中居住的老旧住宅配备上下楼的辅助器具，具备条件的安装电梯。持续推进公共服务适老化改造提升，进一步优化出行、就医、消费、文娱、办事等高频事项和服务场景，为老年人提供智能便捷适老的公共服务，着力消除“数字鸿沟”。</w:t>
      </w:r>
      <w:r>
        <w:rPr>
          <w:rFonts w:hint="eastAsia" w:eastAsia="仿宋_GB2312"/>
          <w:color w:val="auto"/>
          <w:sz w:val="32"/>
          <w:szCs w:val="32"/>
          <w:highlight w:val="none"/>
          <w:lang w:eastAsia="zh-CN"/>
        </w:rPr>
        <w:t>（责任单位：县住建局牵头，县民政局、县发改局、县交运局、县卫生健康局、县文化体育和旅游局、县行政审批局、县经信局）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（四）健全医养服务体系。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21．加快推进城乡医养结合服务体系建设。加强养老机构与医疗机构规划衔接，统筹医疗卫生与养老服务资源配置，盘活存量，整合资源，加快推进医养结合服务体系建设。引导二级及以下医院转型，发展为收治高龄、重病、失能、半失能老年人的医养结合机构。鼓励对闲置可利用的社会资源进行整合改造，优先用于建设医养结合机构。落实医养结合机构用地指标，推进</w:t>
      </w:r>
      <w:r>
        <w:rPr>
          <w:rFonts w:hint="eastAsia" w:eastAsia="仿宋_GB2312"/>
          <w:color w:val="auto"/>
          <w:sz w:val="32"/>
          <w:szCs w:val="32"/>
          <w:highlight w:val="none"/>
          <w:lang w:eastAsia="zh-CN"/>
        </w:rPr>
        <w:t>建设</w:t>
      </w:r>
      <w:r>
        <w:rPr>
          <w:rFonts w:hint="eastAsia" w:eastAsia="仿宋_GB2312"/>
          <w:color w:val="auto"/>
          <w:sz w:val="32"/>
          <w:szCs w:val="32"/>
          <w:highlight w:val="none"/>
          <w:lang w:val="en-US" w:eastAsia="zh-CN"/>
        </w:rPr>
        <w:t>1个</w:t>
      </w:r>
      <w:r>
        <w:rPr>
          <w:rFonts w:eastAsia="仿宋_GB2312"/>
          <w:color w:val="auto"/>
          <w:sz w:val="32"/>
          <w:szCs w:val="32"/>
          <w:highlight w:val="none"/>
        </w:rPr>
        <w:t>医养结合机构。</w:t>
      </w:r>
      <w:r>
        <w:rPr>
          <w:rFonts w:hint="eastAsia" w:eastAsia="仿宋_GB2312"/>
          <w:color w:val="auto"/>
          <w:sz w:val="32"/>
          <w:szCs w:val="32"/>
          <w:highlight w:val="none"/>
          <w:lang w:eastAsia="zh-CN"/>
        </w:rPr>
        <w:t>（责任单位：县卫生健康局牵头，县民政局、县自然资源局、县发改局、</w:t>
      </w:r>
      <w:r>
        <w:rPr>
          <w:rFonts w:hint="eastAsia" w:eastAsia="仿宋_GB2312"/>
          <w:color w:val="auto"/>
          <w:sz w:val="32"/>
          <w:szCs w:val="32"/>
          <w:highlight w:val="none"/>
          <w:lang w:val="en-US" w:eastAsia="zh-CN"/>
        </w:rPr>
        <w:t>县国有资产管理服务中心</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22．拓展扩增医疗卫生机构养老服务功能。大力推进老年康复医院、老年医院、老年护理院、安宁疗护医院等医疗机构建设，扩增老年医疗、康复护理、安宁疗护等服务供给。具备法人资格的医疗机构可通过变更登记事项或经营范围开展养老服务。医疗卫生机构利用现有资源提供养老服务的，涉及建设、消防、食品安全、卫生防疫等有关条件，可依据医疗卫生机构已具备的上述相应资质直接进行登记备案，简化手续。鼓励二级及以上医疗机构增设老年医学科，增设老年医疗护理床位，开展老年慢性病防治和康复护理等工作。</w:t>
      </w:r>
      <w:r>
        <w:rPr>
          <w:rFonts w:hint="eastAsia" w:eastAsia="仿宋_GB2312"/>
          <w:color w:val="auto"/>
          <w:sz w:val="32"/>
          <w:szCs w:val="32"/>
          <w:highlight w:val="none"/>
          <w:lang w:eastAsia="zh-CN"/>
        </w:rPr>
        <w:t>（责任单位：县卫生健康局牵头，县民政局、县市场监督管理局、县行政审批局）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bCs/>
          <w:color w:val="auto"/>
          <w:sz w:val="32"/>
          <w:szCs w:val="32"/>
          <w:highlight w:val="none"/>
          <w:lang w:eastAsia="zh-CN"/>
        </w:rPr>
      </w:pPr>
      <w:r>
        <w:rPr>
          <w:rFonts w:eastAsia="仿宋_GB2312"/>
          <w:bCs/>
          <w:color w:val="auto"/>
          <w:sz w:val="32"/>
          <w:szCs w:val="32"/>
          <w:highlight w:val="none"/>
        </w:rPr>
        <w:t>23．大力推动养老机构开展医疗卫生服务。支持有条件的养老机构开办或内设医疗机构，为老年人提供优质便捷的诊疗康复护理服务。养老机构内设诊所、卫生所（室）、医务室、护理站实行医疗机构执业备案登记。养老机构举办二级及以下医疗机构的（不含急救中心、急救站、临床检验中心、中外合资合作医疗机构、港澳台独资医疗机构），设置审批与执业登记“两证合一”。鼓励养老机构通过服务外包、委托经营等方式，引进医疗机构参与运营管理。对不具备设置医疗机构条件的养老机构，医疗机构可采取主办、协办、托管等形式，参与养老机构的经营管理。医疗机构要定期选派技术骨干和管理团队，帮助与其合作的养老机构提升医疗护理能力。养老机构内设医疗机构符合条件的，按规定纳入基本医疗保险定点医疗机构协议管理范围。将养老机构设立的医疗机构纳入医疗“三监管”范围。</w:t>
      </w:r>
      <w:r>
        <w:rPr>
          <w:rFonts w:hint="eastAsia" w:eastAsia="仿宋_GB2312"/>
          <w:bCs/>
          <w:color w:val="auto"/>
          <w:sz w:val="32"/>
          <w:szCs w:val="32"/>
          <w:highlight w:val="none"/>
          <w:lang w:eastAsia="zh-CN"/>
        </w:rPr>
        <w:t>（责任单位：县民政局牵头，县卫生健康局、县行政审批局、县医疗保障局、县市场监督管理局）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24</w:t>
      </w:r>
      <w:r>
        <w:rPr>
          <w:rFonts w:eastAsia="仿宋_GB2312"/>
          <w:bCs/>
          <w:color w:val="auto"/>
          <w:sz w:val="32"/>
          <w:szCs w:val="32"/>
          <w:highlight w:val="none"/>
        </w:rPr>
        <w:t>．有力推进医疗卫生服务向社区家庭延伸</w:t>
      </w:r>
      <w:r>
        <w:rPr>
          <w:rFonts w:eastAsia="仿宋_GB2312"/>
          <w:color w:val="auto"/>
          <w:sz w:val="32"/>
          <w:szCs w:val="32"/>
          <w:highlight w:val="none"/>
        </w:rPr>
        <w:t>。鼓励基层医疗卫生机构将医疗、护理、康复、健康管理等服务延伸至家庭，优先为老年人开展家庭医生签约服务，向老年人提供居家健康养老服务。为社区高龄、重病、失能、半失能以及计划生育特殊家庭等行动不便或确有困难的老年人提供定期体检、上门巡诊、家庭病床、社区护理、健康管理等基本服务。积极探索建立医疗护理与养老服务转介机制，鼓励有条件的养老机构承接医疗机构中需长期照护的失能、半失能老年人，逐步解决医疗机构老年患者“压床”问题。</w:t>
      </w:r>
      <w:r>
        <w:rPr>
          <w:rFonts w:hint="eastAsia" w:eastAsia="仿宋_GB2312"/>
          <w:color w:val="auto"/>
          <w:sz w:val="32"/>
          <w:szCs w:val="32"/>
          <w:highlight w:val="none"/>
          <w:lang w:eastAsia="zh-CN"/>
        </w:rPr>
        <w:t>（责任单位：县卫生健康局牵头，县民政局）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（五）壮大养老托育产业。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25．推动养老托育产业创新发展。大力支持以基金等方式发展市场化的居家、社区和大众化的养老托育服务，积极开发安全有效的食品药品、医疗康复、日常照护、文化娱乐等用品器具和服务产品，重点推进骨科、口腔科、康复科等医疗服务与康复辅助器具配置服务有效对接。支持数字化养老健康服务产品和适用于个人及家庭的健康检测、监测与养老健康物联网等产品的研发，</w:t>
      </w:r>
      <w:r>
        <w:rPr>
          <w:rFonts w:hint="eastAsia" w:ascii="Times New Roman" w:hAnsi="Times New Roman" w:eastAsia="仿宋_GB2312" w:cs="Times New Roman"/>
          <w:color w:val="auto"/>
          <w:sz w:val="32"/>
          <w:szCs w:val="32"/>
          <w:highlight w:val="none"/>
          <w:lang w:eastAsia="zh-CN"/>
        </w:rPr>
        <w:t>探索</w:t>
      </w:r>
      <w:r>
        <w:rPr>
          <w:rFonts w:ascii="Times New Roman" w:hAnsi="Times New Roman" w:eastAsia="仿宋_GB2312" w:cs="Times New Roman"/>
          <w:color w:val="auto"/>
          <w:sz w:val="32"/>
          <w:szCs w:val="32"/>
          <w:highlight w:val="none"/>
        </w:rPr>
        <w:t>建设</w:t>
      </w:r>
      <w:r>
        <w:rPr>
          <w:rFonts w:eastAsia="仿宋_GB2312"/>
          <w:color w:val="auto"/>
          <w:sz w:val="32"/>
          <w:szCs w:val="32"/>
          <w:highlight w:val="none"/>
        </w:rPr>
        <w:t>医养结合数据服务基地（中心）、产品用品研发中心。鼓励开发适合老年人特点的可穿戴移动医疗设备和老年人健康辅助器具智能化产品，为老年人提供在线健康管理服务。支持立足实际、合理定位、科学规划，结合中医药、旅游、文化、养生等特色优势，打造健康养老服务产业集群。大力发展道地、特色优势药材，以中医药健康调理、亚健康恢复、慢性病防治等为重点推进生物医药创新研发，加快开发适用于老年人的中药成品、保健用品、绿色食品等。支持企业、保险资金和其他社会资本建设具有示范意义的养老健康服务综合体、老年宜居社区。</w:t>
      </w:r>
      <w:r>
        <w:rPr>
          <w:rFonts w:hint="eastAsia" w:eastAsia="仿宋_GB2312"/>
          <w:color w:val="auto"/>
          <w:sz w:val="32"/>
          <w:szCs w:val="32"/>
          <w:highlight w:val="none"/>
          <w:lang w:eastAsia="zh-CN"/>
        </w:rPr>
        <w:t>（责任单位：县民政局、县卫生健康局牵头，县经信局、县文化体育和旅游局、县市场监督管理局、县行政审批局、县发改局、县自然资源局、县住建局）</w:t>
      </w:r>
    </w:p>
    <w:p>
      <w:pPr>
        <w:widowControl w:val="0"/>
        <w:adjustRightInd w:val="0"/>
        <w:snapToGrid w:val="0"/>
        <w:spacing w:line="578" w:lineRule="exact"/>
        <w:ind w:firstLine="640" w:firstLineChars="200"/>
        <w:textAlignment w:val="auto"/>
        <w:rPr>
          <w:rFonts w:eastAsia="仿宋_GB2312"/>
          <w:color w:val="auto"/>
          <w:sz w:val="32"/>
          <w:szCs w:val="32"/>
          <w:highlight w:val="none"/>
        </w:rPr>
      </w:pPr>
      <w:r>
        <w:rPr>
          <w:rFonts w:eastAsia="仿宋_GB2312"/>
          <w:bCs/>
          <w:color w:val="auto"/>
          <w:sz w:val="32"/>
          <w:szCs w:val="32"/>
          <w:highlight w:val="none"/>
        </w:rPr>
        <w:t>26．推动养老托育产品提质升级。完善养老托育服务和相关用品标准体系，提升“一老一小”用品制造业设计能力。推进互联网、大数据、人工智能、5G等深度应用，促进养老托育用品制造数字化转型、鼓励共建养老托育产业合作园。</w:t>
      </w:r>
      <w:r>
        <w:rPr>
          <w:rFonts w:eastAsia="仿宋_GB2312"/>
          <w:color w:val="auto"/>
          <w:sz w:val="32"/>
          <w:szCs w:val="32"/>
          <w:highlight w:val="none"/>
        </w:rPr>
        <w:t>支持企业研发生产可穿戴设备、便携式健康监测设备、养老监护、乳粉奶业、幼儿食品、母婴设施等智能养老托育设备及食品、旅游、体育等产品用品，打造展示体验场所，培育老年、婴幼儿产品用品市场。积极参加养老托育产业博览会，加大老年及婴幼儿产品用品宣传推广力度。</w:t>
      </w:r>
      <w:r>
        <w:rPr>
          <w:rFonts w:hint="eastAsia" w:eastAsia="仿宋_GB2312"/>
          <w:color w:val="auto"/>
          <w:sz w:val="32"/>
          <w:szCs w:val="32"/>
          <w:highlight w:val="none"/>
          <w:lang w:eastAsia="zh-CN"/>
        </w:rPr>
        <w:t>（责任单位：县民政局、县卫生健康局牵头，县经信局、县商务局）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7</w:t>
      </w:r>
      <w:r>
        <w:rPr>
          <w:rFonts w:eastAsia="仿宋_GB2312"/>
          <w:color w:val="auto"/>
          <w:sz w:val="32"/>
          <w:szCs w:val="32"/>
          <w:highlight w:val="none"/>
        </w:rPr>
        <w:t>．融合发展康养旅游产业。依托巴山大峡谷、</w:t>
      </w:r>
      <w:r>
        <w:rPr>
          <w:rFonts w:hint="eastAsia" w:eastAsia="仿宋_GB2312"/>
          <w:color w:val="auto"/>
          <w:sz w:val="32"/>
          <w:szCs w:val="32"/>
          <w:highlight w:val="none"/>
          <w:lang w:eastAsia="zh-CN"/>
        </w:rPr>
        <w:t>月亮坪</w:t>
      </w:r>
      <w:r>
        <w:rPr>
          <w:rFonts w:eastAsia="仿宋_GB2312"/>
          <w:color w:val="auto"/>
          <w:sz w:val="32"/>
          <w:szCs w:val="32"/>
          <w:highlight w:val="none"/>
        </w:rPr>
        <w:t>等优质养生旅游资源和道地中药材种植基地，强化医疗卫生与养老、中医药健康、旅游等产业结合，促进产业融合发展，培育具有特色的中医药健康旅游示范基地，建设精品康养旅游线路或项目，打造健康旅游特色品牌，推出以度假型养老、疗养康复、森林康养等为主题的康养旅游产品。鼓励有条件的医疗机构在旅游景区设置连锁门诊部，开展医疗与养生保健服务。鼓励中医养生保健机构与风景旅游区或酒店合作，提供中医养生保健服务。加强旅游市场宣传推广，将健康旅游特色产品纳入旅游项目推广计划。创新服务模式，推进医疗保健、中医药健康服务等多种方法综合干预，鼓励发展特色医疗康复保健、中医药健康旅游项目，打造中医药健康旅游主题线路，提高休闲旅游对老年人的吸引力。到2025年，</w:t>
      </w:r>
      <w:r>
        <w:rPr>
          <w:rFonts w:hint="eastAsia" w:eastAsia="仿宋_GB2312"/>
          <w:color w:val="auto"/>
          <w:sz w:val="32"/>
          <w:szCs w:val="32"/>
          <w:highlight w:val="none"/>
          <w:lang w:eastAsia="zh-CN"/>
        </w:rPr>
        <w:t>规划建设</w:t>
      </w:r>
      <w:r>
        <w:rPr>
          <w:rFonts w:eastAsia="仿宋_GB2312"/>
          <w:color w:val="auto"/>
          <w:sz w:val="32"/>
          <w:szCs w:val="32"/>
          <w:highlight w:val="none"/>
        </w:rPr>
        <w:t>1个中医药健康旅游示范基地（园区）。</w:t>
      </w:r>
      <w:r>
        <w:rPr>
          <w:rFonts w:hint="eastAsia" w:eastAsia="仿宋_GB2312"/>
          <w:color w:val="auto"/>
          <w:sz w:val="32"/>
          <w:szCs w:val="32"/>
          <w:highlight w:val="none"/>
          <w:lang w:eastAsia="zh-CN"/>
        </w:rPr>
        <w:t>（责任单位：</w:t>
      </w:r>
      <w:r>
        <w:rPr>
          <w:rFonts w:hint="eastAsia" w:eastAsia="仿宋_GB2312"/>
          <w:color w:val="auto"/>
          <w:sz w:val="32"/>
          <w:szCs w:val="32"/>
          <w:highlight w:val="none"/>
          <w:lang w:val="en-US" w:eastAsia="zh-CN"/>
        </w:rPr>
        <w:t>县文化体育和旅游局</w:t>
      </w:r>
      <w:r>
        <w:rPr>
          <w:rFonts w:hint="eastAsia" w:eastAsia="仿宋_GB2312"/>
          <w:color w:val="auto"/>
          <w:sz w:val="32"/>
          <w:szCs w:val="32"/>
          <w:highlight w:val="none"/>
          <w:lang w:eastAsia="zh-CN"/>
        </w:rPr>
        <w:t>牵头，县卫生健康局</w:t>
      </w:r>
      <w:r>
        <w:rPr>
          <w:rFonts w:hint="eastAsia" w:eastAsia="仿宋_GB2312"/>
          <w:color w:val="auto"/>
          <w:sz w:val="32"/>
          <w:szCs w:val="32"/>
          <w:highlight w:val="none"/>
          <w:lang w:val="en-US" w:eastAsia="zh-CN"/>
        </w:rPr>
        <w:t>、县民政局、</w:t>
      </w:r>
      <w:r>
        <w:rPr>
          <w:rFonts w:hint="eastAsia" w:eastAsia="仿宋_GB2312"/>
          <w:color w:val="auto"/>
          <w:sz w:val="32"/>
          <w:szCs w:val="32"/>
          <w:highlight w:val="none"/>
          <w:lang w:eastAsia="zh-CN"/>
        </w:rPr>
        <w:t>县农业农村局、县发改局）</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hint="eastAsia" w:eastAsia="仿宋_GB2312"/>
          <w:color w:val="auto"/>
          <w:szCs w:val="32"/>
          <w:highlight w:val="none"/>
          <w:lang w:eastAsia="zh-CN"/>
        </w:rPr>
      </w:pPr>
      <w:r>
        <w:rPr>
          <w:rFonts w:eastAsia="仿宋_GB2312"/>
          <w:color w:val="auto"/>
          <w:szCs w:val="32"/>
          <w:highlight w:val="none"/>
        </w:rPr>
        <w:t>2</w:t>
      </w:r>
      <w:r>
        <w:rPr>
          <w:rFonts w:hint="eastAsia" w:eastAsia="仿宋_GB2312"/>
          <w:color w:val="auto"/>
          <w:szCs w:val="32"/>
          <w:highlight w:val="none"/>
          <w:lang w:val="en-US" w:eastAsia="zh-CN"/>
        </w:rPr>
        <w:t>8</w:t>
      </w:r>
      <w:r>
        <w:rPr>
          <w:rFonts w:eastAsia="仿宋_GB2312"/>
          <w:color w:val="auto"/>
          <w:szCs w:val="32"/>
          <w:highlight w:val="none"/>
        </w:rPr>
        <w:t>．促进农村养老与乡村振兴有效衔接。建设乡村型养老服务基地，促进养老旅游、康养产业融合发展，助力乡村振兴战略，因地制宜建设特色康养旅游小镇。依托区域生态、医疗、文化等资源优势打造乡村健康养老示范基地，支持社会力量建设旅居养老服务设施。制定季节性乡镇旅游推介目录，支持社会力量在农村投资兴办面向失能、失智、高龄老年人的医养结合型养老机构，鼓励社会资本参与投资高端养老和康养项目建设。</w:t>
      </w:r>
      <w:bookmarkEnd w:id="4"/>
      <w:r>
        <w:rPr>
          <w:rFonts w:hint="eastAsia" w:eastAsia="仿宋_GB2312"/>
          <w:color w:val="auto"/>
          <w:szCs w:val="32"/>
          <w:highlight w:val="none"/>
          <w:lang w:eastAsia="zh-CN"/>
        </w:rPr>
        <w:t>（责任单位：县民政局牵头，县乡村振兴局、县文化体育和旅游局、县卫生健康局）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黑体"/>
          <w:color w:val="auto"/>
          <w:sz w:val="32"/>
          <w:szCs w:val="32"/>
          <w:highlight w:val="none"/>
        </w:rPr>
      </w:pPr>
      <w:r>
        <w:rPr>
          <w:rFonts w:eastAsia="黑体"/>
          <w:color w:val="auto"/>
          <w:sz w:val="32"/>
          <w:szCs w:val="32"/>
          <w:highlight w:val="none"/>
        </w:rPr>
        <w:t>五、保障措施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（一）加强组织领导。</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eastAsia="仿宋_GB2312"/>
          <w:color w:val="auto"/>
          <w:szCs w:val="32"/>
          <w:highlight w:val="none"/>
        </w:rPr>
      </w:pPr>
      <w:r>
        <w:rPr>
          <w:rFonts w:eastAsia="仿宋_GB2312"/>
          <w:color w:val="auto"/>
          <w:szCs w:val="32"/>
          <w:highlight w:val="none"/>
        </w:rPr>
        <w:t>坚持在党委领导下，政府承担主体责任，统筹谋划、整体推进，建立健全党政主要同志挂帅的“一老一小”工作推进机制，将“一老一小”工作作为重大民生工程，统筹纳入发展规划和重大改革全面推进。有关部门根据职责分工，细化工作措施，确保“一老一小”各项任务落地落实。结合“一老一小”人口分布和结构变化，制定全</w:t>
      </w:r>
      <w:r>
        <w:rPr>
          <w:rFonts w:hint="eastAsia" w:eastAsia="仿宋_GB2312"/>
          <w:color w:val="auto"/>
          <w:szCs w:val="32"/>
          <w:highlight w:val="none"/>
          <w:lang w:eastAsia="zh-CN"/>
        </w:rPr>
        <w:t>县</w:t>
      </w:r>
      <w:r>
        <w:rPr>
          <w:rFonts w:eastAsia="仿宋_GB2312"/>
          <w:color w:val="auto"/>
          <w:szCs w:val="32"/>
          <w:highlight w:val="none"/>
        </w:rPr>
        <w:t>“十四五”养老服务发展规划、“十四五”托育服务发展规划，构建居家社区机构相协调的养老托育服务体系。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（二）落实用地和配套用房政策。</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eastAsia="仿宋_GB2312"/>
          <w:color w:val="auto"/>
          <w:szCs w:val="32"/>
          <w:highlight w:val="none"/>
        </w:rPr>
      </w:pPr>
      <w:r>
        <w:rPr>
          <w:rFonts w:eastAsia="仿宋_GB2312"/>
          <w:color w:val="auto"/>
          <w:szCs w:val="32"/>
          <w:highlight w:val="none"/>
        </w:rPr>
        <w:t>推进城镇建设规划与养老托育专项规划统筹衔接，在编制国土空间规划时，同步编制养老托育服务设施建设布局规划，明确养老托育服务设施的用地位置及规模。严格落实新建住宅小区与配套养老托育服务设施同步规划、同步建设、同步验收、同步交付“四同步”要求，配套养老托育服务设施验收后同步无偿移交县级民政部门、卫生健康部门或乡镇人民政府（街道办事处）。2022年，新建居住（小）区配套建设社区养老托育服务设施达标率达到80%，到2025年达到100%。对闲置的公有资产进行统筹安排优先用于养老托育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（三）加大财税政策支持。</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eastAsia="仿宋_GB2312"/>
          <w:color w:val="auto"/>
          <w:szCs w:val="32"/>
          <w:highlight w:val="none"/>
        </w:rPr>
      </w:pPr>
      <w:r>
        <w:rPr>
          <w:rFonts w:eastAsia="仿宋_GB2312"/>
          <w:color w:val="auto"/>
          <w:szCs w:val="32"/>
          <w:highlight w:val="none"/>
        </w:rPr>
        <w:t>按照养老发展资金每年2000万元、托育发展资金每年1000万元的标准纳入年度财政预算予以保障，专项用于“一老一小”事业发展。用于社会福利事业的彩票公益金，自2022年起将不低于55%的资金用于支持发展养老服务。积极争取中央和省级预算内资金、地方债券资金，引导社会资金积极参与，形成专项资金、债券资金、地方财政资金、社会资本等多元结合的投入机制。继续落实政府购买居家养老服务补贴制度。健全高龄津贴、特困人员照料护理补贴制度。继续实施民办养老机构建设补贴、运营补贴。对民办养老机构、社区养老服务设施、村级互助养老服务设施给予一定补贴。落实养老护理员特殊岗位补贴等制度。养老托育机构符合现行政策规定条件的，可享受小微企业等财税优惠政策。按照《关于养老、托育、家政等社区家庭服务业税费优惠政策的公告》（财政部公告2019年第76号）规定，对在社区提供日间照料、康复护理、助餐助行等服务的养老服务机构给予税费优惠扶持政策。养老托育设施（机构）的电、水、气和有线电视，按居民生活类价格执行。出台我</w:t>
      </w:r>
      <w:r>
        <w:rPr>
          <w:rFonts w:hint="eastAsia" w:eastAsia="仿宋_GB2312"/>
          <w:color w:val="auto"/>
          <w:szCs w:val="32"/>
          <w:highlight w:val="none"/>
          <w:lang w:eastAsia="zh-CN"/>
        </w:rPr>
        <w:t>县</w:t>
      </w:r>
      <w:r>
        <w:rPr>
          <w:rFonts w:eastAsia="仿宋_GB2312"/>
          <w:color w:val="auto"/>
          <w:szCs w:val="32"/>
          <w:highlight w:val="none"/>
        </w:rPr>
        <w:t>托育营运奖补政策，对省级示范性托育机构，由市级财政按照3万的标准给予一次性奖补；参照幼儿园补贴标准，由</w:t>
      </w:r>
      <w:r>
        <w:rPr>
          <w:rFonts w:hint="eastAsia" w:eastAsia="仿宋_GB2312"/>
          <w:color w:val="auto"/>
          <w:szCs w:val="32"/>
          <w:highlight w:val="none"/>
          <w:lang w:eastAsia="zh-CN"/>
        </w:rPr>
        <w:t>县</w:t>
      </w:r>
      <w:r>
        <w:rPr>
          <w:rFonts w:eastAsia="仿宋_GB2312"/>
          <w:color w:val="auto"/>
          <w:szCs w:val="32"/>
          <w:highlight w:val="none"/>
        </w:rPr>
        <w:t>财政按实际托位数予以补贴普惠性托育机构。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（四）加大金融政策支持。</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eastAsia="仿宋_GB2312"/>
          <w:color w:val="auto"/>
          <w:szCs w:val="32"/>
          <w:highlight w:val="none"/>
        </w:rPr>
      </w:pPr>
      <w:r>
        <w:rPr>
          <w:rFonts w:eastAsia="仿宋_GB2312"/>
          <w:color w:val="auto"/>
          <w:szCs w:val="32"/>
          <w:highlight w:val="none"/>
        </w:rPr>
        <w:t>开发符合老年人特点的商业保险，科学厘定费率，支持老年人投保意外伤害保险。鼓励商业银行探索向产权明晰的民办养老机构发放资产（设施）抵押贷款和应收账款质押贷款，允许营利性养老机构以有偿取得的土地、设施等资产抵押融资。坚决查处融资中违规收取费用问题，建立风险补偿金、担保基金或给予财政贴息，降低融资成本。推广“信易贷”模式，进一步降低养老托育企业融资成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（五）培育养老托育服务人才队伍。</w:t>
      </w:r>
    </w:p>
    <w:p>
      <w:pPr>
        <w:pStyle w:val="135"/>
        <w:keepNext w:val="0"/>
        <w:keepLines w:val="0"/>
        <w:pageBreakBefore w:val="0"/>
        <w:kinsoku/>
        <w:wordWrap/>
        <w:overflowPunct/>
        <w:topLinePunct w:val="0"/>
        <w:autoSpaceDE/>
        <w:autoSpaceDN/>
        <w:bidi w:val="0"/>
        <w:adjustRightInd w:val="0"/>
        <w:snapToGrid w:val="0"/>
        <w:spacing w:line="580" w:lineRule="exact"/>
        <w:ind w:firstLine="640"/>
        <w:rPr>
          <w:rFonts w:eastAsia="仿宋_GB2312"/>
          <w:color w:val="auto"/>
          <w:szCs w:val="32"/>
          <w:highlight w:val="none"/>
        </w:rPr>
      </w:pPr>
      <w:r>
        <w:rPr>
          <w:rFonts w:eastAsia="仿宋_GB2312"/>
          <w:bCs/>
          <w:color w:val="auto"/>
          <w:szCs w:val="32"/>
          <w:highlight w:val="none"/>
        </w:rPr>
        <w:t>支持</w:t>
      </w:r>
      <w:r>
        <w:rPr>
          <w:rFonts w:eastAsia="仿宋_GB2312"/>
          <w:color w:val="auto"/>
          <w:szCs w:val="32"/>
          <w:highlight w:val="none"/>
        </w:rPr>
        <w:t>符合条件的职业</w:t>
      </w:r>
      <w:r>
        <w:rPr>
          <w:rFonts w:hint="eastAsia" w:eastAsia="仿宋_GB2312"/>
          <w:color w:val="auto"/>
          <w:szCs w:val="32"/>
          <w:highlight w:val="none"/>
          <w:lang w:eastAsia="zh-CN"/>
        </w:rPr>
        <w:t>学</w:t>
      </w:r>
      <w:r>
        <w:rPr>
          <w:rFonts w:eastAsia="仿宋_GB2312"/>
          <w:color w:val="auto"/>
          <w:szCs w:val="32"/>
          <w:highlight w:val="none"/>
        </w:rPr>
        <w:t>校设置老年医学、老年护理、婴幼儿发展和健康管理、婴幼儿保育等相关专业。培育养老托育领域产教融合企业，支持实训基地建设。加强养老托育从业人员岗前培训、岗位技能提升培训、转岗专业培训和创业培训，把养老护理员、育婴员、保育员等技能培训纳入培训补贴范围。对婴幼儿照护服务机构就业的专业技术人员执行与医疗卫生机构相同的职称评审政策。开发养老托育服务公益性岗位，按规定给予公益性岗位补贴和社会保险补贴。到2025年，全</w:t>
      </w:r>
      <w:r>
        <w:rPr>
          <w:rFonts w:hint="eastAsia" w:eastAsia="仿宋_GB2312"/>
          <w:color w:val="auto"/>
          <w:szCs w:val="32"/>
          <w:highlight w:val="none"/>
          <w:lang w:eastAsia="zh-CN"/>
        </w:rPr>
        <w:t>县</w:t>
      </w:r>
      <w:r>
        <w:rPr>
          <w:rFonts w:eastAsia="仿宋_GB2312"/>
          <w:color w:val="auto"/>
          <w:szCs w:val="32"/>
          <w:highlight w:val="none"/>
        </w:rPr>
        <w:t>养老护理员岗前培训率达100%，至少培育1个养老实训基地，培训养老服务专业人才500人次。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（六）强化行业综合监管。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落实政府在制度建设、行业规划、行政执法等方面的监管责任，实行监管清单式管理，明确监管事项、监管依据、监管措施和监管流程，重点加强养老托育机构质量安全、从业人员、运营秩序等监管，监管结果及时向社会公布。构建以信用为基础的新型监管机制，养老托育机构对依法登记、备案承诺、履约服务、质量安全、应急管理、消防安全等承担主体责任，政府对养老托育服务机构实施“红黑名单”管理，依法依规进行跨部门联合惩戒。严防“一老一小”领域非法集资，开展专项排查。将养老托育纳入公共安全重点保障范围，建立完善养老托育机构突发事件预防与应急准备、监测与预警、应急处置与救援、事后恢复与重建等工作机制，建立机构关停等特殊情况应急处置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（七）优化政务发展环境。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完善养老托育服务机构设立办事指南，制定养老托育政务服务事项清单，优化办事流程，明确办理时限，推进“马上办、网上办、就近办”，力争实现“最多跑一次”。推进养老托育政务服务“好差评”工作，加强评价结果运用，改进提升政务服务质量。认真做好养老产业重要指标年度统计，探索构建托育服务统计指标体系。借助第三方力量开展人口趋势和养老托育产业发展前景预测，通过发布年度报告等形式服务“一老一小”产业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（八）建设全龄友好环境。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优化街区路网结构，普及公共基础设施无障碍建设，稳步推进城镇老旧小区改造和既有住宅电梯增设。引导房地产项目开发充分考虑养老育幼需求。加强母婴设施配套，在具备条件的公共场所普遍设置专席及绿色通道。加强老年友好型、儿童友好型社区建设，更好弘扬尊老爱幼社会风尚，打造具有示范意义的活力发展社区。</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附件：1．重大项目清单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eastAsia="仿宋_GB2312"/>
          <w:color w:val="auto"/>
          <w:sz w:val="32"/>
          <w:szCs w:val="32"/>
          <w:highlight w:val="none"/>
        </w:rPr>
      </w:pPr>
      <w:r>
        <w:rPr>
          <w:rFonts w:eastAsia="仿宋_GB2312"/>
          <w:color w:val="auto"/>
          <w:sz w:val="32"/>
          <w:szCs w:val="32"/>
          <w:highlight w:val="none"/>
          <w:lang w:val="en" w:eastAsia="en"/>
        </w:rPr>
        <w:t>2</w:t>
      </w:r>
      <w:r>
        <w:rPr>
          <w:rFonts w:eastAsia="仿宋_GB2312"/>
          <w:color w:val="auto"/>
          <w:sz w:val="32"/>
          <w:szCs w:val="32"/>
          <w:highlight w:val="none"/>
        </w:rPr>
        <w:t>．重大政策清单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eastAsia="仿宋_GB2312"/>
          <w:color w:val="auto"/>
          <w:sz w:val="32"/>
          <w:szCs w:val="32"/>
          <w:highlight w:val="none"/>
          <w:lang w:val="en" w:eastAsia="en"/>
        </w:rPr>
      </w:pPr>
      <w:r>
        <w:rPr>
          <w:rFonts w:eastAsia="仿宋_GB2312"/>
          <w:color w:val="auto"/>
          <w:sz w:val="32"/>
          <w:szCs w:val="32"/>
          <w:highlight w:val="none"/>
          <w:lang w:val="en" w:eastAsia="en"/>
        </w:rPr>
        <w:t>3．重大要素清单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eastAsia="仿宋_GB2312"/>
          <w:color w:val="auto"/>
          <w:sz w:val="32"/>
          <w:szCs w:val="32"/>
          <w:highlight w:val="none"/>
          <w:lang w:val="en" w:eastAsia="en"/>
        </w:rPr>
      </w:pPr>
      <w:r>
        <w:rPr>
          <w:rFonts w:eastAsia="仿宋_GB2312"/>
          <w:color w:val="auto"/>
          <w:sz w:val="32"/>
          <w:szCs w:val="32"/>
          <w:highlight w:val="none"/>
          <w:lang w:val="en" w:eastAsia="en"/>
        </w:rPr>
        <w:t>4．重大改革清单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eastAsia="仿宋_GB2312"/>
          <w:color w:val="auto"/>
          <w:sz w:val="32"/>
          <w:szCs w:val="32"/>
          <w:highlight w:val="none"/>
          <w:lang w:val="en" w:eastAsia="en"/>
        </w:rPr>
      </w:pPr>
      <w:r>
        <w:rPr>
          <w:rFonts w:eastAsia="仿宋_GB2312"/>
          <w:color w:val="auto"/>
          <w:sz w:val="32"/>
          <w:szCs w:val="32"/>
          <w:highlight w:val="none"/>
          <w:lang w:val="en" w:eastAsia="en"/>
        </w:rPr>
        <w:t>5．重大试点清单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eastAsia="仿宋_GB2312"/>
          <w:color w:val="auto"/>
          <w:sz w:val="32"/>
          <w:szCs w:val="32"/>
          <w:highlight w:val="none"/>
          <w:lang w:val="en" w:eastAsia="en"/>
        </w:rPr>
      </w:pPr>
      <w:r>
        <w:rPr>
          <w:rFonts w:eastAsia="仿宋_GB2312"/>
          <w:color w:val="auto"/>
          <w:sz w:val="32"/>
          <w:szCs w:val="32"/>
          <w:highlight w:val="none"/>
          <w:lang w:val="en" w:eastAsia="en"/>
        </w:rPr>
        <w:t>6．重大产业清单</w:t>
      </w:r>
    </w:p>
    <w:p>
      <w:pPr>
        <w:keepNext w:val="0"/>
        <w:keepLines w:val="0"/>
        <w:pageBreakBefore w:val="0"/>
        <w:kinsoku/>
        <w:wordWrap/>
        <w:overflowPunct/>
        <w:topLinePunct w:val="0"/>
        <w:autoSpaceDE/>
        <w:autoSpaceDN/>
        <w:bidi w:val="0"/>
        <w:adjustRightInd w:val="0"/>
        <w:snapToGrid w:val="0"/>
        <w:spacing w:line="580" w:lineRule="exact"/>
        <w:rPr>
          <w:color w:val="auto"/>
          <w:szCs w:val="32"/>
          <w:highlight w:val="none"/>
          <w:u w:val="none" w:color="auto"/>
          <w:shd w:val="clear" w:color="auto" w:fill="FFFFFF"/>
        </w:rPr>
        <w:sectPr>
          <w:headerReference r:id="rId5" w:type="default"/>
          <w:footerReference r:id="rId6" w:type="default"/>
          <w:footerReference r:id="rId7" w:type="even"/>
          <w:pgSz w:w="11906" w:h="16838"/>
          <w:pgMar w:top="2098" w:right="1474" w:bottom="1985" w:left="1588" w:header="851" w:footer="1701" w:gutter="0"/>
          <w:pgNumType w:fmt="numberInDash"/>
          <w:cols w:space="720" w:num="1"/>
          <w:docGrid w:linePitch="286" w:charSpace="0"/>
        </w:sectPr>
      </w:pPr>
    </w:p>
    <w:p>
      <w:pPr>
        <w:keepNext w:val="0"/>
        <w:keepLines w:val="0"/>
        <w:pageBreakBefore w:val="0"/>
        <w:kinsoku/>
        <w:wordWrap/>
        <w:overflowPunct/>
        <w:topLinePunct w:val="0"/>
        <w:autoSpaceDE/>
        <w:autoSpaceDN/>
        <w:bidi w:val="0"/>
        <w:spacing w:line="580" w:lineRule="exact"/>
        <w:rPr>
          <w:rFonts w:eastAsia="仿宋_GB2312"/>
          <w:color w:val="auto"/>
          <w:sz w:val="32"/>
          <w:szCs w:val="32"/>
          <w:highlight w:val="none"/>
          <w:lang w:val="en" w:eastAsia="en"/>
        </w:rPr>
      </w:pPr>
      <w:r>
        <w:rPr>
          <w:rFonts w:eastAsia="黑体"/>
          <w:color w:val="auto"/>
          <w:sz w:val="32"/>
          <w:szCs w:val="32"/>
          <w:highlight w:val="none"/>
        </w:rPr>
        <w:t>附件</w:t>
      </w:r>
      <w:r>
        <w:rPr>
          <w:rFonts w:eastAsia="仿宋_GB2312"/>
          <w:color w:val="auto"/>
          <w:sz w:val="32"/>
          <w:szCs w:val="32"/>
          <w:highlight w:val="none"/>
          <w:lang w:val="en" w:eastAsia="en"/>
        </w:rPr>
        <w:t>1</w:t>
      </w:r>
    </w:p>
    <w:p>
      <w:pPr>
        <w:keepNext w:val="0"/>
        <w:keepLines w:val="0"/>
        <w:pageBreakBefore w:val="0"/>
        <w:tabs>
          <w:tab w:val="left" w:pos="1985"/>
        </w:tabs>
        <w:kinsoku/>
        <w:wordWrap/>
        <w:overflowPunct/>
        <w:topLinePunct w:val="0"/>
        <w:autoSpaceDE/>
        <w:autoSpaceDN/>
        <w:bidi w:val="0"/>
        <w:spacing w:line="580" w:lineRule="exact"/>
        <w:ind w:right="48" w:rightChars="23"/>
        <w:jc w:val="center"/>
        <w:rPr>
          <w:rFonts w:eastAsia="方正小标宋简体"/>
          <w:color w:val="auto"/>
          <w:sz w:val="44"/>
          <w:szCs w:val="44"/>
          <w:highlight w:val="none"/>
        </w:rPr>
      </w:pPr>
      <w:r>
        <w:rPr>
          <w:rFonts w:eastAsia="方正小标宋简体"/>
          <w:color w:val="auto"/>
          <w:sz w:val="44"/>
          <w:szCs w:val="44"/>
          <w:highlight w:val="none"/>
        </w:rPr>
        <w:t>重大项目清单</w:t>
      </w:r>
    </w:p>
    <w:tbl>
      <w:tblPr>
        <w:tblStyle w:val="27"/>
        <w:tblW w:w="14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1733"/>
        <w:gridCol w:w="1083"/>
        <w:gridCol w:w="1155"/>
        <w:gridCol w:w="1350"/>
        <w:gridCol w:w="4138"/>
        <w:gridCol w:w="1163"/>
        <w:gridCol w:w="1230"/>
        <w:gridCol w:w="1200"/>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14977" w:type="dxa"/>
            <w:gridSpan w:val="10"/>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eastAsia="黑体"/>
                <w:color w:val="auto"/>
                <w:sz w:val="24"/>
                <w:szCs w:val="24"/>
                <w:highlight w:val="none"/>
              </w:rPr>
            </w:pPr>
            <w:r>
              <w:rPr>
                <w:rFonts w:eastAsia="黑体"/>
                <w:color w:val="auto"/>
                <w:sz w:val="24"/>
                <w:szCs w:val="24"/>
                <w:highlight w:val="none"/>
              </w:rPr>
              <w:t>养老重大项目清单（按年度滚动编制更新）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序号</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项目名称</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项目类型</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建设期限</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建设地点</w:t>
            </w:r>
          </w:p>
        </w:tc>
        <w:tc>
          <w:tcPr>
            <w:tcW w:w="41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建设内容和规模</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新增床位</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（张）</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总投资</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（万元）</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申请上级</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补助资金</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（万元）</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45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eastAsia="仿宋_GB2312"/>
                <w:color w:val="auto"/>
                <w:sz w:val="24"/>
                <w:szCs w:val="24"/>
                <w:highlight w:val="none"/>
              </w:rPr>
            </w:pPr>
            <w:r>
              <w:rPr>
                <w:rFonts w:hint="eastAsia" w:eastAsia="仿宋_GB2312"/>
                <w:color w:val="auto"/>
                <w:sz w:val="24"/>
                <w:szCs w:val="24"/>
                <w:highlight w:val="none"/>
                <w:lang w:eastAsia="zh-CN"/>
              </w:rPr>
              <w:t>宣汉县</w:t>
            </w:r>
            <w:r>
              <w:rPr>
                <w:rFonts w:eastAsia="仿宋_GB2312"/>
                <w:color w:val="auto"/>
                <w:sz w:val="24"/>
                <w:szCs w:val="24"/>
                <w:highlight w:val="none"/>
              </w:rPr>
              <w:t>（</w:t>
            </w:r>
            <w:r>
              <w:rPr>
                <w:rFonts w:hint="eastAsia" w:eastAsia="仿宋_GB2312"/>
                <w:color w:val="auto"/>
                <w:sz w:val="24"/>
                <w:szCs w:val="24"/>
                <w:highlight w:val="none"/>
                <w:lang w:val="en-US" w:eastAsia="zh-CN"/>
              </w:rPr>
              <w:t>3</w:t>
            </w:r>
            <w:r>
              <w:rPr>
                <w:rFonts w:eastAsia="仿宋_GB2312"/>
                <w:color w:val="auto"/>
                <w:sz w:val="24"/>
                <w:szCs w:val="24"/>
                <w:highlight w:val="none"/>
              </w:rPr>
              <w:t>个项目）</w:t>
            </w:r>
          </w:p>
        </w:tc>
        <w:tc>
          <w:tcPr>
            <w:tcW w:w="772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rPr>
                <w:rFonts w:hint="eastAsia" w:eastAsia="仿宋_GB2312"/>
                <w:color w:val="auto"/>
                <w:sz w:val="24"/>
                <w:szCs w:val="24"/>
                <w:highlight w:val="none"/>
                <w:lang w:eastAsia="zh-CN"/>
              </w:rPr>
            </w:pPr>
            <w:r>
              <w:rPr>
                <w:rFonts w:eastAsia="仿宋_GB2312"/>
                <w:color w:val="auto"/>
                <w:sz w:val="24"/>
                <w:szCs w:val="24"/>
                <w:highlight w:val="none"/>
              </w:rPr>
              <w:t>总投资1</w:t>
            </w:r>
            <w:r>
              <w:rPr>
                <w:rFonts w:hint="eastAsia" w:eastAsia="仿宋_GB2312"/>
                <w:color w:val="auto"/>
                <w:sz w:val="24"/>
                <w:szCs w:val="24"/>
                <w:highlight w:val="none"/>
                <w:lang w:val="en-US" w:eastAsia="zh-CN"/>
              </w:rPr>
              <w:t>0900</w:t>
            </w:r>
            <w:r>
              <w:rPr>
                <w:rFonts w:hint="eastAsia" w:eastAsia="仿宋_GB2312"/>
                <w:color w:val="auto"/>
                <w:sz w:val="24"/>
                <w:szCs w:val="24"/>
                <w:highlight w:val="none"/>
                <w:lang w:eastAsia="zh-CN"/>
              </w:rPr>
              <w:t>万</w:t>
            </w:r>
            <w:r>
              <w:rPr>
                <w:rFonts w:eastAsia="仿宋_GB2312"/>
                <w:color w:val="auto"/>
                <w:sz w:val="24"/>
                <w:szCs w:val="24"/>
                <w:highlight w:val="none"/>
              </w:rPr>
              <w:t>元</w:t>
            </w:r>
            <w:r>
              <w:rPr>
                <w:rFonts w:hint="eastAsia" w:eastAsia="仿宋_GB2312"/>
                <w:color w:val="auto"/>
                <w:sz w:val="24"/>
                <w:szCs w:val="24"/>
                <w:highlight w:val="none"/>
                <w:lang w:eastAsia="zh-CN"/>
              </w:rPr>
              <w:t>。</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700</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10900</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8400</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0180"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rPr>
                <w:rFonts w:hint="eastAsia" w:eastAsia="仿宋_GB2312"/>
                <w:color w:val="auto"/>
                <w:sz w:val="24"/>
                <w:szCs w:val="24"/>
                <w:highlight w:val="none"/>
                <w:lang w:eastAsia="zh-CN"/>
              </w:rPr>
            </w:pPr>
            <w:r>
              <w:rPr>
                <w:rFonts w:eastAsia="仿宋_GB2312"/>
                <w:color w:val="auto"/>
                <w:sz w:val="24"/>
                <w:szCs w:val="24"/>
                <w:highlight w:val="none"/>
              </w:rPr>
              <w:t>一、2022年（</w:t>
            </w:r>
            <w:r>
              <w:rPr>
                <w:rFonts w:hint="eastAsia" w:eastAsia="仿宋_GB2312"/>
                <w:color w:val="auto"/>
                <w:sz w:val="24"/>
                <w:szCs w:val="24"/>
                <w:highlight w:val="none"/>
                <w:lang w:val="en-US" w:eastAsia="zh-CN"/>
              </w:rPr>
              <w:t>1</w:t>
            </w:r>
            <w:r>
              <w:rPr>
                <w:rFonts w:eastAsia="仿宋_GB2312"/>
                <w:color w:val="auto"/>
                <w:sz w:val="24"/>
                <w:szCs w:val="24"/>
                <w:highlight w:val="none"/>
              </w:rPr>
              <w:t>个项目）：总投资4</w:t>
            </w:r>
            <w:r>
              <w:rPr>
                <w:rFonts w:hint="eastAsia" w:eastAsia="仿宋_GB2312"/>
                <w:color w:val="auto"/>
                <w:sz w:val="24"/>
                <w:szCs w:val="24"/>
                <w:highlight w:val="none"/>
                <w:lang w:val="en-US" w:eastAsia="zh-CN"/>
              </w:rPr>
              <w:t>5</w:t>
            </w:r>
            <w:r>
              <w:rPr>
                <w:rFonts w:eastAsia="仿宋_GB2312"/>
                <w:color w:val="auto"/>
                <w:sz w:val="24"/>
                <w:szCs w:val="24"/>
                <w:highlight w:val="none"/>
              </w:rPr>
              <w:t>00万元</w:t>
            </w:r>
            <w:r>
              <w:rPr>
                <w:rFonts w:hint="eastAsia" w:eastAsia="仿宋_GB2312"/>
                <w:color w:val="auto"/>
                <w:sz w:val="24"/>
                <w:szCs w:val="24"/>
                <w:highlight w:val="none"/>
                <w:lang w:eastAsia="zh-CN"/>
              </w:rPr>
              <w:t>。</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300</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4500</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3600</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eastAsia="仿宋_GB2312"/>
                <w:color w:val="auto"/>
                <w:sz w:val="24"/>
                <w:szCs w:val="24"/>
                <w:highlight w:val="none"/>
                <w:lang w:eastAsia="zh-CN"/>
              </w:rPr>
            </w:pPr>
            <w:r>
              <w:rPr>
                <w:rFonts w:hint="eastAsia" w:eastAsia="仿宋_GB2312"/>
                <w:color w:val="auto"/>
                <w:sz w:val="24"/>
                <w:szCs w:val="24"/>
                <w:highlight w:val="none"/>
                <w:lang w:val="en-US" w:eastAsia="zh-CN"/>
              </w:rPr>
              <w:t>1</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eastAsia="仿宋_GB2312"/>
                <w:color w:val="auto"/>
                <w:sz w:val="24"/>
                <w:szCs w:val="24"/>
                <w:highlight w:val="none"/>
              </w:rPr>
            </w:pPr>
            <w:r>
              <w:rPr>
                <w:rFonts w:eastAsia="仿宋_GB2312"/>
                <w:color w:val="auto"/>
                <w:sz w:val="24"/>
                <w:szCs w:val="24"/>
                <w:highlight w:val="none"/>
              </w:rPr>
              <w:t>宣汉县失能老人照护中心</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新建</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2022</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宣汉县</w:t>
            </w:r>
          </w:p>
        </w:tc>
        <w:tc>
          <w:tcPr>
            <w:tcW w:w="41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eastAsia="仿宋_GB2312"/>
                <w:color w:val="auto"/>
                <w:sz w:val="24"/>
                <w:szCs w:val="24"/>
                <w:highlight w:val="none"/>
                <w:lang w:val="en" w:eastAsia="en"/>
              </w:rPr>
            </w:pPr>
            <w:r>
              <w:rPr>
                <w:rFonts w:eastAsia="仿宋_GB2312"/>
                <w:color w:val="auto"/>
                <w:sz w:val="24"/>
                <w:szCs w:val="24"/>
                <w:highlight w:val="none"/>
              </w:rPr>
              <w:t>君塘镇团山村新建失能老人照护床位300张，建筑面积约1</w:t>
            </w:r>
            <w:r>
              <w:rPr>
                <w:rFonts w:hint="eastAsia" w:eastAsia="仿宋_GB2312"/>
                <w:color w:val="auto"/>
                <w:sz w:val="24"/>
                <w:szCs w:val="24"/>
                <w:highlight w:val="none"/>
                <w:lang w:val="en-US" w:eastAsia="zh-CN"/>
              </w:rPr>
              <w:t>27</w:t>
            </w:r>
            <w:r>
              <w:rPr>
                <w:rFonts w:eastAsia="仿宋_GB2312"/>
                <w:color w:val="auto"/>
                <w:sz w:val="24"/>
                <w:szCs w:val="24"/>
                <w:highlight w:val="none"/>
              </w:rPr>
              <w:t>50平方米。</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300</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4</w:t>
            </w:r>
            <w:r>
              <w:rPr>
                <w:rFonts w:hint="eastAsia" w:eastAsia="仿宋_GB2312"/>
                <w:color w:val="auto"/>
                <w:sz w:val="24"/>
                <w:szCs w:val="24"/>
                <w:highlight w:val="none"/>
                <w:lang w:val="en-US" w:eastAsia="zh-CN"/>
              </w:rPr>
              <w:t>5</w:t>
            </w:r>
            <w:r>
              <w:rPr>
                <w:rFonts w:eastAsia="仿宋_GB2312"/>
                <w:color w:val="auto"/>
                <w:sz w:val="24"/>
                <w:szCs w:val="24"/>
                <w:highlight w:val="none"/>
              </w:rPr>
              <w:t>00</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3600</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0180"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rPr>
                <w:rFonts w:eastAsia="仿宋_GB2312"/>
                <w:color w:val="auto"/>
                <w:sz w:val="24"/>
                <w:szCs w:val="24"/>
                <w:highlight w:val="none"/>
              </w:rPr>
            </w:pPr>
            <w:r>
              <w:rPr>
                <w:rFonts w:eastAsia="仿宋_GB2312"/>
                <w:bCs/>
                <w:color w:val="auto"/>
                <w:sz w:val="24"/>
                <w:szCs w:val="24"/>
                <w:highlight w:val="none"/>
              </w:rPr>
              <w:t>二、2023年（</w:t>
            </w:r>
            <w:r>
              <w:rPr>
                <w:rFonts w:hint="eastAsia" w:eastAsia="仿宋_GB2312"/>
                <w:bCs/>
                <w:color w:val="auto"/>
                <w:sz w:val="24"/>
                <w:szCs w:val="24"/>
                <w:highlight w:val="none"/>
                <w:lang w:val="en-US" w:eastAsia="zh-CN"/>
              </w:rPr>
              <w:t>1</w:t>
            </w:r>
            <w:r>
              <w:rPr>
                <w:rFonts w:eastAsia="仿宋_GB2312"/>
                <w:bCs/>
                <w:color w:val="auto"/>
                <w:sz w:val="24"/>
                <w:szCs w:val="24"/>
                <w:highlight w:val="none"/>
              </w:rPr>
              <w:t>个项目）：</w:t>
            </w:r>
            <w:r>
              <w:rPr>
                <w:rFonts w:eastAsia="仿宋_GB2312"/>
                <w:color w:val="auto"/>
                <w:sz w:val="24"/>
                <w:szCs w:val="24"/>
                <w:highlight w:val="none"/>
              </w:rPr>
              <w:t>总投资3200万元。</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200</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3200</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2400</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4" w:hRule="atLeas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val="en-US" w:eastAsia="zh-CN"/>
              </w:rPr>
              <w:t>2</w:t>
            </w:r>
          </w:p>
        </w:tc>
        <w:tc>
          <w:tcPr>
            <w:tcW w:w="17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eastAsia="仿宋_GB2312"/>
                <w:color w:val="auto"/>
                <w:sz w:val="24"/>
                <w:szCs w:val="24"/>
                <w:highlight w:val="none"/>
              </w:rPr>
            </w:pPr>
            <w:r>
              <w:rPr>
                <w:rFonts w:eastAsia="仿宋_GB2312"/>
                <w:color w:val="auto"/>
                <w:sz w:val="24"/>
                <w:szCs w:val="24"/>
                <w:highlight w:val="none"/>
              </w:rPr>
              <w:t>宣汉县南坝</w:t>
            </w:r>
            <w:r>
              <w:rPr>
                <w:rFonts w:hint="eastAsia" w:eastAsia="仿宋_GB2312"/>
                <w:color w:val="auto"/>
                <w:sz w:val="24"/>
                <w:szCs w:val="24"/>
                <w:highlight w:val="none"/>
                <w:lang w:eastAsia="zh-CN"/>
              </w:rPr>
              <w:t>区</w:t>
            </w:r>
            <w:r>
              <w:rPr>
                <w:rFonts w:eastAsia="仿宋_GB2312"/>
                <w:color w:val="auto"/>
                <w:sz w:val="24"/>
                <w:szCs w:val="24"/>
                <w:highlight w:val="none"/>
              </w:rPr>
              <w:t>域养老服务中心</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新建</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2023</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宣汉县</w:t>
            </w:r>
          </w:p>
        </w:tc>
        <w:tc>
          <w:tcPr>
            <w:tcW w:w="41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eastAsia="仿宋_GB2312"/>
                <w:color w:val="auto"/>
                <w:sz w:val="24"/>
                <w:szCs w:val="24"/>
                <w:highlight w:val="none"/>
              </w:rPr>
            </w:pPr>
            <w:r>
              <w:rPr>
                <w:rFonts w:eastAsia="仿宋_GB2312"/>
                <w:color w:val="auto"/>
                <w:sz w:val="24"/>
                <w:szCs w:val="24"/>
                <w:highlight w:val="none"/>
              </w:rPr>
              <w:t>南坝镇新建养老床位200张，建筑面积约9300平方米。</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200</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3200</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eastAsia="仿宋_GB2312"/>
                <w:color w:val="auto"/>
                <w:sz w:val="24"/>
                <w:szCs w:val="24"/>
                <w:highlight w:val="none"/>
              </w:rPr>
              <w:t>2400</w:t>
            </w:r>
          </w:p>
        </w:tc>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仿宋_GB2312"/>
                <w:color w:val="auto"/>
                <w:sz w:val="24"/>
                <w:szCs w:val="24"/>
                <w:highlight w:val="none"/>
              </w:rPr>
            </w:pPr>
            <w:r>
              <w:rPr>
                <w:rFonts w:hint="eastAsia" w:eastAsia="仿宋_GB2312"/>
                <w:color w:val="auto"/>
                <w:sz w:val="24"/>
                <w:szCs w:val="24"/>
                <w:highlight w:val="none"/>
                <w:lang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0180" w:type="dxa"/>
            <w:gridSpan w:val="6"/>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三、2024年（</w:t>
            </w:r>
            <w:r>
              <w:rPr>
                <w:rFonts w:hint="eastAsia" w:eastAsia="仿宋_GB2312"/>
                <w:color w:val="auto"/>
                <w:sz w:val="24"/>
                <w:szCs w:val="24"/>
                <w:highlight w:val="none"/>
                <w:lang w:val="en-US" w:eastAsia="zh-CN"/>
              </w:rPr>
              <w:t>1</w:t>
            </w:r>
            <w:r>
              <w:rPr>
                <w:rFonts w:eastAsia="仿宋_GB2312"/>
                <w:color w:val="auto"/>
                <w:sz w:val="24"/>
                <w:szCs w:val="24"/>
                <w:highlight w:val="none"/>
              </w:rPr>
              <w:t>个项目）：总投资3200万元。</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200</w:t>
            </w:r>
          </w:p>
        </w:tc>
        <w:tc>
          <w:tcPr>
            <w:tcW w:w="123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3200</w:t>
            </w: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eastAsia="仿宋_GB2312"/>
                <w:bCs/>
                <w:color w:val="auto"/>
                <w:sz w:val="24"/>
                <w:szCs w:val="24"/>
                <w:highlight w:val="none"/>
              </w:rPr>
              <w:t>2</w:t>
            </w:r>
            <w:r>
              <w:rPr>
                <w:rFonts w:hint="eastAsia" w:eastAsia="仿宋_GB2312"/>
                <w:bCs/>
                <w:color w:val="auto"/>
                <w:sz w:val="24"/>
                <w:szCs w:val="24"/>
                <w:highlight w:val="none"/>
                <w:lang w:val="en-US" w:eastAsia="zh-CN"/>
              </w:rPr>
              <w:t>400</w:t>
            </w:r>
          </w:p>
        </w:tc>
        <w:tc>
          <w:tcPr>
            <w:tcW w:w="120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w:t>
            </w:r>
          </w:p>
        </w:tc>
        <w:tc>
          <w:tcPr>
            <w:tcW w:w="1733"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宣汉县厂溪区域养老服务中心</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新建</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2024</w:t>
            </w:r>
          </w:p>
        </w:tc>
        <w:tc>
          <w:tcPr>
            <w:tcW w:w="135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4138"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厂溪镇新建养老床位200张，建筑面积约9300平方米。</w:t>
            </w:r>
          </w:p>
        </w:tc>
        <w:tc>
          <w:tcPr>
            <w:tcW w:w="116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200</w:t>
            </w:r>
          </w:p>
        </w:tc>
        <w:tc>
          <w:tcPr>
            <w:tcW w:w="123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3200</w:t>
            </w:r>
          </w:p>
        </w:tc>
        <w:tc>
          <w:tcPr>
            <w:tcW w:w="12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2400</w:t>
            </w:r>
          </w:p>
        </w:tc>
        <w:tc>
          <w:tcPr>
            <w:tcW w:w="120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县民政局</w:t>
            </w:r>
          </w:p>
        </w:tc>
      </w:tr>
    </w:tbl>
    <w:p>
      <w:pPr>
        <w:spacing w:line="20" w:lineRule="exact"/>
        <w:jc w:val="center"/>
        <w:rPr>
          <w:rFonts w:eastAsia="仿宋_GB2312"/>
          <w:color w:val="auto"/>
          <w:sz w:val="44"/>
          <w:szCs w:val="44"/>
          <w:highlight w:val="none"/>
        </w:rPr>
      </w:pPr>
      <w:r>
        <w:rPr>
          <w:rFonts w:eastAsia="仿宋_GB2312"/>
          <w:color w:val="auto"/>
          <w:highlight w:val="none"/>
        </w:rPr>
        <w:br w:type="page"/>
      </w:r>
    </w:p>
    <w:tbl>
      <w:tblPr>
        <w:tblStyle w:val="27"/>
        <w:tblW w:w="14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18"/>
        <w:gridCol w:w="2152"/>
        <w:gridCol w:w="1083"/>
        <w:gridCol w:w="1325"/>
        <w:gridCol w:w="1388"/>
        <w:gridCol w:w="3610"/>
        <w:gridCol w:w="1155"/>
        <w:gridCol w:w="1155"/>
        <w:gridCol w:w="115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14863" w:type="dxa"/>
            <w:gridSpan w:val="10"/>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托育重大项目清单（按年度滚动编制更新）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序号</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项目名称</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项目类型</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建设期限</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建设地点</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建设内容和规模</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新增托位（个）</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黑体"/>
                <w:color w:val="auto"/>
                <w:sz w:val="24"/>
                <w:szCs w:val="24"/>
                <w:highlight w:val="none"/>
                <w:lang w:eastAsia="zh-CN"/>
              </w:rPr>
            </w:pPr>
            <w:r>
              <w:rPr>
                <w:rFonts w:eastAsia="黑体"/>
                <w:color w:val="auto"/>
                <w:sz w:val="24"/>
                <w:szCs w:val="24"/>
                <w:highlight w:val="none"/>
              </w:rPr>
              <w:t>总投资</w:t>
            </w:r>
            <w:r>
              <w:rPr>
                <w:rFonts w:hint="eastAsia" w:eastAsia="黑体"/>
                <w:color w:val="auto"/>
                <w:sz w:val="24"/>
                <w:szCs w:val="24"/>
                <w:highlight w:val="none"/>
                <w:lang w:val="en-US" w:eastAsia="zh-CN"/>
              </w:rPr>
              <w:t xml:space="preserve">  </w:t>
            </w:r>
            <w:r>
              <w:rPr>
                <w:rFonts w:hint="eastAsia" w:eastAsia="黑体"/>
                <w:color w:val="auto"/>
                <w:sz w:val="24"/>
                <w:szCs w:val="24"/>
                <w:highlight w:val="none"/>
                <w:lang w:eastAsia="zh-CN"/>
              </w:rPr>
              <w:t>（万元）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申请上级</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补助资金</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eastAsia="黑体"/>
                <w:color w:val="auto"/>
                <w:sz w:val="24"/>
                <w:szCs w:val="24"/>
                <w:highlight w:val="none"/>
              </w:rPr>
            </w:pPr>
            <w:r>
              <w:rPr>
                <w:rFonts w:eastAsia="黑体"/>
                <w:color w:val="auto"/>
                <w:sz w:val="24"/>
                <w:szCs w:val="24"/>
                <w:highlight w:val="none"/>
              </w:rPr>
              <w:t>（万元）</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176" w:type="dxa"/>
            <w:gridSpan w:val="6"/>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宣汉县</w:t>
            </w:r>
            <w:r>
              <w:rPr>
                <w:rFonts w:eastAsia="仿宋_GB2312"/>
                <w:color w:val="auto"/>
                <w:sz w:val="24"/>
                <w:szCs w:val="24"/>
                <w:highlight w:val="none"/>
              </w:rPr>
              <w:t>（</w:t>
            </w:r>
            <w:r>
              <w:rPr>
                <w:rFonts w:hint="eastAsia" w:eastAsia="仿宋_GB2312"/>
                <w:color w:val="auto"/>
                <w:sz w:val="24"/>
                <w:szCs w:val="24"/>
                <w:highlight w:val="none"/>
                <w:lang w:val="en-US" w:eastAsia="zh-CN"/>
              </w:rPr>
              <w:t>8</w:t>
            </w:r>
            <w:r>
              <w:rPr>
                <w:rFonts w:eastAsia="仿宋_GB2312"/>
                <w:color w:val="auto"/>
                <w:sz w:val="24"/>
                <w:szCs w:val="24"/>
                <w:highlight w:val="none"/>
              </w:rPr>
              <w:t>个项目）：总投资401</w:t>
            </w:r>
            <w:r>
              <w:rPr>
                <w:rFonts w:hint="eastAsia" w:eastAsia="仿宋_GB2312"/>
                <w:color w:val="auto"/>
                <w:sz w:val="24"/>
                <w:szCs w:val="24"/>
                <w:highlight w:val="none"/>
                <w:lang w:val="en-US" w:eastAsia="zh-CN"/>
              </w:rPr>
              <w:t>4</w:t>
            </w:r>
            <w:r>
              <w:rPr>
                <w:rFonts w:eastAsia="仿宋_GB2312"/>
                <w:color w:val="auto"/>
                <w:sz w:val="24"/>
                <w:szCs w:val="24"/>
                <w:highlight w:val="none"/>
              </w:rPr>
              <w:t>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860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4014</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860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176" w:type="dxa"/>
            <w:gridSpan w:val="6"/>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一、2022年（</w:t>
            </w:r>
            <w:r>
              <w:rPr>
                <w:rFonts w:hint="eastAsia" w:eastAsia="仿宋_GB2312"/>
                <w:color w:val="auto"/>
                <w:sz w:val="24"/>
                <w:szCs w:val="24"/>
                <w:highlight w:val="none"/>
                <w:lang w:val="en-US" w:eastAsia="zh-CN"/>
              </w:rPr>
              <w:t>4</w:t>
            </w:r>
            <w:r>
              <w:rPr>
                <w:rFonts w:eastAsia="仿宋_GB2312"/>
                <w:color w:val="auto"/>
                <w:sz w:val="24"/>
                <w:szCs w:val="24"/>
                <w:highlight w:val="none"/>
              </w:rPr>
              <w:t>个项目）：总投资</w:t>
            </w:r>
            <w:r>
              <w:rPr>
                <w:rFonts w:hint="eastAsia" w:eastAsia="仿宋_GB2312"/>
                <w:color w:val="auto"/>
                <w:sz w:val="24"/>
                <w:szCs w:val="24"/>
                <w:highlight w:val="none"/>
                <w:lang w:val="en-US" w:eastAsia="zh-CN"/>
              </w:rPr>
              <w:t>8</w:t>
            </w:r>
            <w:r>
              <w:rPr>
                <w:rFonts w:eastAsia="仿宋_GB2312"/>
                <w:color w:val="auto"/>
                <w:sz w:val="24"/>
                <w:szCs w:val="24"/>
                <w:highlight w:val="none"/>
              </w:rPr>
              <w:t>64万元。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bCs/>
                <w:color w:val="auto"/>
                <w:sz w:val="24"/>
                <w:szCs w:val="24"/>
                <w:highlight w:val="none"/>
              </w:rPr>
            </w:pPr>
            <w:r>
              <w:rPr>
                <w:rFonts w:hint="eastAsia" w:eastAsia="仿宋_GB2312"/>
                <w:bCs/>
                <w:color w:val="auto"/>
                <w:sz w:val="24"/>
                <w:szCs w:val="24"/>
                <w:highlight w:val="none"/>
                <w:lang w:val="en-US" w:eastAsia="zh-CN"/>
              </w:rPr>
              <w:t>41</w:t>
            </w:r>
            <w:r>
              <w:rPr>
                <w:rFonts w:eastAsia="仿宋_GB2312"/>
                <w:bCs/>
                <w:color w:val="auto"/>
                <w:sz w:val="24"/>
                <w:szCs w:val="24"/>
                <w:highlight w:val="none"/>
              </w:rPr>
              <w:t>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864</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410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1</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default" w:eastAsia="仿宋_GB2312"/>
                <w:color w:val="auto"/>
                <w:sz w:val="24"/>
                <w:szCs w:val="24"/>
                <w:highlight w:val="none"/>
                <w:lang w:eastAsia="zh-CN"/>
              </w:rPr>
              <w:t>宣汉县南坝镇第二中心幼儿园普惠托育专项行动项目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改扩建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2022</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改扩建建筑面积1120平方米，新增托位100个，设置乳儿班1个，托小班2个，托大班3个。</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100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100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100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2</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宣汉县示范幼儿园普惠托育服务专项行动建设项目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改扩建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2022</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宣汉县东乡街道建成150个托位的普惠托育机构。</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150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264</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150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78" w:hRule="atLeast"/>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val="en-US" w:eastAsia="zh-CN"/>
              </w:rPr>
              <w:t>3</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宣汉县西城幼儿园托育示范项目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改建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2022</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宣汉县蒲江街道建成80个托位的普惠托育机构。</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67" w:hRule="atLeast"/>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4</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宣汉县蒲江街道办事处肯维诺幼儿园托育项目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改扩建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2022</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蒲江街道办事处周桥社区建成80个托位的普惠托育机构。</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10176" w:type="dxa"/>
            <w:gridSpan w:val="6"/>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二、2023年（2个项目）：总投资850万元。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220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850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220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val="en-US" w:eastAsia="zh-CN"/>
              </w:rPr>
              <w:t>5</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宣汉县示范幼儿园城南分园托育示范项目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新建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2023</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东乡街道示范幼儿园城南分园建设80个托位。</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11" w:hRule="atLeast"/>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val="en-US" w:eastAsia="zh-CN"/>
              </w:rPr>
              <w:t>6</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宣汉县蒲江街道办事处（石岭社区、周桥社区）托育项目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改建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2023</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蒲江街道办事处建成140个托位的普惠托育机构。</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140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550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140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93" w:hRule="atLeast"/>
          <w:jc w:val="center"/>
        </w:trPr>
        <w:tc>
          <w:tcPr>
            <w:tcW w:w="10176" w:type="dxa"/>
            <w:gridSpan w:val="6"/>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三、2024年（</w:t>
            </w:r>
            <w:r>
              <w:rPr>
                <w:rFonts w:hint="eastAsia" w:eastAsia="仿宋_GB2312"/>
                <w:color w:val="auto"/>
                <w:sz w:val="24"/>
                <w:szCs w:val="24"/>
                <w:highlight w:val="none"/>
                <w:lang w:val="en-US" w:eastAsia="zh-CN"/>
              </w:rPr>
              <w:t>2</w:t>
            </w:r>
            <w:r>
              <w:rPr>
                <w:rFonts w:eastAsia="仿宋_GB2312"/>
                <w:color w:val="auto"/>
                <w:sz w:val="24"/>
                <w:szCs w:val="24"/>
                <w:highlight w:val="none"/>
              </w:rPr>
              <w:t>个项目）：</w:t>
            </w:r>
            <w:r>
              <w:rPr>
                <w:rFonts w:eastAsia="仿宋_GB2312"/>
                <w:color w:val="auto"/>
                <w:spacing w:val="-4"/>
                <w:sz w:val="24"/>
                <w:szCs w:val="24"/>
                <w:highlight w:val="none"/>
              </w:rPr>
              <w:t>总投资2</w:t>
            </w:r>
            <w:r>
              <w:rPr>
                <w:rFonts w:hint="eastAsia" w:eastAsia="仿宋_GB2312"/>
                <w:color w:val="auto"/>
                <w:spacing w:val="-4"/>
                <w:sz w:val="24"/>
                <w:szCs w:val="24"/>
                <w:highlight w:val="none"/>
                <w:lang w:val="en-US" w:eastAsia="zh-CN"/>
              </w:rPr>
              <w:t>3</w:t>
            </w:r>
            <w:r>
              <w:rPr>
                <w:rFonts w:eastAsia="仿宋_GB2312"/>
                <w:color w:val="auto"/>
                <w:spacing w:val="-4"/>
                <w:sz w:val="24"/>
                <w:szCs w:val="24"/>
                <w:highlight w:val="none"/>
              </w:rPr>
              <w:t>00万元。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230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2300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default"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230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03" w:hRule="atLeast"/>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7</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宣汉县机关幼儿园托育示范项目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新建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2024</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蒲江街道机关幼儿园建成150个托位的普惠托育机构。</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150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1500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150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85" w:hRule="atLeast"/>
          <w:jc w:val="center"/>
        </w:trPr>
        <w:tc>
          <w:tcPr>
            <w:tcW w:w="61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8</w:t>
            </w:r>
          </w:p>
        </w:tc>
        <w:tc>
          <w:tcPr>
            <w:tcW w:w="2152"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宣汉县人口大镇（普光镇、胡家镇）托育项目</w:t>
            </w:r>
          </w:p>
        </w:tc>
        <w:tc>
          <w:tcPr>
            <w:tcW w:w="108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val="en-US" w:eastAsia="zh-CN"/>
              </w:rPr>
              <w:t xml:space="preserve">  </w:t>
            </w:r>
            <w:r>
              <w:rPr>
                <w:rFonts w:eastAsia="仿宋_GB2312"/>
                <w:color w:val="auto"/>
                <w:sz w:val="24"/>
                <w:szCs w:val="24"/>
                <w:highlight w:val="none"/>
              </w:rPr>
              <w:t>改建、</w:t>
            </w:r>
          </w:p>
          <w:p>
            <w:pPr>
              <w:spacing w:line="340" w:lineRule="exact"/>
              <w:jc w:val="center"/>
              <w:rPr>
                <w:rFonts w:eastAsia="仿宋_GB2312"/>
                <w:color w:val="auto"/>
                <w:sz w:val="24"/>
                <w:szCs w:val="24"/>
                <w:highlight w:val="none"/>
              </w:rPr>
            </w:pPr>
            <w:r>
              <w:rPr>
                <w:rFonts w:eastAsia="仿宋_GB2312"/>
                <w:color w:val="auto"/>
                <w:sz w:val="24"/>
                <w:szCs w:val="24"/>
                <w:highlight w:val="none"/>
              </w:rPr>
              <w:t>新建</w:t>
            </w:r>
          </w:p>
        </w:tc>
        <w:tc>
          <w:tcPr>
            <w:tcW w:w="132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2024</w:t>
            </w:r>
          </w:p>
        </w:tc>
        <w:tc>
          <w:tcPr>
            <w:tcW w:w="13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宣汉县</w:t>
            </w:r>
          </w:p>
        </w:tc>
        <w:tc>
          <w:tcPr>
            <w:tcW w:w="361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建设80个托位。</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val="en-US" w:eastAsia="zh-CN"/>
              </w:rPr>
              <w:t>8</w:t>
            </w:r>
            <w:r>
              <w:rPr>
                <w:rFonts w:eastAsia="仿宋_GB2312"/>
                <w:color w:val="auto"/>
                <w:sz w:val="24"/>
                <w:szCs w:val="24"/>
                <w:highlight w:val="none"/>
              </w:rPr>
              <w:t>00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80</w:t>
            </w:r>
          </w:p>
        </w:tc>
        <w:tc>
          <w:tcPr>
            <w:tcW w:w="122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县卫生健康局</w:t>
            </w:r>
          </w:p>
        </w:tc>
      </w:tr>
    </w:tbl>
    <w:p>
      <w:pPr>
        <w:pStyle w:val="9"/>
        <w:ind w:firstLine="420"/>
        <w:rPr>
          <w:rFonts w:eastAsia="仿宋_GB2312"/>
          <w:color w:val="auto"/>
          <w:highlight w:val="none"/>
        </w:rPr>
      </w:pPr>
    </w:p>
    <w:p>
      <w:pPr>
        <w:pStyle w:val="9"/>
        <w:rPr>
          <w:rFonts w:eastAsia="仿宋_GB2312"/>
          <w:color w:val="auto"/>
          <w:sz w:val="32"/>
          <w:szCs w:val="32"/>
          <w:highlight w:val="none"/>
          <w:lang w:val="en" w:eastAsia="en"/>
        </w:rPr>
      </w:pPr>
      <w:r>
        <w:rPr>
          <w:rFonts w:eastAsia="仿宋_GB2312"/>
          <w:color w:val="auto"/>
          <w:highlight w:val="none"/>
        </w:rPr>
        <w:br w:type="page"/>
      </w:r>
      <w:r>
        <w:rPr>
          <w:rFonts w:eastAsia="黑体"/>
          <w:color w:val="auto"/>
          <w:sz w:val="32"/>
          <w:szCs w:val="32"/>
          <w:highlight w:val="none"/>
        </w:rPr>
        <w:t>附件</w:t>
      </w:r>
      <w:r>
        <w:rPr>
          <w:rFonts w:eastAsia="仿宋_GB2312"/>
          <w:color w:val="auto"/>
          <w:sz w:val="32"/>
          <w:szCs w:val="32"/>
          <w:highlight w:val="none"/>
          <w:lang w:val="en" w:eastAsia="en"/>
        </w:rPr>
        <w:t>2</w:t>
      </w:r>
    </w:p>
    <w:p>
      <w:pPr>
        <w:pStyle w:val="9"/>
        <w:spacing w:before="120" w:beforeLines="50" w:after="120" w:afterLines="50"/>
        <w:jc w:val="center"/>
        <w:rPr>
          <w:rFonts w:eastAsia="方正小标宋简体"/>
          <w:color w:val="auto"/>
          <w:sz w:val="44"/>
          <w:szCs w:val="44"/>
          <w:highlight w:val="none"/>
        </w:rPr>
      </w:pPr>
      <w:r>
        <w:rPr>
          <w:rFonts w:eastAsia="方正小标宋简体"/>
          <w:color w:val="auto"/>
          <w:sz w:val="44"/>
          <w:szCs w:val="44"/>
          <w:highlight w:val="none"/>
        </w:rPr>
        <w:t>重大政策清单</w:t>
      </w:r>
    </w:p>
    <w:tbl>
      <w:tblPr>
        <w:tblStyle w:val="27"/>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02"/>
        <w:gridCol w:w="3366"/>
        <w:gridCol w:w="4400"/>
        <w:gridCol w:w="3251"/>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3" w:hRule="atLeast"/>
          <w:tblHeader/>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序号</w:t>
            </w:r>
          </w:p>
        </w:tc>
        <w:tc>
          <w:tcPr>
            <w:tcW w:w="336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政策名称</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重点工作举措和内容</w:t>
            </w:r>
          </w:p>
        </w:tc>
        <w:tc>
          <w:tcPr>
            <w:tcW w:w="325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预期目标</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43"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w:t>
            </w:r>
          </w:p>
        </w:tc>
        <w:tc>
          <w:tcPr>
            <w:tcW w:w="336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《国务院办公厅关于促进养老托育服务健康发展的意见》（国办发〔2020〕52号</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健全政策体系、扩大服务供给、打造发展环境、完善监管服务等4个方面23项改革创新措施。</w:t>
            </w:r>
          </w:p>
        </w:tc>
        <w:tc>
          <w:tcPr>
            <w:tcW w:w="325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促进养老托育服务健康发展，改善民生福祉，持续提高人民群众的获得感、幸福感、安全感。</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住建局、</w:t>
            </w: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w:t>
            </w:r>
            <w:r>
              <w:rPr>
                <w:rFonts w:eastAsia="仿宋_GB2312"/>
                <w:color w:val="auto"/>
                <w:sz w:val="24"/>
                <w:szCs w:val="24"/>
                <w:highlight w:val="none"/>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w:t>
            </w:r>
          </w:p>
        </w:tc>
        <w:tc>
          <w:tcPr>
            <w:tcW w:w="336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《国家发展改革委办公厅关于做好〈国务院办公厅关于促进养老托育服务健康发展的意见〉贯彻落实工作的通知》（发改办社会〔2021〕192号）</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各地区、各有关部门将本地区贯彻落实《意见》工作方案和本部门2021年度工作计划报送国家发展改革委，并于2021年底前报送2021年度工作落实情况。</w:t>
            </w:r>
          </w:p>
        </w:tc>
        <w:tc>
          <w:tcPr>
            <w:tcW w:w="325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《国务院办公厅关于促进养老托育服务健康发展的意见》得到贯彻落实（国办发〔2020〕52号。</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住建局、</w:t>
            </w: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w:t>
            </w:r>
            <w:r>
              <w:rPr>
                <w:rFonts w:eastAsia="仿宋_GB2312"/>
                <w:color w:val="auto"/>
                <w:sz w:val="24"/>
                <w:szCs w:val="24"/>
                <w:highlight w:val="none"/>
              </w:rPr>
              <w:t>自然资源局等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352"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w:t>
            </w:r>
          </w:p>
        </w:tc>
        <w:tc>
          <w:tcPr>
            <w:tcW w:w="336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w:t>
            </w:r>
            <w:r>
              <w:rPr>
                <w:rFonts w:hint="eastAsia" w:eastAsia="仿宋_GB2312"/>
                <w:color w:val="auto"/>
                <w:sz w:val="24"/>
                <w:szCs w:val="24"/>
                <w:highlight w:val="none"/>
                <w:lang w:eastAsia="zh-CN"/>
              </w:rPr>
              <w:t>宣汉县</w:t>
            </w:r>
            <w:r>
              <w:rPr>
                <w:rFonts w:eastAsia="仿宋_GB2312"/>
                <w:color w:val="auto"/>
                <w:sz w:val="24"/>
                <w:szCs w:val="24"/>
                <w:highlight w:val="none"/>
              </w:rPr>
              <w:t>人民政府办公室关于全面放开养老服务市场提升养老服务质量的实施意见》（</w:t>
            </w:r>
            <w:r>
              <w:rPr>
                <w:rFonts w:hint="eastAsia" w:eastAsia="仿宋_GB2312"/>
                <w:color w:val="auto"/>
                <w:sz w:val="24"/>
                <w:szCs w:val="24"/>
                <w:highlight w:val="none"/>
                <w:lang w:eastAsia="zh-CN"/>
              </w:rPr>
              <w:t>宣</w:t>
            </w:r>
            <w:r>
              <w:rPr>
                <w:rFonts w:eastAsia="仿宋_GB2312"/>
                <w:color w:val="auto"/>
                <w:sz w:val="24"/>
                <w:szCs w:val="24"/>
                <w:highlight w:val="none"/>
              </w:rPr>
              <w:t>府办〔2018〕</w:t>
            </w:r>
            <w:r>
              <w:rPr>
                <w:rFonts w:hint="eastAsia" w:eastAsia="仿宋_GB2312"/>
                <w:color w:val="auto"/>
                <w:sz w:val="24"/>
                <w:szCs w:val="24"/>
                <w:highlight w:val="none"/>
                <w:lang w:val="en-US" w:eastAsia="zh-CN"/>
              </w:rPr>
              <w:t>130</w:t>
            </w:r>
            <w:r>
              <w:rPr>
                <w:rFonts w:eastAsia="仿宋_GB2312"/>
                <w:color w:val="auto"/>
                <w:sz w:val="24"/>
                <w:szCs w:val="24"/>
                <w:highlight w:val="none"/>
              </w:rPr>
              <w:t>号）</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降低准入门槛；规范审批流程；简化审批手续；完善价格形成机制；加强诚信体系建设；推进居家社区养老服务全覆盖；推动养老机构提质增效；推进农村养老服务模式创新；提高老年人生活便捷化水平；加快养老服务信息化建设；建立医养结合绿色通道；大力促进老年产品用品升级；拓宽适老金融服务渠道；建立完善保险保障制度。</w:t>
            </w:r>
          </w:p>
        </w:tc>
        <w:tc>
          <w:tcPr>
            <w:tcW w:w="325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 xml:space="preserve">养老服务市场全面放开，供给结构更加合理，均等化服务基本实现，服务质量明显改善，群众满意度显著提升。 </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住建局、</w:t>
            </w: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w:t>
            </w:r>
            <w:r>
              <w:rPr>
                <w:rFonts w:eastAsia="仿宋_GB2312"/>
                <w:color w:val="auto"/>
                <w:sz w:val="24"/>
                <w:szCs w:val="24"/>
                <w:highlight w:val="none"/>
              </w:rPr>
              <w:t>自然资源局等。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53" w:hRule="atLeast"/>
          <w:jc w:val="center"/>
        </w:trPr>
        <w:tc>
          <w:tcPr>
            <w:tcW w:w="60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4</w:t>
            </w:r>
          </w:p>
        </w:tc>
        <w:tc>
          <w:tcPr>
            <w:tcW w:w="336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Times New Roman" w:hAnsi="Times New Roman" w:eastAsia="仿宋_GB2312" w:cs="Times New Roman"/>
                <w:color w:val="auto"/>
                <w:sz w:val="24"/>
                <w:szCs w:val="24"/>
                <w:highlight w:val="none"/>
                <w:u w:val="none" w:color="000000"/>
                <w:lang w:val="en-US" w:eastAsia="zh-CN" w:bidi="ar-SA"/>
              </w:rPr>
            </w:pPr>
            <w:r>
              <w:rPr>
                <w:rFonts w:eastAsia="仿宋_GB2312"/>
                <w:color w:val="auto"/>
                <w:sz w:val="24"/>
                <w:szCs w:val="24"/>
                <w:highlight w:val="none"/>
              </w:rPr>
              <w:t>《</w:t>
            </w:r>
            <w:r>
              <w:rPr>
                <w:rFonts w:hint="eastAsia" w:eastAsia="仿宋_GB2312"/>
                <w:color w:val="auto"/>
                <w:sz w:val="24"/>
                <w:szCs w:val="24"/>
                <w:highlight w:val="none"/>
                <w:lang w:eastAsia="zh-CN"/>
              </w:rPr>
              <w:t>宣汉县</w:t>
            </w:r>
            <w:r>
              <w:rPr>
                <w:rFonts w:eastAsia="仿宋_GB2312"/>
                <w:color w:val="auto"/>
                <w:sz w:val="24"/>
                <w:szCs w:val="24"/>
                <w:highlight w:val="none"/>
              </w:rPr>
              <w:t>人民政府办公室关于促进3岁以下婴幼儿照护服务发展的实施意见》（</w:t>
            </w:r>
            <w:r>
              <w:rPr>
                <w:rFonts w:hint="eastAsia" w:eastAsia="仿宋_GB2312"/>
                <w:color w:val="auto"/>
                <w:sz w:val="24"/>
                <w:szCs w:val="24"/>
                <w:highlight w:val="none"/>
                <w:lang w:eastAsia="zh-CN"/>
              </w:rPr>
              <w:t>宣</w:t>
            </w:r>
            <w:r>
              <w:rPr>
                <w:rFonts w:eastAsia="仿宋_GB2312"/>
                <w:color w:val="auto"/>
                <w:sz w:val="24"/>
                <w:szCs w:val="24"/>
                <w:highlight w:val="none"/>
              </w:rPr>
              <w:t>府办〔202</w:t>
            </w:r>
            <w:r>
              <w:rPr>
                <w:rFonts w:hint="eastAsia" w:eastAsia="仿宋_GB2312"/>
                <w:color w:val="auto"/>
                <w:sz w:val="24"/>
                <w:szCs w:val="24"/>
                <w:highlight w:val="none"/>
                <w:lang w:val="en-US" w:eastAsia="zh-CN"/>
              </w:rPr>
              <w:t>1</w:t>
            </w:r>
            <w:r>
              <w:rPr>
                <w:rFonts w:eastAsia="仿宋_GB2312"/>
                <w:color w:val="auto"/>
                <w:sz w:val="24"/>
                <w:szCs w:val="24"/>
                <w:highlight w:val="none"/>
              </w:rPr>
              <w:t>〕2</w:t>
            </w:r>
            <w:r>
              <w:rPr>
                <w:rFonts w:hint="eastAsia" w:eastAsia="仿宋_GB2312"/>
                <w:color w:val="auto"/>
                <w:sz w:val="24"/>
                <w:szCs w:val="24"/>
                <w:highlight w:val="none"/>
                <w:lang w:val="en-US" w:eastAsia="zh-CN"/>
              </w:rPr>
              <w:t>7</w:t>
            </w:r>
            <w:r>
              <w:rPr>
                <w:rFonts w:eastAsia="仿宋_GB2312"/>
                <w:color w:val="auto"/>
                <w:sz w:val="24"/>
                <w:szCs w:val="24"/>
                <w:highlight w:val="none"/>
              </w:rPr>
              <w:t>号）</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加强对家庭婴幼儿照护的支持和指导；推动社区婴幼儿照护服务发展；规范发展多种形式的婴幼儿照护服务机构。</w:t>
            </w:r>
          </w:p>
        </w:tc>
        <w:tc>
          <w:tcPr>
            <w:tcW w:w="325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全</w:t>
            </w:r>
            <w:r>
              <w:rPr>
                <w:rFonts w:hint="eastAsia" w:eastAsia="仿宋_GB2312"/>
                <w:color w:val="auto"/>
                <w:sz w:val="24"/>
                <w:szCs w:val="24"/>
                <w:highlight w:val="none"/>
                <w:lang w:eastAsia="zh-CN"/>
              </w:rPr>
              <w:t>县</w:t>
            </w:r>
            <w:r>
              <w:rPr>
                <w:rFonts w:eastAsia="仿宋_GB2312"/>
                <w:color w:val="auto"/>
                <w:sz w:val="24"/>
                <w:szCs w:val="24"/>
                <w:highlight w:val="none"/>
              </w:rPr>
              <w:t>建成</w:t>
            </w:r>
            <w:r>
              <w:rPr>
                <w:rFonts w:hint="eastAsia" w:eastAsia="仿宋_GB2312"/>
                <w:color w:val="auto"/>
                <w:sz w:val="24"/>
                <w:szCs w:val="24"/>
                <w:highlight w:val="none"/>
                <w:lang w:val="en-US" w:eastAsia="zh-CN"/>
              </w:rPr>
              <w:t>1</w:t>
            </w:r>
            <w:r>
              <w:rPr>
                <w:rFonts w:eastAsia="仿宋_GB2312"/>
                <w:color w:val="auto"/>
                <w:sz w:val="24"/>
                <w:szCs w:val="24"/>
                <w:highlight w:val="none"/>
              </w:rPr>
              <w:t>个具有带动效应的示范性婴幼儿照护机构。</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县教科局、县</w:t>
            </w:r>
            <w:r>
              <w:rPr>
                <w:rFonts w:eastAsia="仿宋_GB2312"/>
                <w:color w:val="auto"/>
                <w:sz w:val="24"/>
                <w:szCs w:val="24"/>
                <w:highlight w:val="none"/>
              </w:rPr>
              <w:t>住建局、</w:t>
            </w:r>
            <w:r>
              <w:rPr>
                <w:rFonts w:hint="eastAsia" w:eastAsia="仿宋_GB2312"/>
                <w:color w:val="auto"/>
                <w:sz w:val="24"/>
                <w:szCs w:val="24"/>
                <w:highlight w:val="none"/>
                <w:lang w:eastAsia="zh-CN"/>
              </w:rPr>
              <w:t>县</w:t>
            </w:r>
            <w:r>
              <w:rPr>
                <w:rFonts w:eastAsia="仿宋_GB2312"/>
                <w:color w:val="auto"/>
                <w:sz w:val="24"/>
                <w:szCs w:val="24"/>
                <w:highlight w:val="none"/>
              </w:rPr>
              <w:t>自然资源局等。</w:t>
            </w:r>
          </w:p>
        </w:tc>
      </w:tr>
    </w:tbl>
    <w:p>
      <w:pPr>
        <w:spacing w:line="578" w:lineRule="exact"/>
        <w:rPr>
          <w:rFonts w:eastAsia="仿宋_GB2312"/>
          <w:color w:val="auto"/>
          <w:sz w:val="32"/>
          <w:szCs w:val="32"/>
          <w:highlight w:val="none"/>
          <w:lang w:val="en" w:eastAsia="en"/>
        </w:rPr>
      </w:pPr>
      <w:r>
        <w:rPr>
          <w:rFonts w:eastAsia="仿宋_GB2312"/>
          <w:color w:val="auto"/>
          <w:sz w:val="32"/>
          <w:szCs w:val="32"/>
          <w:highlight w:val="none"/>
        </w:rPr>
        <w:br w:type="page"/>
      </w:r>
      <w:r>
        <w:rPr>
          <w:rFonts w:eastAsia="黑体"/>
          <w:color w:val="auto"/>
          <w:sz w:val="32"/>
          <w:szCs w:val="32"/>
          <w:highlight w:val="none"/>
        </w:rPr>
        <w:t>附件</w:t>
      </w:r>
      <w:r>
        <w:rPr>
          <w:rFonts w:eastAsia="仿宋_GB2312"/>
          <w:color w:val="auto"/>
          <w:sz w:val="32"/>
          <w:szCs w:val="32"/>
          <w:highlight w:val="none"/>
          <w:lang w:val="en" w:eastAsia="en"/>
        </w:rPr>
        <w:t>3</w:t>
      </w:r>
    </w:p>
    <w:p>
      <w:pPr>
        <w:pStyle w:val="9"/>
        <w:spacing w:before="120" w:beforeLines="50" w:after="120" w:afterLines="50"/>
        <w:jc w:val="center"/>
        <w:rPr>
          <w:rFonts w:eastAsia="方正小标宋简体"/>
          <w:color w:val="auto"/>
          <w:sz w:val="44"/>
          <w:szCs w:val="44"/>
          <w:highlight w:val="none"/>
        </w:rPr>
      </w:pPr>
      <w:r>
        <w:rPr>
          <w:rFonts w:eastAsia="方正小标宋简体"/>
          <w:color w:val="auto"/>
          <w:sz w:val="44"/>
          <w:szCs w:val="44"/>
          <w:highlight w:val="none"/>
        </w:rPr>
        <w:t>重大要素清单</w:t>
      </w:r>
    </w:p>
    <w:tbl>
      <w:tblPr>
        <w:tblStyle w:val="27"/>
        <w:tblW w:w="14124" w:type="dxa"/>
        <w:jc w:val="center"/>
        <w:tblLayout w:type="fixed"/>
        <w:tblCellMar>
          <w:top w:w="0" w:type="dxa"/>
          <w:left w:w="28" w:type="dxa"/>
          <w:bottom w:w="0" w:type="dxa"/>
          <w:right w:w="28" w:type="dxa"/>
        </w:tblCellMar>
      </w:tblPr>
      <w:tblGrid>
        <w:gridCol w:w="550"/>
        <w:gridCol w:w="990"/>
        <w:gridCol w:w="1368"/>
        <w:gridCol w:w="5441"/>
        <w:gridCol w:w="2763"/>
        <w:gridCol w:w="3012"/>
      </w:tblGrid>
      <w:tr>
        <w:tblPrEx>
          <w:tblCellMar>
            <w:top w:w="0" w:type="dxa"/>
            <w:left w:w="28" w:type="dxa"/>
            <w:bottom w:w="0" w:type="dxa"/>
            <w:right w:w="28" w:type="dxa"/>
          </w:tblCellMar>
        </w:tblPrEx>
        <w:trPr>
          <w:trHeight w:val="473" w:hRule="atLeast"/>
          <w:tblHeader/>
          <w:jc w:val="center"/>
        </w:trPr>
        <w:tc>
          <w:tcPr>
            <w:tcW w:w="55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序号</w:t>
            </w:r>
          </w:p>
        </w:tc>
        <w:tc>
          <w:tcPr>
            <w:tcW w:w="990"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类别</w:t>
            </w:r>
          </w:p>
        </w:tc>
        <w:tc>
          <w:tcPr>
            <w:tcW w:w="1368"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要素名称</w:t>
            </w:r>
          </w:p>
        </w:tc>
        <w:tc>
          <w:tcPr>
            <w:tcW w:w="5441"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“十四五”保障举措</w:t>
            </w:r>
          </w:p>
        </w:tc>
        <w:tc>
          <w:tcPr>
            <w:tcW w:w="276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预计目标</w:t>
            </w:r>
          </w:p>
        </w:tc>
        <w:tc>
          <w:tcPr>
            <w:tcW w:w="3012"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责任单位</w:t>
            </w:r>
          </w:p>
        </w:tc>
      </w:tr>
      <w:tr>
        <w:tblPrEx>
          <w:tblCellMar>
            <w:top w:w="0" w:type="dxa"/>
            <w:left w:w="28" w:type="dxa"/>
            <w:bottom w:w="0" w:type="dxa"/>
            <w:right w:w="28" w:type="dxa"/>
          </w:tblCellMar>
        </w:tblPrEx>
        <w:trPr>
          <w:trHeight w:val="909" w:hRule="atLeast"/>
          <w:jc w:val="center"/>
        </w:trPr>
        <w:tc>
          <w:tcPr>
            <w:tcW w:w="550"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w:t>
            </w:r>
          </w:p>
        </w:tc>
        <w:tc>
          <w:tcPr>
            <w:tcW w:w="990"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rPr>
            </w:pPr>
            <w:r>
              <w:rPr>
                <w:rFonts w:eastAsia="仿宋_GB2312"/>
                <w:color w:val="auto"/>
                <w:sz w:val="24"/>
                <w:szCs w:val="24"/>
                <w:highlight w:val="none"/>
              </w:rPr>
              <w:t>工作</w:t>
            </w:r>
          </w:p>
          <w:p>
            <w:pPr>
              <w:spacing w:line="340" w:lineRule="exact"/>
              <w:jc w:val="center"/>
              <w:rPr>
                <w:rFonts w:eastAsia="仿宋_GB2312"/>
                <w:color w:val="auto"/>
                <w:sz w:val="24"/>
                <w:szCs w:val="24"/>
                <w:highlight w:val="none"/>
              </w:rPr>
            </w:pPr>
            <w:r>
              <w:rPr>
                <w:rFonts w:eastAsia="仿宋_GB2312"/>
                <w:color w:val="auto"/>
                <w:sz w:val="24"/>
                <w:szCs w:val="24"/>
                <w:highlight w:val="none"/>
              </w:rPr>
              <w:t>机制</w:t>
            </w:r>
          </w:p>
        </w:tc>
        <w:tc>
          <w:tcPr>
            <w:tcW w:w="13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baseline"/>
              <w:rPr>
                <w:rFonts w:eastAsia="仿宋_GB2312"/>
                <w:color w:val="auto"/>
                <w:sz w:val="24"/>
                <w:szCs w:val="24"/>
                <w:highlight w:val="none"/>
              </w:rPr>
            </w:pPr>
            <w:r>
              <w:rPr>
                <w:rFonts w:hint="eastAsia" w:eastAsia="仿宋_GB2312"/>
                <w:color w:val="auto"/>
                <w:sz w:val="24"/>
                <w:szCs w:val="24"/>
                <w:highlight w:val="none"/>
                <w:lang w:eastAsia="zh-CN"/>
              </w:rPr>
              <w:t>宣汉县</w:t>
            </w:r>
            <w:r>
              <w:rPr>
                <w:rFonts w:eastAsia="仿宋_GB2312"/>
                <w:color w:val="auto"/>
                <w:sz w:val="24"/>
                <w:szCs w:val="24"/>
                <w:highlight w:val="none"/>
              </w:rPr>
              <w:t>“一老一小”工作领导小组</w:t>
            </w:r>
          </w:p>
        </w:tc>
        <w:tc>
          <w:tcPr>
            <w:tcW w:w="544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textAlignment w:val="baseline"/>
              <w:rPr>
                <w:rFonts w:eastAsia="仿宋_GB2312"/>
                <w:color w:val="auto"/>
                <w:sz w:val="24"/>
                <w:szCs w:val="24"/>
                <w:highlight w:val="none"/>
              </w:rPr>
            </w:pPr>
            <w:r>
              <w:rPr>
                <w:rFonts w:eastAsia="仿宋_GB2312"/>
                <w:color w:val="auto"/>
                <w:sz w:val="24"/>
                <w:szCs w:val="24"/>
                <w:highlight w:val="none"/>
              </w:rPr>
              <w:t>建立健全党政主要同志挂帅的“一老一小”工作推进机制，将养老托育服务作为重大民生工程，统筹纳入发展规划和重大改革，系统推进养老托育服务健康发展。</w:t>
            </w:r>
          </w:p>
        </w:tc>
        <w:tc>
          <w:tcPr>
            <w:tcW w:w="2763"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确保各项任务落地落实。</w:t>
            </w:r>
          </w:p>
        </w:tc>
        <w:tc>
          <w:tcPr>
            <w:tcW w:w="3012"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自然资源局、</w:t>
            </w:r>
            <w:r>
              <w:rPr>
                <w:rFonts w:hint="eastAsia" w:eastAsia="仿宋_GB2312"/>
                <w:color w:val="auto"/>
                <w:sz w:val="24"/>
                <w:szCs w:val="24"/>
                <w:highlight w:val="none"/>
                <w:lang w:eastAsia="zh-CN"/>
              </w:rPr>
              <w:t>县</w:t>
            </w:r>
            <w:r>
              <w:rPr>
                <w:rFonts w:eastAsia="仿宋_GB2312"/>
                <w:color w:val="auto"/>
                <w:sz w:val="24"/>
                <w:szCs w:val="24"/>
                <w:highlight w:val="none"/>
              </w:rPr>
              <w:t>人社局、</w:t>
            </w:r>
            <w:r>
              <w:rPr>
                <w:rFonts w:hint="eastAsia" w:eastAsia="仿宋_GB2312"/>
                <w:color w:val="auto"/>
                <w:sz w:val="24"/>
                <w:szCs w:val="24"/>
                <w:highlight w:val="none"/>
                <w:lang w:eastAsia="zh-CN"/>
              </w:rPr>
              <w:t>县</w:t>
            </w:r>
            <w:r>
              <w:rPr>
                <w:rFonts w:eastAsia="仿宋_GB2312"/>
                <w:color w:val="auto"/>
                <w:sz w:val="24"/>
                <w:szCs w:val="24"/>
                <w:highlight w:val="none"/>
              </w:rPr>
              <w:t>住建局等</w:t>
            </w:r>
          </w:p>
        </w:tc>
      </w:tr>
      <w:tr>
        <w:tblPrEx>
          <w:tblCellMar>
            <w:top w:w="0" w:type="dxa"/>
            <w:left w:w="28" w:type="dxa"/>
            <w:bottom w:w="0" w:type="dxa"/>
            <w:right w:w="28" w:type="dxa"/>
          </w:tblCellMar>
        </w:tblPrEx>
        <w:trPr>
          <w:trHeight w:val="1710" w:hRule="atLeast"/>
          <w:jc w:val="center"/>
        </w:trPr>
        <w:tc>
          <w:tcPr>
            <w:tcW w:w="550"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w:t>
            </w:r>
          </w:p>
        </w:tc>
        <w:tc>
          <w:tcPr>
            <w:tcW w:w="990"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rPr>
            </w:pPr>
            <w:r>
              <w:rPr>
                <w:rFonts w:eastAsia="仿宋_GB2312"/>
                <w:color w:val="auto"/>
                <w:sz w:val="24"/>
                <w:szCs w:val="24"/>
                <w:highlight w:val="none"/>
              </w:rPr>
              <w:t>财税</w:t>
            </w:r>
          </w:p>
          <w:p>
            <w:pPr>
              <w:spacing w:line="340" w:lineRule="exact"/>
              <w:jc w:val="center"/>
              <w:rPr>
                <w:rFonts w:eastAsia="仿宋_GB2312"/>
                <w:color w:val="auto"/>
                <w:sz w:val="24"/>
                <w:szCs w:val="24"/>
                <w:highlight w:val="none"/>
              </w:rPr>
            </w:pPr>
            <w:r>
              <w:rPr>
                <w:rFonts w:eastAsia="仿宋_GB2312"/>
                <w:color w:val="auto"/>
                <w:sz w:val="24"/>
                <w:szCs w:val="24"/>
                <w:highlight w:val="none"/>
              </w:rPr>
              <w:t>支持</w:t>
            </w:r>
          </w:p>
        </w:tc>
        <w:tc>
          <w:tcPr>
            <w:tcW w:w="1368" w:type="dxa"/>
            <w:tcBorders>
              <w:top w:val="nil"/>
              <w:left w:val="nil"/>
              <w:bottom w:val="single" w:color="auto" w:sz="4" w:space="0"/>
              <w:right w:val="single" w:color="auto" w:sz="4" w:space="0"/>
            </w:tcBorders>
            <w:noWrap/>
            <w:vAlign w:val="center"/>
          </w:tcPr>
          <w:p>
            <w:pPr>
              <w:spacing w:line="340" w:lineRule="exact"/>
              <w:jc w:val="both"/>
              <w:rPr>
                <w:rFonts w:eastAsia="仿宋_GB2312"/>
                <w:color w:val="auto"/>
                <w:sz w:val="24"/>
                <w:szCs w:val="24"/>
                <w:highlight w:val="none"/>
              </w:rPr>
            </w:pPr>
            <w:r>
              <w:rPr>
                <w:rFonts w:eastAsia="仿宋_GB2312"/>
                <w:color w:val="auto"/>
                <w:sz w:val="24"/>
                <w:szCs w:val="24"/>
                <w:highlight w:val="none"/>
              </w:rPr>
              <w:t>发展资金保障</w:t>
            </w:r>
          </w:p>
        </w:tc>
        <w:tc>
          <w:tcPr>
            <w:tcW w:w="5441"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按照养老发展资金每年2000万元、托育发展资金每年1000万元的标准纳入年度财政预算予以保障，专项用于“一老一小”</w:t>
            </w:r>
            <w:r>
              <w:rPr>
                <w:rFonts w:hint="eastAsia" w:eastAsia="仿宋_GB2312"/>
                <w:color w:val="auto"/>
                <w:sz w:val="24"/>
                <w:szCs w:val="24"/>
                <w:highlight w:val="none"/>
                <w:lang w:eastAsia="zh-CN"/>
              </w:rPr>
              <w:t>事业发展</w:t>
            </w:r>
            <w:r>
              <w:rPr>
                <w:rFonts w:eastAsia="仿宋_GB2312"/>
                <w:color w:val="auto"/>
                <w:sz w:val="24"/>
                <w:szCs w:val="24"/>
                <w:highlight w:val="none"/>
              </w:rPr>
              <w:t>。用于社会福利事业的彩票公益金，自</w:t>
            </w:r>
            <w:r>
              <w:rPr>
                <w:rFonts w:eastAsia="仿宋_GB2312"/>
                <w:color w:val="auto"/>
                <w:sz w:val="24"/>
                <w:szCs w:val="24"/>
                <w:highlight w:val="none"/>
                <w:lang w:val="en" w:eastAsia="en"/>
              </w:rPr>
              <w:t>2022年起将</w:t>
            </w:r>
            <w:r>
              <w:rPr>
                <w:rFonts w:eastAsia="仿宋_GB2312"/>
                <w:color w:val="auto"/>
                <w:sz w:val="24"/>
                <w:szCs w:val="24"/>
                <w:highlight w:val="none"/>
              </w:rPr>
              <w:t>不低于55%的比例用于支持发展养老服务；落实养老托育机构税费优惠政策。</w:t>
            </w:r>
          </w:p>
        </w:tc>
        <w:tc>
          <w:tcPr>
            <w:tcW w:w="2763"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完成养老服务体系建设资金保障，各项优惠政策落地落实。</w:t>
            </w:r>
          </w:p>
        </w:tc>
        <w:tc>
          <w:tcPr>
            <w:tcW w:w="3012"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w:t>
            </w:r>
            <w:r>
              <w:rPr>
                <w:rFonts w:eastAsia="仿宋_GB2312"/>
                <w:color w:val="auto"/>
                <w:sz w:val="24"/>
                <w:szCs w:val="24"/>
                <w:highlight w:val="none"/>
              </w:rPr>
              <w:t>税务局、</w:t>
            </w: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r>
              <w:rPr>
                <w:rFonts w:eastAsia="仿宋_GB2312"/>
                <w:color w:val="auto"/>
                <w:sz w:val="24"/>
                <w:szCs w:val="24"/>
                <w:highlight w:val="none"/>
              </w:rPr>
              <w:t>等</w:t>
            </w:r>
          </w:p>
        </w:tc>
      </w:tr>
      <w:tr>
        <w:tblPrEx>
          <w:tblCellMar>
            <w:top w:w="0" w:type="dxa"/>
            <w:left w:w="28" w:type="dxa"/>
            <w:bottom w:w="0" w:type="dxa"/>
            <w:right w:w="28" w:type="dxa"/>
          </w:tblCellMar>
        </w:tblPrEx>
        <w:trPr>
          <w:trHeight w:val="1110" w:hRule="atLeast"/>
          <w:jc w:val="center"/>
        </w:trPr>
        <w:tc>
          <w:tcPr>
            <w:tcW w:w="550"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w:t>
            </w:r>
          </w:p>
        </w:tc>
        <w:tc>
          <w:tcPr>
            <w:tcW w:w="990"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用地用房保障</w:t>
            </w:r>
          </w:p>
        </w:tc>
        <w:tc>
          <w:tcPr>
            <w:tcW w:w="1368"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养老托育用地用房保障</w:t>
            </w:r>
          </w:p>
        </w:tc>
        <w:tc>
          <w:tcPr>
            <w:tcW w:w="5441" w:type="dxa"/>
            <w:tcBorders>
              <w:top w:val="nil"/>
              <w:left w:val="nil"/>
              <w:bottom w:val="single" w:color="auto" w:sz="4" w:space="0"/>
              <w:right w:val="nil"/>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在编制国土空间规划时，同步编制养老托育服务设施建设布局规划，落实到年度建设用地供应计划。落实养老托育服务设施用地划拨政策，政府、事业单位和企业腾退的用地、用房，适宜的要优先用于养老托育服务。</w:t>
            </w:r>
          </w:p>
        </w:tc>
        <w:tc>
          <w:tcPr>
            <w:tcW w:w="2763" w:type="dxa"/>
            <w:tcBorders>
              <w:top w:val="nil"/>
              <w:left w:val="single" w:color="auto" w:sz="4" w:space="0"/>
              <w:bottom w:val="single" w:color="auto" w:sz="4" w:space="0"/>
              <w:right w:val="nil"/>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2022年，新建城区、新建居住（小）区配套建设社区养老服务设施达标率达到80%，到2025年达到100%。社区托育服务设施覆盖率、新建居住社区配套托育服务设施覆盖率到2025年分别达到60%、100%。</w:t>
            </w:r>
          </w:p>
        </w:tc>
        <w:tc>
          <w:tcPr>
            <w:tcW w:w="3012"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自然资源局、</w:t>
            </w:r>
            <w:r>
              <w:rPr>
                <w:rFonts w:hint="eastAsia" w:eastAsia="仿宋_GB2312"/>
                <w:color w:val="auto"/>
                <w:sz w:val="24"/>
                <w:szCs w:val="24"/>
                <w:highlight w:val="none"/>
                <w:lang w:eastAsia="zh-CN"/>
              </w:rPr>
              <w:t>县</w:t>
            </w:r>
            <w:r>
              <w:rPr>
                <w:rFonts w:eastAsia="仿宋_GB2312"/>
                <w:color w:val="auto"/>
                <w:sz w:val="24"/>
                <w:szCs w:val="24"/>
                <w:highlight w:val="none"/>
              </w:rPr>
              <w:t>住建局等</w:t>
            </w:r>
          </w:p>
        </w:tc>
      </w:tr>
      <w:tr>
        <w:tblPrEx>
          <w:tblCellMar>
            <w:top w:w="0" w:type="dxa"/>
            <w:left w:w="28" w:type="dxa"/>
            <w:bottom w:w="0" w:type="dxa"/>
            <w:right w:w="28" w:type="dxa"/>
          </w:tblCellMar>
        </w:tblPrEx>
        <w:trPr>
          <w:trHeight w:val="2333" w:hRule="atLeast"/>
          <w:jc w:val="center"/>
        </w:trPr>
        <w:tc>
          <w:tcPr>
            <w:tcW w:w="550"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4</w:t>
            </w:r>
          </w:p>
        </w:tc>
        <w:tc>
          <w:tcPr>
            <w:tcW w:w="990"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专业人才培养</w:t>
            </w:r>
          </w:p>
        </w:tc>
        <w:tc>
          <w:tcPr>
            <w:tcW w:w="1368"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rPr>
            </w:pPr>
            <w:r>
              <w:rPr>
                <w:rFonts w:eastAsia="仿宋_GB2312"/>
                <w:color w:val="auto"/>
                <w:sz w:val="24"/>
                <w:szCs w:val="24"/>
                <w:highlight w:val="none"/>
              </w:rPr>
              <w:t>养老托育</w:t>
            </w:r>
          </w:p>
          <w:p>
            <w:pPr>
              <w:spacing w:line="340" w:lineRule="exact"/>
              <w:jc w:val="center"/>
              <w:rPr>
                <w:rFonts w:eastAsia="仿宋_GB2312"/>
                <w:color w:val="auto"/>
                <w:sz w:val="24"/>
                <w:szCs w:val="24"/>
                <w:highlight w:val="none"/>
              </w:rPr>
            </w:pPr>
            <w:r>
              <w:rPr>
                <w:rFonts w:eastAsia="仿宋_GB2312"/>
                <w:color w:val="auto"/>
                <w:sz w:val="24"/>
                <w:szCs w:val="24"/>
                <w:highlight w:val="none"/>
              </w:rPr>
              <w:t>人才培训</w:t>
            </w:r>
          </w:p>
        </w:tc>
        <w:tc>
          <w:tcPr>
            <w:tcW w:w="5441"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lang w:val="en" w:eastAsia="en"/>
              </w:rPr>
            </w:pPr>
            <w:r>
              <w:rPr>
                <w:rFonts w:eastAsia="仿宋_GB2312"/>
                <w:color w:val="auto"/>
                <w:sz w:val="24"/>
                <w:szCs w:val="24"/>
                <w:highlight w:val="none"/>
              </w:rPr>
              <w:t>加强养老托育从业人员岗前培训、岗位技能提升培训、转岗专业培训和创业培训。</w:t>
            </w:r>
          </w:p>
        </w:tc>
        <w:tc>
          <w:tcPr>
            <w:tcW w:w="2763"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到2025年全</w:t>
            </w:r>
            <w:r>
              <w:rPr>
                <w:rFonts w:hint="eastAsia" w:eastAsia="仿宋_GB2312"/>
                <w:color w:val="auto"/>
                <w:sz w:val="24"/>
                <w:szCs w:val="24"/>
                <w:highlight w:val="none"/>
                <w:lang w:eastAsia="zh-CN"/>
              </w:rPr>
              <w:t>县</w:t>
            </w:r>
            <w:r>
              <w:rPr>
                <w:rFonts w:eastAsia="仿宋_GB2312"/>
                <w:color w:val="auto"/>
                <w:sz w:val="24"/>
                <w:szCs w:val="24"/>
                <w:highlight w:val="none"/>
              </w:rPr>
              <w:t>养老护理员岗前培训率达100%，至少培育1个养老实训基地，培训养老服务专业人才500人次。</w:t>
            </w:r>
          </w:p>
        </w:tc>
        <w:tc>
          <w:tcPr>
            <w:tcW w:w="3012"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w:t>
            </w:r>
            <w:r>
              <w:rPr>
                <w:rFonts w:eastAsia="仿宋_GB2312"/>
                <w:color w:val="auto"/>
                <w:sz w:val="24"/>
                <w:szCs w:val="24"/>
                <w:highlight w:val="none"/>
              </w:rPr>
              <w:t>人社局、</w:t>
            </w:r>
            <w:r>
              <w:rPr>
                <w:rFonts w:hint="eastAsia" w:eastAsia="仿宋_GB2312"/>
                <w:color w:val="auto"/>
                <w:sz w:val="24"/>
                <w:szCs w:val="24"/>
                <w:highlight w:val="none"/>
                <w:lang w:eastAsia="zh-CN"/>
              </w:rPr>
              <w:t>县卫生健康局</w:t>
            </w:r>
            <w:r>
              <w:rPr>
                <w:rFonts w:eastAsia="仿宋_GB2312"/>
                <w:color w:val="auto"/>
                <w:sz w:val="24"/>
                <w:szCs w:val="24"/>
                <w:highlight w:val="none"/>
              </w:rPr>
              <w:t>等</w:t>
            </w:r>
          </w:p>
        </w:tc>
      </w:tr>
    </w:tbl>
    <w:p>
      <w:pPr>
        <w:spacing w:line="578" w:lineRule="exact"/>
        <w:rPr>
          <w:rFonts w:eastAsia="仿宋_GB2312"/>
          <w:color w:val="auto"/>
          <w:sz w:val="32"/>
          <w:szCs w:val="32"/>
          <w:highlight w:val="none"/>
          <w:lang w:val="en" w:eastAsia="en"/>
        </w:rPr>
      </w:pPr>
      <w:r>
        <w:rPr>
          <w:rFonts w:eastAsia="仿宋_GB2312"/>
          <w:color w:val="auto"/>
          <w:highlight w:val="none"/>
        </w:rPr>
        <w:br w:type="page"/>
      </w:r>
      <w:r>
        <w:rPr>
          <w:rFonts w:eastAsia="黑体"/>
          <w:color w:val="auto"/>
          <w:sz w:val="32"/>
          <w:szCs w:val="32"/>
          <w:highlight w:val="none"/>
        </w:rPr>
        <w:t>附件</w:t>
      </w:r>
      <w:r>
        <w:rPr>
          <w:rFonts w:eastAsia="仿宋_GB2312"/>
          <w:color w:val="auto"/>
          <w:sz w:val="32"/>
          <w:szCs w:val="32"/>
          <w:highlight w:val="none"/>
          <w:lang w:val="en" w:eastAsia="en"/>
        </w:rPr>
        <w:t>4</w:t>
      </w:r>
    </w:p>
    <w:p>
      <w:pPr>
        <w:pStyle w:val="9"/>
        <w:spacing w:line="600" w:lineRule="exact"/>
        <w:jc w:val="center"/>
        <w:rPr>
          <w:rFonts w:eastAsia="方正小标宋简体"/>
          <w:color w:val="auto"/>
          <w:sz w:val="44"/>
          <w:szCs w:val="44"/>
          <w:highlight w:val="none"/>
        </w:rPr>
      </w:pPr>
      <w:r>
        <w:rPr>
          <w:rFonts w:eastAsia="方正小标宋简体"/>
          <w:color w:val="auto"/>
          <w:sz w:val="44"/>
          <w:szCs w:val="44"/>
          <w:highlight w:val="none"/>
        </w:rPr>
        <w:t>重大改革清单</w:t>
      </w:r>
    </w:p>
    <w:tbl>
      <w:tblPr>
        <w:tblStyle w:val="27"/>
        <w:tblW w:w="14175" w:type="dxa"/>
        <w:jc w:val="center"/>
        <w:tblLayout w:type="fixed"/>
        <w:tblCellMar>
          <w:top w:w="0" w:type="dxa"/>
          <w:left w:w="17" w:type="dxa"/>
          <w:bottom w:w="0" w:type="dxa"/>
          <w:right w:w="17" w:type="dxa"/>
        </w:tblCellMar>
      </w:tblPr>
      <w:tblGrid>
        <w:gridCol w:w="657"/>
        <w:gridCol w:w="2346"/>
        <w:gridCol w:w="6338"/>
        <w:gridCol w:w="2678"/>
        <w:gridCol w:w="2156"/>
      </w:tblGrid>
      <w:tr>
        <w:tblPrEx>
          <w:tblCellMar>
            <w:top w:w="0" w:type="dxa"/>
            <w:left w:w="17" w:type="dxa"/>
            <w:bottom w:w="0" w:type="dxa"/>
            <w:right w:w="17" w:type="dxa"/>
          </w:tblCellMar>
        </w:tblPrEx>
        <w:trPr>
          <w:trHeight w:val="527" w:hRule="atLeas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eastAsia="黑体"/>
                <w:color w:val="auto"/>
                <w:szCs w:val="21"/>
                <w:highlight w:val="none"/>
              </w:rPr>
            </w:pPr>
            <w:r>
              <w:rPr>
                <w:rFonts w:eastAsia="黑体"/>
                <w:color w:val="auto"/>
                <w:szCs w:val="21"/>
                <w:highlight w:val="none"/>
              </w:rPr>
              <w:t>序号</w:t>
            </w:r>
          </w:p>
        </w:tc>
        <w:tc>
          <w:tcPr>
            <w:tcW w:w="2346" w:type="dxa"/>
            <w:tcBorders>
              <w:top w:val="single" w:color="auto" w:sz="4" w:space="0"/>
              <w:left w:val="nil"/>
              <w:bottom w:val="single" w:color="auto" w:sz="4" w:space="0"/>
              <w:right w:val="single" w:color="auto" w:sz="4" w:space="0"/>
            </w:tcBorders>
            <w:noWrap/>
            <w:vAlign w:val="center"/>
          </w:tcPr>
          <w:p>
            <w:pPr>
              <w:jc w:val="center"/>
              <w:textAlignment w:val="center"/>
              <w:rPr>
                <w:rFonts w:eastAsia="黑体"/>
                <w:color w:val="auto"/>
                <w:szCs w:val="21"/>
                <w:highlight w:val="none"/>
              </w:rPr>
            </w:pPr>
            <w:r>
              <w:rPr>
                <w:rFonts w:eastAsia="黑体"/>
                <w:color w:val="auto"/>
                <w:szCs w:val="21"/>
                <w:highlight w:val="none"/>
              </w:rPr>
              <w:t>改革名称</w:t>
            </w:r>
          </w:p>
        </w:tc>
        <w:tc>
          <w:tcPr>
            <w:tcW w:w="6338" w:type="dxa"/>
            <w:tcBorders>
              <w:top w:val="single" w:color="auto" w:sz="4" w:space="0"/>
              <w:left w:val="nil"/>
              <w:bottom w:val="single" w:color="auto" w:sz="4" w:space="0"/>
              <w:right w:val="single" w:color="auto" w:sz="4" w:space="0"/>
            </w:tcBorders>
            <w:noWrap/>
            <w:vAlign w:val="center"/>
          </w:tcPr>
          <w:p>
            <w:pPr>
              <w:jc w:val="center"/>
              <w:textAlignment w:val="center"/>
              <w:rPr>
                <w:rFonts w:eastAsia="黑体"/>
                <w:color w:val="auto"/>
                <w:szCs w:val="21"/>
                <w:highlight w:val="none"/>
              </w:rPr>
            </w:pPr>
            <w:r>
              <w:rPr>
                <w:rFonts w:eastAsia="黑体"/>
                <w:color w:val="auto"/>
                <w:szCs w:val="21"/>
                <w:highlight w:val="none"/>
              </w:rPr>
              <w:t>重点工作举措和内容</w:t>
            </w:r>
          </w:p>
        </w:tc>
        <w:tc>
          <w:tcPr>
            <w:tcW w:w="2678" w:type="dxa"/>
            <w:tcBorders>
              <w:top w:val="single" w:color="auto" w:sz="4" w:space="0"/>
              <w:left w:val="nil"/>
              <w:bottom w:val="single" w:color="auto" w:sz="4" w:space="0"/>
              <w:right w:val="single" w:color="auto" w:sz="4" w:space="0"/>
            </w:tcBorders>
            <w:noWrap/>
            <w:vAlign w:val="center"/>
          </w:tcPr>
          <w:p>
            <w:pPr>
              <w:jc w:val="center"/>
              <w:textAlignment w:val="center"/>
              <w:rPr>
                <w:rFonts w:eastAsia="黑体"/>
                <w:color w:val="auto"/>
                <w:szCs w:val="21"/>
                <w:highlight w:val="none"/>
              </w:rPr>
            </w:pPr>
            <w:r>
              <w:rPr>
                <w:rFonts w:eastAsia="黑体"/>
                <w:color w:val="auto"/>
                <w:szCs w:val="21"/>
                <w:highlight w:val="none"/>
              </w:rPr>
              <w:t>预期目标</w:t>
            </w:r>
          </w:p>
        </w:tc>
        <w:tc>
          <w:tcPr>
            <w:tcW w:w="2156" w:type="dxa"/>
            <w:tcBorders>
              <w:top w:val="single" w:color="auto" w:sz="4" w:space="0"/>
              <w:left w:val="nil"/>
              <w:bottom w:val="single" w:color="auto" w:sz="4" w:space="0"/>
              <w:right w:val="single" w:color="auto" w:sz="4" w:space="0"/>
            </w:tcBorders>
            <w:noWrap/>
            <w:vAlign w:val="center"/>
          </w:tcPr>
          <w:p>
            <w:pPr>
              <w:jc w:val="center"/>
              <w:textAlignment w:val="center"/>
              <w:rPr>
                <w:rFonts w:eastAsia="黑体"/>
                <w:color w:val="auto"/>
                <w:szCs w:val="21"/>
                <w:highlight w:val="none"/>
              </w:rPr>
            </w:pPr>
            <w:r>
              <w:rPr>
                <w:rFonts w:eastAsia="黑体"/>
                <w:color w:val="auto"/>
                <w:szCs w:val="21"/>
                <w:highlight w:val="none"/>
              </w:rPr>
              <w:t>责任单位</w:t>
            </w:r>
          </w:p>
        </w:tc>
      </w:tr>
      <w:tr>
        <w:tblPrEx>
          <w:tblCellMar>
            <w:top w:w="0" w:type="dxa"/>
            <w:left w:w="17" w:type="dxa"/>
            <w:bottom w:w="0" w:type="dxa"/>
            <w:right w:w="17" w:type="dxa"/>
          </w:tblCellMar>
        </w:tblPrEx>
        <w:trPr>
          <w:trHeight w:val="1701" w:hRule="exact"/>
          <w:jc w:val="center"/>
        </w:trPr>
        <w:tc>
          <w:tcPr>
            <w:tcW w:w="657" w:type="dxa"/>
            <w:tcBorders>
              <w:top w:val="nil"/>
              <w:left w:val="single" w:color="auto" w:sz="4" w:space="0"/>
              <w:bottom w:val="single" w:color="auto" w:sz="4" w:space="0"/>
              <w:right w:val="single" w:color="auto" w:sz="4" w:space="0"/>
            </w:tcBorders>
            <w:noWrap/>
            <w:vAlign w:val="center"/>
          </w:tcPr>
          <w:p>
            <w:pPr>
              <w:jc w:val="center"/>
              <w:textAlignment w:val="center"/>
              <w:rPr>
                <w:rFonts w:eastAsia="仿宋_GB2312"/>
                <w:color w:val="auto"/>
                <w:szCs w:val="21"/>
                <w:highlight w:val="none"/>
              </w:rPr>
            </w:pPr>
            <w:r>
              <w:rPr>
                <w:rFonts w:eastAsia="仿宋_GB2312"/>
                <w:color w:val="auto"/>
                <w:szCs w:val="21"/>
                <w:highlight w:val="none"/>
              </w:rPr>
              <w:t>1</w:t>
            </w:r>
          </w:p>
        </w:tc>
        <w:tc>
          <w:tcPr>
            <w:tcW w:w="2346"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社区普惠托育</w:t>
            </w:r>
          </w:p>
        </w:tc>
        <w:tc>
          <w:tcPr>
            <w:tcW w:w="6338"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政府机关、企事业单位、社区利用自有土地或设施新建、改扩建托育服务设施，并对社会开放普惠性托位。</w:t>
            </w:r>
          </w:p>
        </w:tc>
        <w:tc>
          <w:tcPr>
            <w:tcW w:w="2678" w:type="dxa"/>
            <w:tcBorders>
              <w:top w:val="nil"/>
              <w:left w:val="nil"/>
              <w:bottom w:val="single" w:color="auto" w:sz="4" w:space="0"/>
              <w:right w:val="single" w:color="auto" w:sz="4" w:space="0"/>
            </w:tcBorders>
            <w:noWrap/>
            <w:vAlign w:val="center"/>
          </w:tcPr>
          <w:p>
            <w:pPr>
              <w:spacing w:line="340" w:lineRule="exact"/>
              <w:jc w:val="left"/>
              <w:rPr>
                <w:rFonts w:eastAsia="仿宋_GB2312"/>
                <w:color w:val="auto"/>
                <w:sz w:val="24"/>
                <w:szCs w:val="24"/>
                <w:highlight w:val="none"/>
              </w:rPr>
            </w:pPr>
            <w:r>
              <w:rPr>
                <w:rFonts w:eastAsia="仿宋_GB2312"/>
                <w:color w:val="auto"/>
                <w:sz w:val="24"/>
                <w:szCs w:val="24"/>
                <w:highlight w:val="none"/>
              </w:rPr>
              <w:t>提供全日托、半日托、计时托、临时托等多样化的普惠托育服务。</w:t>
            </w:r>
          </w:p>
        </w:tc>
        <w:tc>
          <w:tcPr>
            <w:tcW w:w="2156"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县卫生健康局</w:t>
            </w:r>
          </w:p>
        </w:tc>
      </w:tr>
      <w:tr>
        <w:tblPrEx>
          <w:tblCellMar>
            <w:top w:w="0" w:type="dxa"/>
            <w:left w:w="17" w:type="dxa"/>
            <w:bottom w:w="0" w:type="dxa"/>
            <w:right w:w="17" w:type="dxa"/>
          </w:tblCellMar>
        </w:tblPrEx>
        <w:trPr>
          <w:trHeight w:val="1701" w:hRule="exac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eastAsia="仿宋_GB2312"/>
                <w:color w:val="auto"/>
                <w:szCs w:val="21"/>
                <w:highlight w:val="none"/>
              </w:rPr>
            </w:pPr>
            <w:r>
              <w:rPr>
                <w:rFonts w:eastAsia="仿宋_GB2312"/>
                <w:color w:val="auto"/>
                <w:szCs w:val="21"/>
                <w:highlight w:val="none"/>
              </w:rPr>
              <w:t>2</w:t>
            </w:r>
          </w:p>
        </w:tc>
        <w:tc>
          <w:tcPr>
            <w:tcW w:w="2346"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eastAsia="仿宋_GB2312"/>
                <w:color w:val="auto"/>
                <w:sz w:val="24"/>
                <w:szCs w:val="24"/>
                <w:highlight w:val="none"/>
              </w:rPr>
            </w:pPr>
            <w:r>
              <w:rPr>
                <w:rFonts w:eastAsia="仿宋_GB2312"/>
                <w:color w:val="auto"/>
                <w:sz w:val="24"/>
                <w:szCs w:val="24"/>
                <w:highlight w:val="none"/>
              </w:rPr>
              <w:t>完善价格形成机制</w:t>
            </w:r>
          </w:p>
        </w:tc>
        <w:tc>
          <w:tcPr>
            <w:tcW w:w="6338"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eastAsia="仿宋_GB2312"/>
                <w:color w:val="auto"/>
                <w:sz w:val="24"/>
                <w:szCs w:val="24"/>
                <w:highlight w:val="none"/>
              </w:rPr>
            </w:pPr>
            <w:r>
              <w:rPr>
                <w:rFonts w:eastAsia="仿宋_GB2312"/>
                <w:color w:val="auto"/>
                <w:sz w:val="24"/>
                <w:szCs w:val="24"/>
                <w:highlight w:val="none"/>
              </w:rPr>
              <w:t>对民办营利性养老机构，服务项目和收费标准实行市场调节价，由经营者自主确定。对民办非营利性养老机构，服务项目和收费标准由经营者合理确定，发改、民政对其财务收支状况、收费项目和调价频次进行必要监管，同时加强价格水平监测分析。</w:t>
            </w:r>
          </w:p>
        </w:tc>
        <w:tc>
          <w:tcPr>
            <w:tcW w:w="2678"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eastAsia="仿宋_GB2312"/>
                <w:color w:val="auto"/>
                <w:sz w:val="24"/>
                <w:szCs w:val="24"/>
                <w:highlight w:val="none"/>
              </w:rPr>
            </w:pPr>
            <w:r>
              <w:rPr>
                <w:rFonts w:eastAsia="仿宋_GB2312"/>
                <w:color w:val="auto"/>
                <w:sz w:val="24"/>
                <w:szCs w:val="24"/>
                <w:highlight w:val="none"/>
              </w:rPr>
              <w:t>坚持分类指导，加快建立以市场形成价格为主的养老机构服务收费管理机制。</w:t>
            </w:r>
          </w:p>
        </w:tc>
        <w:tc>
          <w:tcPr>
            <w:tcW w:w="2156"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民政局、</w:t>
            </w:r>
            <w:r>
              <w:rPr>
                <w:rFonts w:hint="eastAsia" w:eastAsia="仿宋_GB2312"/>
                <w:color w:val="auto"/>
                <w:sz w:val="24"/>
                <w:szCs w:val="24"/>
                <w:highlight w:val="none"/>
                <w:lang w:eastAsia="zh-CN"/>
              </w:rPr>
              <w:t>县卫生健康局</w:t>
            </w:r>
          </w:p>
        </w:tc>
      </w:tr>
      <w:tr>
        <w:tblPrEx>
          <w:tblCellMar>
            <w:top w:w="0" w:type="dxa"/>
            <w:left w:w="17" w:type="dxa"/>
            <w:bottom w:w="0" w:type="dxa"/>
            <w:right w:w="17" w:type="dxa"/>
          </w:tblCellMar>
        </w:tblPrEx>
        <w:trPr>
          <w:trHeight w:val="1701" w:hRule="exac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eastAsia="仿宋_GB2312"/>
                <w:color w:val="auto"/>
                <w:szCs w:val="21"/>
                <w:highlight w:val="none"/>
              </w:rPr>
            </w:pPr>
            <w:r>
              <w:rPr>
                <w:rFonts w:eastAsia="仿宋_GB2312"/>
                <w:color w:val="auto"/>
                <w:szCs w:val="21"/>
                <w:highlight w:val="none"/>
              </w:rPr>
              <w:t>3</w:t>
            </w:r>
          </w:p>
        </w:tc>
        <w:tc>
          <w:tcPr>
            <w:tcW w:w="2346" w:type="dxa"/>
            <w:tcBorders>
              <w:top w:val="single" w:color="auto" w:sz="4" w:space="0"/>
              <w:left w:val="nil"/>
              <w:bottom w:val="single" w:color="auto" w:sz="4" w:space="0"/>
              <w:right w:val="single" w:color="auto" w:sz="4" w:space="0"/>
            </w:tcBorders>
            <w:noWrap/>
            <w:vAlign w:val="center"/>
          </w:tcPr>
          <w:p>
            <w:pPr>
              <w:jc w:val="center"/>
              <w:textAlignment w:val="center"/>
              <w:rPr>
                <w:rFonts w:eastAsia="仿宋_GB2312"/>
                <w:color w:val="auto"/>
                <w:sz w:val="24"/>
                <w:szCs w:val="24"/>
                <w:highlight w:val="none"/>
              </w:rPr>
            </w:pPr>
            <w:r>
              <w:rPr>
                <w:rFonts w:eastAsia="仿宋_GB2312"/>
                <w:color w:val="auto"/>
                <w:sz w:val="24"/>
                <w:szCs w:val="24"/>
                <w:highlight w:val="none"/>
              </w:rPr>
              <w:t>农村敬老院改革</w:t>
            </w:r>
          </w:p>
        </w:tc>
        <w:tc>
          <w:tcPr>
            <w:tcW w:w="6338" w:type="dxa"/>
            <w:tcBorders>
              <w:top w:val="single" w:color="auto" w:sz="4" w:space="0"/>
              <w:left w:val="nil"/>
              <w:bottom w:val="single" w:color="auto" w:sz="4" w:space="0"/>
              <w:right w:val="single" w:color="auto" w:sz="4" w:space="0"/>
            </w:tcBorders>
            <w:noWrap/>
            <w:vAlign w:val="center"/>
          </w:tcPr>
          <w:p>
            <w:pPr>
              <w:jc w:val="left"/>
              <w:textAlignment w:val="center"/>
              <w:rPr>
                <w:rFonts w:eastAsia="仿宋_GB2312"/>
                <w:color w:val="auto"/>
                <w:sz w:val="24"/>
                <w:szCs w:val="24"/>
                <w:highlight w:val="none"/>
              </w:rPr>
            </w:pPr>
            <w:r>
              <w:rPr>
                <w:rFonts w:eastAsia="仿宋_GB2312"/>
                <w:color w:val="auto"/>
                <w:sz w:val="24"/>
                <w:szCs w:val="24"/>
                <w:highlight w:val="none"/>
              </w:rPr>
              <w:t>整合农村养老资源，成立区域养老服务中心。</w:t>
            </w:r>
          </w:p>
        </w:tc>
        <w:tc>
          <w:tcPr>
            <w:tcW w:w="2678" w:type="dxa"/>
            <w:tcBorders>
              <w:top w:val="single" w:color="auto" w:sz="4" w:space="0"/>
              <w:left w:val="nil"/>
              <w:bottom w:val="single" w:color="auto" w:sz="4" w:space="0"/>
              <w:right w:val="single" w:color="auto" w:sz="4" w:space="0"/>
            </w:tcBorders>
            <w:noWrap/>
            <w:vAlign w:val="center"/>
          </w:tcPr>
          <w:p>
            <w:pPr>
              <w:jc w:val="left"/>
              <w:textAlignment w:val="center"/>
              <w:rPr>
                <w:rFonts w:eastAsia="仿宋_GB2312"/>
                <w:color w:val="auto"/>
                <w:sz w:val="24"/>
                <w:szCs w:val="24"/>
                <w:highlight w:val="none"/>
              </w:rPr>
            </w:pPr>
            <w:r>
              <w:rPr>
                <w:rFonts w:eastAsia="仿宋_GB2312"/>
                <w:color w:val="auto"/>
                <w:sz w:val="24"/>
                <w:szCs w:val="24"/>
                <w:highlight w:val="none"/>
              </w:rPr>
              <w:t>改善农村养老基础条件，提升农村养老服务质量。</w:t>
            </w:r>
          </w:p>
        </w:tc>
        <w:tc>
          <w:tcPr>
            <w:tcW w:w="2156" w:type="dxa"/>
            <w:tcBorders>
              <w:top w:val="single" w:color="auto" w:sz="4" w:space="0"/>
              <w:left w:val="nil"/>
              <w:bottom w:val="single" w:color="auto" w:sz="4" w:space="0"/>
              <w:right w:val="single" w:color="auto" w:sz="4" w:space="0"/>
            </w:tcBorders>
            <w:noWrap/>
            <w:vAlign w:val="center"/>
          </w:tcPr>
          <w:p>
            <w:pPr>
              <w:jc w:val="center"/>
              <w:textAlignment w:val="center"/>
              <w:rPr>
                <w:rFonts w:eastAsia="仿宋_GB2312"/>
                <w:color w:val="auto"/>
                <w:sz w:val="24"/>
                <w:szCs w:val="24"/>
                <w:highlight w:val="none"/>
              </w:rPr>
            </w:pPr>
            <w:r>
              <w:rPr>
                <w:rFonts w:hint="eastAsia" w:eastAsia="仿宋_GB2312"/>
                <w:color w:val="auto"/>
                <w:sz w:val="24"/>
                <w:szCs w:val="24"/>
                <w:highlight w:val="none"/>
                <w:lang w:eastAsia="zh-CN"/>
              </w:rPr>
              <w:t>县</w:t>
            </w:r>
            <w:r>
              <w:rPr>
                <w:rFonts w:eastAsia="仿宋_GB2312"/>
                <w:color w:val="auto"/>
                <w:sz w:val="24"/>
                <w:szCs w:val="24"/>
                <w:highlight w:val="none"/>
              </w:rPr>
              <w:t>民政局</w:t>
            </w:r>
          </w:p>
        </w:tc>
      </w:tr>
    </w:tbl>
    <w:p>
      <w:pPr>
        <w:pStyle w:val="9"/>
        <w:ind w:firstLine="643"/>
        <w:rPr>
          <w:rFonts w:eastAsia="仿宋_GB2312"/>
          <w:color w:val="auto"/>
          <w:sz w:val="32"/>
          <w:szCs w:val="32"/>
          <w:highlight w:val="none"/>
        </w:rPr>
      </w:pPr>
    </w:p>
    <w:p>
      <w:pPr>
        <w:pStyle w:val="9"/>
        <w:ind w:firstLine="420"/>
        <w:rPr>
          <w:rFonts w:eastAsia="仿宋_GB2312"/>
          <w:color w:val="auto"/>
          <w:highlight w:val="none"/>
        </w:rPr>
      </w:pPr>
    </w:p>
    <w:p>
      <w:pPr>
        <w:spacing w:line="578" w:lineRule="exact"/>
        <w:rPr>
          <w:rFonts w:eastAsia="方正小标宋简体"/>
          <w:color w:val="auto"/>
          <w:sz w:val="32"/>
          <w:szCs w:val="32"/>
          <w:highlight w:val="none"/>
          <w:lang w:val="en" w:eastAsia="en"/>
        </w:rPr>
      </w:pPr>
      <w:r>
        <w:rPr>
          <w:rFonts w:eastAsia="仿宋_GB2312"/>
          <w:color w:val="auto"/>
          <w:sz w:val="32"/>
          <w:szCs w:val="32"/>
          <w:highlight w:val="none"/>
        </w:rPr>
        <w:br w:type="page"/>
      </w:r>
      <w:r>
        <w:rPr>
          <w:rFonts w:eastAsia="黑体"/>
          <w:color w:val="auto"/>
          <w:sz w:val="32"/>
          <w:szCs w:val="32"/>
          <w:highlight w:val="none"/>
        </w:rPr>
        <w:t>附件</w:t>
      </w:r>
      <w:r>
        <w:rPr>
          <w:rFonts w:eastAsia="仿宋_GB2312"/>
          <w:color w:val="auto"/>
          <w:sz w:val="32"/>
          <w:szCs w:val="32"/>
          <w:highlight w:val="none"/>
          <w:lang w:val="en" w:eastAsia="en"/>
        </w:rPr>
        <w:t>5</w:t>
      </w:r>
    </w:p>
    <w:p>
      <w:pPr>
        <w:pStyle w:val="9"/>
        <w:spacing w:before="120" w:beforeLines="50" w:after="120" w:afterLines="50"/>
        <w:jc w:val="center"/>
        <w:rPr>
          <w:rFonts w:eastAsia="方正小标宋简体"/>
          <w:color w:val="auto"/>
          <w:sz w:val="44"/>
          <w:szCs w:val="44"/>
          <w:highlight w:val="none"/>
        </w:rPr>
      </w:pPr>
      <w:r>
        <w:rPr>
          <w:rFonts w:eastAsia="方正小标宋简体"/>
          <w:color w:val="auto"/>
          <w:sz w:val="44"/>
          <w:szCs w:val="44"/>
          <w:highlight w:val="none"/>
        </w:rPr>
        <w:t>重大试点清单</w:t>
      </w:r>
    </w:p>
    <w:tbl>
      <w:tblPr>
        <w:tblStyle w:val="27"/>
        <w:tblW w:w="14175" w:type="dxa"/>
        <w:jc w:val="center"/>
        <w:tblLayout w:type="autofit"/>
        <w:tblCellMar>
          <w:top w:w="0" w:type="dxa"/>
          <w:left w:w="17" w:type="dxa"/>
          <w:bottom w:w="0" w:type="dxa"/>
          <w:right w:w="17" w:type="dxa"/>
        </w:tblCellMar>
      </w:tblPr>
      <w:tblGrid>
        <w:gridCol w:w="696"/>
        <w:gridCol w:w="2159"/>
        <w:gridCol w:w="6161"/>
        <w:gridCol w:w="3095"/>
        <w:gridCol w:w="2443"/>
      </w:tblGrid>
      <w:tr>
        <w:tblPrEx>
          <w:tblCellMar>
            <w:top w:w="0" w:type="dxa"/>
            <w:left w:w="17" w:type="dxa"/>
            <w:bottom w:w="0" w:type="dxa"/>
            <w:right w:w="17" w:type="dxa"/>
          </w:tblCellMar>
        </w:tblPrEx>
        <w:trPr>
          <w:trHeight w:val="543"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序号</w:t>
            </w:r>
          </w:p>
        </w:tc>
        <w:tc>
          <w:tcPr>
            <w:tcW w:w="2159"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试点名称</w:t>
            </w:r>
          </w:p>
        </w:tc>
        <w:tc>
          <w:tcPr>
            <w:tcW w:w="6161"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主要试点措施</w:t>
            </w:r>
          </w:p>
        </w:tc>
        <w:tc>
          <w:tcPr>
            <w:tcW w:w="3095"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预期目标</w:t>
            </w:r>
          </w:p>
        </w:tc>
        <w:tc>
          <w:tcPr>
            <w:tcW w:w="244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责任单位</w:t>
            </w:r>
          </w:p>
        </w:tc>
      </w:tr>
      <w:tr>
        <w:tblPrEx>
          <w:tblCellMar>
            <w:top w:w="0" w:type="dxa"/>
            <w:left w:w="17" w:type="dxa"/>
            <w:bottom w:w="0" w:type="dxa"/>
            <w:right w:w="17" w:type="dxa"/>
          </w:tblCellMar>
        </w:tblPrEx>
        <w:trPr>
          <w:trHeight w:val="1701" w:hRule="exact"/>
          <w:jc w:val="center"/>
        </w:trPr>
        <w:tc>
          <w:tcPr>
            <w:tcW w:w="696"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w:t>
            </w:r>
          </w:p>
        </w:tc>
        <w:tc>
          <w:tcPr>
            <w:tcW w:w="2159"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创建示范性全国</w:t>
            </w:r>
          </w:p>
          <w:p>
            <w:pPr>
              <w:spacing w:line="340" w:lineRule="exact"/>
              <w:jc w:val="center"/>
              <w:rPr>
                <w:rFonts w:eastAsia="仿宋_GB2312"/>
                <w:color w:val="auto"/>
                <w:sz w:val="24"/>
                <w:szCs w:val="24"/>
                <w:highlight w:val="none"/>
              </w:rPr>
            </w:pPr>
            <w:r>
              <w:rPr>
                <w:rFonts w:eastAsia="仿宋_GB2312"/>
                <w:color w:val="auto"/>
                <w:sz w:val="24"/>
                <w:szCs w:val="24"/>
                <w:highlight w:val="none"/>
              </w:rPr>
              <w:t>老年友好型社区</w:t>
            </w:r>
          </w:p>
        </w:tc>
        <w:tc>
          <w:tcPr>
            <w:tcW w:w="6161"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通过改善老年人居住环境、方便老年人日常出行、提升健康养老服务质量、扩大老年人社会参与、丰富老年人精神文化生活、提高为老服务科技化水平六个方面开展创建作。</w:t>
            </w:r>
          </w:p>
        </w:tc>
        <w:tc>
          <w:tcPr>
            <w:tcW w:w="3095"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到2025年，成功创建</w:t>
            </w:r>
            <w:r>
              <w:rPr>
                <w:rFonts w:hint="eastAsia" w:eastAsia="仿宋_GB2312"/>
                <w:color w:val="auto"/>
                <w:sz w:val="24"/>
                <w:szCs w:val="24"/>
                <w:highlight w:val="none"/>
                <w:lang w:val="en-US" w:eastAsia="zh-CN"/>
              </w:rPr>
              <w:t>2</w:t>
            </w:r>
            <w:r>
              <w:rPr>
                <w:rFonts w:eastAsia="仿宋_GB2312"/>
                <w:color w:val="auto"/>
                <w:sz w:val="24"/>
                <w:szCs w:val="24"/>
                <w:highlight w:val="none"/>
              </w:rPr>
              <w:t>个示范性全国老年友好型社区。</w:t>
            </w:r>
          </w:p>
        </w:tc>
        <w:tc>
          <w:tcPr>
            <w:tcW w:w="2443"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县卫生健康局</w:t>
            </w:r>
          </w:p>
        </w:tc>
      </w:tr>
      <w:tr>
        <w:tblPrEx>
          <w:tblCellMar>
            <w:top w:w="0" w:type="dxa"/>
            <w:left w:w="17" w:type="dxa"/>
            <w:bottom w:w="0" w:type="dxa"/>
            <w:right w:w="17" w:type="dxa"/>
          </w:tblCellMar>
        </w:tblPrEx>
        <w:trPr>
          <w:trHeight w:val="1701" w:hRule="exact"/>
          <w:jc w:val="center"/>
        </w:trPr>
        <w:tc>
          <w:tcPr>
            <w:tcW w:w="696"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w:t>
            </w:r>
          </w:p>
        </w:tc>
        <w:tc>
          <w:tcPr>
            <w:tcW w:w="2159"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城企联动普惠</w:t>
            </w:r>
          </w:p>
          <w:p>
            <w:pPr>
              <w:spacing w:line="340" w:lineRule="exact"/>
              <w:jc w:val="center"/>
              <w:rPr>
                <w:rFonts w:eastAsia="仿宋_GB2312"/>
                <w:color w:val="auto"/>
                <w:sz w:val="24"/>
                <w:szCs w:val="24"/>
                <w:highlight w:val="none"/>
              </w:rPr>
            </w:pPr>
            <w:r>
              <w:rPr>
                <w:rFonts w:eastAsia="仿宋_GB2312"/>
                <w:color w:val="auto"/>
                <w:sz w:val="24"/>
                <w:szCs w:val="24"/>
                <w:highlight w:val="none"/>
              </w:rPr>
              <w:t>养老专项行动</w:t>
            </w:r>
          </w:p>
        </w:tc>
        <w:tc>
          <w:tcPr>
            <w:tcW w:w="6161"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社区、医养、培疗转型养老补助标准为每张床位2万元，旅居型养老补助为每张床位1万元。</w:t>
            </w:r>
          </w:p>
        </w:tc>
        <w:tc>
          <w:tcPr>
            <w:tcW w:w="3095"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到2025年，各类养老床位总数力争达到</w:t>
            </w:r>
            <w:r>
              <w:rPr>
                <w:rFonts w:hint="eastAsia" w:eastAsia="仿宋_GB2312"/>
                <w:color w:val="auto"/>
                <w:sz w:val="24"/>
                <w:szCs w:val="24"/>
                <w:highlight w:val="none"/>
                <w:lang w:val="en-US" w:eastAsia="zh-CN"/>
              </w:rPr>
              <w:t>7000</w:t>
            </w:r>
            <w:r>
              <w:rPr>
                <w:rFonts w:eastAsia="仿宋_GB2312"/>
                <w:color w:val="auto"/>
                <w:sz w:val="24"/>
                <w:szCs w:val="24"/>
                <w:highlight w:val="none"/>
              </w:rPr>
              <w:t>张。</w:t>
            </w:r>
          </w:p>
        </w:tc>
        <w:tc>
          <w:tcPr>
            <w:tcW w:w="2443"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pacing w:val="-8"/>
                <w:sz w:val="24"/>
                <w:szCs w:val="24"/>
                <w:highlight w:val="none"/>
                <w:lang w:eastAsia="zh-CN"/>
              </w:rPr>
            </w:pPr>
            <w:r>
              <w:rPr>
                <w:rFonts w:hint="eastAsia" w:eastAsia="仿宋_GB2312"/>
                <w:color w:val="auto"/>
                <w:spacing w:val="-8"/>
                <w:sz w:val="24"/>
                <w:szCs w:val="24"/>
                <w:highlight w:val="none"/>
                <w:lang w:eastAsia="zh-CN"/>
              </w:rPr>
              <w:t>县</w:t>
            </w:r>
            <w:r>
              <w:rPr>
                <w:rFonts w:eastAsia="仿宋_GB2312"/>
                <w:color w:val="auto"/>
                <w:spacing w:val="-8"/>
                <w:sz w:val="24"/>
                <w:szCs w:val="24"/>
                <w:highlight w:val="none"/>
              </w:rPr>
              <w:t>民政局、</w:t>
            </w:r>
            <w:r>
              <w:rPr>
                <w:rFonts w:hint="eastAsia" w:eastAsia="仿宋_GB2312"/>
                <w:color w:val="auto"/>
                <w:spacing w:val="-8"/>
                <w:sz w:val="24"/>
                <w:szCs w:val="24"/>
                <w:highlight w:val="none"/>
                <w:lang w:eastAsia="zh-CN"/>
              </w:rPr>
              <w:t>县</w:t>
            </w:r>
            <w:r>
              <w:rPr>
                <w:rFonts w:eastAsia="仿宋_GB2312"/>
                <w:color w:val="auto"/>
                <w:spacing w:val="-8"/>
                <w:sz w:val="24"/>
                <w:szCs w:val="24"/>
                <w:highlight w:val="none"/>
              </w:rPr>
              <w:t>发改</w:t>
            </w:r>
            <w:r>
              <w:rPr>
                <w:rFonts w:hint="eastAsia" w:eastAsia="仿宋_GB2312"/>
                <w:color w:val="auto"/>
                <w:spacing w:val="-8"/>
                <w:sz w:val="24"/>
                <w:szCs w:val="24"/>
                <w:highlight w:val="none"/>
                <w:lang w:eastAsia="zh-CN"/>
              </w:rPr>
              <w:t>局</w:t>
            </w:r>
          </w:p>
        </w:tc>
      </w:tr>
      <w:tr>
        <w:tblPrEx>
          <w:tblCellMar>
            <w:top w:w="0" w:type="dxa"/>
            <w:left w:w="17" w:type="dxa"/>
            <w:bottom w:w="0" w:type="dxa"/>
            <w:right w:w="17" w:type="dxa"/>
          </w:tblCellMar>
        </w:tblPrEx>
        <w:trPr>
          <w:trHeight w:val="1701" w:hRule="exac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3</w:t>
            </w:r>
          </w:p>
        </w:tc>
        <w:tc>
          <w:tcPr>
            <w:tcW w:w="215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普惠托育服务</w:t>
            </w:r>
          </w:p>
          <w:p>
            <w:pPr>
              <w:spacing w:line="340" w:lineRule="exact"/>
              <w:jc w:val="center"/>
              <w:rPr>
                <w:rFonts w:eastAsia="仿宋_GB2312"/>
                <w:color w:val="auto"/>
                <w:sz w:val="24"/>
                <w:szCs w:val="24"/>
                <w:highlight w:val="none"/>
              </w:rPr>
            </w:pPr>
            <w:r>
              <w:rPr>
                <w:rFonts w:eastAsia="仿宋_GB2312"/>
                <w:color w:val="auto"/>
                <w:sz w:val="24"/>
                <w:szCs w:val="24"/>
                <w:highlight w:val="none"/>
              </w:rPr>
              <w:t>专项行动</w:t>
            </w:r>
          </w:p>
        </w:tc>
        <w:tc>
          <w:tcPr>
            <w:tcW w:w="6161"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依托国家普惠托育服务专项行动提升公办托育服务能力，采用定额补助的方式，支持公办机构发展普惠托育服务；采取以奖代补方式支持普惠性托育机构创建省级示范性托育机构。</w:t>
            </w:r>
          </w:p>
        </w:tc>
        <w:tc>
          <w:tcPr>
            <w:tcW w:w="3095"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到2025年，3岁以下婴幼儿托位数力争达到</w:t>
            </w:r>
            <w:r>
              <w:rPr>
                <w:rFonts w:hint="eastAsia" w:eastAsia="仿宋_GB2312"/>
                <w:color w:val="auto"/>
                <w:sz w:val="24"/>
                <w:szCs w:val="24"/>
                <w:highlight w:val="none"/>
                <w:lang w:val="en-US" w:eastAsia="zh-CN"/>
              </w:rPr>
              <w:t>4300</w:t>
            </w:r>
            <w:r>
              <w:rPr>
                <w:rFonts w:eastAsia="仿宋_GB2312"/>
                <w:color w:val="auto"/>
                <w:sz w:val="24"/>
                <w:szCs w:val="24"/>
                <w:highlight w:val="none"/>
              </w:rPr>
              <w:t>个。</w:t>
            </w:r>
          </w:p>
        </w:tc>
        <w:tc>
          <w:tcPr>
            <w:tcW w:w="244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县卫生健康局</w:t>
            </w:r>
            <w:r>
              <w:rPr>
                <w:rFonts w:eastAsia="仿宋_GB2312"/>
                <w:color w:val="auto"/>
                <w:sz w:val="24"/>
                <w:szCs w:val="24"/>
                <w:highlight w:val="none"/>
              </w:rPr>
              <w:t>、</w:t>
            </w:r>
            <w:r>
              <w:rPr>
                <w:rFonts w:hint="eastAsia" w:eastAsia="仿宋_GB2312"/>
                <w:color w:val="auto"/>
                <w:sz w:val="24"/>
                <w:szCs w:val="24"/>
                <w:highlight w:val="none"/>
                <w:lang w:eastAsia="zh-CN"/>
              </w:rPr>
              <w:t>县</w:t>
            </w:r>
            <w:r>
              <w:rPr>
                <w:rFonts w:eastAsia="仿宋_GB2312"/>
                <w:color w:val="auto"/>
                <w:sz w:val="24"/>
                <w:szCs w:val="24"/>
                <w:highlight w:val="none"/>
              </w:rPr>
              <w:t>财政局、</w:t>
            </w:r>
            <w:r>
              <w:rPr>
                <w:rFonts w:hint="eastAsia" w:eastAsia="仿宋_GB2312"/>
                <w:color w:val="auto"/>
                <w:sz w:val="24"/>
                <w:szCs w:val="24"/>
                <w:highlight w:val="none"/>
                <w:lang w:eastAsia="zh-CN"/>
              </w:rPr>
              <w:t>县</w:t>
            </w:r>
            <w:r>
              <w:rPr>
                <w:rFonts w:eastAsia="仿宋_GB2312"/>
                <w:color w:val="auto"/>
                <w:sz w:val="24"/>
                <w:szCs w:val="24"/>
                <w:highlight w:val="none"/>
              </w:rPr>
              <w:t>发改</w:t>
            </w:r>
            <w:r>
              <w:rPr>
                <w:rFonts w:hint="eastAsia" w:eastAsia="仿宋_GB2312"/>
                <w:color w:val="auto"/>
                <w:sz w:val="24"/>
                <w:szCs w:val="24"/>
                <w:highlight w:val="none"/>
                <w:lang w:eastAsia="zh-CN"/>
              </w:rPr>
              <w:t>局</w:t>
            </w:r>
          </w:p>
        </w:tc>
      </w:tr>
    </w:tbl>
    <w:p>
      <w:pPr>
        <w:pStyle w:val="9"/>
        <w:ind w:firstLine="420"/>
        <w:rPr>
          <w:rFonts w:eastAsia="仿宋_GB2312"/>
          <w:color w:val="auto"/>
          <w:highlight w:val="none"/>
        </w:rPr>
      </w:pPr>
    </w:p>
    <w:p>
      <w:pPr>
        <w:rPr>
          <w:rFonts w:eastAsia="仿宋_GB2312"/>
          <w:color w:val="auto"/>
          <w:highlight w:val="none"/>
        </w:rPr>
      </w:pPr>
    </w:p>
    <w:p>
      <w:pPr>
        <w:spacing w:line="578" w:lineRule="exact"/>
        <w:rPr>
          <w:rFonts w:eastAsia="仿宋_GB2312"/>
          <w:color w:val="auto"/>
          <w:sz w:val="32"/>
          <w:szCs w:val="32"/>
          <w:highlight w:val="none"/>
          <w:lang w:val="en" w:eastAsia="en"/>
        </w:rPr>
      </w:pPr>
      <w:r>
        <w:rPr>
          <w:rFonts w:eastAsia="仿宋_GB2312"/>
          <w:color w:val="auto"/>
          <w:sz w:val="32"/>
          <w:szCs w:val="32"/>
          <w:highlight w:val="none"/>
        </w:rPr>
        <w:br w:type="page"/>
      </w:r>
      <w:r>
        <w:rPr>
          <w:rFonts w:eastAsia="黑体"/>
          <w:color w:val="auto"/>
          <w:sz w:val="32"/>
          <w:szCs w:val="32"/>
          <w:highlight w:val="none"/>
        </w:rPr>
        <w:t>附件</w:t>
      </w:r>
      <w:r>
        <w:rPr>
          <w:rFonts w:eastAsia="仿宋_GB2312"/>
          <w:color w:val="auto"/>
          <w:sz w:val="32"/>
          <w:szCs w:val="32"/>
          <w:highlight w:val="none"/>
          <w:lang w:val="en" w:eastAsia="en"/>
        </w:rPr>
        <w:t>6</w:t>
      </w:r>
    </w:p>
    <w:p>
      <w:pPr>
        <w:pStyle w:val="9"/>
        <w:spacing w:before="120" w:beforeLines="50" w:after="120" w:afterLines="50"/>
        <w:jc w:val="center"/>
        <w:rPr>
          <w:rFonts w:eastAsia="方正小标宋简体"/>
          <w:color w:val="auto"/>
          <w:sz w:val="44"/>
          <w:szCs w:val="44"/>
          <w:highlight w:val="none"/>
        </w:rPr>
      </w:pPr>
      <w:r>
        <w:rPr>
          <w:rFonts w:eastAsia="方正小标宋简体"/>
          <w:color w:val="auto"/>
          <w:sz w:val="44"/>
          <w:szCs w:val="44"/>
          <w:highlight w:val="none"/>
        </w:rPr>
        <w:t>重大产业清单</w:t>
      </w:r>
    </w:p>
    <w:tbl>
      <w:tblPr>
        <w:tblStyle w:val="27"/>
        <w:tblW w:w="14175" w:type="dxa"/>
        <w:jc w:val="center"/>
        <w:tblLayout w:type="fixed"/>
        <w:tblCellMar>
          <w:top w:w="0" w:type="dxa"/>
          <w:left w:w="17" w:type="dxa"/>
          <w:bottom w:w="0" w:type="dxa"/>
          <w:right w:w="17" w:type="dxa"/>
        </w:tblCellMar>
      </w:tblPr>
      <w:tblGrid>
        <w:gridCol w:w="885"/>
        <w:gridCol w:w="1093"/>
        <w:gridCol w:w="2293"/>
        <w:gridCol w:w="3718"/>
        <w:gridCol w:w="3913"/>
        <w:gridCol w:w="2273"/>
      </w:tblGrid>
      <w:tr>
        <w:tblPrEx>
          <w:tblCellMar>
            <w:top w:w="0" w:type="dxa"/>
            <w:left w:w="17" w:type="dxa"/>
            <w:bottom w:w="0" w:type="dxa"/>
            <w:right w:w="17" w:type="dxa"/>
          </w:tblCellMar>
        </w:tblPrEx>
        <w:trPr>
          <w:trHeight w:val="529" w:hRule="atLeas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序号</w:t>
            </w:r>
          </w:p>
        </w:tc>
        <w:tc>
          <w:tcPr>
            <w:tcW w:w="109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类别</w:t>
            </w:r>
          </w:p>
        </w:tc>
        <w:tc>
          <w:tcPr>
            <w:tcW w:w="229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产业名称</w:t>
            </w:r>
          </w:p>
        </w:tc>
        <w:tc>
          <w:tcPr>
            <w:tcW w:w="3718"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重点工作举措</w:t>
            </w:r>
          </w:p>
        </w:tc>
        <w:tc>
          <w:tcPr>
            <w:tcW w:w="391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发展目标</w:t>
            </w:r>
          </w:p>
        </w:tc>
        <w:tc>
          <w:tcPr>
            <w:tcW w:w="2273" w:type="dxa"/>
            <w:tcBorders>
              <w:top w:val="single" w:color="auto" w:sz="4" w:space="0"/>
              <w:left w:val="nil"/>
              <w:bottom w:val="single" w:color="auto" w:sz="4" w:space="0"/>
              <w:right w:val="single" w:color="auto" w:sz="4" w:space="0"/>
            </w:tcBorders>
            <w:noWrap/>
            <w:vAlign w:val="center"/>
          </w:tcPr>
          <w:p>
            <w:pPr>
              <w:spacing w:line="340" w:lineRule="exact"/>
              <w:jc w:val="center"/>
              <w:rPr>
                <w:rFonts w:eastAsia="黑体"/>
                <w:color w:val="auto"/>
                <w:sz w:val="24"/>
                <w:szCs w:val="24"/>
                <w:highlight w:val="none"/>
              </w:rPr>
            </w:pPr>
            <w:r>
              <w:rPr>
                <w:rFonts w:eastAsia="黑体"/>
                <w:color w:val="auto"/>
                <w:sz w:val="24"/>
                <w:szCs w:val="24"/>
                <w:highlight w:val="none"/>
              </w:rPr>
              <w:t>责任单位</w:t>
            </w:r>
          </w:p>
        </w:tc>
      </w:tr>
      <w:tr>
        <w:tblPrEx>
          <w:tblCellMar>
            <w:top w:w="0" w:type="dxa"/>
            <w:left w:w="17" w:type="dxa"/>
            <w:bottom w:w="0" w:type="dxa"/>
            <w:right w:w="17" w:type="dxa"/>
          </w:tblCellMar>
        </w:tblPrEx>
        <w:trPr>
          <w:trHeight w:val="1701" w:hRule="exact"/>
          <w:jc w:val="center"/>
        </w:trPr>
        <w:tc>
          <w:tcPr>
            <w:tcW w:w="885"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1</w:t>
            </w:r>
          </w:p>
        </w:tc>
        <w:tc>
          <w:tcPr>
            <w:tcW w:w="1093"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养老</w:t>
            </w:r>
          </w:p>
        </w:tc>
        <w:tc>
          <w:tcPr>
            <w:tcW w:w="2293"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康养产业</w:t>
            </w:r>
          </w:p>
        </w:tc>
        <w:tc>
          <w:tcPr>
            <w:tcW w:w="3718"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推进养老服务业与健康产业、旅游产业、文化产业等深入融合。</w:t>
            </w:r>
          </w:p>
        </w:tc>
        <w:tc>
          <w:tcPr>
            <w:tcW w:w="3913"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形成“巴山大峡谷”、“</w:t>
            </w:r>
            <w:r>
              <w:rPr>
                <w:rFonts w:hint="eastAsia" w:eastAsia="仿宋_GB2312"/>
                <w:color w:val="auto"/>
                <w:sz w:val="24"/>
                <w:szCs w:val="24"/>
                <w:highlight w:val="none"/>
                <w:lang w:eastAsia="zh-CN"/>
              </w:rPr>
              <w:t>月亮坪</w:t>
            </w:r>
            <w:r>
              <w:rPr>
                <w:rFonts w:eastAsia="仿宋_GB2312"/>
                <w:color w:val="auto"/>
                <w:sz w:val="24"/>
                <w:szCs w:val="24"/>
                <w:highlight w:val="none"/>
              </w:rPr>
              <w:t>”康养产业集群。</w:t>
            </w:r>
          </w:p>
        </w:tc>
        <w:tc>
          <w:tcPr>
            <w:tcW w:w="2273"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hint="eastAsia" w:eastAsia="仿宋_GB2312"/>
                <w:color w:val="auto"/>
                <w:sz w:val="24"/>
                <w:szCs w:val="24"/>
                <w:highlight w:val="none"/>
                <w:lang w:eastAsia="zh-CN"/>
              </w:rPr>
              <w:t>县文化体育和旅游</w:t>
            </w:r>
            <w:r>
              <w:rPr>
                <w:rFonts w:eastAsia="仿宋_GB2312"/>
                <w:color w:val="auto"/>
                <w:sz w:val="24"/>
                <w:szCs w:val="24"/>
                <w:highlight w:val="none"/>
              </w:rPr>
              <w:t>局</w:t>
            </w:r>
          </w:p>
        </w:tc>
      </w:tr>
      <w:tr>
        <w:tblPrEx>
          <w:tblCellMar>
            <w:top w:w="0" w:type="dxa"/>
            <w:left w:w="17" w:type="dxa"/>
            <w:bottom w:w="0" w:type="dxa"/>
            <w:right w:w="17" w:type="dxa"/>
          </w:tblCellMar>
        </w:tblPrEx>
        <w:trPr>
          <w:trHeight w:val="1701" w:hRule="exact"/>
          <w:jc w:val="center"/>
        </w:trPr>
        <w:tc>
          <w:tcPr>
            <w:tcW w:w="885" w:type="dxa"/>
            <w:tcBorders>
              <w:top w:val="nil"/>
              <w:left w:val="single" w:color="auto" w:sz="4" w:space="0"/>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2</w:t>
            </w:r>
          </w:p>
        </w:tc>
        <w:tc>
          <w:tcPr>
            <w:tcW w:w="1093"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养老</w:t>
            </w:r>
          </w:p>
        </w:tc>
        <w:tc>
          <w:tcPr>
            <w:tcW w:w="2293" w:type="dxa"/>
            <w:tcBorders>
              <w:top w:val="nil"/>
              <w:left w:val="nil"/>
              <w:bottom w:val="single" w:color="auto" w:sz="4" w:space="0"/>
              <w:right w:val="single" w:color="auto" w:sz="4" w:space="0"/>
            </w:tcBorders>
            <w:noWrap/>
            <w:vAlign w:val="center"/>
          </w:tcPr>
          <w:p>
            <w:pPr>
              <w:spacing w:line="340" w:lineRule="exact"/>
              <w:jc w:val="center"/>
              <w:rPr>
                <w:rFonts w:eastAsia="仿宋_GB2312"/>
                <w:color w:val="auto"/>
                <w:sz w:val="24"/>
                <w:szCs w:val="24"/>
                <w:highlight w:val="none"/>
              </w:rPr>
            </w:pPr>
            <w:r>
              <w:rPr>
                <w:rFonts w:eastAsia="仿宋_GB2312"/>
                <w:color w:val="auto"/>
                <w:sz w:val="24"/>
                <w:szCs w:val="24"/>
                <w:highlight w:val="none"/>
              </w:rPr>
              <w:t>老年用品研发公司</w:t>
            </w:r>
          </w:p>
        </w:tc>
        <w:tc>
          <w:tcPr>
            <w:tcW w:w="3718"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研发日常辅助、康复辅具、保健器材、保健食品等老年产品用品，研发老年人乐于接受和方便使用的智能科技产品。</w:t>
            </w:r>
          </w:p>
        </w:tc>
        <w:tc>
          <w:tcPr>
            <w:tcW w:w="3913" w:type="dxa"/>
            <w:tcBorders>
              <w:top w:val="nil"/>
              <w:left w:val="nil"/>
              <w:bottom w:val="single" w:color="auto" w:sz="4" w:space="0"/>
              <w:right w:val="single" w:color="auto" w:sz="4" w:space="0"/>
            </w:tcBorders>
            <w:noWrap/>
            <w:vAlign w:val="center"/>
          </w:tcPr>
          <w:p>
            <w:pPr>
              <w:spacing w:line="340" w:lineRule="exact"/>
              <w:rPr>
                <w:rFonts w:eastAsia="仿宋_GB2312"/>
                <w:color w:val="auto"/>
                <w:sz w:val="24"/>
                <w:szCs w:val="24"/>
                <w:highlight w:val="none"/>
              </w:rPr>
            </w:pPr>
            <w:r>
              <w:rPr>
                <w:rFonts w:eastAsia="仿宋_GB2312"/>
                <w:color w:val="auto"/>
                <w:sz w:val="24"/>
                <w:szCs w:val="24"/>
                <w:highlight w:val="none"/>
              </w:rPr>
              <w:t>丰富产品品种，提高产品安全性、可靠性和实用性，采用新工艺、新材料、新技术，促进产品升级换代。</w:t>
            </w:r>
          </w:p>
        </w:tc>
        <w:tc>
          <w:tcPr>
            <w:tcW w:w="2273" w:type="dxa"/>
            <w:tcBorders>
              <w:top w:val="nil"/>
              <w:left w:val="nil"/>
              <w:bottom w:val="single" w:color="auto" w:sz="4" w:space="0"/>
              <w:right w:val="single" w:color="auto" w:sz="4" w:space="0"/>
            </w:tcBorders>
            <w:noWrap/>
            <w:vAlign w:val="center"/>
          </w:tcPr>
          <w:p>
            <w:pPr>
              <w:spacing w:line="340" w:lineRule="exact"/>
              <w:jc w:val="center"/>
              <w:rPr>
                <w:rFonts w:hint="eastAsia" w:eastAsia="仿宋_GB2312"/>
                <w:color w:val="auto"/>
                <w:sz w:val="24"/>
                <w:szCs w:val="24"/>
                <w:highlight w:val="none"/>
                <w:lang w:eastAsia="zh-CN"/>
              </w:rPr>
            </w:pPr>
            <w:r>
              <w:rPr>
                <w:rFonts w:hint="eastAsia" w:eastAsia="仿宋_GB2312"/>
                <w:color w:val="auto"/>
                <w:sz w:val="24"/>
                <w:szCs w:val="24"/>
                <w:highlight w:val="none"/>
                <w:lang w:eastAsia="zh-CN"/>
              </w:rPr>
              <w:t>县民政局</w:t>
            </w:r>
          </w:p>
        </w:tc>
      </w:tr>
      <w:bookmarkEnd w:id="0"/>
      <w:bookmarkEnd w:id="1"/>
      <w:bookmarkEnd w:id="2"/>
      <w:bookmarkEnd w:id="3"/>
    </w:tbl>
    <w:p>
      <w:pPr>
        <w:pStyle w:val="11"/>
        <w:spacing w:line="500" w:lineRule="exact"/>
        <w:ind w:left="0" w:leftChars="0" w:right="210" w:rightChars="100" w:firstLine="0" w:firstLineChars="0"/>
        <w:rPr>
          <w:rFonts w:ascii="Times New Roman" w:eastAsia="仿宋_GB2312"/>
          <w:b w:val="0"/>
          <w:color w:val="auto"/>
          <w:sz w:val="28"/>
          <w:szCs w:val="28"/>
          <w:highlight w:val="none"/>
          <w:u w:val="none"/>
        </w:rPr>
      </w:pPr>
    </w:p>
    <w:sectPr>
      <w:pgSz w:w="16838" w:h="11906" w:orient="landscape"/>
      <w:pgMar w:top="1588" w:right="2098" w:bottom="1474" w:left="1985" w:header="851" w:footer="1701"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长城仿宋体">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NEU-BZ">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left="210" w:leftChars="100" w:right="210" w:rightChars="100"/>
      <w:rPr>
        <w:rStyle w:val="31"/>
        <w:rFonts w:ascii="宋体" w:hAnsi="宋体"/>
        <w:sz w:val="28"/>
        <w:szCs w:val="28"/>
      </w:rPr>
    </w:pPr>
    <w:r>
      <w:rPr>
        <w:rStyle w:val="31"/>
        <w:rFonts w:ascii="宋体" w:hAnsi="宋体"/>
        <w:sz w:val="28"/>
        <w:szCs w:val="28"/>
      </w:rPr>
      <w:fldChar w:fldCharType="begin"/>
    </w:r>
    <w:r>
      <w:rPr>
        <w:rStyle w:val="31"/>
        <w:rFonts w:ascii="宋体" w:hAnsi="宋体"/>
        <w:sz w:val="28"/>
        <w:szCs w:val="28"/>
      </w:rPr>
      <w:instrText xml:space="preserve">PAGE  </w:instrText>
    </w:r>
    <w:r>
      <w:rPr>
        <w:rStyle w:val="31"/>
        <w:rFonts w:ascii="宋体" w:hAnsi="宋体"/>
        <w:sz w:val="28"/>
        <w:szCs w:val="28"/>
      </w:rPr>
      <w:fldChar w:fldCharType="separate"/>
    </w:r>
    <w:r>
      <w:rPr>
        <w:rStyle w:val="31"/>
        <w:rFonts w:ascii="宋体" w:hAnsi="宋体"/>
        <w:sz w:val="28"/>
        <w:szCs w:val="28"/>
      </w:rPr>
      <w:t>- 31 -</w:t>
    </w:r>
    <w:r>
      <w:rPr>
        <w:rStyle w:val="31"/>
        <w:rFonts w:ascii="宋体" w:hAnsi="宋体"/>
        <w:sz w:val="28"/>
        <w:szCs w:val="28"/>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end"/>
    </w:r>
  </w:p>
  <w:p>
    <w:pPr>
      <w:pStyle w:val="1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334AD"/>
    <w:multiLevelType w:val="multilevel"/>
    <w:tmpl w:val="455334AD"/>
    <w:lvl w:ilvl="0" w:tentative="0">
      <w:start w:val="1"/>
      <w:numFmt w:val="chineseCountingThousand"/>
      <w:pStyle w:val="97"/>
      <w:suff w:val="nothing"/>
      <w:lvlText w:val="%1、"/>
      <w:lvlJc w:val="left"/>
      <w:pPr>
        <w:ind w:left="142"/>
      </w:pPr>
      <w:rPr>
        <w:rFonts w:hint="default" w:ascii="Times New Roman" w:hAnsi="Times New Roman" w:eastAsia="方正黑体_GBK" w:cs="Times New Roman"/>
      </w:rPr>
    </w:lvl>
    <w:lvl w:ilvl="1" w:tentative="0">
      <w:start w:val="1"/>
      <w:numFmt w:val="chineseCountingThousand"/>
      <w:pStyle w:val="92"/>
      <w:suff w:val="nothing"/>
      <w:lvlText w:val="（%2）"/>
      <w:lvlJc w:val="left"/>
      <w:pPr>
        <w:ind w:left="1701"/>
      </w:pPr>
      <w:rPr>
        <w:rFonts w:hint="default" w:ascii="Times New Roman" w:hAnsi="Times New Roman" w:eastAsia="方正楷体_GBK" w:cs="Times New Roman"/>
      </w:rPr>
    </w:lvl>
    <w:lvl w:ilvl="2" w:tentative="0">
      <w:start w:val="1"/>
      <w:numFmt w:val="decimal"/>
      <w:pStyle w:val="89"/>
      <w:suff w:val="nothing"/>
      <w:lvlText w:val="%3."/>
      <w:lvlJc w:val="left"/>
      <w:rPr>
        <w:rFonts w:hint="eastAsia" w:cs="Times New Roman"/>
        <w:color w:val="auto"/>
      </w:rPr>
    </w:lvl>
    <w:lvl w:ilvl="3" w:tentative="0">
      <w:start w:val="1"/>
      <w:numFmt w:val="decimal"/>
      <w:pStyle w:val="96"/>
      <w:suff w:val="nothing"/>
      <w:lvlText w:val="（%4）"/>
      <w:lvlJc w:val="left"/>
      <w:pPr>
        <w:ind w:left="852"/>
      </w:pPr>
      <w:rPr>
        <w:rFonts w:hint="default" w:ascii="Times New Roman" w:hAnsi="Times New Roman" w:eastAsia="方正仿宋_GBK" w:cs="Times New Roman"/>
      </w:rPr>
    </w:lvl>
    <w:lvl w:ilvl="4" w:tentative="0">
      <w:start w:val="1"/>
      <w:numFmt w:val="decimal"/>
      <w:lvlText w:val="%1.%2.%3.%4.%5"/>
      <w:lvlJc w:val="left"/>
      <w:pPr>
        <w:ind w:left="2693" w:hanging="850"/>
      </w:pPr>
      <w:rPr>
        <w:rFonts w:hint="eastAsia" w:cs="Times New Roman"/>
      </w:rPr>
    </w:lvl>
    <w:lvl w:ilvl="5" w:tentative="0">
      <w:start w:val="1"/>
      <w:numFmt w:val="decimal"/>
      <w:lvlText w:val="%1.%2.%3.%4.%5.%6"/>
      <w:lvlJc w:val="left"/>
      <w:pPr>
        <w:ind w:left="3402" w:hanging="1134"/>
      </w:pPr>
      <w:rPr>
        <w:rFonts w:hint="eastAsia" w:cs="Times New Roman"/>
      </w:rPr>
    </w:lvl>
    <w:lvl w:ilvl="6" w:tentative="0">
      <w:start w:val="1"/>
      <w:numFmt w:val="decimal"/>
      <w:lvlText w:val="%1.%2.%3.%4.%5.%6.%7"/>
      <w:lvlJc w:val="left"/>
      <w:pPr>
        <w:ind w:left="3969" w:hanging="1276"/>
      </w:pPr>
      <w:rPr>
        <w:rFonts w:hint="eastAsia" w:cs="Times New Roman"/>
      </w:rPr>
    </w:lvl>
    <w:lvl w:ilvl="7" w:tentative="0">
      <w:start w:val="1"/>
      <w:numFmt w:val="decimal"/>
      <w:lvlText w:val="%1.%2.%3.%4.%5.%6.%7.%8"/>
      <w:lvlJc w:val="left"/>
      <w:pPr>
        <w:ind w:left="4536" w:hanging="1418"/>
      </w:pPr>
      <w:rPr>
        <w:rFonts w:hint="eastAsia" w:cs="Times New Roman"/>
      </w:rPr>
    </w:lvl>
    <w:lvl w:ilvl="8" w:tentative="0">
      <w:start w:val="1"/>
      <w:numFmt w:val="decimal"/>
      <w:lvlText w:val="%1.%2.%3.%4.%5.%6.%7.%8.%9"/>
      <w:lvlJc w:val="left"/>
      <w:pPr>
        <w:ind w:left="5244"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ZDNkM2ZkMDU3MDIyYzRjZmMzNmJiMDUxYjI0ODgifQ=="/>
  </w:docVars>
  <w:rsids>
    <w:rsidRoot w:val="003C3D3E"/>
    <w:rsid w:val="00000929"/>
    <w:rsid w:val="00001C1C"/>
    <w:rsid w:val="00005060"/>
    <w:rsid w:val="0000543E"/>
    <w:rsid w:val="000063A3"/>
    <w:rsid w:val="00006DF0"/>
    <w:rsid w:val="00006DF8"/>
    <w:rsid w:val="00007FC9"/>
    <w:rsid w:val="00010300"/>
    <w:rsid w:val="000130B3"/>
    <w:rsid w:val="00014257"/>
    <w:rsid w:val="0001511B"/>
    <w:rsid w:val="00016247"/>
    <w:rsid w:val="000234C7"/>
    <w:rsid w:val="00024D14"/>
    <w:rsid w:val="000271D8"/>
    <w:rsid w:val="0003109D"/>
    <w:rsid w:val="000343D4"/>
    <w:rsid w:val="00034613"/>
    <w:rsid w:val="000372C9"/>
    <w:rsid w:val="00042B82"/>
    <w:rsid w:val="000442A4"/>
    <w:rsid w:val="00044F8A"/>
    <w:rsid w:val="000456FE"/>
    <w:rsid w:val="000461DF"/>
    <w:rsid w:val="0004681F"/>
    <w:rsid w:val="0005325F"/>
    <w:rsid w:val="00054163"/>
    <w:rsid w:val="00054574"/>
    <w:rsid w:val="000550F6"/>
    <w:rsid w:val="0005637A"/>
    <w:rsid w:val="00056B94"/>
    <w:rsid w:val="000579C3"/>
    <w:rsid w:val="0006333B"/>
    <w:rsid w:val="000635ED"/>
    <w:rsid w:val="00064156"/>
    <w:rsid w:val="00064BFE"/>
    <w:rsid w:val="00071CD1"/>
    <w:rsid w:val="00073C30"/>
    <w:rsid w:val="00075CD2"/>
    <w:rsid w:val="000768B2"/>
    <w:rsid w:val="00081871"/>
    <w:rsid w:val="0008227D"/>
    <w:rsid w:val="00087531"/>
    <w:rsid w:val="00093B42"/>
    <w:rsid w:val="00094C0B"/>
    <w:rsid w:val="0009606B"/>
    <w:rsid w:val="000B3DC6"/>
    <w:rsid w:val="000B4411"/>
    <w:rsid w:val="000B4645"/>
    <w:rsid w:val="000B51AA"/>
    <w:rsid w:val="000B6F95"/>
    <w:rsid w:val="000B73D5"/>
    <w:rsid w:val="000C25D2"/>
    <w:rsid w:val="000C27DE"/>
    <w:rsid w:val="000C29F4"/>
    <w:rsid w:val="000C77BC"/>
    <w:rsid w:val="000D438E"/>
    <w:rsid w:val="000D4A56"/>
    <w:rsid w:val="000D7CA7"/>
    <w:rsid w:val="000E06D4"/>
    <w:rsid w:val="000E12A9"/>
    <w:rsid w:val="000E2921"/>
    <w:rsid w:val="000E2A28"/>
    <w:rsid w:val="000F1991"/>
    <w:rsid w:val="000F2DB6"/>
    <w:rsid w:val="000F3B91"/>
    <w:rsid w:val="000F66E1"/>
    <w:rsid w:val="00100B7D"/>
    <w:rsid w:val="00107ECD"/>
    <w:rsid w:val="0011004B"/>
    <w:rsid w:val="001113A8"/>
    <w:rsid w:val="0011216B"/>
    <w:rsid w:val="00114424"/>
    <w:rsid w:val="001161BB"/>
    <w:rsid w:val="001213A6"/>
    <w:rsid w:val="001216B3"/>
    <w:rsid w:val="00122359"/>
    <w:rsid w:val="001227C4"/>
    <w:rsid w:val="0012447F"/>
    <w:rsid w:val="00125356"/>
    <w:rsid w:val="00126912"/>
    <w:rsid w:val="00131A37"/>
    <w:rsid w:val="00136A3C"/>
    <w:rsid w:val="00142491"/>
    <w:rsid w:val="00142622"/>
    <w:rsid w:val="00143DF5"/>
    <w:rsid w:val="001446A8"/>
    <w:rsid w:val="0014536B"/>
    <w:rsid w:val="0014565D"/>
    <w:rsid w:val="001476C2"/>
    <w:rsid w:val="00151E6C"/>
    <w:rsid w:val="00153203"/>
    <w:rsid w:val="001532B1"/>
    <w:rsid w:val="0015739E"/>
    <w:rsid w:val="00161B9C"/>
    <w:rsid w:val="00161D5B"/>
    <w:rsid w:val="0016518A"/>
    <w:rsid w:val="00165327"/>
    <w:rsid w:val="00172DAF"/>
    <w:rsid w:val="00175025"/>
    <w:rsid w:val="00175305"/>
    <w:rsid w:val="00180249"/>
    <w:rsid w:val="00182BF5"/>
    <w:rsid w:val="00190AA7"/>
    <w:rsid w:val="00193D72"/>
    <w:rsid w:val="0019748C"/>
    <w:rsid w:val="001A0395"/>
    <w:rsid w:val="001A267A"/>
    <w:rsid w:val="001A31D9"/>
    <w:rsid w:val="001A3FBF"/>
    <w:rsid w:val="001A4F47"/>
    <w:rsid w:val="001A5FD0"/>
    <w:rsid w:val="001B0FD7"/>
    <w:rsid w:val="001B1C54"/>
    <w:rsid w:val="001C0436"/>
    <w:rsid w:val="001C200C"/>
    <w:rsid w:val="001C22E7"/>
    <w:rsid w:val="001C396A"/>
    <w:rsid w:val="001C4E44"/>
    <w:rsid w:val="001C5522"/>
    <w:rsid w:val="001C6D02"/>
    <w:rsid w:val="001D168A"/>
    <w:rsid w:val="001D4E99"/>
    <w:rsid w:val="001D4FF4"/>
    <w:rsid w:val="001D7E54"/>
    <w:rsid w:val="001E0086"/>
    <w:rsid w:val="001E16A5"/>
    <w:rsid w:val="001E4EDF"/>
    <w:rsid w:val="001F13DC"/>
    <w:rsid w:val="001F72F1"/>
    <w:rsid w:val="001F782F"/>
    <w:rsid w:val="0020276A"/>
    <w:rsid w:val="00204B41"/>
    <w:rsid w:val="0021287B"/>
    <w:rsid w:val="002161A8"/>
    <w:rsid w:val="002211F0"/>
    <w:rsid w:val="002214CC"/>
    <w:rsid w:val="00223266"/>
    <w:rsid w:val="00223923"/>
    <w:rsid w:val="00223F3A"/>
    <w:rsid w:val="002252BD"/>
    <w:rsid w:val="0022751B"/>
    <w:rsid w:val="00227F19"/>
    <w:rsid w:val="00230337"/>
    <w:rsid w:val="00231467"/>
    <w:rsid w:val="002315BD"/>
    <w:rsid w:val="0023175C"/>
    <w:rsid w:val="002329E9"/>
    <w:rsid w:val="00235307"/>
    <w:rsid w:val="00235899"/>
    <w:rsid w:val="00235F5C"/>
    <w:rsid w:val="002370C7"/>
    <w:rsid w:val="002375A0"/>
    <w:rsid w:val="00240DA4"/>
    <w:rsid w:val="00244282"/>
    <w:rsid w:val="002445D6"/>
    <w:rsid w:val="00244737"/>
    <w:rsid w:val="002512B8"/>
    <w:rsid w:val="00251352"/>
    <w:rsid w:val="002523EF"/>
    <w:rsid w:val="00255A02"/>
    <w:rsid w:val="00255B50"/>
    <w:rsid w:val="0025655A"/>
    <w:rsid w:val="00257AD3"/>
    <w:rsid w:val="00260656"/>
    <w:rsid w:val="00260B1C"/>
    <w:rsid w:val="002639B1"/>
    <w:rsid w:val="00265113"/>
    <w:rsid w:val="00267563"/>
    <w:rsid w:val="002729AE"/>
    <w:rsid w:val="002751B9"/>
    <w:rsid w:val="00277A0C"/>
    <w:rsid w:val="00281A54"/>
    <w:rsid w:val="0028256B"/>
    <w:rsid w:val="00282A50"/>
    <w:rsid w:val="00283875"/>
    <w:rsid w:val="00283BAB"/>
    <w:rsid w:val="00286A2C"/>
    <w:rsid w:val="002914A4"/>
    <w:rsid w:val="00291B85"/>
    <w:rsid w:val="002930BC"/>
    <w:rsid w:val="00293B61"/>
    <w:rsid w:val="002A313A"/>
    <w:rsid w:val="002A3C55"/>
    <w:rsid w:val="002A482C"/>
    <w:rsid w:val="002A75CA"/>
    <w:rsid w:val="002A7718"/>
    <w:rsid w:val="002B179B"/>
    <w:rsid w:val="002B62AD"/>
    <w:rsid w:val="002B6305"/>
    <w:rsid w:val="002B67D8"/>
    <w:rsid w:val="002C1C5B"/>
    <w:rsid w:val="002C1EDA"/>
    <w:rsid w:val="002C2AFB"/>
    <w:rsid w:val="002C3489"/>
    <w:rsid w:val="002C3795"/>
    <w:rsid w:val="002C5C9A"/>
    <w:rsid w:val="002C6187"/>
    <w:rsid w:val="002C7E05"/>
    <w:rsid w:val="002D1249"/>
    <w:rsid w:val="002D1733"/>
    <w:rsid w:val="002D1913"/>
    <w:rsid w:val="002D2130"/>
    <w:rsid w:val="002D22F4"/>
    <w:rsid w:val="002D30A6"/>
    <w:rsid w:val="002D3C7F"/>
    <w:rsid w:val="002D4CE0"/>
    <w:rsid w:val="002D4D04"/>
    <w:rsid w:val="002D79BC"/>
    <w:rsid w:val="002E0798"/>
    <w:rsid w:val="002E0E0D"/>
    <w:rsid w:val="002F4231"/>
    <w:rsid w:val="002F44D6"/>
    <w:rsid w:val="00302BAA"/>
    <w:rsid w:val="00304953"/>
    <w:rsid w:val="00305DB2"/>
    <w:rsid w:val="00305E65"/>
    <w:rsid w:val="00307D0D"/>
    <w:rsid w:val="003101FC"/>
    <w:rsid w:val="0031093C"/>
    <w:rsid w:val="0031197C"/>
    <w:rsid w:val="00313D3C"/>
    <w:rsid w:val="00314818"/>
    <w:rsid w:val="00315223"/>
    <w:rsid w:val="0031613C"/>
    <w:rsid w:val="00320129"/>
    <w:rsid w:val="00320345"/>
    <w:rsid w:val="00320BAA"/>
    <w:rsid w:val="00321623"/>
    <w:rsid w:val="00321E75"/>
    <w:rsid w:val="00324431"/>
    <w:rsid w:val="0032642C"/>
    <w:rsid w:val="00327549"/>
    <w:rsid w:val="0032757F"/>
    <w:rsid w:val="00327FB6"/>
    <w:rsid w:val="00332AA3"/>
    <w:rsid w:val="00332C4C"/>
    <w:rsid w:val="00333D13"/>
    <w:rsid w:val="0033421B"/>
    <w:rsid w:val="0033471A"/>
    <w:rsid w:val="0033601C"/>
    <w:rsid w:val="003373BC"/>
    <w:rsid w:val="00340826"/>
    <w:rsid w:val="00341156"/>
    <w:rsid w:val="00341A4A"/>
    <w:rsid w:val="003439CD"/>
    <w:rsid w:val="003461BA"/>
    <w:rsid w:val="00346F40"/>
    <w:rsid w:val="003470A3"/>
    <w:rsid w:val="00347AB5"/>
    <w:rsid w:val="0035747D"/>
    <w:rsid w:val="00364148"/>
    <w:rsid w:val="00366152"/>
    <w:rsid w:val="00370A1E"/>
    <w:rsid w:val="0037396C"/>
    <w:rsid w:val="0037521A"/>
    <w:rsid w:val="00380673"/>
    <w:rsid w:val="00380A09"/>
    <w:rsid w:val="003818E2"/>
    <w:rsid w:val="003824C6"/>
    <w:rsid w:val="00384D1E"/>
    <w:rsid w:val="0038735B"/>
    <w:rsid w:val="003877A0"/>
    <w:rsid w:val="003906B6"/>
    <w:rsid w:val="00391C84"/>
    <w:rsid w:val="00395FC6"/>
    <w:rsid w:val="003965FB"/>
    <w:rsid w:val="003A2610"/>
    <w:rsid w:val="003A3578"/>
    <w:rsid w:val="003A3FAB"/>
    <w:rsid w:val="003A4420"/>
    <w:rsid w:val="003A5ECC"/>
    <w:rsid w:val="003A6D11"/>
    <w:rsid w:val="003B3225"/>
    <w:rsid w:val="003B46A8"/>
    <w:rsid w:val="003B51A0"/>
    <w:rsid w:val="003B6D9F"/>
    <w:rsid w:val="003C0E4A"/>
    <w:rsid w:val="003C1D8E"/>
    <w:rsid w:val="003C27B8"/>
    <w:rsid w:val="003C2B5E"/>
    <w:rsid w:val="003C3197"/>
    <w:rsid w:val="003C3D3E"/>
    <w:rsid w:val="003C7413"/>
    <w:rsid w:val="003D1470"/>
    <w:rsid w:val="003D336E"/>
    <w:rsid w:val="003D4CB4"/>
    <w:rsid w:val="003D4FD7"/>
    <w:rsid w:val="003E076A"/>
    <w:rsid w:val="003E16E7"/>
    <w:rsid w:val="003E2DC6"/>
    <w:rsid w:val="003E30EA"/>
    <w:rsid w:val="003E4D7E"/>
    <w:rsid w:val="003E4E9E"/>
    <w:rsid w:val="003E62B6"/>
    <w:rsid w:val="003F011E"/>
    <w:rsid w:val="003F045C"/>
    <w:rsid w:val="003F0A4F"/>
    <w:rsid w:val="003F0E64"/>
    <w:rsid w:val="003F1070"/>
    <w:rsid w:val="003F4BE9"/>
    <w:rsid w:val="003F5313"/>
    <w:rsid w:val="003F6AC2"/>
    <w:rsid w:val="00400264"/>
    <w:rsid w:val="004004DE"/>
    <w:rsid w:val="00400D61"/>
    <w:rsid w:val="00401B4E"/>
    <w:rsid w:val="004031A9"/>
    <w:rsid w:val="00403663"/>
    <w:rsid w:val="00404DBF"/>
    <w:rsid w:val="004115FA"/>
    <w:rsid w:val="00413B63"/>
    <w:rsid w:val="0041539F"/>
    <w:rsid w:val="00415A40"/>
    <w:rsid w:val="00421BF4"/>
    <w:rsid w:val="00422589"/>
    <w:rsid w:val="00422661"/>
    <w:rsid w:val="0042299B"/>
    <w:rsid w:val="00424113"/>
    <w:rsid w:val="004244D2"/>
    <w:rsid w:val="004250CB"/>
    <w:rsid w:val="004259F2"/>
    <w:rsid w:val="00432874"/>
    <w:rsid w:val="004330C4"/>
    <w:rsid w:val="00434364"/>
    <w:rsid w:val="00437499"/>
    <w:rsid w:val="0044608C"/>
    <w:rsid w:val="00447367"/>
    <w:rsid w:val="00447696"/>
    <w:rsid w:val="00447FBA"/>
    <w:rsid w:val="00450E25"/>
    <w:rsid w:val="00451722"/>
    <w:rsid w:val="004519A6"/>
    <w:rsid w:val="0045275E"/>
    <w:rsid w:val="004543FB"/>
    <w:rsid w:val="00454ACC"/>
    <w:rsid w:val="00456B63"/>
    <w:rsid w:val="00457285"/>
    <w:rsid w:val="004600FF"/>
    <w:rsid w:val="004605AC"/>
    <w:rsid w:val="00460F6C"/>
    <w:rsid w:val="0046180A"/>
    <w:rsid w:val="0046282D"/>
    <w:rsid w:val="00466017"/>
    <w:rsid w:val="00471B72"/>
    <w:rsid w:val="00473561"/>
    <w:rsid w:val="00474865"/>
    <w:rsid w:val="00474B8B"/>
    <w:rsid w:val="004755D6"/>
    <w:rsid w:val="00481637"/>
    <w:rsid w:val="00483C14"/>
    <w:rsid w:val="00487E10"/>
    <w:rsid w:val="00487F67"/>
    <w:rsid w:val="004921B3"/>
    <w:rsid w:val="004954D5"/>
    <w:rsid w:val="004A708F"/>
    <w:rsid w:val="004B12B3"/>
    <w:rsid w:val="004B636D"/>
    <w:rsid w:val="004B7209"/>
    <w:rsid w:val="004C08E0"/>
    <w:rsid w:val="004C243F"/>
    <w:rsid w:val="004C28E8"/>
    <w:rsid w:val="004C2C53"/>
    <w:rsid w:val="004C2D1C"/>
    <w:rsid w:val="004C451A"/>
    <w:rsid w:val="004C5A39"/>
    <w:rsid w:val="004C6F54"/>
    <w:rsid w:val="004D0164"/>
    <w:rsid w:val="004D55E3"/>
    <w:rsid w:val="004D5710"/>
    <w:rsid w:val="004D73AE"/>
    <w:rsid w:val="004E2650"/>
    <w:rsid w:val="004E332B"/>
    <w:rsid w:val="004E4ACC"/>
    <w:rsid w:val="004E4E4F"/>
    <w:rsid w:val="004E631B"/>
    <w:rsid w:val="004E6679"/>
    <w:rsid w:val="004F02DF"/>
    <w:rsid w:val="004F2567"/>
    <w:rsid w:val="004F773A"/>
    <w:rsid w:val="0050122C"/>
    <w:rsid w:val="00502878"/>
    <w:rsid w:val="00502FC1"/>
    <w:rsid w:val="005031B1"/>
    <w:rsid w:val="00503F26"/>
    <w:rsid w:val="0050417F"/>
    <w:rsid w:val="00504635"/>
    <w:rsid w:val="00506510"/>
    <w:rsid w:val="00507524"/>
    <w:rsid w:val="00507E92"/>
    <w:rsid w:val="0051269E"/>
    <w:rsid w:val="005138BF"/>
    <w:rsid w:val="00514176"/>
    <w:rsid w:val="00517858"/>
    <w:rsid w:val="00520587"/>
    <w:rsid w:val="00522312"/>
    <w:rsid w:val="00522C75"/>
    <w:rsid w:val="0052413E"/>
    <w:rsid w:val="005248AD"/>
    <w:rsid w:val="00525335"/>
    <w:rsid w:val="00525483"/>
    <w:rsid w:val="00527FDD"/>
    <w:rsid w:val="00530CE9"/>
    <w:rsid w:val="00533A27"/>
    <w:rsid w:val="0054406A"/>
    <w:rsid w:val="00544E03"/>
    <w:rsid w:val="005519D4"/>
    <w:rsid w:val="0055294A"/>
    <w:rsid w:val="00553BAF"/>
    <w:rsid w:val="00553E3A"/>
    <w:rsid w:val="00554B85"/>
    <w:rsid w:val="00554F35"/>
    <w:rsid w:val="005563AE"/>
    <w:rsid w:val="00557341"/>
    <w:rsid w:val="005604A6"/>
    <w:rsid w:val="005617CC"/>
    <w:rsid w:val="005622C3"/>
    <w:rsid w:val="00563293"/>
    <w:rsid w:val="0056476B"/>
    <w:rsid w:val="00564CB4"/>
    <w:rsid w:val="005653C7"/>
    <w:rsid w:val="00565EFA"/>
    <w:rsid w:val="00567DD6"/>
    <w:rsid w:val="00574403"/>
    <w:rsid w:val="00574A1B"/>
    <w:rsid w:val="005767EC"/>
    <w:rsid w:val="00576B81"/>
    <w:rsid w:val="0057761A"/>
    <w:rsid w:val="005818E2"/>
    <w:rsid w:val="005903F4"/>
    <w:rsid w:val="00591ECD"/>
    <w:rsid w:val="00592D1F"/>
    <w:rsid w:val="0059413B"/>
    <w:rsid w:val="005946B1"/>
    <w:rsid w:val="0059480C"/>
    <w:rsid w:val="00595F42"/>
    <w:rsid w:val="005A0019"/>
    <w:rsid w:val="005A4B5E"/>
    <w:rsid w:val="005A5D0C"/>
    <w:rsid w:val="005A65A5"/>
    <w:rsid w:val="005B03E0"/>
    <w:rsid w:val="005B3071"/>
    <w:rsid w:val="005B483F"/>
    <w:rsid w:val="005B52BE"/>
    <w:rsid w:val="005B7EC3"/>
    <w:rsid w:val="005C0B49"/>
    <w:rsid w:val="005C1B2B"/>
    <w:rsid w:val="005C22C7"/>
    <w:rsid w:val="005C2393"/>
    <w:rsid w:val="005C4267"/>
    <w:rsid w:val="005C6766"/>
    <w:rsid w:val="005C7847"/>
    <w:rsid w:val="005D20F5"/>
    <w:rsid w:val="005D373F"/>
    <w:rsid w:val="005D37AD"/>
    <w:rsid w:val="005D4DBD"/>
    <w:rsid w:val="005D62AD"/>
    <w:rsid w:val="005E046E"/>
    <w:rsid w:val="005E1F80"/>
    <w:rsid w:val="005E305A"/>
    <w:rsid w:val="005E4757"/>
    <w:rsid w:val="005E490F"/>
    <w:rsid w:val="005F02DC"/>
    <w:rsid w:val="005F34F3"/>
    <w:rsid w:val="005F43F5"/>
    <w:rsid w:val="005F6733"/>
    <w:rsid w:val="005F71FD"/>
    <w:rsid w:val="006008FD"/>
    <w:rsid w:val="00600F49"/>
    <w:rsid w:val="006010BE"/>
    <w:rsid w:val="00602512"/>
    <w:rsid w:val="0060318D"/>
    <w:rsid w:val="00605785"/>
    <w:rsid w:val="00607C4A"/>
    <w:rsid w:val="00607CDB"/>
    <w:rsid w:val="00607DDA"/>
    <w:rsid w:val="0061033F"/>
    <w:rsid w:val="006107BA"/>
    <w:rsid w:val="00610B04"/>
    <w:rsid w:val="00612E46"/>
    <w:rsid w:val="0061544D"/>
    <w:rsid w:val="006175D7"/>
    <w:rsid w:val="006175E2"/>
    <w:rsid w:val="00620A4E"/>
    <w:rsid w:val="006227C8"/>
    <w:rsid w:val="00622FD8"/>
    <w:rsid w:val="006233CC"/>
    <w:rsid w:val="00624369"/>
    <w:rsid w:val="00627D61"/>
    <w:rsid w:val="0063270B"/>
    <w:rsid w:val="00634714"/>
    <w:rsid w:val="00636BD2"/>
    <w:rsid w:val="00640E28"/>
    <w:rsid w:val="00641E09"/>
    <w:rsid w:val="00643521"/>
    <w:rsid w:val="00644910"/>
    <w:rsid w:val="006472A4"/>
    <w:rsid w:val="00647D97"/>
    <w:rsid w:val="00650A70"/>
    <w:rsid w:val="00650D8E"/>
    <w:rsid w:val="00651DB1"/>
    <w:rsid w:val="00661985"/>
    <w:rsid w:val="00662304"/>
    <w:rsid w:val="00663411"/>
    <w:rsid w:val="00663BE4"/>
    <w:rsid w:val="00671889"/>
    <w:rsid w:val="00680623"/>
    <w:rsid w:val="0068397C"/>
    <w:rsid w:val="00687710"/>
    <w:rsid w:val="00690786"/>
    <w:rsid w:val="00691D0F"/>
    <w:rsid w:val="0069583C"/>
    <w:rsid w:val="00695F93"/>
    <w:rsid w:val="00695FBD"/>
    <w:rsid w:val="006A43EE"/>
    <w:rsid w:val="006A4B85"/>
    <w:rsid w:val="006A751A"/>
    <w:rsid w:val="006B31F1"/>
    <w:rsid w:val="006B371D"/>
    <w:rsid w:val="006B641D"/>
    <w:rsid w:val="006B65C7"/>
    <w:rsid w:val="006B6618"/>
    <w:rsid w:val="006C096B"/>
    <w:rsid w:val="006C4EA0"/>
    <w:rsid w:val="006C5DEB"/>
    <w:rsid w:val="006C667E"/>
    <w:rsid w:val="006C7B58"/>
    <w:rsid w:val="006D10AD"/>
    <w:rsid w:val="006D18E1"/>
    <w:rsid w:val="006D4BD6"/>
    <w:rsid w:val="006D718A"/>
    <w:rsid w:val="006D7CFF"/>
    <w:rsid w:val="006E17CE"/>
    <w:rsid w:val="006E22A8"/>
    <w:rsid w:val="006E3BDF"/>
    <w:rsid w:val="006E3D52"/>
    <w:rsid w:val="006E3DE6"/>
    <w:rsid w:val="006E4AF5"/>
    <w:rsid w:val="006F0402"/>
    <w:rsid w:val="006F56BF"/>
    <w:rsid w:val="006F6CFF"/>
    <w:rsid w:val="006F7BD2"/>
    <w:rsid w:val="00700FE1"/>
    <w:rsid w:val="00703272"/>
    <w:rsid w:val="007064CA"/>
    <w:rsid w:val="00706A7C"/>
    <w:rsid w:val="00707547"/>
    <w:rsid w:val="007075E1"/>
    <w:rsid w:val="007113AD"/>
    <w:rsid w:val="00713952"/>
    <w:rsid w:val="00713B15"/>
    <w:rsid w:val="007151B6"/>
    <w:rsid w:val="00717804"/>
    <w:rsid w:val="007200F1"/>
    <w:rsid w:val="007245FB"/>
    <w:rsid w:val="00727794"/>
    <w:rsid w:val="0073303A"/>
    <w:rsid w:val="00743D2D"/>
    <w:rsid w:val="007445AE"/>
    <w:rsid w:val="00745CDE"/>
    <w:rsid w:val="00747015"/>
    <w:rsid w:val="00756360"/>
    <w:rsid w:val="00756DDC"/>
    <w:rsid w:val="00761865"/>
    <w:rsid w:val="00763314"/>
    <w:rsid w:val="00763916"/>
    <w:rsid w:val="00764A11"/>
    <w:rsid w:val="00764BC3"/>
    <w:rsid w:val="00764FC9"/>
    <w:rsid w:val="007650F0"/>
    <w:rsid w:val="00766E64"/>
    <w:rsid w:val="00771D4E"/>
    <w:rsid w:val="007736C0"/>
    <w:rsid w:val="00774481"/>
    <w:rsid w:val="007760E9"/>
    <w:rsid w:val="00776650"/>
    <w:rsid w:val="007767AB"/>
    <w:rsid w:val="0078172A"/>
    <w:rsid w:val="00781808"/>
    <w:rsid w:val="007819AA"/>
    <w:rsid w:val="00782220"/>
    <w:rsid w:val="00782AB7"/>
    <w:rsid w:val="007848EA"/>
    <w:rsid w:val="007903BF"/>
    <w:rsid w:val="007909A4"/>
    <w:rsid w:val="007926E0"/>
    <w:rsid w:val="007935B1"/>
    <w:rsid w:val="00795ADB"/>
    <w:rsid w:val="00796C7A"/>
    <w:rsid w:val="007974CD"/>
    <w:rsid w:val="00797EB6"/>
    <w:rsid w:val="007A3AD9"/>
    <w:rsid w:val="007A5B85"/>
    <w:rsid w:val="007A67FA"/>
    <w:rsid w:val="007A7C58"/>
    <w:rsid w:val="007B0D11"/>
    <w:rsid w:val="007B27D7"/>
    <w:rsid w:val="007B37FF"/>
    <w:rsid w:val="007B57F3"/>
    <w:rsid w:val="007B7490"/>
    <w:rsid w:val="007C271C"/>
    <w:rsid w:val="007C2EAC"/>
    <w:rsid w:val="007C30BF"/>
    <w:rsid w:val="007C6C87"/>
    <w:rsid w:val="007C74E6"/>
    <w:rsid w:val="007D3C96"/>
    <w:rsid w:val="007D77BE"/>
    <w:rsid w:val="007D7DC3"/>
    <w:rsid w:val="007E46F8"/>
    <w:rsid w:val="007E6AF7"/>
    <w:rsid w:val="007F2917"/>
    <w:rsid w:val="007F2CAC"/>
    <w:rsid w:val="007F529F"/>
    <w:rsid w:val="007F6726"/>
    <w:rsid w:val="007F6C1A"/>
    <w:rsid w:val="00801022"/>
    <w:rsid w:val="00801290"/>
    <w:rsid w:val="00802BAE"/>
    <w:rsid w:val="00802E1C"/>
    <w:rsid w:val="00803013"/>
    <w:rsid w:val="008053AE"/>
    <w:rsid w:val="0080708D"/>
    <w:rsid w:val="00810440"/>
    <w:rsid w:val="008107ED"/>
    <w:rsid w:val="00811961"/>
    <w:rsid w:val="0081225E"/>
    <w:rsid w:val="008127C1"/>
    <w:rsid w:val="00813608"/>
    <w:rsid w:val="008206AC"/>
    <w:rsid w:val="00820D1A"/>
    <w:rsid w:val="00822273"/>
    <w:rsid w:val="008232B7"/>
    <w:rsid w:val="00824ADE"/>
    <w:rsid w:val="008266A6"/>
    <w:rsid w:val="00830565"/>
    <w:rsid w:val="00830A0D"/>
    <w:rsid w:val="008330C2"/>
    <w:rsid w:val="00833117"/>
    <w:rsid w:val="008358D7"/>
    <w:rsid w:val="00836875"/>
    <w:rsid w:val="00836CDC"/>
    <w:rsid w:val="00837759"/>
    <w:rsid w:val="00847314"/>
    <w:rsid w:val="00847934"/>
    <w:rsid w:val="00851625"/>
    <w:rsid w:val="00854847"/>
    <w:rsid w:val="00855FE0"/>
    <w:rsid w:val="00856643"/>
    <w:rsid w:val="008567BF"/>
    <w:rsid w:val="0085737D"/>
    <w:rsid w:val="008608EA"/>
    <w:rsid w:val="0086174A"/>
    <w:rsid w:val="0086427F"/>
    <w:rsid w:val="008667A6"/>
    <w:rsid w:val="00867CBE"/>
    <w:rsid w:val="008724E0"/>
    <w:rsid w:val="0087517E"/>
    <w:rsid w:val="008806AE"/>
    <w:rsid w:val="00880AAC"/>
    <w:rsid w:val="008833DD"/>
    <w:rsid w:val="00883A7E"/>
    <w:rsid w:val="00884C4A"/>
    <w:rsid w:val="00885287"/>
    <w:rsid w:val="00886EFC"/>
    <w:rsid w:val="008923F5"/>
    <w:rsid w:val="0089409C"/>
    <w:rsid w:val="00895DE2"/>
    <w:rsid w:val="008A004B"/>
    <w:rsid w:val="008A0BB2"/>
    <w:rsid w:val="008A3204"/>
    <w:rsid w:val="008A3A71"/>
    <w:rsid w:val="008A4033"/>
    <w:rsid w:val="008B1829"/>
    <w:rsid w:val="008C0723"/>
    <w:rsid w:val="008C3EB8"/>
    <w:rsid w:val="008C639B"/>
    <w:rsid w:val="008C7F78"/>
    <w:rsid w:val="008D17F3"/>
    <w:rsid w:val="008D43CB"/>
    <w:rsid w:val="008D51F3"/>
    <w:rsid w:val="008D7178"/>
    <w:rsid w:val="008E086C"/>
    <w:rsid w:val="008E3F61"/>
    <w:rsid w:val="008E4C39"/>
    <w:rsid w:val="008E4C5A"/>
    <w:rsid w:val="008E4E3A"/>
    <w:rsid w:val="008E75D8"/>
    <w:rsid w:val="008E7AF2"/>
    <w:rsid w:val="008F09E3"/>
    <w:rsid w:val="008F696E"/>
    <w:rsid w:val="008F6F4B"/>
    <w:rsid w:val="00901FF4"/>
    <w:rsid w:val="00903A62"/>
    <w:rsid w:val="00903B66"/>
    <w:rsid w:val="00905F47"/>
    <w:rsid w:val="009069DC"/>
    <w:rsid w:val="00906E1E"/>
    <w:rsid w:val="00907092"/>
    <w:rsid w:val="0091040A"/>
    <w:rsid w:val="00910FC8"/>
    <w:rsid w:val="00912220"/>
    <w:rsid w:val="0092389B"/>
    <w:rsid w:val="00924F0C"/>
    <w:rsid w:val="00925A26"/>
    <w:rsid w:val="00927C6A"/>
    <w:rsid w:val="00933E63"/>
    <w:rsid w:val="009347B8"/>
    <w:rsid w:val="009410D3"/>
    <w:rsid w:val="00941478"/>
    <w:rsid w:val="009525F8"/>
    <w:rsid w:val="00952880"/>
    <w:rsid w:val="00953D33"/>
    <w:rsid w:val="00954968"/>
    <w:rsid w:val="00955122"/>
    <w:rsid w:val="009556F0"/>
    <w:rsid w:val="009576B3"/>
    <w:rsid w:val="009602B0"/>
    <w:rsid w:val="009616B7"/>
    <w:rsid w:val="00963C18"/>
    <w:rsid w:val="00965C5B"/>
    <w:rsid w:val="009678B9"/>
    <w:rsid w:val="00967B88"/>
    <w:rsid w:val="009718C1"/>
    <w:rsid w:val="009729AB"/>
    <w:rsid w:val="009734E4"/>
    <w:rsid w:val="00976A7E"/>
    <w:rsid w:val="0098356A"/>
    <w:rsid w:val="00992459"/>
    <w:rsid w:val="00992CBE"/>
    <w:rsid w:val="00994680"/>
    <w:rsid w:val="009A0509"/>
    <w:rsid w:val="009A3083"/>
    <w:rsid w:val="009A3493"/>
    <w:rsid w:val="009A36CC"/>
    <w:rsid w:val="009A3C16"/>
    <w:rsid w:val="009A411F"/>
    <w:rsid w:val="009A44AD"/>
    <w:rsid w:val="009A510B"/>
    <w:rsid w:val="009A5D5C"/>
    <w:rsid w:val="009A5ED0"/>
    <w:rsid w:val="009B13CA"/>
    <w:rsid w:val="009B4A41"/>
    <w:rsid w:val="009B5868"/>
    <w:rsid w:val="009C43E5"/>
    <w:rsid w:val="009C62FC"/>
    <w:rsid w:val="009D0C07"/>
    <w:rsid w:val="009D10BD"/>
    <w:rsid w:val="009D2720"/>
    <w:rsid w:val="009D416F"/>
    <w:rsid w:val="009D51EF"/>
    <w:rsid w:val="009D6EDD"/>
    <w:rsid w:val="009E119E"/>
    <w:rsid w:val="009E11EE"/>
    <w:rsid w:val="009E266C"/>
    <w:rsid w:val="009F2C78"/>
    <w:rsid w:val="009F3696"/>
    <w:rsid w:val="009F6605"/>
    <w:rsid w:val="00A00005"/>
    <w:rsid w:val="00A00249"/>
    <w:rsid w:val="00A01A73"/>
    <w:rsid w:val="00A02FBA"/>
    <w:rsid w:val="00A04610"/>
    <w:rsid w:val="00A06E0E"/>
    <w:rsid w:val="00A0724A"/>
    <w:rsid w:val="00A114CF"/>
    <w:rsid w:val="00A122F7"/>
    <w:rsid w:val="00A13DCD"/>
    <w:rsid w:val="00A1473D"/>
    <w:rsid w:val="00A154D1"/>
    <w:rsid w:val="00A1553F"/>
    <w:rsid w:val="00A15716"/>
    <w:rsid w:val="00A17A7B"/>
    <w:rsid w:val="00A20E8B"/>
    <w:rsid w:val="00A20F86"/>
    <w:rsid w:val="00A276C2"/>
    <w:rsid w:val="00A33240"/>
    <w:rsid w:val="00A356E9"/>
    <w:rsid w:val="00A357B1"/>
    <w:rsid w:val="00A36AAD"/>
    <w:rsid w:val="00A36ED4"/>
    <w:rsid w:val="00A37372"/>
    <w:rsid w:val="00A37EC5"/>
    <w:rsid w:val="00A4258B"/>
    <w:rsid w:val="00A4406A"/>
    <w:rsid w:val="00A45384"/>
    <w:rsid w:val="00A4612B"/>
    <w:rsid w:val="00A467C6"/>
    <w:rsid w:val="00A52FE8"/>
    <w:rsid w:val="00A54A58"/>
    <w:rsid w:val="00A54C72"/>
    <w:rsid w:val="00A55E37"/>
    <w:rsid w:val="00A66D51"/>
    <w:rsid w:val="00A67AF8"/>
    <w:rsid w:val="00A716F8"/>
    <w:rsid w:val="00A72646"/>
    <w:rsid w:val="00A75EE5"/>
    <w:rsid w:val="00A80B94"/>
    <w:rsid w:val="00A82860"/>
    <w:rsid w:val="00A871AF"/>
    <w:rsid w:val="00A93FE6"/>
    <w:rsid w:val="00A96BD5"/>
    <w:rsid w:val="00A971D6"/>
    <w:rsid w:val="00A97E31"/>
    <w:rsid w:val="00A97FD6"/>
    <w:rsid w:val="00AA1187"/>
    <w:rsid w:val="00AA16B9"/>
    <w:rsid w:val="00AA2C24"/>
    <w:rsid w:val="00AA3285"/>
    <w:rsid w:val="00AA44DD"/>
    <w:rsid w:val="00AA691E"/>
    <w:rsid w:val="00AA7F67"/>
    <w:rsid w:val="00AB0DD7"/>
    <w:rsid w:val="00AB29F3"/>
    <w:rsid w:val="00AB41D0"/>
    <w:rsid w:val="00AB561A"/>
    <w:rsid w:val="00AB68FC"/>
    <w:rsid w:val="00AB705F"/>
    <w:rsid w:val="00AB7B73"/>
    <w:rsid w:val="00AC1ACC"/>
    <w:rsid w:val="00AC2E35"/>
    <w:rsid w:val="00AC65DB"/>
    <w:rsid w:val="00AD381B"/>
    <w:rsid w:val="00AD518D"/>
    <w:rsid w:val="00AD5B26"/>
    <w:rsid w:val="00AD66CD"/>
    <w:rsid w:val="00AD7084"/>
    <w:rsid w:val="00AE0CAA"/>
    <w:rsid w:val="00AE228B"/>
    <w:rsid w:val="00AE37B5"/>
    <w:rsid w:val="00AF1230"/>
    <w:rsid w:val="00AF1525"/>
    <w:rsid w:val="00AF1AA0"/>
    <w:rsid w:val="00AF414B"/>
    <w:rsid w:val="00AF45BB"/>
    <w:rsid w:val="00AF67D0"/>
    <w:rsid w:val="00AF7C20"/>
    <w:rsid w:val="00B13184"/>
    <w:rsid w:val="00B13F86"/>
    <w:rsid w:val="00B167E9"/>
    <w:rsid w:val="00B17212"/>
    <w:rsid w:val="00B22576"/>
    <w:rsid w:val="00B2267F"/>
    <w:rsid w:val="00B24D84"/>
    <w:rsid w:val="00B35387"/>
    <w:rsid w:val="00B37CB1"/>
    <w:rsid w:val="00B40AE8"/>
    <w:rsid w:val="00B416A1"/>
    <w:rsid w:val="00B41FE7"/>
    <w:rsid w:val="00B421A2"/>
    <w:rsid w:val="00B456F9"/>
    <w:rsid w:val="00B45F19"/>
    <w:rsid w:val="00B46020"/>
    <w:rsid w:val="00B5064C"/>
    <w:rsid w:val="00B52BA8"/>
    <w:rsid w:val="00B53D6B"/>
    <w:rsid w:val="00B57D25"/>
    <w:rsid w:val="00B61A23"/>
    <w:rsid w:val="00B67AB3"/>
    <w:rsid w:val="00B7043D"/>
    <w:rsid w:val="00B72B72"/>
    <w:rsid w:val="00B73B72"/>
    <w:rsid w:val="00B742C6"/>
    <w:rsid w:val="00B77A15"/>
    <w:rsid w:val="00B82933"/>
    <w:rsid w:val="00B843D5"/>
    <w:rsid w:val="00B8506C"/>
    <w:rsid w:val="00B86DA7"/>
    <w:rsid w:val="00B90D29"/>
    <w:rsid w:val="00B92B07"/>
    <w:rsid w:val="00B95C40"/>
    <w:rsid w:val="00B9733F"/>
    <w:rsid w:val="00BA5AF7"/>
    <w:rsid w:val="00BA6EBD"/>
    <w:rsid w:val="00BA7AE2"/>
    <w:rsid w:val="00BA7B5C"/>
    <w:rsid w:val="00BB57F5"/>
    <w:rsid w:val="00BC2A4F"/>
    <w:rsid w:val="00BC6BE1"/>
    <w:rsid w:val="00BC732A"/>
    <w:rsid w:val="00BC7A0C"/>
    <w:rsid w:val="00BD183A"/>
    <w:rsid w:val="00BD55A3"/>
    <w:rsid w:val="00BD6877"/>
    <w:rsid w:val="00BD75FF"/>
    <w:rsid w:val="00BD7961"/>
    <w:rsid w:val="00BE2107"/>
    <w:rsid w:val="00BE2D34"/>
    <w:rsid w:val="00BE38F1"/>
    <w:rsid w:val="00BE4EC3"/>
    <w:rsid w:val="00BE54AC"/>
    <w:rsid w:val="00BF03C9"/>
    <w:rsid w:val="00BF0C6A"/>
    <w:rsid w:val="00BF0EF2"/>
    <w:rsid w:val="00C00E8F"/>
    <w:rsid w:val="00C0112E"/>
    <w:rsid w:val="00C02665"/>
    <w:rsid w:val="00C03007"/>
    <w:rsid w:val="00C04278"/>
    <w:rsid w:val="00C05017"/>
    <w:rsid w:val="00C05CD0"/>
    <w:rsid w:val="00C0736C"/>
    <w:rsid w:val="00C120D6"/>
    <w:rsid w:val="00C13CE7"/>
    <w:rsid w:val="00C145D1"/>
    <w:rsid w:val="00C1771B"/>
    <w:rsid w:val="00C17959"/>
    <w:rsid w:val="00C209B7"/>
    <w:rsid w:val="00C23209"/>
    <w:rsid w:val="00C249F3"/>
    <w:rsid w:val="00C26026"/>
    <w:rsid w:val="00C347C6"/>
    <w:rsid w:val="00C34A88"/>
    <w:rsid w:val="00C37132"/>
    <w:rsid w:val="00C378AE"/>
    <w:rsid w:val="00C41852"/>
    <w:rsid w:val="00C452F1"/>
    <w:rsid w:val="00C47505"/>
    <w:rsid w:val="00C608C0"/>
    <w:rsid w:val="00C616AF"/>
    <w:rsid w:val="00C620E3"/>
    <w:rsid w:val="00C6231F"/>
    <w:rsid w:val="00C67998"/>
    <w:rsid w:val="00C71B03"/>
    <w:rsid w:val="00C75907"/>
    <w:rsid w:val="00C76C69"/>
    <w:rsid w:val="00C77392"/>
    <w:rsid w:val="00C828D8"/>
    <w:rsid w:val="00C83192"/>
    <w:rsid w:val="00C855B5"/>
    <w:rsid w:val="00C85868"/>
    <w:rsid w:val="00C860D6"/>
    <w:rsid w:val="00C90238"/>
    <w:rsid w:val="00C9295B"/>
    <w:rsid w:val="00CA0C30"/>
    <w:rsid w:val="00CA2EE6"/>
    <w:rsid w:val="00CA37C7"/>
    <w:rsid w:val="00CA4CFE"/>
    <w:rsid w:val="00CA57BB"/>
    <w:rsid w:val="00CA6159"/>
    <w:rsid w:val="00CB2F8B"/>
    <w:rsid w:val="00CB49EA"/>
    <w:rsid w:val="00CB5BD0"/>
    <w:rsid w:val="00CB6181"/>
    <w:rsid w:val="00CB703F"/>
    <w:rsid w:val="00CC1929"/>
    <w:rsid w:val="00CC42CA"/>
    <w:rsid w:val="00CC49A3"/>
    <w:rsid w:val="00CD5C3D"/>
    <w:rsid w:val="00CD5F3E"/>
    <w:rsid w:val="00CD678F"/>
    <w:rsid w:val="00CD7AA7"/>
    <w:rsid w:val="00CE146D"/>
    <w:rsid w:val="00CE3C6C"/>
    <w:rsid w:val="00CE4F66"/>
    <w:rsid w:val="00CE7004"/>
    <w:rsid w:val="00CE76A4"/>
    <w:rsid w:val="00CF110B"/>
    <w:rsid w:val="00CF17D7"/>
    <w:rsid w:val="00CF1C38"/>
    <w:rsid w:val="00CF2287"/>
    <w:rsid w:val="00CF41E4"/>
    <w:rsid w:val="00CF59F5"/>
    <w:rsid w:val="00D01F2D"/>
    <w:rsid w:val="00D03AB7"/>
    <w:rsid w:val="00D069CF"/>
    <w:rsid w:val="00D07B32"/>
    <w:rsid w:val="00D12887"/>
    <w:rsid w:val="00D12A54"/>
    <w:rsid w:val="00D13CAB"/>
    <w:rsid w:val="00D174BF"/>
    <w:rsid w:val="00D20BA8"/>
    <w:rsid w:val="00D2302C"/>
    <w:rsid w:val="00D2468D"/>
    <w:rsid w:val="00D248E1"/>
    <w:rsid w:val="00D256EE"/>
    <w:rsid w:val="00D257B8"/>
    <w:rsid w:val="00D25D53"/>
    <w:rsid w:val="00D26730"/>
    <w:rsid w:val="00D271A7"/>
    <w:rsid w:val="00D31807"/>
    <w:rsid w:val="00D330BA"/>
    <w:rsid w:val="00D33358"/>
    <w:rsid w:val="00D3547A"/>
    <w:rsid w:val="00D35DF8"/>
    <w:rsid w:val="00D361C3"/>
    <w:rsid w:val="00D41339"/>
    <w:rsid w:val="00D41DD7"/>
    <w:rsid w:val="00D442A9"/>
    <w:rsid w:val="00D46EF1"/>
    <w:rsid w:val="00D50362"/>
    <w:rsid w:val="00D51839"/>
    <w:rsid w:val="00D53CF6"/>
    <w:rsid w:val="00D53DED"/>
    <w:rsid w:val="00D5685E"/>
    <w:rsid w:val="00D60AE0"/>
    <w:rsid w:val="00D6128D"/>
    <w:rsid w:val="00D6333F"/>
    <w:rsid w:val="00D636F2"/>
    <w:rsid w:val="00D64A32"/>
    <w:rsid w:val="00D67169"/>
    <w:rsid w:val="00D712A5"/>
    <w:rsid w:val="00D7314E"/>
    <w:rsid w:val="00D73AEC"/>
    <w:rsid w:val="00D751E5"/>
    <w:rsid w:val="00D7614B"/>
    <w:rsid w:val="00D90F41"/>
    <w:rsid w:val="00D919C7"/>
    <w:rsid w:val="00D92530"/>
    <w:rsid w:val="00D937DA"/>
    <w:rsid w:val="00D9451E"/>
    <w:rsid w:val="00DA1809"/>
    <w:rsid w:val="00DA6A1B"/>
    <w:rsid w:val="00DA799D"/>
    <w:rsid w:val="00DB0BE2"/>
    <w:rsid w:val="00DB2680"/>
    <w:rsid w:val="00DB2C42"/>
    <w:rsid w:val="00DB4796"/>
    <w:rsid w:val="00DB4F5F"/>
    <w:rsid w:val="00DB6340"/>
    <w:rsid w:val="00DC20C1"/>
    <w:rsid w:val="00DC249E"/>
    <w:rsid w:val="00DC2A1D"/>
    <w:rsid w:val="00DC2FAA"/>
    <w:rsid w:val="00DC4A52"/>
    <w:rsid w:val="00DC5A15"/>
    <w:rsid w:val="00DC6BA5"/>
    <w:rsid w:val="00DD3D26"/>
    <w:rsid w:val="00DD5AC0"/>
    <w:rsid w:val="00DD6E83"/>
    <w:rsid w:val="00DE2A98"/>
    <w:rsid w:val="00DE2F96"/>
    <w:rsid w:val="00DE75AD"/>
    <w:rsid w:val="00DF2D9A"/>
    <w:rsid w:val="00DF3B70"/>
    <w:rsid w:val="00DF3D1A"/>
    <w:rsid w:val="00DF6608"/>
    <w:rsid w:val="00DF7095"/>
    <w:rsid w:val="00E017FA"/>
    <w:rsid w:val="00E02036"/>
    <w:rsid w:val="00E04085"/>
    <w:rsid w:val="00E05302"/>
    <w:rsid w:val="00E05886"/>
    <w:rsid w:val="00E12659"/>
    <w:rsid w:val="00E14226"/>
    <w:rsid w:val="00E17E87"/>
    <w:rsid w:val="00E20073"/>
    <w:rsid w:val="00E23B5B"/>
    <w:rsid w:val="00E244D4"/>
    <w:rsid w:val="00E26D25"/>
    <w:rsid w:val="00E32776"/>
    <w:rsid w:val="00E33D0C"/>
    <w:rsid w:val="00E37C0F"/>
    <w:rsid w:val="00E45E7A"/>
    <w:rsid w:val="00E50226"/>
    <w:rsid w:val="00E51CC9"/>
    <w:rsid w:val="00E5276F"/>
    <w:rsid w:val="00E52F12"/>
    <w:rsid w:val="00E5444C"/>
    <w:rsid w:val="00E55428"/>
    <w:rsid w:val="00E609C8"/>
    <w:rsid w:val="00E63D9A"/>
    <w:rsid w:val="00E63E42"/>
    <w:rsid w:val="00E646B8"/>
    <w:rsid w:val="00E65BCD"/>
    <w:rsid w:val="00E66D15"/>
    <w:rsid w:val="00E66DC7"/>
    <w:rsid w:val="00E67821"/>
    <w:rsid w:val="00E67BD2"/>
    <w:rsid w:val="00E67BE2"/>
    <w:rsid w:val="00E70C26"/>
    <w:rsid w:val="00E773E7"/>
    <w:rsid w:val="00E77631"/>
    <w:rsid w:val="00E849A0"/>
    <w:rsid w:val="00E85482"/>
    <w:rsid w:val="00E85B83"/>
    <w:rsid w:val="00E86FCC"/>
    <w:rsid w:val="00E90F7B"/>
    <w:rsid w:val="00E926BF"/>
    <w:rsid w:val="00E92FCA"/>
    <w:rsid w:val="00E95585"/>
    <w:rsid w:val="00EA0994"/>
    <w:rsid w:val="00EA2DC1"/>
    <w:rsid w:val="00EA314F"/>
    <w:rsid w:val="00EA3735"/>
    <w:rsid w:val="00EA7285"/>
    <w:rsid w:val="00EB5F12"/>
    <w:rsid w:val="00EC01CC"/>
    <w:rsid w:val="00EC0B1C"/>
    <w:rsid w:val="00EC47F6"/>
    <w:rsid w:val="00EC486B"/>
    <w:rsid w:val="00EC6260"/>
    <w:rsid w:val="00EC729D"/>
    <w:rsid w:val="00EC79DE"/>
    <w:rsid w:val="00EC7E1C"/>
    <w:rsid w:val="00ED0C4E"/>
    <w:rsid w:val="00ED10FC"/>
    <w:rsid w:val="00ED2EDF"/>
    <w:rsid w:val="00ED3402"/>
    <w:rsid w:val="00ED36C2"/>
    <w:rsid w:val="00ED40DE"/>
    <w:rsid w:val="00ED448E"/>
    <w:rsid w:val="00ED4A1E"/>
    <w:rsid w:val="00ED5239"/>
    <w:rsid w:val="00ED5D5B"/>
    <w:rsid w:val="00EE40D8"/>
    <w:rsid w:val="00EE69A7"/>
    <w:rsid w:val="00EE7B76"/>
    <w:rsid w:val="00EF12F9"/>
    <w:rsid w:val="00EF37F7"/>
    <w:rsid w:val="00EF3E60"/>
    <w:rsid w:val="00EF4345"/>
    <w:rsid w:val="00EF5543"/>
    <w:rsid w:val="00F00C29"/>
    <w:rsid w:val="00F0169C"/>
    <w:rsid w:val="00F030A2"/>
    <w:rsid w:val="00F05430"/>
    <w:rsid w:val="00F06CD6"/>
    <w:rsid w:val="00F0760A"/>
    <w:rsid w:val="00F101A4"/>
    <w:rsid w:val="00F17307"/>
    <w:rsid w:val="00F2540C"/>
    <w:rsid w:val="00F3091B"/>
    <w:rsid w:val="00F30AEA"/>
    <w:rsid w:val="00F32B44"/>
    <w:rsid w:val="00F32BBC"/>
    <w:rsid w:val="00F339DA"/>
    <w:rsid w:val="00F35BB0"/>
    <w:rsid w:val="00F40EE4"/>
    <w:rsid w:val="00F41A3D"/>
    <w:rsid w:val="00F439F8"/>
    <w:rsid w:val="00F46605"/>
    <w:rsid w:val="00F4730F"/>
    <w:rsid w:val="00F533CC"/>
    <w:rsid w:val="00F57C3D"/>
    <w:rsid w:val="00F61CA6"/>
    <w:rsid w:val="00F62056"/>
    <w:rsid w:val="00F6551D"/>
    <w:rsid w:val="00F73782"/>
    <w:rsid w:val="00F73CC5"/>
    <w:rsid w:val="00F749AA"/>
    <w:rsid w:val="00F74F4E"/>
    <w:rsid w:val="00F759FA"/>
    <w:rsid w:val="00F8179D"/>
    <w:rsid w:val="00F862DB"/>
    <w:rsid w:val="00F8775E"/>
    <w:rsid w:val="00F90A01"/>
    <w:rsid w:val="00F9119C"/>
    <w:rsid w:val="00F91343"/>
    <w:rsid w:val="00F914C3"/>
    <w:rsid w:val="00F91CCA"/>
    <w:rsid w:val="00F932B2"/>
    <w:rsid w:val="00F93322"/>
    <w:rsid w:val="00F96C5B"/>
    <w:rsid w:val="00F97165"/>
    <w:rsid w:val="00FA0C2E"/>
    <w:rsid w:val="00FB0B65"/>
    <w:rsid w:val="00FB3AAE"/>
    <w:rsid w:val="00FB5F0F"/>
    <w:rsid w:val="00FB7A27"/>
    <w:rsid w:val="00FC4795"/>
    <w:rsid w:val="00FC4D5D"/>
    <w:rsid w:val="00FC5733"/>
    <w:rsid w:val="00FC5A96"/>
    <w:rsid w:val="00FC740F"/>
    <w:rsid w:val="00FC74C5"/>
    <w:rsid w:val="00FC74CB"/>
    <w:rsid w:val="00FD345D"/>
    <w:rsid w:val="00FD6550"/>
    <w:rsid w:val="00FD7E6E"/>
    <w:rsid w:val="00FE0D3E"/>
    <w:rsid w:val="00FE1B2C"/>
    <w:rsid w:val="00FE1ECE"/>
    <w:rsid w:val="00FE4693"/>
    <w:rsid w:val="00FE6F31"/>
    <w:rsid w:val="00FF396A"/>
    <w:rsid w:val="00FF3A67"/>
    <w:rsid w:val="00FF41DE"/>
    <w:rsid w:val="00FF4494"/>
    <w:rsid w:val="01DC1F9F"/>
    <w:rsid w:val="01F67C1D"/>
    <w:rsid w:val="05EB4747"/>
    <w:rsid w:val="066D074A"/>
    <w:rsid w:val="0673692E"/>
    <w:rsid w:val="06C92CC5"/>
    <w:rsid w:val="0A1D301C"/>
    <w:rsid w:val="0A410B06"/>
    <w:rsid w:val="0B353F6E"/>
    <w:rsid w:val="0DD11D9E"/>
    <w:rsid w:val="0E3A74F5"/>
    <w:rsid w:val="0FAC2EB1"/>
    <w:rsid w:val="11D64EE3"/>
    <w:rsid w:val="14510EEE"/>
    <w:rsid w:val="1788267A"/>
    <w:rsid w:val="17DE663D"/>
    <w:rsid w:val="28795B3F"/>
    <w:rsid w:val="28DB2CFA"/>
    <w:rsid w:val="294A1E19"/>
    <w:rsid w:val="2AF4628C"/>
    <w:rsid w:val="2BBB11ED"/>
    <w:rsid w:val="2DD12FF9"/>
    <w:rsid w:val="332F5173"/>
    <w:rsid w:val="33781CBF"/>
    <w:rsid w:val="351D5B33"/>
    <w:rsid w:val="38AC23A8"/>
    <w:rsid w:val="3E445D8C"/>
    <w:rsid w:val="407277C4"/>
    <w:rsid w:val="43113F1D"/>
    <w:rsid w:val="4352061D"/>
    <w:rsid w:val="511D762F"/>
    <w:rsid w:val="549F323C"/>
    <w:rsid w:val="58363036"/>
    <w:rsid w:val="5E2D6537"/>
    <w:rsid w:val="64526CF8"/>
    <w:rsid w:val="647951EE"/>
    <w:rsid w:val="67410FCC"/>
    <w:rsid w:val="6B8D7E26"/>
    <w:rsid w:val="6BCE72AF"/>
    <w:rsid w:val="701D1B57"/>
    <w:rsid w:val="7074748A"/>
    <w:rsid w:val="71145A61"/>
    <w:rsid w:val="72F35B4A"/>
    <w:rsid w:val="73532145"/>
    <w:rsid w:val="77726694"/>
    <w:rsid w:val="7A106354"/>
    <w:rsid w:val="7A1327D6"/>
    <w:rsid w:val="7A6B648D"/>
    <w:rsid w:val="7E244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2">
    <w:name w:val="heading 1"/>
    <w:basedOn w:val="1"/>
    <w:next w:val="1"/>
    <w:link w:val="35"/>
    <w:qFormat/>
    <w:uiPriority w:val="9"/>
    <w:pPr>
      <w:keepNext/>
      <w:keepLines/>
      <w:widowControl w:val="0"/>
      <w:spacing w:before="340" w:after="330" w:line="578" w:lineRule="auto"/>
      <w:textAlignment w:val="auto"/>
      <w:outlineLvl w:val="0"/>
    </w:pPr>
    <w:rPr>
      <w:b/>
      <w:bCs/>
      <w:color w:val="auto"/>
      <w:kern w:val="44"/>
      <w:sz w:val="44"/>
      <w:szCs w:val="44"/>
      <w:u w:val="none" w:color="auto"/>
    </w:rPr>
  </w:style>
  <w:style w:type="paragraph" w:styleId="3">
    <w:name w:val="heading 2"/>
    <w:basedOn w:val="1"/>
    <w:next w:val="1"/>
    <w:link w:val="36"/>
    <w:qFormat/>
    <w:uiPriority w:val="0"/>
    <w:pPr>
      <w:widowControl w:val="0"/>
      <w:spacing w:line="240" w:lineRule="auto"/>
      <w:textAlignment w:val="auto"/>
      <w:outlineLvl w:val="1"/>
    </w:pPr>
    <w:rPr>
      <w:rFonts w:eastAsia="方正黑体简体"/>
      <w:bCs/>
      <w:color w:val="auto"/>
      <w:kern w:val="2"/>
      <w:szCs w:val="32"/>
      <w:u w:val="none" w:color="auto"/>
    </w:rPr>
  </w:style>
  <w:style w:type="paragraph" w:styleId="4">
    <w:name w:val="heading 3"/>
    <w:basedOn w:val="1"/>
    <w:next w:val="1"/>
    <w:qFormat/>
    <w:uiPriority w:val="0"/>
    <w:pPr>
      <w:widowControl w:val="0"/>
      <w:spacing w:line="240" w:lineRule="auto"/>
      <w:textAlignment w:val="auto"/>
      <w:outlineLvl w:val="2"/>
    </w:pPr>
    <w:rPr>
      <w:rFonts w:eastAsia="方正楷体简体"/>
      <w:bCs/>
      <w:color w:val="auto"/>
      <w:kern w:val="2"/>
      <w:szCs w:val="32"/>
      <w:u w:val="none" w:color="auto"/>
    </w:rPr>
  </w:style>
  <w:style w:type="paragraph" w:styleId="5">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6">
    <w:name w:val="table of authorities"/>
    <w:basedOn w:val="1"/>
    <w:next w:val="1"/>
    <w:qFormat/>
    <w:uiPriority w:val="0"/>
    <w:pPr>
      <w:widowControl w:val="0"/>
      <w:spacing w:line="240" w:lineRule="auto"/>
      <w:ind w:left="200" w:leftChars="200"/>
      <w:textAlignment w:val="auto"/>
    </w:pPr>
    <w:rPr>
      <w:color w:val="auto"/>
      <w:kern w:val="2"/>
      <w:szCs w:val="24"/>
      <w:u w:val="none" w:color="auto"/>
    </w:rPr>
  </w:style>
  <w:style w:type="paragraph" w:styleId="7">
    <w:name w:val="Normal Indent"/>
    <w:basedOn w:val="1"/>
    <w:qFormat/>
    <w:uiPriority w:val="0"/>
    <w:pPr>
      <w:widowControl w:val="0"/>
      <w:spacing w:line="240" w:lineRule="auto"/>
      <w:ind w:firstLine="420" w:firstLineChars="200"/>
      <w:textAlignment w:val="auto"/>
    </w:pPr>
    <w:rPr>
      <w:color w:val="auto"/>
      <w:kern w:val="2"/>
      <w:szCs w:val="22"/>
      <w:u w:val="none" w:color="auto"/>
    </w:rPr>
  </w:style>
  <w:style w:type="paragraph" w:styleId="8">
    <w:name w:val="Document Map"/>
    <w:basedOn w:val="1"/>
    <w:semiHidden/>
    <w:qFormat/>
    <w:uiPriority w:val="0"/>
    <w:pPr>
      <w:shd w:val="clear" w:color="auto" w:fill="000080"/>
    </w:pPr>
  </w:style>
  <w:style w:type="paragraph" w:styleId="9">
    <w:name w:val="Salutation"/>
    <w:basedOn w:val="1"/>
    <w:next w:val="1"/>
    <w:qFormat/>
    <w:uiPriority w:val="0"/>
    <w:pPr>
      <w:widowControl w:val="0"/>
      <w:spacing w:line="240" w:lineRule="auto"/>
      <w:textAlignment w:val="auto"/>
    </w:pPr>
    <w:rPr>
      <w:color w:val="auto"/>
      <w:kern w:val="2"/>
      <w:szCs w:val="24"/>
      <w:u w:val="none" w:color="auto"/>
    </w:rPr>
  </w:style>
  <w:style w:type="paragraph" w:styleId="10">
    <w:name w:val="Body Text"/>
    <w:basedOn w:val="1"/>
    <w:link w:val="37"/>
    <w:qFormat/>
    <w:uiPriority w:val="0"/>
    <w:pPr>
      <w:spacing w:after="120"/>
    </w:pPr>
  </w:style>
  <w:style w:type="paragraph" w:styleId="11">
    <w:name w:val="Body Text Indent"/>
    <w:basedOn w:val="1"/>
    <w:link w:val="38"/>
    <w:qFormat/>
    <w:uiPriority w:val="0"/>
    <w:pPr>
      <w:widowControl w:val="0"/>
      <w:spacing w:line="240" w:lineRule="auto"/>
      <w:ind w:firstLine="482" w:firstLineChars="200"/>
      <w:textAlignment w:val="auto"/>
    </w:pPr>
    <w:rPr>
      <w:rFonts w:ascii="长城仿宋体" w:eastAsia="长城仿宋体"/>
      <w:b/>
      <w:bCs/>
      <w:color w:val="auto"/>
      <w:kern w:val="2"/>
      <w:sz w:val="24"/>
      <w:szCs w:val="24"/>
      <w:u w:val="single" w:color="auto"/>
    </w:rPr>
  </w:style>
  <w:style w:type="paragraph" w:styleId="12">
    <w:name w:val="List 2"/>
    <w:basedOn w:val="1"/>
    <w:qFormat/>
    <w:uiPriority w:val="0"/>
    <w:pPr>
      <w:widowControl w:val="0"/>
      <w:spacing w:line="240" w:lineRule="auto"/>
      <w:ind w:left="100" w:leftChars="200" w:hanging="200" w:hangingChars="200"/>
      <w:textAlignment w:val="auto"/>
    </w:pPr>
    <w:rPr>
      <w:color w:val="auto"/>
      <w:kern w:val="2"/>
      <w:szCs w:val="24"/>
      <w:u w:val="none" w:color="auto"/>
    </w:rPr>
  </w:style>
  <w:style w:type="paragraph" w:styleId="13">
    <w:name w:val="Plain Text"/>
    <w:basedOn w:val="1"/>
    <w:link w:val="39"/>
    <w:qFormat/>
    <w:uiPriority w:val="0"/>
    <w:pPr>
      <w:widowControl w:val="0"/>
      <w:spacing w:line="240" w:lineRule="auto"/>
      <w:textAlignment w:val="auto"/>
    </w:pPr>
    <w:rPr>
      <w:rFonts w:ascii="宋体" w:hAnsi="Courier New"/>
      <w:color w:val="auto"/>
      <w:kern w:val="2"/>
      <w:szCs w:val="24"/>
      <w:u w:val="none" w:color="auto"/>
    </w:rPr>
  </w:style>
  <w:style w:type="paragraph" w:styleId="14">
    <w:name w:val="Date"/>
    <w:basedOn w:val="1"/>
    <w:next w:val="1"/>
    <w:link w:val="40"/>
    <w:qFormat/>
    <w:uiPriority w:val="0"/>
    <w:pPr>
      <w:ind w:left="100" w:leftChars="2500"/>
    </w:pPr>
  </w:style>
  <w:style w:type="paragraph" w:styleId="15">
    <w:name w:val="Body Text Indent 2"/>
    <w:basedOn w:val="1"/>
    <w:qFormat/>
    <w:uiPriority w:val="0"/>
    <w:pPr>
      <w:widowControl w:val="0"/>
      <w:spacing w:after="120" w:line="480" w:lineRule="auto"/>
      <w:ind w:left="420" w:leftChars="200"/>
      <w:textAlignment w:val="auto"/>
    </w:pPr>
    <w:rPr>
      <w:color w:val="auto"/>
      <w:kern w:val="2"/>
      <w:szCs w:val="24"/>
      <w:u w:val="none" w:color="auto"/>
    </w:rPr>
  </w:style>
  <w:style w:type="paragraph" w:styleId="16">
    <w:name w:val="Balloon Text"/>
    <w:basedOn w:val="1"/>
    <w:link w:val="41"/>
    <w:qFormat/>
    <w:uiPriority w:val="0"/>
    <w:pPr>
      <w:spacing w:line="240" w:lineRule="auto"/>
    </w:pPr>
    <w:rPr>
      <w:sz w:val="18"/>
      <w:szCs w:val="18"/>
    </w:rPr>
  </w:style>
  <w:style w:type="paragraph" w:styleId="17">
    <w:name w:val="footer"/>
    <w:basedOn w:val="1"/>
    <w:link w:val="42"/>
    <w:qFormat/>
    <w:uiPriority w:val="99"/>
    <w:pPr>
      <w:tabs>
        <w:tab w:val="center" w:pos="4153"/>
        <w:tab w:val="right" w:pos="8306"/>
      </w:tabs>
      <w:snapToGrid w:val="0"/>
      <w:spacing w:line="240" w:lineRule="atLeast"/>
      <w:jc w:val="left"/>
    </w:pPr>
    <w:rPr>
      <w:sz w:val="18"/>
      <w:szCs w:val="18"/>
    </w:rPr>
  </w:style>
  <w:style w:type="paragraph" w:styleId="18">
    <w:name w:val="header"/>
    <w:basedOn w:val="1"/>
    <w:link w:val="4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9">
    <w:name w:val="toc 1"/>
    <w:basedOn w:val="1"/>
    <w:next w:val="1"/>
    <w:unhideWhenUsed/>
    <w:qFormat/>
    <w:uiPriority w:val="39"/>
    <w:pPr>
      <w:widowControl w:val="0"/>
      <w:spacing w:line="240" w:lineRule="auto"/>
      <w:textAlignment w:val="auto"/>
    </w:pPr>
    <w:rPr>
      <w:color w:val="auto"/>
      <w:kern w:val="2"/>
      <w:szCs w:val="22"/>
      <w:u w:val="none" w:color="auto"/>
    </w:rPr>
  </w:style>
  <w:style w:type="paragraph" w:styleId="20">
    <w:name w:val="Subtitle"/>
    <w:basedOn w:val="1"/>
    <w:next w:val="1"/>
    <w:qFormat/>
    <w:uiPriority w:val="0"/>
    <w:pPr>
      <w:spacing w:before="240" w:after="60" w:line="312" w:lineRule="auto"/>
      <w:jc w:val="center"/>
    </w:pPr>
    <w:rPr>
      <w:rFonts w:ascii="等线 Light" w:hAnsi="等线 Light" w:eastAsia="Times New Roman"/>
      <w:b/>
      <w:bCs/>
      <w:color w:val="auto"/>
      <w:kern w:val="28"/>
      <w:sz w:val="32"/>
      <w:szCs w:val="32"/>
      <w:u w:val="none" w:color="auto"/>
    </w:rPr>
  </w:style>
  <w:style w:type="paragraph" w:styleId="21">
    <w:name w:val="index 9"/>
    <w:basedOn w:val="1"/>
    <w:next w:val="1"/>
    <w:semiHidden/>
    <w:qFormat/>
    <w:uiPriority w:val="0"/>
    <w:pPr>
      <w:ind w:left="1600" w:leftChars="1600"/>
    </w:pPr>
  </w:style>
  <w:style w:type="paragraph" w:styleId="22">
    <w:name w:val="toc 2"/>
    <w:basedOn w:val="1"/>
    <w:next w:val="1"/>
    <w:unhideWhenUsed/>
    <w:qFormat/>
    <w:uiPriority w:val="39"/>
    <w:pPr>
      <w:widowControl w:val="0"/>
      <w:spacing w:line="240" w:lineRule="auto"/>
      <w:ind w:left="420" w:leftChars="200"/>
      <w:textAlignment w:val="auto"/>
    </w:pPr>
    <w:rPr>
      <w:color w:val="auto"/>
      <w:kern w:val="2"/>
      <w:szCs w:val="22"/>
      <w:u w:val="none" w:color="auto"/>
    </w:rPr>
  </w:style>
  <w:style w:type="paragraph" w:styleId="23">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Courier New" w:hAnsi="Courier New" w:eastAsia="仿宋_GB2312"/>
      <w:color w:val="auto"/>
      <w:sz w:val="20"/>
      <w:u w:val="none" w:color="auto"/>
    </w:rPr>
  </w:style>
  <w:style w:type="paragraph" w:styleId="24">
    <w:name w:val="Normal (Web)"/>
    <w:basedOn w:val="1"/>
    <w:qFormat/>
    <w:uiPriority w:val="0"/>
    <w:pPr>
      <w:spacing w:before="100" w:beforeAutospacing="1" w:after="100" w:afterAutospacing="1" w:line="240" w:lineRule="auto"/>
      <w:jc w:val="left"/>
      <w:textAlignment w:val="auto"/>
    </w:pPr>
    <w:rPr>
      <w:rFonts w:ascii="宋体" w:hAnsi="宋体" w:cs="宋体"/>
      <w:color w:val="666666"/>
      <w:sz w:val="24"/>
      <w:szCs w:val="24"/>
      <w:u w:val="none" w:color="auto"/>
    </w:rPr>
  </w:style>
  <w:style w:type="paragraph" w:styleId="25">
    <w:name w:val="Title"/>
    <w:basedOn w:val="1"/>
    <w:qFormat/>
    <w:uiPriority w:val="0"/>
    <w:pPr>
      <w:widowControl w:val="0"/>
      <w:spacing w:before="240" w:after="60" w:line="240" w:lineRule="auto"/>
      <w:jc w:val="center"/>
      <w:textAlignment w:val="auto"/>
      <w:outlineLvl w:val="0"/>
    </w:pPr>
    <w:rPr>
      <w:rFonts w:ascii="Arial" w:hAnsi="Arial" w:cs="Arial"/>
      <w:b/>
      <w:bCs/>
      <w:color w:val="auto"/>
      <w:kern w:val="2"/>
      <w:sz w:val="32"/>
      <w:szCs w:val="32"/>
      <w:u w:val="none" w:color="auto"/>
    </w:rPr>
  </w:style>
  <w:style w:type="paragraph" w:styleId="26">
    <w:name w:val="Body Text First Indent 2"/>
    <w:basedOn w:val="11"/>
    <w:qFormat/>
    <w:uiPriority w:val="0"/>
    <w:pPr>
      <w:widowControl/>
      <w:spacing w:after="120" w:line="357" w:lineRule="atLeast"/>
      <w:ind w:left="420" w:leftChars="200" w:firstLine="420"/>
      <w:textAlignment w:val="baseline"/>
    </w:pPr>
    <w:rPr>
      <w:rFonts w:ascii="Times New Roman" w:eastAsia="宋体"/>
      <w:b w:val="0"/>
      <w:bCs w:val="0"/>
      <w:color w:val="000000"/>
      <w:kern w:val="0"/>
      <w:sz w:val="21"/>
      <w:szCs w:val="20"/>
      <w:u w:val="none" w:color="000000"/>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800080"/>
      <w:u w:val="single"/>
    </w:rPr>
  </w:style>
  <w:style w:type="character" w:styleId="33">
    <w:name w:val="Emphasis"/>
    <w:basedOn w:val="29"/>
    <w:qFormat/>
    <w:uiPriority w:val="0"/>
    <w:rPr>
      <w:i/>
    </w:rPr>
  </w:style>
  <w:style w:type="character" w:styleId="34">
    <w:name w:val="Hyperlink"/>
    <w:qFormat/>
    <w:uiPriority w:val="99"/>
    <w:rPr>
      <w:color w:val="0563C1"/>
      <w:u w:val="single"/>
    </w:rPr>
  </w:style>
  <w:style w:type="character" w:customStyle="1" w:styleId="35">
    <w:name w:val=" Char Char2"/>
    <w:link w:val="2"/>
    <w:qFormat/>
    <w:uiPriority w:val="9"/>
    <w:rPr>
      <w:b/>
      <w:bCs/>
      <w:kern w:val="44"/>
      <w:sz w:val="44"/>
      <w:szCs w:val="44"/>
    </w:rPr>
  </w:style>
  <w:style w:type="character" w:customStyle="1" w:styleId="36">
    <w:name w:val=" Char Char7"/>
    <w:basedOn w:val="29"/>
    <w:link w:val="3"/>
    <w:semiHidden/>
    <w:qFormat/>
    <w:locked/>
    <w:uiPriority w:val="0"/>
    <w:rPr>
      <w:rFonts w:eastAsia="方正黑体简体"/>
      <w:bCs/>
      <w:kern w:val="2"/>
      <w:sz w:val="21"/>
      <w:szCs w:val="32"/>
      <w:lang w:val="en-US" w:eastAsia="zh-CN" w:bidi="ar-SA"/>
    </w:rPr>
  </w:style>
  <w:style w:type="character" w:customStyle="1" w:styleId="37">
    <w:name w:val="正文文本 Char"/>
    <w:link w:val="10"/>
    <w:qFormat/>
    <w:uiPriority w:val="0"/>
    <w:rPr>
      <w:rFonts w:eastAsia="宋体"/>
      <w:color w:val="000000"/>
      <w:sz w:val="21"/>
      <w:u w:val="none" w:color="000000"/>
      <w:lang w:val="en-US" w:eastAsia="zh-CN" w:bidi="ar-SA"/>
    </w:rPr>
  </w:style>
  <w:style w:type="character" w:customStyle="1" w:styleId="38">
    <w:name w:val="Body Text Indent Char"/>
    <w:basedOn w:val="29"/>
    <w:link w:val="11"/>
    <w:qFormat/>
    <w:locked/>
    <w:uiPriority w:val="0"/>
    <w:rPr>
      <w:rFonts w:ascii="长城仿宋体" w:eastAsia="长城仿宋体"/>
      <w:b/>
      <w:bCs/>
      <w:kern w:val="2"/>
      <w:sz w:val="24"/>
      <w:szCs w:val="24"/>
      <w:u w:val="single"/>
      <w:lang w:val="en-US" w:eastAsia="zh-CN" w:bidi="ar-SA"/>
    </w:rPr>
  </w:style>
  <w:style w:type="character" w:customStyle="1" w:styleId="39">
    <w:name w:val="纯文本 Char"/>
    <w:basedOn w:val="29"/>
    <w:link w:val="13"/>
    <w:semiHidden/>
    <w:qFormat/>
    <w:locked/>
    <w:uiPriority w:val="0"/>
    <w:rPr>
      <w:rFonts w:ascii="宋体" w:hAnsi="Courier New" w:eastAsia="宋体"/>
      <w:kern w:val="2"/>
      <w:sz w:val="21"/>
      <w:szCs w:val="24"/>
      <w:lang w:val="en-US" w:eastAsia="zh-CN" w:bidi="ar-SA"/>
    </w:rPr>
  </w:style>
  <w:style w:type="character" w:customStyle="1" w:styleId="40">
    <w:name w:val="Date Char"/>
    <w:basedOn w:val="29"/>
    <w:link w:val="14"/>
    <w:semiHidden/>
    <w:qFormat/>
    <w:locked/>
    <w:uiPriority w:val="0"/>
    <w:rPr>
      <w:rFonts w:eastAsia="宋体"/>
      <w:color w:val="000000"/>
      <w:sz w:val="21"/>
      <w:u w:val="none" w:color="000000"/>
      <w:lang w:val="en-US" w:eastAsia="zh-CN" w:bidi="ar-SA"/>
    </w:rPr>
  </w:style>
  <w:style w:type="character" w:customStyle="1" w:styleId="41">
    <w:name w:val=" Char Char"/>
    <w:link w:val="16"/>
    <w:qFormat/>
    <w:uiPriority w:val="0"/>
    <w:rPr>
      <w:color w:val="000000"/>
      <w:sz w:val="18"/>
      <w:szCs w:val="18"/>
      <w:u w:val="none" w:color="000000"/>
    </w:rPr>
  </w:style>
  <w:style w:type="character" w:customStyle="1" w:styleId="42">
    <w:name w:val=" Char Char1"/>
    <w:link w:val="17"/>
    <w:qFormat/>
    <w:uiPriority w:val="99"/>
    <w:rPr>
      <w:color w:val="000000"/>
      <w:sz w:val="18"/>
      <w:szCs w:val="18"/>
      <w:u w:val="none" w:color="000000"/>
    </w:rPr>
  </w:style>
  <w:style w:type="character" w:customStyle="1" w:styleId="43">
    <w:name w:val="Header Char"/>
    <w:basedOn w:val="29"/>
    <w:link w:val="18"/>
    <w:qFormat/>
    <w:uiPriority w:val="0"/>
    <w:rPr>
      <w:rFonts w:eastAsia="宋体"/>
      <w:color w:val="000000"/>
      <w:sz w:val="18"/>
      <w:szCs w:val="18"/>
      <w:u w:val="none" w:color="000000"/>
      <w:lang w:val="en-US" w:eastAsia="zh-CN" w:bidi="ar-SA"/>
    </w:rPr>
  </w:style>
  <w:style w:type="character" w:customStyle="1" w:styleId="44">
    <w:name w:val=" Char Char6"/>
    <w:basedOn w:val="29"/>
    <w:link w:val="23"/>
    <w:semiHidden/>
    <w:qFormat/>
    <w:locked/>
    <w:uiPriority w:val="0"/>
    <w:rPr>
      <w:rFonts w:ascii="Courier New" w:hAnsi="Courier New" w:eastAsia="仿宋_GB2312"/>
      <w:lang w:bidi="ar-SA"/>
    </w:rPr>
  </w:style>
  <w:style w:type="character" w:customStyle="1" w:styleId="45">
    <w:name w:val="font231"/>
    <w:qFormat/>
    <w:uiPriority w:val="0"/>
    <w:rPr>
      <w:rFonts w:ascii="宋体" w:hAnsi="宋体" w:eastAsia="宋体"/>
      <w:color w:val="auto"/>
      <w:sz w:val="16"/>
      <w:u w:val="none"/>
    </w:rPr>
  </w:style>
  <w:style w:type="character" w:customStyle="1" w:styleId="46">
    <w:name w:val="font71"/>
    <w:qFormat/>
    <w:uiPriority w:val="0"/>
    <w:rPr>
      <w:rFonts w:ascii="宋体" w:hAnsi="宋体" w:eastAsia="宋体"/>
      <w:color w:val="000000"/>
      <w:sz w:val="16"/>
      <w:u w:val="none"/>
    </w:rPr>
  </w:style>
  <w:style w:type="character" w:customStyle="1" w:styleId="47">
    <w:name w:val="font61"/>
    <w:qFormat/>
    <w:uiPriority w:val="0"/>
    <w:rPr>
      <w:rFonts w:ascii="宋体" w:hAnsi="宋体" w:eastAsia="宋体"/>
      <w:color w:val="000000"/>
      <w:sz w:val="16"/>
      <w:u w:val="none"/>
    </w:rPr>
  </w:style>
  <w:style w:type="character" w:customStyle="1" w:styleId="48">
    <w:name w:val="page number"/>
    <w:basedOn w:val="29"/>
    <w:qFormat/>
    <w:uiPriority w:val="0"/>
    <w:rPr>
      <w:rFonts w:cs="Times New Roman"/>
    </w:rPr>
  </w:style>
  <w:style w:type="character" w:customStyle="1" w:styleId="49">
    <w:name w:val="font211"/>
    <w:qFormat/>
    <w:uiPriority w:val="0"/>
    <w:rPr>
      <w:rFonts w:ascii="宋体" w:hAnsi="宋体" w:eastAsia="宋体"/>
      <w:color w:val="FF0000"/>
      <w:sz w:val="16"/>
      <w:u w:val="none"/>
    </w:rPr>
  </w:style>
  <w:style w:type="character" w:customStyle="1" w:styleId="50">
    <w:name w:val="font81"/>
    <w:qFormat/>
    <w:uiPriority w:val="0"/>
    <w:rPr>
      <w:rFonts w:ascii="宋体" w:hAnsi="宋体" w:eastAsia="宋体"/>
      <w:color w:val="FF0000"/>
      <w:sz w:val="16"/>
      <w:u w:val="none"/>
    </w:rPr>
  </w:style>
  <w:style w:type="character" w:customStyle="1" w:styleId="51">
    <w:name w:val="font241"/>
    <w:qFormat/>
    <w:uiPriority w:val="0"/>
    <w:rPr>
      <w:rFonts w:ascii="宋体" w:hAnsi="宋体" w:eastAsia="宋体"/>
      <w:color w:val="auto"/>
      <w:sz w:val="16"/>
      <w:u w:val="none"/>
    </w:rPr>
  </w:style>
  <w:style w:type="character" w:customStyle="1" w:styleId="52">
    <w:name w:val="font11"/>
    <w:qFormat/>
    <w:uiPriority w:val="0"/>
    <w:rPr>
      <w:rFonts w:ascii="宋体" w:hAnsi="宋体" w:eastAsia="宋体"/>
      <w:color w:val="000000"/>
      <w:sz w:val="16"/>
      <w:u w:val="none"/>
    </w:rPr>
  </w:style>
  <w:style w:type="character" w:customStyle="1" w:styleId="53">
    <w:name w:val=" Char Char4"/>
    <w:qFormat/>
    <w:uiPriority w:val="0"/>
    <w:rPr>
      <w:rFonts w:eastAsia="宋体"/>
      <w:kern w:val="2"/>
      <w:sz w:val="18"/>
      <w:szCs w:val="18"/>
      <w:lang w:val="en-US" w:eastAsia="zh-CN" w:bidi="ar-SA"/>
    </w:rPr>
  </w:style>
  <w:style w:type="character" w:customStyle="1" w:styleId="54">
    <w:name w:val="font91"/>
    <w:qFormat/>
    <w:uiPriority w:val="0"/>
    <w:rPr>
      <w:rFonts w:ascii="宋体" w:hAnsi="宋体" w:eastAsia="宋体"/>
      <w:color w:val="4BACC6"/>
      <w:sz w:val="16"/>
      <w:u w:val="none"/>
    </w:rPr>
  </w:style>
  <w:style w:type="character" w:customStyle="1" w:styleId="55">
    <w:name w:val="style21"/>
    <w:qFormat/>
    <w:uiPriority w:val="0"/>
    <w:rPr>
      <w:b/>
      <w:sz w:val="21"/>
    </w:rPr>
  </w:style>
  <w:style w:type="character" w:customStyle="1" w:styleId="56">
    <w:name w:val="Footer Char"/>
    <w:basedOn w:val="29"/>
    <w:qFormat/>
    <w:locked/>
    <w:uiPriority w:val="0"/>
    <w:rPr>
      <w:rFonts w:cs="Times New Roman"/>
      <w:sz w:val="18"/>
      <w:szCs w:val="18"/>
    </w:rPr>
  </w:style>
  <w:style w:type="character" w:customStyle="1" w:styleId="57">
    <w:name w:val="链接"/>
    <w:qFormat/>
    <w:uiPriority w:val="0"/>
    <w:rPr>
      <w:rFonts w:ascii="Times New Roman" w:eastAsia="宋体"/>
      <w:color w:val="0000FF"/>
      <w:sz w:val="21"/>
      <w:u w:val="single" w:color="0000FF"/>
      <w:vertAlign w:val="baseline"/>
      <w:lang w:val="en-US" w:eastAsia="zh-CN"/>
    </w:rPr>
  </w:style>
  <w:style w:type="character" w:customStyle="1" w:styleId="58">
    <w:name w:val="font151"/>
    <w:qFormat/>
    <w:uiPriority w:val="0"/>
    <w:rPr>
      <w:rFonts w:ascii="宋体" w:hAnsi="宋体" w:eastAsia="宋体"/>
      <w:color w:val="000000"/>
      <w:sz w:val="16"/>
      <w:u w:val="none"/>
    </w:rPr>
  </w:style>
  <w:style w:type="character" w:customStyle="1" w:styleId="59">
    <w:name w:val="NormalCharacter"/>
    <w:semiHidden/>
    <w:qFormat/>
    <w:uiPriority w:val="0"/>
  </w:style>
  <w:style w:type="character" w:customStyle="1" w:styleId="60">
    <w:name w:val="font51"/>
    <w:qFormat/>
    <w:uiPriority w:val="0"/>
    <w:rPr>
      <w:rFonts w:ascii="font-weight : 400" w:hAnsi="font-weight : 400"/>
      <w:color w:val="000000"/>
      <w:sz w:val="16"/>
      <w:u w:val="none"/>
    </w:rPr>
  </w:style>
  <w:style w:type="paragraph" w:customStyle="1" w:styleId="61">
    <w:name w:val=" Char1"/>
    <w:basedOn w:val="1"/>
    <w:qFormat/>
    <w:uiPriority w:val="0"/>
    <w:pPr>
      <w:spacing w:after="160" w:line="240" w:lineRule="exact"/>
      <w:jc w:val="left"/>
    </w:pPr>
  </w:style>
  <w:style w:type="paragraph" w:customStyle="1" w:styleId="62">
    <w:name w:val="Char Char Char Char Char Char Char Char Char Char Char Char Char Char Char"/>
    <w:basedOn w:val="1"/>
    <w:qFormat/>
    <w:uiPriority w:val="0"/>
    <w:pPr>
      <w:widowControl w:val="0"/>
      <w:spacing w:line="240" w:lineRule="auto"/>
      <w:textAlignment w:val="auto"/>
    </w:pPr>
    <w:rPr>
      <w:rFonts w:ascii="Arial" w:hAnsi="Arial" w:cs="Arial"/>
      <w:color w:val="auto"/>
      <w:kern w:val="2"/>
      <w:sz w:val="20"/>
      <w:u w:val="none" w:color="auto"/>
    </w:rPr>
  </w:style>
  <w:style w:type="paragraph" w:customStyle="1" w:styleId="63">
    <w:name w:val="文章副标题"/>
    <w:basedOn w:val="1"/>
    <w:next w:val="64"/>
    <w:qFormat/>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64">
    <w:name w:val="章标题"/>
    <w:basedOn w:val="1"/>
    <w:next w:val="65"/>
    <w:qFormat/>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65">
    <w:name w:val="节标题"/>
    <w:basedOn w:val="1"/>
    <w:next w:val="66"/>
    <w:qFormat/>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66">
    <w:name w:val="小节标题"/>
    <w:basedOn w:val="1"/>
    <w:next w:val="1"/>
    <w:qFormat/>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67">
    <w:name w:val="目录4"/>
    <w:basedOn w:val="1"/>
    <w:next w:val="1"/>
    <w:qFormat/>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68">
    <w:name w:val="目录2"/>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69">
    <w:name w:val="Char"/>
    <w:basedOn w:val="8"/>
    <w:qFormat/>
    <w:uiPriority w:val="0"/>
    <w:pPr>
      <w:widowControl w:val="0"/>
      <w:adjustRightInd w:val="0"/>
      <w:spacing w:line="436" w:lineRule="exact"/>
      <w:ind w:left="357"/>
      <w:jc w:val="left"/>
      <w:textAlignment w:val="auto"/>
      <w:outlineLvl w:val="3"/>
    </w:pPr>
    <w:rPr>
      <w:rFonts w:ascii="Tahoma" w:hAnsi="Tahoma" w:eastAsia="仿宋_GB2312"/>
      <w:b/>
      <w:color w:val="auto"/>
      <w:kern w:val="2"/>
      <w:sz w:val="24"/>
      <w:szCs w:val="32"/>
      <w:u w:val="none" w:color="auto"/>
    </w:rPr>
  </w:style>
  <w:style w:type="paragraph" w:customStyle="1" w:styleId="70">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71">
    <w:name w:val="文章总标题"/>
    <w:basedOn w:val="1"/>
    <w:next w:val="63"/>
    <w:qFormat/>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72">
    <w:name w:val="正文 New New New New"/>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73">
    <w:name w:val="目录1"/>
    <w:basedOn w:val="1"/>
    <w:next w:val="1"/>
    <w:qFormat/>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74">
    <w:name w:val="目录3"/>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75">
    <w:name w:val="p0"/>
    <w:basedOn w:val="1"/>
    <w:qFormat/>
    <w:uiPriority w:val="0"/>
    <w:pPr>
      <w:spacing w:line="240" w:lineRule="auto"/>
      <w:textAlignment w:val="auto"/>
    </w:pPr>
    <w:rPr>
      <w:color w:val="auto"/>
      <w:szCs w:val="21"/>
      <w:u w:val="none" w:color="auto"/>
    </w:rPr>
  </w:style>
  <w:style w:type="paragraph" w:customStyle="1" w:styleId="76">
    <w:name w:val="样式1"/>
    <w:basedOn w:val="1"/>
    <w:qFormat/>
    <w:uiPriority w:val="0"/>
    <w:pPr>
      <w:widowControl w:val="0"/>
      <w:spacing w:line="240" w:lineRule="auto"/>
      <w:textAlignment w:val="auto"/>
    </w:pPr>
    <w:rPr>
      <w:rFonts w:ascii="仿宋_GB2312" w:eastAsia="仿宋_GB2312"/>
      <w:color w:val="auto"/>
      <w:kern w:val="2"/>
      <w:sz w:val="32"/>
      <w:szCs w:val="24"/>
      <w:u w:val="none" w:color="auto"/>
    </w:rPr>
  </w:style>
  <w:style w:type="paragraph" w:customStyle="1" w:styleId="77">
    <w:name w:val="TOC 标题"/>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78">
    <w:name w:val=" Char Char8"/>
    <w:qFormat/>
    <w:uiPriority w:val="0"/>
    <w:rPr>
      <w:rFonts w:ascii="宋体" w:hAnsi="宋体" w:eastAsia="宋体" w:cs="宋体"/>
      <w:b/>
      <w:bCs/>
      <w:kern w:val="36"/>
      <w:sz w:val="48"/>
      <w:szCs w:val="48"/>
      <w:lang w:val="en-US" w:eastAsia="zh-CN" w:bidi="ar-SA"/>
    </w:rPr>
  </w:style>
  <w:style w:type="character" w:customStyle="1" w:styleId="79">
    <w:name w:val="font21"/>
    <w:basedOn w:val="29"/>
    <w:qFormat/>
    <w:uiPriority w:val="0"/>
    <w:rPr>
      <w:rFonts w:ascii="仿宋" w:hAnsi="仿宋" w:eastAsia="仿宋" w:cs="仿宋"/>
      <w:color w:val="000000"/>
      <w:sz w:val="28"/>
      <w:szCs w:val="28"/>
      <w:u w:val="none"/>
    </w:rPr>
  </w:style>
  <w:style w:type="character" w:customStyle="1" w:styleId="80">
    <w:name w:val="font01"/>
    <w:basedOn w:val="29"/>
    <w:qFormat/>
    <w:uiPriority w:val="0"/>
    <w:rPr>
      <w:rFonts w:ascii="仿宋" w:hAnsi="仿宋" w:eastAsia="仿宋" w:cs="仿宋"/>
      <w:color w:val="000000"/>
      <w:sz w:val="24"/>
      <w:szCs w:val="24"/>
      <w:u w:val="none"/>
      <w:vertAlign w:val="superscript"/>
    </w:rPr>
  </w:style>
  <w:style w:type="character" w:customStyle="1" w:styleId="81">
    <w:name w:val=" Char Char5"/>
    <w:basedOn w:val="29"/>
    <w:qFormat/>
    <w:locked/>
    <w:uiPriority w:val="0"/>
    <w:rPr>
      <w:rFonts w:eastAsia="仿宋_GB2312" w:cs="Times New Roman"/>
      <w:kern w:val="2"/>
      <w:sz w:val="18"/>
      <w:szCs w:val="18"/>
      <w:lang w:val="en-US" w:eastAsia="zh-CN" w:bidi="ar-SA"/>
    </w:rPr>
  </w:style>
  <w:style w:type="character" w:customStyle="1" w:styleId="82">
    <w:name w:val="15"/>
    <w:qFormat/>
    <w:uiPriority w:val="0"/>
    <w:rPr>
      <w:rFonts w:ascii="宋体" w:hAnsi="宋体" w:eastAsia="宋体"/>
      <w:color w:val="000000"/>
      <w:sz w:val="18"/>
    </w:rPr>
  </w:style>
  <w:style w:type="character" w:customStyle="1" w:styleId="83">
    <w:name w:val="页脚 Char1"/>
    <w:basedOn w:val="29"/>
    <w:qFormat/>
    <w:uiPriority w:val="0"/>
    <w:rPr>
      <w:rFonts w:eastAsia="仿宋_GB2312"/>
      <w:kern w:val="2"/>
      <w:sz w:val="18"/>
      <w:szCs w:val="18"/>
      <w:lang w:val="en-US" w:eastAsia="zh-CN" w:bidi="ar-SA"/>
    </w:rPr>
  </w:style>
  <w:style w:type="paragraph" w:customStyle="1" w:styleId="84">
    <w:name w:val="[系统文字]"/>
    <w:qFormat/>
    <w:uiPriority w:val="0"/>
    <w:pPr>
      <w:jc w:val="both"/>
    </w:pPr>
    <w:rPr>
      <w:rFonts w:ascii="Calibri" w:hAnsi="NEU-BZ" w:eastAsia="宋体" w:cs="Times New Roman"/>
      <w:sz w:val="22"/>
      <w:szCs w:val="22"/>
      <w:lang w:val="en-US" w:eastAsia="zh-CN" w:bidi="ar-SA"/>
    </w:rPr>
  </w:style>
  <w:style w:type="paragraph" w:customStyle="1" w:styleId="85">
    <w:name w:val="iNED-标题"/>
    <w:basedOn w:val="86"/>
    <w:next w:val="86"/>
    <w:qFormat/>
    <w:uiPriority w:val="0"/>
    <w:pPr>
      <w:spacing w:line="240" w:lineRule="auto"/>
      <w:ind w:firstLine="0" w:firstLineChars="0"/>
      <w:jc w:val="center"/>
    </w:pPr>
    <w:rPr>
      <w:rFonts w:eastAsia="方正小标宋_GBK"/>
      <w:sz w:val="44"/>
      <w:szCs w:val="44"/>
    </w:rPr>
  </w:style>
  <w:style w:type="paragraph" w:customStyle="1" w:styleId="86">
    <w:name w:val="iNED-正文格式"/>
    <w:basedOn w:val="1"/>
    <w:qFormat/>
    <w:uiPriority w:val="0"/>
    <w:pPr>
      <w:widowControl w:val="0"/>
      <w:adjustRightInd w:val="0"/>
      <w:snapToGrid w:val="0"/>
      <w:spacing w:line="560" w:lineRule="exact"/>
      <w:ind w:firstLine="632" w:firstLineChars="200"/>
      <w:textAlignment w:val="auto"/>
    </w:pPr>
    <w:rPr>
      <w:rFonts w:eastAsia="方正仿宋_GBK"/>
      <w:color w:val="auto"/>
      <w:kern w:val="2"/>
      <w:sz w:val="32"/>
      <w:szCs w:val="32"/>
      <w:u w:val="none" w:color="auto"/>
    </w:rPr>
  </w:style>
  <w:style w:type="paragraph" w:customStyle="1" w:styleId="87">
    <w:name w:val="Heading1"/>
    <w:basedOn w:val="1"/>
    <w:next w:val="1"/>
    <w:qFormat/>
    <w:uiPriority w:val="0"/>
    <w:pPr>
      <w:keepNext/>
      <w:keepLines/>
      <w:spacing w:before="340" w:after="330" w:line="578" w:lineRule="auto"/>
    </w:pPr>
    <w:rPr>
      <w:rFonts w:ascii="Calibri" w:hAnsi="Calibri" w:cs="Calibri"/>
      <w:color w:val="auto"/>
      <w:kern w:val="44"/>
      <w:sz w:val="44"/>
      <w:szCs w:val="44"/>
      <w:u w:val="none" w:color="auto"/>
    </w:rPr>
  </w:style>
  <w:style w:type="paragraph" w:customStyle="1" w:styleId="88">
    <w:name w:val="篮姐3"/>
    <w:basedOn w:val="89"/>
    <w:qFormat/>
    <w:uiPriority w:val="0"/>
    <w:rPr>
      <w:rFonts w:eastAsia="仿宋_GB2312"/>
    </w:rPr>
  </w:style>
  <w:style w:type="paragraph" w:customStyle="1" w:styleId="89">
    <w:name w:val="iNED-三级结构"/>
    <w:basedOn w:val="86"/>
    <w:next w:val="86"/>
    <w:qFormat/>
    <w:uiPriority w:val="0"/>
    <w:pPr>
      <w:numPr>
        <w:ilvl w:val="2"/>
        <w:numId w:val="1"/>
      </w:numPr>
      <w:ind w:firstLine="0" w:firstLineChars="0"/>
      <w:outlineLvl w:val="2"/>
    </w:pPr>
  </w:style>
  <w:style w:type="paragraph" w:customStyle="1" w:styleId="90">
    <w:name w:val="Normal_wrd"/>
    <w:basedOn w:val="84"/>
    <w:qFormat/>
    <w:uiPriority w:val="0"/>
  </w:style>
  <w:style w:type="paragraph" w:customStyle="1" w:styleId="91">
    <w:name w:val="Char Char Char"/>
    <w:basedOn w:val="1"/>
    <w:qFormat/>
    <w:uiPriority w:val="0"/>
    <w:pPr>
      <w:widowControl w:val="0"/>
      <w:spacing w:line="240" w:lineRule="auto"/>
      <w:textAlignment w:val="auto"/>
    </w:pPr>
    <w:rPr>
      <w:color w:val="auto"/>
      <w:kern w:val="2"/>
      <w:szCs w:val="24"/>
      <w:u w:val="none" w:color="auto"/>
    </w:rPr>
  </w:style>
  <w:style w:type="paragraph" w:customStyle="1" w:styleId="92">
    <w:name w:val="iNED-二级结构"/>
    <w:basedOn w:val="86"/>
    <w:next w:val="86"/>
    <w:qFormat/>
    <w:uiPriority w:val="0"/>
    <w:pPr>
      <w:numPr>
        <w:ilvl w:val="1"/>
        <w:numId w:val="1"/>
      </w:numPr>
      <w:ind w:firstLine="200"/>
      <w:outlineLvl w:val="1"/>
    </w:pPr>
    <w:rPr>
      <w:rFonts w:ascii="方正楷体_GBK" w:eastAsia="方正楷体_GBK" w:cs="方正楷体_GBK"/>
    </w:rPr>
  </w:style>
  <w:style w:type="paragraph" w:customStyle="1" w:styleId="93">
    <w:name w:val="No Spacing1"/>
    <w:qFormat/>
    <w:uiPriority w:val="0"/>
    <w:rPr>
      <w:rFonts w:ascii="Calibri" w:hAnsi="Calibri" w:eastAsia="宋体" w:cs="Times New Roman"/>
      <w:sz w:val="24"/>
      <w:szCs w:val="24"/>
      <w:lang w:val="en-US" w:eastAsia="en-US" w:bidi="ar-SA"/>
    </w:rPr>
  </w:style>
  <w:style w:type="paragraph" w:customStyle="1" w:styleId="94">
    <w:name w:val="Char Char3"/>
    <w:basedOn w:val="1"/>
    <w:qFormat/>
    <w:uiPriority w:val="0"/>
    <w:pPr>
      <w:spacing w:after="160" w:line="240" w:lineRule="exact"/>
      <w:jc w:val="left"/>
      <w:textAlignment w:val="auto"/>
    </w:pPr>
    <w:rPr>
      <w:rFonts w:ascii="Tahoma" w:hAnsi="Tahoma"/>
      <w:color w:val="auto"/>
      <w:sz w:val="24"/>
      <w:szCs w:val="24"/>
      <w:u w:val="none" w:color="auto"/>
      <w:lang w:eastAsia="en-US"/>
    </w:rPr>
  </w:style>
  <w:style w:type="paragraph" w:customStyle="1" w:styleId="95">
    <w:name w:val="UserStyle_52"/>
    <w:basedOn w:val="1"/>
    <w:qFormat/>
    <w:uiPriority w:val="0"/>
    <w:pPr>
      <w:spacing w:line="579" w:lineRule="exact"/>
      <w:ind w:firstLine="1552" w:firstLineChars="200"/>
    </w:pPr>
    <w:rPr>
      <w:rFonts w:eastAsia="方正仿宋简体"/>
      <w:sz w:val="32"/>
      <w:szCs w:val="32"/>
      <w:u w:val="none" w:color="auto"/>
    </w:rPr>
  </w:style>
  <w:style w:type="paragraph" w:customStyle="1" w:styleId="96">
    <w:name w:val="iNED-四级结构"/>
    <w:basedOn w:val="86"/>
    <w:next w:val="86"/>
    <w:qFormat/>
    <w:uiPriority w:val="0"/>
    <w:pPr>
      <w:numPr>
        <w:ilvl w:val="3"/>
        <w:numId w:val="1"/>
      </w:numPr>
      <w:ind w:firstLine="200"/>
      <w:outlineLvl w:val="3"/>
    </w:pPr>
  </w:style>
  <w:style w:type="paragraph" w:customStyle="1" w:styleId="97">
    <w:name w:val="iNED-一级结构"/>
    <w:basedOn w:val="86"/>
    <w:next w:val="86"/>
    <w:qFormat/>
    <w:uiPriority w:val="0"/>
    <w:pPr>
      <w:numPr>
        <w:ilvl w:val="0"/>
        <w:numId w:val="1"/>
      </w:numPr>
      <w:ind w:firstLine="0" w:firstLineChars="0"/>
      <w:outlineLvl w:val="0"/>
    </w:pPr>
    <w:rPr>
      <w:rFonts w:eastAsia="方正黑体_GBK"/>
    </w:rPr>
  </w:style>
  <w:style w:type="paragraph" w:customStyle="1" w:styleId="98">
    <w:name w:val=" Char Char Char"/>
    <w:basedOn w:val="1"/>
    <w:qFormat/>
    <w:uiPriority w:val="0"/>
    <w:pPr>
      <w:widowControl w:val="0"/>
      <w:spacing w:line="240" w:lineRule="auto"/>
      <w:textAlignment w:val="auto"/>
    </w:pPr>
    <w:rPr>
      <w:color w:val="auto"/>
      <w:kern w:val="2"/>
      <w:szCs w:val="24"/>
      <w:u w:val="none" w:color="auto"/>
    </w:rPr>
  </w:style>
  <w:style w:type="paragraph" w:customStyle="1" w:styleId="99">
    <w:name w:val="Normal New"/>
    <w:qFormat/>
    <w:uiPriority w:val="0"/>
    <w:pPr>
      <w:widowControl w:val="0"/>
      <w:jc w:val="both"/>
    </w:pPr>
    <w:rPr>
      <w:rFonts w:ascii="Calibri" w:hAnsi="Calibri" w:eastAsia="宋体" w:cs="Calibri"/>
      <w:kern w:val="2"/>
      <w:sz w:val="21"/>
      <w:szCs w:val="21"/>
      <w:lang w:val="en-US" w:eastAsia="zh-CN" w:bidi="ar-SA"/>
    </w:rPr>
  </w:style>
  <w:style w:type="paragraph" w:customStyle="1" w:styleId="100">
    <w:name w:val="Char1"/>
    <w:basedOn w:val="1"/>
    <w:qFormat/>
    <w:uiPriority w:val="0"/>
    <w:pPr>
      <w:widowControl w:val="0"/>
      <w:spacing w:line="360" w:lineRule="auto"/>
      <w:ind w:firstLine="480" w:firstLineChars="200"/>
      <w:textAlignment w:val="auto"/>
    </w:pPr>
    <w:rPr>
      <w:rFonts w:ascii="宋体" w:hAnsi="宋体" w:eastAsia="楷体_GB2312"/>
      <w:color w:val="auto"/>
      <w:kern w:val="2"/>
      <w:sz w:val="24"/>
      <w:szCs w:val="21"/>
      <w:u w:val="none" w:color="auto"/>
    </w:rPr>
  </w:style>
  <w:style w:type="paragraph" w:customStyle="1" w:styleId="10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2">
    <w:name w:val="正文文本缩进1"/>
    <w:basedOn w:val="1"/>
    <w:next w:val="1"/>
    <w:qFormat/>
    <w:uiPriority w:val="0"/>
    <w:pPr>
      <w:spacing w:after="120" w:line="240" w:lineRule="auto"/>
      <w:ind w:left="420"/>
      <w:textAlignment w:val="auto"/>
    </w:pPr>
    <w:rPr>
      <w:rFonts w:ascii="仿宋_GB2312" w:eastAsia="仿宋_GB2312"/>
      <w:kern w:val="2"/>
      <w:sz w:val="32"/>
      <w:u w:val="none" w:color="auto"/>
    </w:rPr>
  </w:style>
  <w:style w:type="character" w:customStyle="1" w:styleId="103">
    <w:name w:val="ksfind_class"/>
    <w:basedOn w:val="29"/>
    <w:qFormat/>
    <w:uiPriority w:val="0"/>
  </w:style>
  <w:style w:type="character" w:customStyle="1" w:styleId="104">
    <w:name w:val="ksfind_class_select1"/>
    <w:qFormat/>
    <w:uiPriority w:val="0"/>
    <w:rPr>
      <w:color w:val="000000"/>
      <w:shd w:val="clear" w:color="auto" w:fill="EFD200"/>
    </w:rPr>
  </w:style>
  <w:style w:type="character" w:customStyle="1" w:styleId="105">
    <w:name w:val="正文文本 (5)_"/>
    <w:link w:val="106"/>
    <w:qFormat/>
    <w:uiPriority w:val="0"/>
    <w:rPr>
      <w:rFonts w:ascii="宋体" w:hAnsi="宋体" w:eastAsia="宋体"/>
      <w:shd w:val="clear" w:color="auto" w:fill="FFFFFF"/>
      <w:lang w:bidi="ar-SA"/>
    </w:rPr>
  </w:style>
  <w:style w:type="paragraph" w:customStyle="1" w:styleId="106">
    <w:name w:val="正文文本 (5)"/>
    <w:basedOn w:val="1"/>
    <w:link w:val="105"/>
    <w:qFormat/>
    <w:uiPriority w:val="0"/>
    <w:pPr>
      <w:widowControl w:val="0"/>
      <w:shd w:val="clear" w:color="auto" w:fill="FFFFFF"/>
      <w:spacing w:after="300" w:line="418" w:lineRule="exact"/>
      <w:jc w:val="distribute"/>
      <w:textAlignment w:val="auto"/>
    </w:pPr>
    <w:rPr>
      <w:rFonts w:ascii="宋体" w:hAnsi="宋体"/>
      <w:color w:val="auto"/>
      <w:sz w:val="20"/>
      <w:u w:val="none" w:color="auto"/>
      <w:shd w:val="clear" w:color="auto" w:fill="FFFFFF"/>
    </w:rPr>
  </w:style>
  <w:style w:type="character" w:customStyle="1" w:styleId="107">
    <w:name w:val="font41"/>
    <w:basedOn w:val="29"/>
    <w:qFormat/>
    <w:uiPriority w:val="0"/>
    <w:rPr>
      <w:rFonts w:ascii="仿宋_GB2312" w:eastAsia="仿宋_GB2312" w:cs="仿宋_GB2312"/>
      <w:color w:val="000000"/>
      <w:sz w:val="24"/>
      <w:szCs w:val="24"/>
      <w:u w:val="none"/>
    </w:rPr>
  </w:style>
  <w:style w:type="character" w:customStyle="1" w:styleId="108">
    <w:name w:val="font31"/>
    <w:basedOn w:val="29"/>
    <w:qFormat/>
    <w:uiPriority w:val="0"/>
    <w:rPr>
      <w:rFonts w:hint="default" w:ascii="Times New Roman" w:hAnsi="Times New Roman" w:cs="Times New Roman"/>
      <w:color w:val="000000"/>
      <w:sz w:val="24"/>
      <w:szCs w:val="24"/>
      <w:u w:val="none"/>
    </w:rPr>
  </w:style>
  <w:style w:type="character" w:customStyle="1" w:styleId="109">
    <w:name w:val="正文文本 + 间距 -3 pt"/>
    <w:uiPriority w:val="0"/>
    <w:rPr>
      <w:rFonts w:ascii="宋体" w:hAnsi="宋体" w:eastAsia="宋体" w:cs="宋体"/>
      <w:color w:val="000000"/>
      <w:spacing w:val="-60"/>
      <w:w w:val="100"/>
      <w:position w:val="0"/>
      <w:sz w:val="37"/>
      <w:szCs w:val="37"/>
      <w:u w:val="none"/>
      <w:shd w:val="clear" w:color="auto" w:fill="FFFFFF"/>
      <w:lang w:val="zh-CN"/>
    </w:rPr>
  </w:style>
  <w:style w:type="character" w:customStyle="1" w:styleId="110">
    <w:name w:val="正文文本 (5) + 14 pt"/>
    <w:qFormat/>
    <w:uiPriority w:val="0"/>
    <w:rPr>
      <w:rFonts w:ascii="宋体" w:hAnsi="宋体" w:eastAsia="宋体" w:cs="宋体"/>
      <w:color w:val="000000"/>
      <w:spacing w:val="0"/>
      <w:w w:val="100"/>
      <w:position w:val="0"/>
      <w:sz w:val="28"/>
      <w:szCs w:val="28"/>
      <w:u w:val="none"/>
      <w:shd w:val="clear" w:color="auto" w:fill="FFFFFF"/>
      <w:lang w:val="zh-CN"/>
    </w:rPr>
  </w:style>
  <w:style w:type="character" w:customStyle="1" w:styleId="111">
    <w:name w:val="正文文本 + 间距 -1 pt"/>
    <w:qFormat/>
    <w:uiPriority w:val="0"/>
    <w:rPr>
      <w:rFonts w:ascii="宋体" w:hAnsi="宋体" w:eastAsia="宋体" w:cs="宋体"/>
      <w:color w:val="000000"/>
      <w:spacing w:val="-20"/>
      <w:w w:val="100"/>
      <w:position w:val="0"/>
      <w:sz w:val="37"/>
      <w:szCs w:val="37"/>
      <w:shd w:val="clear" w:color="auto" w:fill="FFFFFF"/>
      <w:lang w:val="zh-CN"/>
    </w:rPr>
  </w:style>
  <w:style w:type="character" w:customStyle="1" w:styleId="112">
    <w:name w:val="正文文本 (5) + 间距 9 pt"/>
    <w:qFormat/>
    <w:uiPriority w:val="0"/>
    <w:rPr>
      <w:rFonts w:ascii="宋体" w:hAnsi="宋体" w:eastAsia="宋体" w:cs="宋体"/>
      <w:color w:val="000000"/>
      <w:spacing w:val="180"/>
      <w:w w:val="100"/>
      <w:position w:val="0"/>
      <w:sz w:val="24"/>
      <w:szCs w:val="24"/>
      <w:u w:val="none"/>
      <w:shd w:val="clear" w:color="auto" w:fill="FFFFFF"/>
      <w:lang w:val="zh-CN"/>
    </w:rPr>
  </w:style>
  <w:style w:type="character" w:customStyle="1" w:styleId="113">
    <w:name w:val="正文文本 (5) + 间距 -1 pt"/>
    <w:qFormat/>
    <w:uiPriority w:val="0"/>
    <w:rPr>
      <w:rFonts w:ascii="宋体" w:hAnsi="宋体" w:eastAsia="宋体" w:cs="宋体"/>
      <w:color w:val="000000"/>
      <w:spacing w:val="-20"/>
      <w:w w:val="100"/>
      <w:position w:val="0"/>
      <w:sz w:val="24"/>
      <w:szCs w:val="24"/>
      <w:u w:val="none"/>
      <w:shd w:val="clear" w:color="auto" w:fill="FFFFFF"/>
      <w:lang w:val="zh-CN"/>
    </w:rPr>
  </w:style>
  <w:style w:type="paragraph" w:customStyle="1" w:styleId="114">
    <w:name w:val="样式 空2格 + 首行缩进:  2 字符"/>
    <w:basedOn w:val="1"/>
    <w:qFormat/>
    <w:uiPriority w:val="0"/>
    <w:pPr>
      <w:widowControl w:val="0"/>
      <w:spacing w:line="360" w:lineRule="auto"/>
      <w:ind w:firstLine="480" w:firstLineChars="200"/>
      <w:jc w:val="left"/>
      <w:textAlignment w:val="auto"/>
    </w:pPr>
    <w:rPr>
      <w:color w:val="auto"/>
      <w:sz w:val="24"/>
      <w:u w:val="none" w:color="auto"/>
    </w:rPr>
  </w:style>
  <w:style w:type="paragraph" w:customStyle="1" w:styleId="115">
    <w:name w:val="彩色列表 - 强调文字颜色 11"/>
    <w:basedOn w:val="1"/>
    <w:qFormat/>
    <w:uiPriority w:val="0"/>
    <w:pPr>
      <w:widowControl w:val="0"/>
      <w:spacing w:line="240" w:lineRule="auto"/>
      <w:ind w:firstLine="420" w:firstLineChars="200"/>
      <w:textAlignment w:val="auto"/>
    </w:pPr>
    <w:rPr>
      <w:color w:val="auto"/>
      <w:kern w:val="2"/>
      <w:sz w:val="24"/>
      <w:szCs w:val="28"/>
      <w:u w:val="none" w:color="auto"/>
    </w:rPr>
  </w:style>
  <w:style w:type="paragraph" w:customStyle="1" w:styleId="116">
    <w:name w:val="WPSOffice手动目录 1"/>
    <w:qFormat/>
    <w:uiPriority w:val="0"/>
    <w:rPr>
      <w:rFonts w:ascii="Times New Roman" w:hAnsi="Times New Roman" w:eastAsia="宋体" w:cs="Times New Roman"/>
      <w:lang w:val="en-US" w:eastAsia="zh-CN" w:bidi="ar-SA"/>
    </w:rPr>
  </w:style>
  <w:style w:type="paragraph" w:customStyle="1" w:styleId="1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9">
    <w:name w:val="普通(网站)2"/>
    <w:basedOn w:val="1"/>
    <w:qFormat/>
    <w:uiPriority w:val="0"/>
    <w:pPr>
      <w:widowControl w:val="0"/>
      <w:spacing w:line="240" w:lineRule="auto"/>
      <w:jc w:val="left"/>
      <w:textAlignment w:val="auto"/>
    </w:pPr>
    <w:rPr>
      <w:rFonts w:ascii="Calibri" w:hAnsi="Calibri"/>
      <w:color w:val="auto"/>
      <w:sz w:val="24"/>
      <w:szCs w:val="22"/>
      <w:u w:val="none" w:color="auto"/>
    </w:rPr>
  </w:style>
  <w:style w:type="character" w:customStyle="1" w:styleId="120">
    <w:name w:val=" Char Char3"/>
    <w:qFormat/>
    <w:uiPriority w:val="0"/>
    <w:rPr>
      <w:rFonts w:eastAsia="宋体"/>
      <w:kern w:val="2"/>
      <w:sz w:val="18"/>
      <w:szCs w:val="18"/>
      <w:lang w:val="en-US" w:eastAsia="zh-CN" w:bidi="ar-SA"/>
    </w:rPr>
  </w:style>
  <w:style w:type="paragraph" w:customStyle="1" w:styleId="121">
    <w:name w:val="List Paragraph"/>
    <w:basedOn w:val="1"/>
    <w:qFormat/>
    <w:uiPriority w:val="0"/>
    <w:pPr>
      <w:widowControl w:val="0"/>
      <w:spacing w:line="240" w:lineRule="auto"/>
      <w:ind w:firstLine="420" w:firstLineChars="200"/>
      <w:textAlignment w:val="auto"/>
    </w:pPr>
    <w:rPr>
      <w:color w:val="auto"/>
      <w:kern w:val="2"/>
      <w:szCs w:val="24"/>
      <w:u w:val="none" w:color="auto"/>
    </w:rPr>
  </w:style>
  <w:style w:type="paragraph" w:customStyle="1" w:styleId="122">
    <w:name w:val="pa-2"/>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23">
    <w:name w:val="Char Char Char Char"/>
    <w:basedOn w:val="1"/>
    <w:qFormat/>
    <w:uiPriority w:val="0"/>
    <w:pPr>
      <w:widowControl w:val="0"/>
      <w:spacing w:line="240" w:lineRule="auto"/>
      <w:textAlignment w:val="auto"/>
    </w:pPr>
    <w:rPr>
      <w:color w:val="auto"/>
      <w:kern w:val="2"/>
      <w:u w:val="none" w:color="auto"/>
    </w:rPr>
  </w:style>
  <w:style w:type="paragraph" w:customStyle="1" w:styleId="124">
    <w:name w:val="pa-1"/>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25">
    <w:name w:val="大标题"/>
    <w:basedOn w:val="1"/>
    <w:next w:val="1"/>
    <w:qFormat/>
    <w:uiPriority w:val="0"/>
    <w:pPr>
      <w:widowControl w:val="0"/>
      <w:spacing w:line="580" w:lineRule="exact"/>
      <w:jc w:val="center"/>
      <w:textAlignment w:val="auto"/>
      <w:outlineLvl w:val="0"/>
    </w:pPr>
    <w:rPr>
      <w:rFonts w:ascii="Calibri" w:hAnsi="Calibri" w:eastAsia="方正小标宋简体"/>
      <w:color w:val="auto"/>
      <w:kern w:val="2"/>
      <w:sz w:val="44"/>
      <w:szCs w:val="24"/>
      <w:u w:val="none" w:color="auto"/>
    </w:rPr>
  </w:style>
  <w:style w:type="paragraph" w:customStyle="1" w:styleId="126">
    <w:name w:val="图表目录1"/>
    <w:basedOn w:val="99"/>
    <w:next w:val="99"/>
    <w:qFormat/>
    <w:uiPriority w:val="0"/>
    <w:pPr>
      <w:ind w:left="200" w:leftChars="200" w:hanging="200" w:hangingChars="200"/>
    </w:pPr>
    <w:rPr>
      <w:rFonts w:ascii="Times New Roman" w:hAnsi="Times New Roman"/>
    </w:rPr>
  </w:style>
  <w:style w:type="character" w:customStyle="1" w:styleId="127">
    <w:name w:val="项目_1级标题 Char"/>
    <w:link w:val="128"/>
    <w:qFormat/>
    <w:uiPriority w:val="0"/>
    <w:rPr>
      <w:rFonts w:eastAsia="楷体"/>
      <w:b/>
      <w:bCs/>
      <w:kern w:val="44"/>
      <w:sz w:val="32"/>
      <w:szCs w:val="44"/>
      <w:lang w:bidi="ar-SA"/>
    </w:rPr>
  </w:style>
  <w:style w:type="paragraph" w:customStyle="1" w:styleId="128">
    <w:name w:val="项目_1级标题"/>
    <w:basedOn w:val="1"/>
    <w:link w:val="127"/>
    <w:qFormat/>
    <w:uiPriority w:val="0"/>
    <w:pPr>
      <w:keepNext/>
      <w:keepLines/>
      <w:spacing w:before="120" w:after="120" w:line="360" w:lineRule="auto"/>
      <w:jc w:val="left"/>
      <w:textAlignment w:val="auto"/>
      <w:outlineLvl w:val="0"/>
    </w:pPr>
    <w:rPr>
      <w:rFonts w:eastAsia="楷体"/>
      <w:b/>
      <w:bCs/>
      <w:color w:val="auto"/>
      <w:kern w:val="44"/>
      <w:sz w:val="32"/>
      <w:szCs w:val="44"/>
      <w:u w:val="none" w:color="auto"/>
    </w:rPr>
  </w:style>
  <w:style w:type="character" w:customStyle="1" w:styleId="129">
    <w:name w:val="图表正文 Char"/>
    <w:link w:val="130"/>
    <w:qFormat/>
    <w:uiPriority w:val="0"/>
    <w:rPr>
      <w:bCs/>
      <w:sz w:val="28"/>
      <w:szCs w:val="32"/>
      <w:lang w:val="en-US" w:eastAsia="zh-CN" w:bidi="ar-SA"/>
    </w:rPr>
  </w:style>
  <w:style w:type="paragraph" w:customStyle="1" w:styleId="130">
    <w:name w:val="图表正文"/>
    <w:next w:val="1"/>
    <w:link w:val="129"/>
    <w:qFormat/>
    <w:uiPriority w:val="0"/>
    <w:pPr>
      <w:jc w:val="center"/>
    </w:pPr>
    <w:rPr>
      <w:rFonts w:ascii="Times New Roman" w:hAnsi="Times New Roman" w:eastAsia="Times New Roman" w:cs="Times New Roman"/>
      <w:bCs/>
      <w:sz w:val="28"/>
      <w:szCs w:val="32"/>
      <w:lang w:val="en-US" w:eastAsia="zh-CN" w:bidi="ar-SA"/>
    </w:rPr>
  </w:style>
  <w:style w:type="character" w:customStyle="1" w:styleId="131">
    <w:name w:val="图表标号 Char"/>
    <w:link w:val="132"/>
    <w:qFormat/>
    <w:uiPriority w:val="0"/>
    <w:rPr>
      <w:rFonts w:eastAsia="黑体"/>
      <w:bCs/>
      <w:sz w:val="28"/>
      <w:szCs w:val="32"/>
      <w:lang w:val="en-US" w:eastAsia="zh-CN" w:bidi="ar-SA"/>
    </w:rPr>
  </w:style>
  <w:style w:type="paragraph" w:customStyle="1" w:styleId="132">
    <w:name w:val="图表标号"/>
    <w:next w:val="1"/>
    <w:link w:val="131"/>
    <w:qFormat/>
    <w:uiPriority w:val="0"/>
    <w:pPr>
      <w:jc w:val="center"/>
    </w:pPr>
    <w:rPr>
      <w:rFonts w:ascii="Times New Roman" w:hAnsi="Times New Roman" w:eastAsia="黑体" w:cs="Times New Roman"/>
      <w:bCs/>
      <w:sz w:val="28"/>
      <w:szCs w:val="32"/>
      <w:lang w:val="en-US" w:eastAsia="zh-CN" w:bidi="ar-SA"/>
    </w:rPr>
  </w:style>
  <w:style w:type="character" w:customStyle="1" w:styleId="133">
    <w:name w:val="UserStyle_0"/>
    <w:qFormat/>
    <w:uiPriority w:val="0"/>
  </w:style>
  <w:style w:type="paragraph" w:customStyle="1" w:styleId="134">
    <w:name w:val="标4"/>
    <w:basedOn w:val="1"/>
    <w:qFormat/>
    <w:uiPriority w:val="0"/>
    <w:pPr>
      <w:adjustRightInd w:val="0"/>
      <w:spacing w:before="240" w:after="360" w:line="240" w:lineRule="exact"/>
      <w:outlineLvl w:val="3"/>
    </w:pPr>
    <w:rPr>
      <w:rFonts w:ascii="Arial" w:hAnsi="Arial" w:cs="Arial"/>
      <w:b/>
      <w:bCs/>
      <w:kern w:val="24"/>
      <w:szCs w:val="21"/>
      <w:u w:val="none" w:color="auto"/>
    </w:rPr>
  </w:style>
  <w:style w:type="paragraph" w:customStyle="1" w:styleId="135">
    <w:name w:val="常用样式（方正仿宋简）"/>
    <w:next w:val="21"/>
    <w:qFormat/>
    <w:uiPriority w:val="0"/>
    <w:pPr>
      <w:widowControl w:val="0"/>
      <w:spacing w:line="560" w:lineRule="exact"/>
      <w:ind w:firstLine="200" w:firstLineChars="200"/>
      <w:jc w:val="both"/>
    </w:pPr>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36</Pages>
  <Words>16681</Words>
  <Characters>17432</Characters>
  <Lines>174</Lines>
  <Paragraphs>49</Paragraphs>
  <TotalTime>910</TotalTime>
  <ScaleCrop>false</ScaleCrop>
  <LinksUpToDate>false</LinksUpToDate>
  <CharactersWithSpaces>17437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2022-06-09T08:46:00Z</dcterms:created>
  <dc:creator>admin</dc:creator>
  <cp:lastModifiedBy>大脸猫</cp:lastModifiedBy>
  <cp:lastPrinted>2022-08-17T00:28:00Z</cp:lastPrinted>
  <dcterms:modified xsi:type="dcterms:W3CDTF">2022-09-07T06:42:49Z</dcterms:modified>
  <dc:title>达州市发改委价格监督检查局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97ED0CF353664FF6AD5EE8EBE322BE8F</vt:lpwstr>
  </property>
</Properties>
</file>