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CB93">
      <w:pPr>
        <w:pStyle w:val="8"/>
        <w:pageBreakBefore w:val="0"/>
        <w:kinsoku/>
        <w:wordWrap/>
        <w:overflowPunct/>
        <w:topLinePunct w:val="0"/>
        <w:autoSpaceDE/>
        <w:autoSpaceDN/>
        <w:bidi w:val="0"/>
        <w:spacing w:line="579"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96597"/>
      <w:bookmarkStart w:id="2" w:name="_Toc15377425"/>
      <w:bookmarkStart w:id="3" w:name="_Toc15377193"/>
      <w:bookmarkStart w:id="4" w:name="_Toc15396475"/>
      <w:bookmarkStart w:id="5" w:name="_Toc15306267"/>
    </w:p>
    <w:p w14:paraId="301E53E4">
      <w:pPr>
        <w:pStyle w:val="8"/>
        <w:pageBreakBefore w:val="0"/>
        <w:kinsoku/>
        <w:wordWrap/>
        <w:overflowPunct/>
        <w:topLinePunct w:val="0"/>
        <w:autoSpaceDE/>
        <w:autoSpaceDN/>
        <w:bidi w:val="0"/>
        <w:spacing w:line="579"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39C5A88A">
      <w:pPr>
        <w:pStyle w:val="8"/>
        <w:pageBreakBefore w:val="0"/>
        <w:kinsoku/>
        <w:wordWrap/>
        <w:overflowPunct/>
        <w:topLinePunct w:val="0"/>
        <w:autoSpaceDE/>
        <w:autoSpaceDN/>
        <w:bidi w:val="0"/>
        <w:spacing w:line="579"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2BD11CE8">
      <w:pPr>
        <w:pStyle w:val="8"/>
        <w:pageBreakBefore w:val="0"/>
        <w:kinsoku/>
        <w:wordWrap/>
        <w:overflowPunct/>
        <w:topLinePunct w:val="0"/>
        <w:autoSpaceDE/>
        <w:autoSpaceDN/>
        <w:bidi w:val="0"/>
        <w:spacing w:line="579" w:lineRule="exact"/>
        <w:jc w:val="both"/>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52F7EEF7">
      <w:pPr>
        <w:pStyle w:val="8"/>
        <w:pageBreakBefore w:val="0"/>
        <w:kinsoku/>
        <w:wordWrap/>
        <w:overflowPunct/>
        <w:topLinePunct w:val="0"/>
        <w:autoSpaceDE/>
        <w:autoSpaceDN/>
        <w:bidi w:val="0"/>
        <w:spacing w:line="579"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5470510B">
      <w:pPr>
        <w:pStyle w:val="8"/>
        <w:pageBreakBefore w:val="0"/>
        <w:kinsoku/>
        <w:wordWrap/>
        <w:overflowPunct/>
        <w:topLinePunct w:val="0"/>
        <w:autoSpaceDE/>
        <w:autoSpaceDN/>
        <w:bidi w:val="0"/>
        <w:spacing w:line="579"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709C8E4">
      <w:pPr>
        <w:pStyle w:val="8"/>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96476"/>
      <w:bookmarkStart w:id="8" w:name="_Toc15378442"/>
      <w:bookmarkStart w:id="9" w:name="_Toc15377194"/>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宣汉县行政审批局</w:t>
      </w:r>
    </w:p>
    <w:p w14:paraId="6375707E">
      <w:pPr>
        <w:pStyle w:val="8"/>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5D37ED92">
      <w:pPr>
        <w:pageBreakBefore w:val="0"/>
        <w:widowControl/>
        <w:kinsoku/>
        <w:wordWrap/>
        <w:overflowPunct/>
        <w:topLinePunct w:val="0"/>
        <w:autoSpaceDE/>
        <w:autoSpaceDN/>
        <w:bidi w:val="0"/>
        <w:spacing w:line="579" w:lineRule="exact"/>
        <w:jc w:val="center"/>
        <w:textAlignment w:val="auto"/>
        <w:rPr>
          <w:rFonts w:ascii="Times New Roman" w:hAnsi="Times New Roman"/>
          <w:color w:val="auto"/>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54A71D0">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p>
    <w:p w14:paraId="5B04348C">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2146E7D9">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0A97B2A6">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0CB8D300">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C69300D">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05D9804B">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33994304">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56FB8F28">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287E1610">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25B5AA39">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50ADAD7A">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68F1D26">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33FFF415">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5973BF6C">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8877D08">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67AB516E">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1B3E5619">
      <w:pPr>
        <w:pStyle w:val="13"/>
        <w:keepNext w:val="0"/>
        <w:keepLines w:val="0"/>
        <w:pageBreakBefore w:val="0"/>
        <w:kinsoku/>
        <w:wordWrap/>
        <w:overflowPunct/>
        <w:topLinePunct w:val="0"/>
        <w:autoSpaceDE/>
        <w:autoSpaceDN/>
        <w:bidi w:val="0"/>
        <w:adjustRightInd w:val="0"/>
        <w:snapToGrid w:val="0"/>
        <w:spacing w:before="0" w:line="579"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2AD31EC7">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301D10E3">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5D70A3C">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148816C0">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1FB138B">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EF4AFEB">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7AD8237">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CDB51CD">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27331AAA">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B0E5A63">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1C00B35">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E8C22AF">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C9A1B1D">
      <w:pPr>
        <w:pStyle w:val="14"/>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F8D5F13">
      <w:pPr>
        <w:pStyle w:val="5"/>
        <w:pageBreakBefore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2098" w:right="1587" w:bottom="1984" w:left="1587" w:header="851" w:footer="992" w:gutter="0"/>
          <w:pgNumType w:fmt="numberInDash" w:start="1"/>
          <w:cols w:space="425" w:num="1"/>
          <w:titlePg/>
          <w:docGrid w:type="lines" w:linePitch="312" w:charSpace="0"/>
        </w:sectPr>
      </w:pPr>
      <w:bookmarkStart w:id="12" w:name="_Toc15396599"/>
      <w:bookmarkStart w:id="13" w:name="_Toc15377196"/>
    </w:p>
    <w:p w14:paraId="1B5035C5">
      <w:pPr>
        <w:pStyle w:val="5"/>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3FF9122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一、部门职责</w:t>
      </w:r>
    </w:p>
    <w:p w14:paraId="359CBD1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1.贯彻落实国家、省、市有关行政审批制度改革的相关政策规定，创新和完善相关工作体制机制。</w:t>
      </w:r>
    </w:p>
    <w:p w14:paraId="69E625E0">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2.负责行使相对集中行政许可权，对审批行为承担相应的法律责任；负责上级部门下放的行政许可事项承接工作。</w:t>
      </w:r>
    </w:p>
    <w:p w14:paraId="0CDC0E4C">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3.负责划转的行政审批事项涉及的现场踏勘、技术论证和社会听证等协调工作并组织实施。</w:t>
      </w:r>
    </w:p>
    <w:p w14:paraId="2371A5FE">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4.负责牵头推进全县行政审批制度改革工作，组织清理和规范行政审批事项前置条件；负责对行政审批事项流程进行规范和优化，推进行政审批标准化建设。</w:t>
      </w:r>
    </w:p>
    <w:p w14:paraId="42F57961">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5.负责会同有关部门加强行政审批、政务服务信息化建设。</w:t>
      </w:r>
    </w:p>
    <w:p w14:paraId="5D213C13">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6.负责协调进驻大厅部门的依申请服务事项办理；负责对大厅内行政审批、政务服务行为进行监督检查；负责对大厅窗口工作人员进行日常监督、教育培训和检查考核。</w:t>
      </w:r>
    </w:p>
    <w:p w14:paraId="40A11940">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7.负责指导全县各级政务服务、便民服务体系建设，负责建立行政审批、公共服务考核体系。</w:t>
      </w:r>
    </w:p>
    <w:p w14:paraId="4AEE42CC">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8.负责推进“互联网+政务服务”工作；负责一体化政务服务平台的运行管理工作。</w:t>
      </w:r>
    </w:p>
    <w:p w14:paraId="4297CE23">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9.负责全县行政效能投诉和行政效能监察工作。</w:t>
      </w:r>
    </w:p>
    <w:p w14:paraId="7D8686B8">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10.负责职责范围内的安全生产和职业健康、生态环境保护、人才队伍建设等工作。</w:t>
      </w:r>
    </w:p>
    <w:p w14:paraId="7937CB98">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11.负责公共资源交易综合监管；负责对中介服务机构网上竞价、网上选取以及小额工程交易开展监督；受理移交并督办办公共资源交易投诉举报等工作。</w:t>
      </w:r>
    </w:p>
    <w:p w14:paraId="267516D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.完成县委、县政府交办的其他工作。</w:t>
      </w:r>
    </w:p>
    <w:p w14:paraId="3AA873EB">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lang w:val="en-US" w:eastAsia="zh-CN"/>
        </w:rPr>
      </w:pPr>
      <w:bookmarkStart w:id="14" w:name="_Toc15377200"/>
      <w:bookmarkStart w:id="15" w:name="_Toc15396601"/>
      <w:r>
        <w:rPr>
          <w:rFonts w:hint="eastAsia" w:ascii="黑体" w:hAnsi="黑体" w:eastAsia="黑体" w:cs="黑体"/>
          <w:sz w:val="32"/>
          <w:szCs w:val="32"/>
          <w:lang w:val="en-US" w:eastAsia="zh-CN"/>
        </w:rPr>
        <w:t>二、机构设置</w:t>
      </w:r>
      <w:bookmarkEnd w:id="14"/>
      <w:bookmarkEnd w:id="15"/>
    </w:p>
    <w:p w14:paraId="1D9A96F9">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宣汉县行政审批局属于一级预算单位，下设独立编制机构1个，其中行政机构1个，参照公务员管理的事业机构0个，其他事业机构0个。</w:t>
      </w:r>
    </w:p>
    <w:p w14:paraId="23543F2A">
      <w:pPr>
        <w:pageBreakBefore w:val="0"/>
        <w:widowControl/>
        <w:kinsoku/>
        <w:wordWrap/>
        <w:overflowPunct/>
        <w:topLinePunct w:val="0"/>
        <w:autoSpaceDE/>
        <w:autoSpaceDN/>
        <w:bidi w:val="0"/>
        <w:spacing w:line="579"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04494AB">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16" w:name="_Toc15377204"/>
      <w:bookmarkStart w:id="17" w:name="_Toc15396602"/>
      <w:r>
        <w:rPr>
          <w:rFonts w:hint="eastAsia" w:ascii="方正小标宋简体" w:hAnsi="方正小标宋简体" w:eastAsia="方正小标宋简体" w:cs="方正小标宋简体"/>
          <w:sz w:val="44"/>
          <w:szCs w:val="44"/>
          <w:lang w:val="en-US" w:eastAsia="zh-CN"/>
        </w:rPr>
        <w:t>第二部分  2024年度部门决算情况说明</w:t>
      </w:r>
      <w:bookmarkEnd w:id="16"/>
      <w:bookmarkEnd w:id="17"/>
    </w:p>
    <w:p w14:paraId="7BDE58F1">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lang w:val="en-US" w:eastAsia="zh-CN"/>
        </w:rPr>
      </w:pPr>
      <w:bookmarkStart w:id="18" w:name="_Toc15377205"/>
      <w:bookmarkStart w:id="19" w:name="_Toc15396603"/>
    </w:p>
    <w:p w14:paraId="15937C38">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bookmarkEnd w:id="18"/>
      <w:bookmarkEnd w:id="19"/>
    </w:p>
    <w:p w14:paraId="1EF968A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均为1383.56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23.26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1.71</w:t>
      </w:r>
      <w:r>
        <w:rPr>
          <w:rFonts w:hint="eastAsia" w:ascii="Times New Roman" w:hAnsi="Times New Roman" w:eastAsia="仿宋_GB2312" w:cs="仿宋_GB2312"/>
          <w:color w:val="auto"/>
          <w:sz w:val="32"/>
          <w:szCs w:val="32"/>
          <w:highlight w:val="none"/>
        </w:rPr>
        <w:t>%。主要变动原因是人员有所增加</w:t>
      </w:r>
      <w:r>
        <w:rPr>
          <w:rFonts w:hint="eastAsia" w:eastAsia="仿宋_GB2312" w:cs="仿宋_GB2312"/>
          <w:color w:val="auto"/>
          <w:sz w:val="32"/>
          <w:szCs w:val="32"/>
          <w:highlight w:val="none"/>
          <w:lang w:eastAsia="zh-CN"/>
        </w:rPr>
        <w:t>。</w:t>
      </w:r>
    </w:p>
    <w:p w14:paraId="5129AE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-90805</wp:posOffset>
            </wp:positionH>
            <wp:positionV relativeFrom="paragraph">
              <wp:posOffset>183515</wp:posOffset>
            </wp:positionV>
            <wp:extent cx="5588000" cy="4278630"/>
            <wp:effectExtent l="4445" t="4445" r="8255" b="222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20" w:name="_Toc15377206"/>
      <w:bookmarkStart w:id="21" w:name="_Toc15396604"/>
      <w:r>
        <w:rPr>
          <w:rFonts w:hint="default" w:ascii="Times New Roman" w:hAnsi="Times New Roman" w:eastAsia="仿宋_GB2312" w:cs="Times New Roman"/>
          <w:color w:val="auto"/>
          <w:kern w:val="2"/>
          <w:sz w:val="32"/>
          <w:szCs w:val="32"/>
          <w:highlight w:val="none"/>
          <w:lang w:val="en-US" w:eastAsia="zh-CN" w:bidi="ar-SA"/>
        </w:rPr>
        <w:t>（图1：收、支决算总计变动情况图）</w:t>
      </w:r>
    </w:p>
    <w:p w14:paraId="5D60389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593528E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sz w:val="32"/>
          <w:szCs w:val="32"/>
          <w:highlight w:val="none"/>
          <w:lang w:eastAsia="zh-CN"/>
        </w:rPr>
        <w:t>1383.56</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lang w:eastAsia="zh-CN"/>
        </w:rPr>
        <w:t>1383.56</w:t>
      </w:r>
      <w:r>
        <w:rPr>
          <w:rFonts w:hint="eastAsia" w:ascii="仿宋_GB2312" w:hAnsi="仿宋_GB2312" w:eastAsia="仿宋_GB2312" w:cs="仿宋_GB2312"/>
          <w:color w:val="auto"/>
          <w:sz w:val="32"/>
          <w:szCs w:val="32"/>
          <w:highlight w:val="none"/>
          <w:lang w:eastAsia="zh-CN"/>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4784E158">
      <w:pPr>
        <w:ind w:firstLine="800" w:firstLineChars="25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object>
          <v:shape id="_x0000_i1025" o:spt="75" type="#_x0000_t75" style="height:243.15pt;width:341.35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07498689">
      <w:pPr>
        <w:pageBreakBefore w:val="0"/>
        <w:kinsoku/>
        <w:wordWrap/>
        <w:overflowPunct/>
        <w:topLinePunct w:val="0"/>
        <w:bidi w:val="0"/>
        <w:spacing w:line="579" w:lineRule="exact"/>
        <w:ind w:left="0" w:leftChars="0"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14:paraId="49DD18E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 w:cs="Times New Roman"/>
          <w:color w:val="auto"/>
          <w:sz w:val="32"/>
          <w:szCs w:val="32"/>
          <w:highlight w:val="none"/>
          <w:shd w:val="pct10" w:color="auto" w:fill="FFFFFF"/>
          <w:lang w:eastAsia="zh-CN"/>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3C932E5B">
      <w:pPr>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仿宋" w:cs="Times New Roman"/>
          <w:color w:val="auto"/>
          <w:sz w:val="32"/>
          <w:szCs w:val="32"/>
          <w:highlight w:val="none"/>
          <w:shd w:val="pct10" w:color="auto" w:fill="FFFFFF"/>
          <w:lang w:eastAsia="zh-CN"/>
        </w:rPr>
      </w:pP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年度本年支出合计</w:t>
      </w:r>
      <w:r>
        <w:rPr>
          <w:rFonts w:hint="eastAsia" w:ascii="Times New Roman" w:hAnsi="Times New Roman" w:eastAsia="仿宋_GB2312" w:cs="仿宋_GB2312"/>
          <w:color w:val="auto"/>
          <w:sz w:val="32"/>
          <w:szCs w:val="32"/>
          <w:highlight w:val="none"/>
          <w:lang w:eastAsia="zh-CN"/>
        </w:rPr>
        <w:t>1383.56</w:t>
      </w:r>
      <w:r>
        <w:rPr>
          <w:rFonts w:hint="default" w:ascii="Times New Roman" w:hAnsi="Times New Roman" w:eastAsia="仿宋_GB2312" w:cs="Times New Roman"/>
          <w:color w:val="auto"/>
          <w:sz w:val="32"/>
          <w:szCs w:val="32"/>
          <w:highlight w:val="none"/>
        </w:rPr>
        <w:t>万元，其中：基本支出900.62万元，占</w:t>
      </w:r>
      <w:r>
        <w:rPr>
          <w:rFonts w:hint="eastAsia" w:cs="Times New Roman"/>
          <w:color w:val="auto"/>
          <w:sz w:val="32"/>
          <w:szCs w:val="32"/>
          <w:highlight w:val="none"/>
          <w:lang w:val="en-US" w:eastAsia="zh-CN"/>
        </w:rPr>
        <w:t>65.09</w:t>
      </w:r>
      <w:r>
        <w:rPr>
          <w:rFonts w:hint="default" w:ascii="Times New Roman" w:hAnsi="Times New Roman" w:eastAsia="仿宋_GB2312" w:cs="Times New Roman"/>
          <w:color w:val="auto"/>
          <w:sz w:val="32"/>
          <w:szCs w:val="32"/>
          <w:highlight w:val="none"/>
        </w:rPr>
        <w:t>%；项目支出</w:t>
      </w:r>
      <w:r>
        <w:rPr>
          <w:rFonts w:hint="eastAsia" w:ascii="Times New Roman" w:hAnsi="Times New Roman" w:cs="Times New Roman"/>
          <w:color w:val="auto"/>
          <w:sz w:val="32"/>
          <w:szCs w:val="32"/>
          <w:highlight w:val="none"/>
          <w:lang w:val="en-US" w:eastAsia="zh-CN"/>
        </w:rPr>
        <w:t>482.94</w:t>
      </w:r>
      <w:r>
        <w:rPr>
          <w:rFonts w:hint="default" w:ascii="Times New Roman" w:hAnsi="Times New Roman" w:eastAsia="仿宋_GB2312" w:cs="Times New Roman"/>
          <w:color w:val="auto"/>
          <w:sz w:val="32"/>
          <w:szCs w:val="32"/>
          <w:highlight w:val="none"/>
        </w:rPr>
        <w:t>万元，占</w:t>
      </w:r>
      <w:r>
        <w:rPr>
          <w:rFonts w:hint="eastAsia" w:cs="Times New Roman"/>
          <w:color w:val="auto"/>
          <w:sz w:val="32"/>
          <w:szCs w:val="32"/>
          <w:highlight w:val="none"/>
          <w:lang w:val="en-US" w:eastAsia="zh-CN"/>
        </w:rPr>
        <w:t>34.91</w:t>
      </w:r>
      <w:r>
        <w:rPr>
          <w:rFonts w:hint="default" w:ascii="Times New Roman" w:hAnsi="Times New Roman" w:eastAsia="仿宋_GB2312" w:cs="Times New Roman"/>
          <w:color w:val="auto"/>
          <w:sz w:val="32"/>
          <w:szCs w:val="32"/>
          <w:highlight w:val="none"/>
        </w:rPr>
        <w:t>%。</w:t>
      </w:r>
    </w:p>
    <w:p w14:paraId="4170A122">
      <w:pPr>
        <w:ind w:left="1118" w:leftChars="456" w:hanging="160" w:hangingChars="5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 w:cs="Times New Roman"/>
          <w:color w:val="auto"/>
          <w:sz w:val="32"/>
          <w:szCs w:val="32"/>
          <w:highlight w:val="none"/>
          <w:shd w:val="pct10" w:color="auto" w:fill="FFFFFF"/>
          <w:lang w:eastAsia="zh-CN"/>
        </w:rPr>
        <w:object>
          <v:shape id="_x0000_i1026" o:spt="75" type="#_x0000_t75" style="height:181.4pt;width:323.4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46D9CF50">
      <w:pPr>
        <w:pageBreakBefore w:val="0"/>
        <w:kinsoku/>
        <w:wordWrap/>
        <w:overflowPunct/>
        <w:topLinePunct w:val="0"/>
        <w:bidi w:val="0"/>
        <w:spacing w:line="579" w:lineRule="exact"/>
        <w:ind w:left="0" w:leftChars="0" w:firstLine="0" w:firstLineChars="0"/>
        <w:jc w:val="center"/>
        <w:textAlignment w:val="auto"/>
        <w:rPr>
          <w:rFonts w:hint="eastAsia" w:ascii="仿宋_GB2312" w:hAnsi="仿宋_GB2312" w:eastAsia="仿宋_GB2312" w:cs="仿宋_GB2312"/>
          <w:color w:val="auto"/>
          <w:sz w:val="32"/>
          <w:szCs w:val="32"/>
          <w:highlight w:val="none"/>
        </w:rPr>
      </w:pPr>
      <w:bookmarkStart w:id="24" w:name="_Toc15396606"/>
      <w:bookmarkStart w:id="25" w:name="_Toc15377208"/>
      <w:r>
        <w:rPr>
          <w:rFonts w:hint="eastAsia" w:ascii="仿宋_GB2312" w:hAnsi="仿宋_GB2312" w:eastAsia="仿宋_GB2312" w:cs="仿宋_GB2312"/>
          <w:color w:val="auto"/>
          <w:sz w:val="32"/>
          <w:szCs w:val="32"/>
          <w:highlight w:val="none"/>
        </w:rPr>
        <w:t>（图3：支出决算结构图）</w:t>
      </w:r>
    </w:p>
    <w:p w14:paraId="35878595">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6F3349A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2024年度财政拨款收入、支出总计均为1383.56万元。与2023年度相比，财政拨款收入总计、支出总计各增加</w:t>
      </w:r>
      <w:r>
        <w:rPr>
          <w:rFonts w:hint="default" w:ascii="Times New Roman" w:hAnsi="Times New Roman" w:eastAsia="仿宋_GB2312" w:cs="Times New Roman"/>
          <w:color w:val="auto"/>
          <w:sz w:val="32"/>
          <w:szCs w:val="32"/>
          <w:highlight w:val="none"/>
          <w:lang w:val="en-US" w:eastAsia="zh-CN"/>
        </w:rPr>
        <w:t>23.26</w:t>
      </w:r>
      <w:r>
        <w:rPr>
          <w:rFonts w:hint="default" w:ascii="Times New Roman" w:hAnsi="Times New Roman" w:eastAsia="仿宋_GB2312" w:cs="Times New Roman"/>
          <w:color w:val="auto"/>
          <w:kern w:val="2"/>
          <w:sz w:val="32"/>
          <w:szCs w:val="32"/>
          <w:highlight w:val="none"/>
          <w:lang w:val="en-US" w:eastAsia="zh-CN" w:bidi="ar-SA"/>
        </w:rPr>
        <w:t>万元，增长1.71%。主要变动原因是</w:t>
      </w:r>
      <w:r>
        <w:rPr>
          <w:rFonts w:hint="default" w:ascii="Times New Roman" w:hAnsi="Times New Roman" w:eastAsia="仿宋_GB2312" w:cs="Times New Roman"/>
          <w:color w:val="auto"/>
          <w:sz w:val="32"/>
          <w:szCs w:val="32"/>
          <w:highlight w:val="none"/>
        </w:rPr>
        <w:t>人员有所增加</w:t>
      </w:r>
      <w:r>
        <w:rPr>
          <w:rFonts w:hint="default" w:ascii="Times New Roman" w:hAnsi="Times New Roman" w:eastAsia="仿宋_GB2312" w:cs="Times New Roman"/>
          <w:color w:val="auto"/>
          <w:sz w:val="32"/>
          <w:szCs w:val="32"/>
          <w:highlight w:val="none"/>
          <w:lang w:eastAsia="zh-CN"/>
        </w:rPr>
        <w:t>。</w:t>
      </w:r>
    </w:p>
    <w:p w14:paraId="114D6D94">
      <w:pPr>
        <w:spacing w:line="600" w:lineRule="exact"/>
        <w:ind w:firstLine="1280" w:firstLineChars="4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图4：财政拨款收、支决算总计变动情况）</w:t>
      </w:r>
      <w:r>
        <w:rPr>
          <w:rFonts w:hint="default" w:ascii="Times New Roman" w:hAnsi="Times New Roman" w:eastAsia="仿宋_GB2312" w:cs="Times New Roman"/>
          <w:sz w:val="28"/>
          <w:szCs w:val="28"/>
          <w:lang w:eastAsia="zh-CN"/>
        </w:rPr>
        <w:drawing>
          <wp:anchor distT="0" distB="0" distL="114300" distR="114300" simplePos="0" relativeHeight="251661312" behindDoc="0" locked="0" layoutInCell="1" allowOverlap="1">
            <wp:simplePos x="0" y="0"/>
            <wp:positionH relativeFrom="column">
              <wp:posOffset>-33655</wp:posOffset>
            </wp:positionH>
            <wp:positionV relativeFrom="paragraph">
              <wp:posOffset>91440</wp:posOffset>
            </wp:positionV>
            <wp:extent cx="5588000" cy="3869690"/>
            <wp:effectExtent l="4445" t="4445" r="8255" b="1206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C67A93B">
      <w:pPr>
        <w:spacing w:line="600" w:lineRule="exact"/>
        <w:ind w:firstLine="640" w:firstLineChars="200"/>
        <w:outlineLvl w:val="1"/>
        <w:rPr>
          <w:rStyle w:val="30"/>
          <w:rFonts w:hint="default" w:ascii="Times New Roman" w:hAnsi="Times New Roman" w:eastAsia="黑体" w:cs="Times New Roman"/>
          <w:b w:val="0"/>
          <w:color w:val="auto"/>
          <w:highlight w:val="none"/>
        </w:rPr>
      </w:pPr>
      <w:bookmarkStart w:id="26" w:name="_Toc15396607"/>
      <w:bookmarkStart w:id="27"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26"/>
      <w:bookmarkEnd w:id="27"/>
    </w:p>
    <w:p w14:paraId="0581FA29">
      <w:pPr>
        <w:spacing w:line="600" w:lineRule="exact"/>
        <w:ind w:firstLine="640" w:firstLineChars="200"/>
        <w:outlineLvl w:val="2"/>
        <w:rPr>
          <w:rFonts w:hint="default" w:ascii="Times New Roman" w:hAnsi="Times New Roman" w:eastAsia="楷体_GB2312" w:cs="Times New Roman"/>
          <w:b w:val="0"/>
          <w:bCs/>
          <w:color w:val="auto"/>
          <w:sz w:val="32"/>
          <w:szCs w:val="32"/>
          <w:highlight w:val="none"/>
        </w:rPr>
      </w:pPr>
      <w:bookmarkStart w:id="28" w:name="_Toc15377210"/>
      <w:r>
        <w:rPr>
          <w:rFonts w:hint="default" w:ascii="Times New Roman" w:hAnsi="Times New Roman" w:eastAsia="楷体_GB2312" w:cs="Times New Roman"/>
          <w:b w:val="0"/>
          <w:bCs/>
          <w:color w:val="auto"/>
          <w:sz w:val="32"/>
          <w:szCs w:val="32"/>
          <w:highlight w:val="none"/>
        </w:rPr>
        <w:t>（一）一般公共预算财政拨款支出决算总体情况</w:t>
      </w:r>
      <w:bookmarkEnd w:id="28"/>
    </w:p>
    <w:p w14:paraId="568EA6B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2024年度一般公共预算财政拨款支出1383.56万元，占本年支出合计的100%。与2023年度相比，一般公共预算财政拨款支出增加23.26万元，增长1.71%。主要变动原因是人员有所增加。</w:t>
      </w:r>
    </w:p>
    <w:p w14:paraId="2BCF6AE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28"/>
          <w:szCs w:val="28"/>
          <w:lang w:eastAsia="zh-CN"/>
        </w:rPr>
        <w:drawing>
          <wp:anchor distT="0" distB="0" distL="114300" distR="114300" simplePos="0" relativeHeight="251662336" behindDoc="0" locked="0" layoutInCell="1" allowOverlap="1">
            <wp:simplePos x="0" y="0"/>
            <wp:positionH relativeFrom="column">
              <wp:posOffset>-119380</wp:posOffset>
            </wp:positionH>
            <wp:positionV relativeFrom="paragraph">
              <wp:posOffset>135890</wp:posOffset>
            </wp:positionV>
            <wp:extent cx="5588000" cy="3765550"/>
            <wp:effectExtent l="4445" t="4445" r="8255" b="209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3244EB9A">
      <w:pPr>
        <w:spacing w:line="600" w:lineRule="exact"/>
        <w:ind w:firstLine="640" w:firstLineChars="200"/>
        <w:outlineLvl w:val="2"/>
        <w:rPr>
          <w:rFonts w:hint="default" w:ascii="Times New Roman" w:hAnsi="Times New Roman" w:eastAsia="楷体_GB2312" w:cs="Times New Roman"/>
          <w:b w:val="0"/>
          <w:bCs/>
          <w:color w:val="auto"/>
          <w:sz w:val="32"/>
          <w:szCs w:val="32"/>
          <w:highlight w:val="none"/>
        </w:rPr>
      </w:pPr>
      <w:bookmarkStart w:id="29" w:name="_Toc15377211"/>
      <w:r>
        <w:rPr>
          <w:rFonts w:hint="default" w:ascii="Times New Roman" w:hAnsi="Times New Roman" w:eastAsia="楷体_GB2312" w:cs="Times New Roman"/>
          <w:b w:val="0"/>
          <w:bCs/>
          <w:color w:val="auto"/>
          <w:sz w:val="32"/>
          <w:szCs w:val="32"/>
          <w:highlight w:val="none"/>
        </w:rPr>
        <w:t>（二）一般公共预算财政拨款支出决算结构情况</w:t>
      </w:r>
      <w:bookmarkEnd w:id="29"/>
    </w:p>
    <w:p w14:paraId="5BA936CB">
      <w:pPr>
        <w:spacing w:line="600" w:lineRule="exact"/>
        <w:ind w:firstLine="640"/>
        <w:rPr>
          <w:rFonts w:hint="eastAsia"/>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lang w:val="en-US" w:eastAsia="zh-CN"/>
        </w:rPr>
        <w:t>1383.56</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万元，主要用于以下方面：一般公共服务支出1182.63万元，占85.48%；社会保障和就业支出92.80万元，占6.71%；卫生健康支出35.76万元，占2.58%；住房保障支出72.37万元，占5.23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6C1611A">
      <w:pPr>
        <w:pageBreakBefore w:val="0"/>
        <w:kinsoku/>
        <w:wordWrap/>
        <w:overflowPunct/>
        <w:topLinePunct w:val="0"/>
        <w:bidi w:val="0"/>
        <w:spacing w:line="240" w:lineRule="auto"/>
        <w:ind w:firstLine="64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pct10" w:color="auto" w:fill="FFFFFF"/>
          <w:lang w:eastAsia="zh-CN"/>
        </w:rPr>
        <w:object>
          <v:shape id="_x0000_i1027" o:spt="75" type="#_x0000_t75" style="height:258.5pt;width:364.65pt;" o:ole="t" filled="f" o:preferrelative="t" stroked="f" coordsize="21600,21600">
            <v:path/>
            <v:fill on="f" focussize="0,0"/>
            <v:stroke on="f"/>
            <v:imagedata r:id="rId16" o:title=""/>
            <o:lock v:ext="edit" aspectratio="t"/>
            <w10:wrap type="none"/>
            <w10:anchorlock/>
          </v:shape>
          <o:OLEObject Type="Embed" ProgID="Excel.Chart.8" ShapeID="_x0000_i1027" DrawAspect="Content" ObjectID="_1468075727" r:id="rId15">
            <o:LockedField>false</o:LockedField>
          </o:OLEObject>
        </w:object>
      </w:r>
    </w:p>
    <w:p w14:paraId="63B0196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67DE5B8C">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0"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30"/>
    </w:p>
    <w:p w14:paraId="17150E4B">
      <w:pPr>
        <w:suppressAutoHyphens/>
        <w:bidi w:val="0"/>
        <w:spacing w:line="579" w:lineRule="exact"/>
        <w:ind w:firstLine="640" w:firstLineChars="200"/>
        <w:jc w:val="left"/>
        <w:rPr>
          <w:rFonts w:hint="default" w:ascii="Times New Roman" w:hAnsi="Times New Roman" w:eastAsia="仿宋_GB2312" w:cs="Times New Roman"/>
          <w:b w:val="0"/>
          <w:bCs w:val="0"/>
          <w:color w:val="auto"/>
          <w:sz w:val="32"/>
        </w:rPr>
      </w:pPr>
      <w:bookmarkStart w:id="31" w:name="_Toc15377444"/>
      <w:bookmarkStart w:id="32" w:name="_Toc15377213"/>
      <w:bookmarkStart w:id="33" w:name="_Toc15378460"/>
      <w:r>
        <w:rPr>
          <w:rFonts w:hint="default" w:ascii="Times New Roman" w:hAnsi="Times New Roman" w:eastAsia="仿宋_GB2312" w:cs="Times New Roman"/>
          <w:b w:val="0"/>
          <w:bCs w:val="0"/>
          <w:color w:val="auto"/>
          <w:sz w:val="32"/>
          <w:lang w:eastAsia="zh-CN"/>
        </w:rPr>
        <w:t>202</w:t>
      </w:r>
      <w:r>
        <w:rPr>
          <w:rFonts w:hint="eastAsia" w:eastAsia="仿宋_GB2312" w:cs="Times New Roman"/>
          <w:b w:val="0"/>
          <w:bCs w:val="0"/>
          <w:color w:val="auto"/>
          <w:sz w:val="32"/>
          <w:lang w:val="en-US" w:eastAsia="zh-CN"/>
        </w:rPr>
        <w:t>4</w:t>
      </w:r>
      <w:r>
        <w:rPr>
          <w:rFonts w:hint="default" w:ascii="Times New Roman" w:hAnsi="Times New Roman" w:eastAsia="仿宋_GB2312" w:cs="Times New Roman"/>
          <w:b w:val="0"/>
          <w:bCs w:val="0"/>
          <w:color w:val="auto"/>
          <w:sz w:val="32"/>
        </w:rPr>
        <w:t>年</w:t>
      </w:r>
      <w:r>
        <w:rPr>
          <w:rFonts w:hint="default" w:ascii="Times New Roman" w:hAnsi="Times New Roman" w:eastAsia="仿宋_GB2312" w:cs="Times New Roman"/>
          <w:b w:val="0"/>
          <w:bCs w:val="0"/>
          <w:color w:val="auto"/>
          <w:sz w:val="32"/>
          <w:lang w:eastAsia="zh-CN"/>
        </w:rPr>
        <w:t>度一</w:t>
      </w:r>
      <w:r>
        <w:rPr>
          <w:rFonts w:hint="default" w:ascii="Times New Roman" w:hAnsi="Times New Roman" w:eastAsia="仿宋_GB2312" w:cs="Times New Roman"/>
          <w:b w:val="0"/>
          <w:bCs w:val="0"/>
          <w:color w:val="auto"/>
          <w:sz w:val="32"/>
        </w:rPr>
        <w:t>般公共预算支出决算数为</w:t>
      </w:r>
      <w:r>
        <w:rPr>
          <w:rFonts w:hint="eastAsia" w:eastAsia="仿宋_GB2312" w:cs="Times New Roman"/>
          <w:b w:val="0"/>
          <w:bCs w:val="0"/>
          <w:color w:val="auto"/>
          <w:sz w:val="32"/>
          <w:lang w:val="en-US" w:eastAsia="zh-CN"/>
        </w:rPr>
        <w:t>1383.56</w:t>
      </w:r>
      <w:r>
        <w:rPr>
          <w:rFonts w:hint="eastAsia" w:ascii="Times New Roman" w:hAnsi="Times New Roman" w:eastAsia="仿宋_GB2312" w:cs="Times New Roman"/>
          <w:b w:val="0"/>
          <w:bCs w:val="0"/>
          <w:color w:val="auto"/>
          <w:sz w:val="32"/>
          <w:lang w:val="en-US" w:eastAsia="zh-CN"/>
        </w:rPr>
        <w:t>万元</w:t>
      </w:r>
      <w:r>
        <w:rPr>
          <w:rFonts w:hint="default" w:ascii="Times New Roman" w:hAnsi="Times New Roman" w:eastAsia="仿宋_GB2312" w:cs="Times New Roman"/>
          <w:b w:val="0"/>
          <w:bCs w:val="0"/>
          <w:color w:val="auto"/>
          <w:sz w:val="32"/>
        </w:rPr>
        <w:t>，完成预算</w:t>
      </w:r>
      <w:r>
        <w:rPr>
          <w:rFonts w:hint="default" w:ascii="Times New Roman" w:hAnsi="Times New Roman" w:eastAsia="仿宋_GB2312" w:cs="Times New Roman"/>
          <w:b w:val="0"/>
          <w:bCs w:val="0"/>
          <w:color w:val="auto"/>
          <w:sz w:val="32"/>
          <w:lang w:val="en-US" w:eastAsia="zh-CN"/>
        </w:rPr>
        <w:t>100</w:t>
      </w:r>
      <w:r>
        <w:rPr>
          <w:rFonts w:hint="default" w:ascii="Times New Roman" w:hAnsi="Times New Roman" w:eastAsia="仿宋_GB2312" w:cs="Times New Roman"/>
          <w:b w:val="0"/>
          <w:bCs w:val="0"/>
          <w:color w:val="auto"/>
          <w:sz w:val="32"/>
        </w:rPr>
        <w:t>%。其中：</w:t>
      </w:r>
    </w:p>
    <w:p w14:paraId="55516A98">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b w:val="0"/>
          <w:bCs w:val="0"/>
          <w:color w:val="auto"/>
          <w:sz w:val="32"/>
        </w:rPr>
        <w:t>1.一般公共服务（类）政府办公厅（室）及相关机构事务（款）行政运行（项）:</w:t>
      </w:r>
      <w:r>
        <w:rPr>
          <w:rFonts w:hint="default" w:ascii="Times New Roman" w:hAnsi="Times New Roman" w:eastAsia="仿宋_GB2312" w:cs="Times New Roman"/>
          <w:b/>
          <w:bCs/>
          <w:color w:val="auto"/>
          <w:sz w:val="32"/>
        </w:rPr>
        <w:t xml:space="preserve"> </w:t>
      </w:r>
      <w:r>
        <w:rPr>
          <w:rFonts w:hint="default" w:ascii="Times New Roman" w:hAnsi="Times New Roman" w:eastAsia="仿宋_GB2312" w:cs="Times New Roman"/>
          <w:color w:val="auto"/>
          <w:sz w:val="32"/>
        </w:rPr>
        <w:t>支出决算为309.58万元，完成预算</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%，决算数等于预算数。</w:t>
      </w:r>
    </w:p>
    <w:p w14:paraId="0919D0E8">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b w:val="0"/>
          <w:bCs w:val="0"/>
          <w:color w:val="auto"/>
          <w:sz w:val="32"/>
          <w:lang w:val="en-US" w:eastAsia="zh-CN"/>
        </w:rPr>
        <w:t>2.</w:t>
      </w:r>
      <w:r>
        <w:rPr>
          <w:rFonts w:hint="default" w:ascii="Times New Roman" w:hAnsi="Times New Roman" w:eastAsia="仿宋_GB2312" w:cs="Times New Roman"/>
          <w:b w:val="0"/>
          <w:bCs w:val="0"/>
          <w:color w:val="auto"/>
          <w:sz w:val="32"/>
        </w:rPr>
        <w:t>一般公共服务（类）政府办公厅（室）及相关机构事务（款）政务公开审批（项）:</w:t>
      </w:r>
      <w:r>
        <w:rPr>
          <w:rFonts w:hint="default" w:ascii="Times New Roman" w:hAnsi="Times New Roman" w:eastAsia="仿宋_GB2312" w:cs="Times New Roman"/>
          <w:b/>
          <w:bCs/>
          <w:color w:val="auto"/>
          <w:sz w:val="32"/>
        </w:rPr>
        <w:t xml:space="preserve"> </w:t>
      </w:r>
      <w:r>
        <w:rPr>
          <w:rFonts w:hint="default" w:ascii="Times New Roman" w:hAnsi="Times New Roman" w:eastAsia="仿宋_GB2312" w:cs="Times New Roman"/>
          <w:color w:val="auto"/>
          <w:sz w:val="32"/>
        </w:rPr>
        <w:t>支出决算为</w:t>
      </w:r>
      <w:r>
        <w:rPr>
          <w:rFonts w:hint="eastAsia" w:eastAsia="仿宋_GB2312" w:cs="Times New Roman"/>
          <w:color w:val="auto"/>
          <w:sz w:val="32"/>
          <w:lang w:val="en-US" w:eastAsia="zh-CN"/>
        </w:rPr>
        <w:t>482.94</w:t>
      </w:r>
      <w:r>
        <w:rPr>
          <w:rFonts w:hint="default" w:ascii="Times New Roman" w:hAnsi="Times New Roman" w:eastAsia="仿宋_GB2312" w:cs="Times New Roman"/>
          <w:color w:val="auto"/>
          <w:sz w:val="32"/>
        </w:rPr>
        <w:t>万元，完成预算</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%，决算数等于预算数。</w:t>
      </w:r>
    </w:p>
    <w:p w14:paraId="1329FDD9">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eastAsia" w:eastAsia="仿宋_GB2312" w:cs="Times New Roman"/>
          <w:b w:val="0"/>
          <w:bCs w:val="0"/>
          <w:color w:val="auto"/>
          <w:sz w:val="32"/>
          <w:lang w:val="en-US" w:eastAsia="zh-CN"/>
        </w:rPr>
        <w:t>3</w:t>
      </w:r>
      <w:r>
        <w:rPr>
          <w:rFonts w:hint="default" w:ascii="Times New Roman" w:hAnsi="Times New Roman" w:eastAsia="仿宋_GB2312" w:cs="Times New Roman"/>
          <w:b w:val="0"/>
          <w:bCs w:val="0"/>
          <w:color w:val="auto"/>
          <w:sz w:val="32"/>
          <w:lang w:val="en-US" w:eastAsia="zh-CN"/>
        </w:rPr>
        <w:t>.</w:t>
      </w:r>
      <w:r>
        <w:rPr>
          <w:rFonts w:hint="default" w:ascii="Times New Roman" w:hAnsi="Times New Roman" w:eastAsia="仿宋_GB2312" w:cs="Times New Roman"/>
          <w:b w:val="0"/>
          <w:bCs w:val="0"/>
          <w:color w:val="auto"/>
          <w:sz w:val="32"/>
        </w:rPr>
        <w:t xml:space="preserve">一般公共服务（类）政府办公厅（室）及相关机构事务（款）事业运行（项）: </w:t>
      </w:r>
      <w:r>
        <w:rPr>
          <w:rFonts w:hint="default" w:ascii="Times New Roman" w:hAnsi="Times New Roman" w:eastAsia="仿宋_GB2312" w:cs="Times New Roman"/>
          <w:color w:val="auto"/>
          <w:sz w:val="32"/>
        </w:rPr>
        <w:t>支出决算为</w:t>
      </w:r>
      <w:r>
        <w:rPr>
          <w:rFonts w:hint="default" w:ascii="Times New Roman" w:hAnsi="Times New Roman" w:eastAsia="仿宋_GB2312" w:cs="Times New Roman"/>
          <w:color w:val="auto"/>
          <w:sz w:val="32"/>
          <w:lang w:val="en-US" w:eastAsia="zh-CN"/>
        </w:rPr>
        <w:t>390.11</w:t>
      </w:r>
      <w:r>
        <w:rPr>
          <w:rFonts w:hint="default" w:ascii="Times New Roman" w:hAnsi="Times New Roman" w:eastAsia="仿宋_GB2312" w:cs="Times New Roman"/>
          <w:color w:val="auto"/>
          <w:sz w:val="32"/>
        </w:rPr>
        <w:t>万元，完成预算</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%，决算数等于预算数。</w:t>
      </w:r>
    </w:p>
    <w:p w14:paraId="253600AC">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b w:val="0"/>
          <w:bCs w:val="0"/>
          <w:color w:val="auto"/>
          <w:sz w:val="32"/>
          <w:lang w:val="en-US" w:eastAsia="zh-CN"/>
        </w:rPr>
        <w:t>4</w:t>
      </w:r>
      <w:r>
        <w:rPr>
          <w:rFonts w:hint="default" w:ascii="Times New Roman" w:hAnsi="Times New Roman" w:eastAsia="仿宋_GB2312" w:cs="Times New Roman"/>
          <w:b w:val="0"/>
          <w:bCs w:val="0"/>
          <w:color w:val="auto"/>
          <w:sz w:val="32"/>
        </w:rPr>
        <w:t>.社会保障和就业（类）行政事业单位养老支出（款）行政单位离退休（项）:</w:t>
      </w:r>
      <w:r>
        <w:rPr>
          <w:rFonts w:hint="default" w:ascii="Times New Roman" w:hAnsi="Times New Roman" w:eastAsia="仿宋_GB2312" w:cs="Times New Roman"/>
          <w:b/>
          <w:bCs/>
          <w:color w:val="auto"/>
          <w:sz w:val="32"/>
        </w:rPr>
        <w:t xml:space="preserve"> </w:t>
      </w:r>
      <w:r>
        <w:rPr>
          <w:rFonts w:hint="default" w:ascii="Times New Roman" w:hAnsi="Times New Roman" w:eastAsia="仿宋_GB2312" w:cs="Times New Roman"/>
          <w:color w:val="auto"/>
          <w:sz w:val="32"/>
        </w:rPr>
        <w:t>支出决算为</w:t>
      </w:r>
      <w:r>
        <w:rPr>
          <w:rFonts w:hint="default" w:ascii="Times New Roman" w:hAnsi="Times New Roman" w:eastAsia="仿宋_GB2312" w:cs="Times New Roman"/>
          <w:color w:val="auto"/>
          <w:sz w:val="32"/>
          <w:lang w:val="en-US" w:eastAsia="zh-CN"/>
        </w:rPr>
        <w:t>1.56</w:t>
      </w:r>
      <w:r>
        <w:rPr>
          <w:rFonts w:hint="default" w:ascii="Times New Roman" w:hAnsi="Times New Roman" w:eastAsia="仿宋_GB2312" w:cs="Times New Roman"/>
          <w:color w:val="auto"/>
          <w:sz w:val="32"/>
        </w:rPr>
        <w:t>万元，完成预算</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%，决算数等于预算数。</w:t>
      </w:r>
    </w:p>
    <w:p w14:paraId="5E21EC49">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b w:val="0"/>
          <w:bCs w:val="0"/>
          <w:color w:val="auto"/>
          <w:sz w:val="32"/>
          <w:lang w:val="en-US" w:eastAsia="zh-CN"/>
        </w:rPr>
        <w:t>5.</w:t>
      </w:r>
      <w:r>
        <w:rPr>
          <w:rFonts w:hint="default" w:ascii="Times New Roman" w:hAnsi="Times New Roman" w:eastAsia="仿宋_GB2312" w:cs="Times New Roman"/>
          <w:b w:val="0"/>
          <w:bCs w:val="0"/>
          <w:color w:val="auto"/>
          <w:sz w:val="32"/>
        </w:rPr>
        <w:t>社会保障和就业（类）行政事业单位养老支出（款）机关事业单位基本养老保险缴费支出（项）:</w:t>
      </w:r>
      <w:r>
        <w:rPr>
          <w:rFonts w:hint="default" w:ascii="Times New Roman" w:hAnsi="Times New Roman" w:eastAsia="仿宋_GB2312" w:cs="Times New Roman"/>
          <w:b/>
          <w:bCs/>
          <w:color w:val="auto"/>
          <w:sz w:val="32"/>
        </w:rPr>
        <w:t xml:space="preserve"> </w:t>
      </w:r>
      <w:r>
        <w:rPr>
          <w:rFonts w:hint="default" w:ascii="Times New Roman" w:hAnsi="Times New Roman" w:eastAsia="仿宋_GB2312" w:cs="Times New Roman"/>
          <w:color w:val="auto"/>
          <w:sz w:val="32"/>
        </w:rPr>
        <w:t>支出决算为</w:t>
      </w:r>
      <w:r>
        <w:rPr>
          <w:rFonts w:hint="default" w:ascii="Times New Roman" w:hAnsi="Times New Roman" w:eastAsia="仿宋_GB2312" w:cs="Times New Roman"/>
          <w:color w:val="auto"/>
          <w:sz w:val="32"/>
          <w:lang w:val="en-US" w:eastAsia="zh-CN"/>
        </w:rPr>
        <w:t>91.24</w:t>
      </w:r>
      <w:r>
        <w:rPr>
          <w:rFonts w:hint="default" w:ascii="Times New Roman" w:hAnsi="Times New Roman" w:eastAsia="仿宋_GB2312" w:cs="Times New Roman"/>
          <w:color w:val="auto"/>
          <w:sz w:val="32"/>
        </w:rPr>
        <w:t>万元，完成预算</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%，决算数等于预算数。</w:t>
      </w:r>
    </w:p>
    <w:p w14:paraId="2630F942">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b w:val="0"/>
          <w:bCs w:val="0"/>
          <w:color w:val="auto"/>
          <w:sz w:val="32"/>
          <w:lang w:val="en-US" w:eastAsia="zh-CN"/>
        </w:rPr>
        <w:t>6</w:t>
      </w:r>
      <w:r>
        <w:rPr>
          <w:rFonts w:hint="default" w:ascii="Times New Roman" w:hAnsi="Times New Roman" w:eastAsia="仿宋_GB2312" w:cs="Times New Roman"/>
          <w:b w:val="0"/>
          <w:bCs w:val="0"/>
          <w:color w:val="auto"/>
          <w:sz w:val="32"/>
        </w:rPr>
        <w:t>.卫生健康（类）行政事业单位医疗（款）行政单位医疗（项）:</w:t>
      </w:r>
      <w:r>
        <w:rPr>
          <w:rFonts w:hint="default" w:ascii="Times New Roman" w:hAnsi="Times New Roman" w:eastAsia="仿宋_GB2312" w:cs="Times New Roman"/>
          <w:color w:val="auto"/>
          <w:sz w:val="32"/>
        </w:rPr>
        <w:t>支出决算为</w:t>
      </w:r>
      <w:r>
        <w:rPr>
          <w:rFonts w:hint="default" w:ascii="Times New Roman" w:hAnsi="Times New Roman" w:eastAsia="仿宋_GB2312" w:cs="Times New Roman"/>
          <w:color w:val="auto"/>
          <w:sz w:val="32"/>
          <w:lang w:val="en-US" w:eastAsia="zh-CN"/>
        </w:rPr>
        <w:t>12.57</w:t>
      </w:r>
      <w:r>
        <w:rPr>
          <w:rFonts w:hint="default" w:ascii="Times New Roman" w:hAnsi="Times New Roman" w:eastAsia="仿宋_GB2312" w:cs="Times New Roman"/>
          <w:color w:val="auto"/>
          <w:sz w:val="32"/>
        </w:rPr>
        <w:t>万元，完成预算100%，决算数等于预算数。</w:t>
      </w:r>
    </w:p>
    <w:p w14:paraId="66081A80">
      <w:pPr>
        <w:suppressAutoHyphens/>
        <w:bidi w:val="0"/>
        <w:spacing w:line="579" w:lineRule="exact"/>
        <w:ind w:firstLine="640" w:firstLineChars="200"/>
        <w:jc w:val="left"/>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val="0"/>
          <w:bCs w:val="0"/>
          <w:color w:val="auto"/>
          <w:sz w:val="32"/>
          <w:lang w:val="en-US" w:eastAsia="zh-CN"/>
        </w:rPr>
        <w:t>7.</w:t>
      </w:r>
      <w:r>
        <w:rPr>
          <w:rFonts w:hint="default" w:ascii="Times New Roman" w:hAnsi="Times New Roman" w:eastAsia="仿宋_GB2312" w:cs="Times New Roman"/>
          <w:b w:val="0"/>
          <w:bCs w:val="0"/>
          <w:color w:val="auto"/>
          <w:sz w:val="32"/>
        </w:rPr>
        <w:t>卫生健康（类）行政事业单位医疗（款）</w:t>
      </w:r>
      <w:r>
        <w:rPr>
          <w:rFonts w:hint="default" w:ascii="Times New Roman" w:hAnsi="Times New Roman" w:eastAsia="仿宋_GB2312" w:cs="Times New Roman"/>
          <w:b w:val="0"/>
          <w:bCs w:val="0"/>
          <w:color w:val="auto"/>
          <w:sz w:val="32"/>
          <w:lang w:eastAsia="zh-CN"/>
        </w:rPr>
        <w:t>事业</w:t>
      </w:r>
      <w:r>
        <w:rPr>
          <w:rFonts w:hint="default" w:ascii="Times New Roman" w:hAnsi="Times New Roman" w:eastAsia="仿宋_GB2312" w:cs="Times New Roman"/>
          <w:b w:val="0"/>
          <w:bCs w:val="0"/>
          <w:color w:val="auto"/>
          <w:sz w:val="32"/>
        </w:rPr>
        <w:t>单位医疗（项）:支出决算为</w:t>
      </w:r>
      <w:r>
        <w:rPr>
          <w:rFonts w:hint="default" w:ascii="Times New Roman" w:hAnsi="Times New Roman" w:eastAsia="仿宋_GB2312" w:cs="Times New Roman"/>
          <w:b w:val="0"/>
          <w:bCs w:val="0"/>
          <w:color w:val="auto"/>
          <w:sz w:val="32"/>
          <w:lang w:val="en-US" w:eastAsia="zh-CN"/>
        </w:rPr>
        <w:t>20.51</w:t>
      </w:r>
      <w:r>
        <w:rPr>
          <w:rFonts w:hint="default" w:ascii="Times New Roman" w:hAnsi="Times New Roman" w:eastAsia="仿宋_GB2312" w:cs="Times New Roman"/>
          <w:b w:val="0"/>
          <w:bCs w:val="0"/>
          <w:color w:val="auto"/>
          <w:sz w:val="32"/>
        </w:rPr>
        <w:t>万元，完成预算100%，决算数等于预算数。</w:t>
      </w:r>
    </w:p>
    <w:p w14:paraId="3C649D87">
      <w:pPr>
        <w:suppressAutoHyphens/>
        <w:bidi w:val="0"/>
        <w:spacing w:line="579" w:lineRule="exact"/>
        <w:ind w:firstLine="640" w:firstLineChars="200"/>
        <w:jc w:val="left"/>
        <w:rPr>
          <w:rFonts w:hint="default" w:ascii="Times New Roman" w:hAnsi="Times New Roman" w:eastAsia="仿宋_GB2312" w:cs="Times New Roman"/>
          <w:b w:val="0"/>
          <w:bCs w:val="0"/>
          <w:color w:val="auto"/>
          <w:sz w:val="32"/>
          <w:lang w:eastAsia="zh-CN"/>
        </w:rPr>
      </w:pPr>
      <w:r>
        <w:rPr>
          <w:rFonts w:hint="default" w:ascii="Times New Roman" w:hAnsi="Times New Roman" w:eastAsia="仿宋_GB2312" w:cs="Times New Roman"/>
          <w:b w:val="0"/>
          <w:bCs w:val="0"/>
          <w:color w:val="auto"/>
          <w:sz w:val="32"/>
          <w:lang w:val="en-US" w:eastAsia="zh-CN"/>
        </w:rPr>
        <w:t>8.</w:t>
      </w:r>
      <w:r>
        <w:rPr>
          <w:rFonts w:hint="default" w:ascii="Times New Roman" w:hAnsi="Times New Roman" w:eastAsia="仿宋_GB2312" w:cs="Times New Roman"/>
          <w:b w:val="0"/>
          <w:bCs w:val="0"/>
          <w:color w:val="auto"/>
          <w:sz w:val="32"/>
        </w:rPr>
        <w:t>卫生健康（类）行政事业单位医疗（款）</w:t>
      </w:r>
      <w:r>
        <w:rPr>
          <w:rFonts w:hint="default" w:ascii="Times New Roman" w:hAnsi="Times New Roman" w:eastAsia="仿宋_GB2312" w:cs="Times New Roman"/>
          <w:b w:val="0"/>
          <w:bCs w:val="0"/>
          <w:color w:val="auto"/>
          <w:sz w:val="32"/>
          <w:lang w:eastAsia="zh-CN"/>
        </w:rPr>
        <w:t>公务员医疗补助</w:t>
      </w:r>
      <w:r>
        <w:rPr>
          <w:rFonts w:hint="default" w:ascii="Times New Roman" w:hAnsi="Times New Roman" w:eastAsia="仿宋_GB2312" w:cs="Times New Roman"/>
          <w:b w:val="0"/>
          <w:bCs w:val="0"/>
          <w:color w:val="auto"/>
          <w:sz w:val="32"/>
        </w:rPr>
        <w:t>（项）:支出决算为</w:t>
      </w:r>
      <w:r>
        <w:rPr>
          <w:rFonts w:hint="default" w:ascii="Times New Roman" w:hAnsi="Times New Roman" w:eastAsia="仿宋_GB2312" w:cs="Times New Roman"/>
          <w:b w:val="0"/>
          <w:bCs w:val="0"/>
          <w:color w:val="auto"/>
          <w:sz w:val="32"/>
          <w:lang w:val="en-US" w:eastAsia="zh-CN"/>
        </w:rPr>
        <w:t>1.23</w:t>
      </w:r>
      <w:r>
        <w:rPr>
          <w:rFonts w:hint="default" w:ascii="Times New Roman" w:hAnsi="Times New Roman" w:eastAsia="仿宋_GB2312" w:cs="Times New Roman"/>
          <w:b w:val="0"/>
          <w:bCs w:val="0"/>
          <w:color w:val="auto"/>
          <w:sz w:val="32"/>
        </w:rPr>
        <w:t>万元，完成预算100%，决算数等于预算数</w:t>
      </w:r>
      <w:r>
        <w:rPr>
          <w:rFonts w:hint="default" w:ascii="Times New Roman" w:hAnsi="Times New Roman" w:eastAsia="仿宋_GB2312" w:cs="Times New Roman"/>
          <w:b w:val="0"/>
          <w:bCs w:val="0"/>
          <w:color w:val="auto"/>
          <w:sz w:val="32"/>
          <w:lang w:eastAsia="zh-CN"/>
        </w:rPr>
        <w:t>。</w:t>
      </w:r>
    </w:p>
    <w:p w14:paraId="31826F9C">
      <w:pPr>
        <w:suppressAutoHyphens/>
        <w:bidi w:val="0"/>
        <w:spacing w:line="579" w:lineRule="exact"/>
        <w:ind w:firstLine="640" w:firstLineChars="200"/>
        <w:jc w:val="left"/>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val="0"/>
          <w:bCs w:val="0"/>
          <w:color w:val="auto"/>
          <w:sz w:val="32"/>
          <w:lang w:val="en-US" w:eastAsia="zh-CN"/>
        </w:rPr>
        <w:t>9.</w:t>
      </w:r>
      <w:r>
        <w:rPr>
          <w:rFonts w:hint="default" w:ascii="Times New Roman" w:hAnsi="Times New Roman" w:eastAsia="仿宋_GB2312" w:cs="Times New Roman"/>
          <w:b w:val="0"/>
          <w:bCs w:val="0"/>
          <w:color w:val="auto"/>
          <w:sz w:val="32"/>
        </w:rPr>
        <w:t>卫生健康（类）行政事业单位医疗（款）其他行政事业单位医疗</w:t>
      </w:r>
      <w:r>
        <w:rPr>
          <w:rFonts w:hint="default" w:ascii="Times New Roman" w:hAnsi="Times New Roman" w:eastAsia="仿宋_GB2312" w:cs="Times New Roman"/>
          <w:b w:val="0"/>
          <w:bCs w:val="0"/>
          <w:color w:val="auto"/>
          <w:sz w:val="32"/>
          <w:lang w:eastAsia="zh-CN"/>
        </w:rPr>
        <w:t>支出</w:t>
      </w:r>
      <w:r>
        <w:rPr>
          <w:rFonts w:hint="default" w:ascii="Times New Roman" w:hAnsi="Times New Roman" w:eastAsia="仿宋_GB2312" w:cs="Times New Roman"/>
          <w:b w:val="0"/>
          <w:bCs w:val="0"/>
          <w:color w:val="auto"/>
          <w:sz w:val="32"/>
        </w:rPr>
        <w:t>（项）:支出决算为</w:t>
      </w:r>
      <w:r>
        <w:rPr>
          <w:rFonts w:hint="default" w:ascii="Times New Roman" w:hAnsi="Times New Roman" w:eastAsia="仿宋_GB2312" w:cs="Times New Roman"/>
          <w:b w:val="0"/>
          <w:bCs w:val="0"/>
          <w:color w:val="auto"/>
          <w:sz w:val="32"/>
          <w:lang w:val="en-US" w:eastAsia="zh-CN"/>
        </w:rPr>
        <w:t>1.45</w:t>
      </w:r>
      <w:r>
        <w:rPr>
          <w:rFonts w:hint="default" w:ascii="Times New Roman" w:hAnsi="Times New Roman" w:eastAsia="仿宋_GB2312" w:cs="Times New Roman"/>
          <w:b w:val="0"/>
          <w:bCs w:val="0"/>
          <w:color w:val="auto"/>
          <w:sz w:val="32"/>
        </w:rPr>
        <w:t>万元，完成预算100%，决算数等于预算数。</w:t>
      </w:r>
    </w:p>
    <w:p w14:paraId="04B7177C">
      <w:pPr>
        <w:suppressAutoHyphens/>
        <w:bidi w:val="0"/>
        <w:spacing w:line="579" w:lineRule="exact"/>
        <w:ind w:firstLine="640" w:firstLineChars="200"/>
        <w:jc w:val="left"/>
        <w:rPr>
          <w:rFonts w:hint="default" w:ascii="Times New Roman" w:hAnsi="Times New Roman" w:eastAsia="仿宋" w:cs="Times New Roman"/>
          <w:b/>
          <w:color w:val="auto"/>
          <w:sz w:val="32"/>
          <w:szCs w:val="32"/>
          <w:highlight w:val="none"/>
        </w:rPr>
      </w:pPr>
      <w:r>
        <w:rPr>
          <w:rFonts w:hint="eastAsia" w:eastAsia="仿宋_GB2312" w:cs="Times New Roman"/>
          <w:b w:val="0"/>
          <w:bCs w:val="0"/>
          <w:color w:val="auto"/>
          <w:sz w:val="32"/>
          <w:lang w:val="en-US" w:eastAsia="zh-CN"/>
        </w:rPr>
        <w:t>10</w:t>
      </w:r>
      <w:r>
        <w:rPr>
          <w:rFonts w:hint="default" w:ascii="Times New Roman" w:hAnsi="Times New Roman" w:eastAsia="仿宋_GB2312" w:cs="Times New Roman"/>
          <w:b w:val="0"/>
          <w:bCs w:val="0"/>
          <w:color w:val="auto"/>
          <w:sz w:val="32"/>
          <w:lang w:val="en-US" w:eastAsia="zh-CN"/>
        </w:rPr>
        <w:t>.</w:t>
      </w:r>
      <w:r>
        <w:rPr>
          <w:rFonts w:hint="default" w:ascii="Times New Roman" w:hAnsi="Times New Roman" w:eastAsia="仿宋_GB2312" w:cs="Times New Roman"/>
          <w:b w:val="0"/>
          <w:bCs w:val="0"/>
          <w:color w:val="auto"/>
          <w:sz w:val="32"/>
        </w:rPr>
        <w:t>住房保障（类）住房改革支出（款）</w:t>
      </w:r>
      <w:r>
        <w:rPr>
          <w:rFonts w:hint="default" w:ascii="Times New Roman" w:hAnsi="Times New Roman" w:eastAsia="仿宋_GB2312" w:cs="Times New Roman"/>
          <w:b w:val="0"/>
          <w:bCs w:val="0"/>
          <w:color w:val="auto"/>
          <w:sz w:val="32"/>
          <w:lang w:eastAsia="zh-CN"/>
        </w:rPr>
        <w:t>住房公积金</w:t>
      </w:r>
      <w:r>
        <w:rPr>
          <w:rFonts w:hint="default" w:ascii="Times New Roman" w:hAnsi="Times New Roman" w:eastAsia="仿宋_GB2312" w:cs="Times New Roman"/>
          <w:b w:val="0"/>
          <w:bCs w:val="0"/>
          <w:color w:val="auto"/>
          <w:sz w:val="32"/>
        </w:rPr>
        <w:t>（项）:</w:t>
      </w:r>
      <w:r>
        <w:rPr>
          <w:rFonts w:hint="default" w:ascii="Times New Roman" w:hAnsi="Times New Roman" w:eastAsia="仿宋_GB2312" w:cs="Times New Roman"/>
          <w:color w:val="auto"/>
          <w:sz w:val="32"/>
        </w:rPr>
        <w:t>支出决算为</w:t>
      </w:r>
      <w:r>
        <w:rPr>
          <w:rFonts w:hint="default" w:ascii="Times New Roman" w:hAnsi="Times New Roman" w:eastAsia="仿宋_GB2312" w:cs="Times New Roman"/>
          <w:color w:val="auto"/>
          <w:sz w:val="32"/>
          <w:lang w:val="en-US" w:eastAsia="zh-CN"/>
        </w:rPr>
        <w:t>72.37</w:t>
      </w:r>
      <w:r>
        <w:rPr>
          <w:rFonts w:hint="default" w:ascii="Times New Roman" w:hAnsi="Times New Roman" w:eastAsia="仿宋_GB2312" w:cs="Times New Roman"/>
          <w:color w:val="auto"/>
          <w:sz w:val="32"/>
        </w:rPr>
        <w:t>万元，完成预算100%，决算数等于预算数。</w:t>
      </w:r>
    </w:p>
    <w:bookmarkEnd w:id="31"/>
    <w:bookmarkEnd w:id="32"/>
    <w:bookmarkEnd w:id="33"/>
    <w:p w14:paraId="3E28FA60">
      <w:pPr>
        <w:tabs>
          <w:tab w:val="right" w:pos="8306"/>
        </w:tabs>
        <w:spacing w:line="600" w:lineRule="exact"/>
        <w:ind w:firstLine="640"/>
        <w:outlineLvl w:val="1"/>
        <w:rPr>
          <w:rStyle w:val="30"/>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6336B3EF">
      <w:pPr>
        <w:suppressAutoHyphens/>
        <w:bidi w:val="0"/>
        <w:spacing w:line="579" w:lineRule="exact"/>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202</w:t>
      </w:r>
      <w:r>
        <w:rPr>
          <w:rFonts w:hint="eastAsia" w:eastAsia="仿宋_GB2312" w:cs="Times New Roman"/>
          <w:color w:val="auto"/>
          <w:sz w:val="32"/>
          <w:lang w:val="en-US" w:eastAsia="zh-CN"/>
        </w:rPr>
        <w:t>4</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eastAsia="zh-CN"/>
        </w:rPr>
        <w:t>度</w:t>
      </w:r>
      <w:r>
        <w:rPr>
          <w:rFonts w:hint="default" w:ascii="Times New Roman" w:hAnsi="Times New Roman" w:eastAsia="仿宋_GB2312" w:cs="Times New Roman"/>
          <w:color w:val="auto"/>
          <w:sz w:val="32"/>
        </w:rPr>
        <w:t>一般公共预算财政拨款基本支出</w:t>
      </w:r>
      <w:r>
        <w:rPr>
          <w:rFonts w:hint="eastAsia" w:eastAsia="仿宋_GB2312" w:cs="Times New Roman"/>
          <w:color w:val="auto"/>
          <w:sz w:val="32"/>
          <w:highlight w:val="none"/>
          <w:lang w:val="en-US" w:eastAsia="zh-CN"/>
        </w:rPr>
        <w:t>900.62</w:t>
      </w:r>
      <w:r>
        <w:rPr>
          <w:rFonts w:hint="default" w:ascii="Times New Roman" w:hAnsi="Times New Roman" w:eastAsia="仿宋_GB2312" w:cs="Times New Roman"/>
          <w:color w:val="auto"/>
          <w:sz w:val="32"/>
          <w:highlight w:val="none"/>
        </w:rPr>
        <w:t>万</w:t>
      </w:r>
      <w:r>
        <w:rPr>
          <w:rFonts w:hint="default" w:ascii="Times New Roman" w:hAnsi="Times New Roman" w:eastAsia="仿宋_GB2312" w:cs="Times New Roman"/>
          <w:color w:val="auto"/>
          <w:sz w:val="32"/>
        </w:rPr>
        <w:t>元，其中：</w:t>
      </w:r>
    </w:p>
    <w:p w14:paraId="59C9C58E">
      <w:pPr>
        <w:suppressAutoHyphens/>
        <w:bidi w:val="0"/>
        <w:spacing w:line="579" w:lineRule="exact"/>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rPr>
        <w:t>人员经费</w:t>
      </w:r>
      <w:r>
        <w:rPr>
          <w:rFonts w:hint="default" w:ascii="Times New Roman" w:hAnsi="Times New Roman" w:eastAsia="仿宋_GB2312" w:cs="Times New Roman"/>
          <w:color w:val="auto"/>
          <w:sz w:val="32"/>
          <w:lang w:val="en-US" w:eastAsia="zh-CN"/>
        </w:rPr>
        <w:t>823.35</w:t>
      </w:r>
      <w:r>
        <w:rPr>
          <w:rFonts w:hint="default" w:ascii="Times New Roman" w:hAnsi="Times New Roman" w:eastAsia="仿宋_GB2312" w:cs="Times New Roman"/>
          <w:color w:val="auto"/>
          <w:sz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公用经费</w:t>
      </w:r>
      <w:r>
        <w:rPr>
          <w:rFonts w:hint="default" w:ascii="Times New Roman" w:hAnsi="Times New Roman" w:eastAsia="仿宋_GB2312" w:cs="Times New Roman"/>
          <w:color w:val="auto"/>
          <w:sz w:val="32"/>
          <w:lang w:val="en-US" w:eastAsia="zh-CN"/>
        </w:rPr>
        <w:t>77.28</w:t>
      </w:r>
      <w:r>
        <w:rPr>
          <w:rFonts w:hint="default" w:ascii="Times New Roman" w:hAnsi="Times New Roman" w:eastAsia="仿宋_GB2312" w:cs="Times New Roman"/>
          <w:color w:val="auto"/>
          <w:sz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EF9C0D">
      <w:pPr>
        <w:spacing w:line="600" w:lineRule="exact"/>
        <w:ind w:firstLine="640"/>
        <w:outlineLvl w:val="1"/>
        <w:rPr>
          <w:rStyle w:val="30"/>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7139AB94">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8"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38"/>
    </w:p>
    <w:p w14:paraId="6F1CE6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0.24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0.65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73.03</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rPr>
        <w:t>决算数与预算数持平</w:t>
      </w:r>
      <w:r>
        <w:rPr>
          <w:rFonts w:hint="eastAsia" w:eastAsia="仿宋_GB2312" w:cs="Times New Roman"/>
          <w:color w:val="auto"/>
          <w:sz w:val="32"/>
          <w:lang w:eastAsia="zh-CN"/>
        </w:rPr>
        <w:t>。</w:t>
      </w:r>
    </w:p>
    <w:p w14:paraId="3CDAEF8E">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39"/>
    </w:p>
    <w:p w14:paraId="736EAE48">
      <w:pPr>
        <w:suppressAutoHyphens/>
        <w:bidi w:val="0"/>
        <w:spacing w:line="579" w:lineRule="exact"/>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lang w:eastAsia="zh-CN"/>
        </w:rPr>
        <w:t>2023</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eastAsia="zh-CN"/>
        </w:rPr>
        <w:t>度</w:t>
      </w:r>
      <w:r>
        <w:rPr>
          <w:rFonts w:hint="default" w:ascii="Times New Roman" w:hAnsi="Times New Roman" w:eastAsia="仿宋_GB2312" w:cs="Times New Roman"/>
          <w:color w:val="auto"/>
          <w:sz w:val="32"/>
        </w:rPr>
        <w:t>“三公”经费财政拨款支出决算中，因公出国（境）费支出决算</w:t>
      </w:r>
      <w:r>
        <w:rPr>
          <w:rFonts w:hint="default" w:ascii="Times New Roman" w:hAnsi="Times New Roman" w:eastAsia="仿宋_GB2312" w:cs="Times New Roman"/>
          <w:color w:val="auto"/>
          <w:sz w:val="32"/>
          <w:lang w:val="en-US" w:eastAsia="zh-CN"/>
        </w:rPr>
        <w:t>0</w:t>
      </w:r>
      <w:r>
        <w:rPr>
          <w:rFonts w:hint="default" w:ascii="Times New Roman" w:hAnsi="Times New Roman" w:eastAsia="仿宋_GB2312" w:cs="Times New Roman"/>
          <w:color w:val="auto"/>
          <w:sz w:val="32"/>
        </w:rPr>
        <w:t>万元，占</w:t>
      </w:r>
      <w:r>
        <w:rPr>
          <w:rFonts w:hint="default" w:ascii="Times New Roman" w:hAnsi="Times New Roman" w:eastAsia="仿宋_GB2312" w:cs="Times New Roman"/>
          <w:color w:val="auto"/>
          <w:sz w:val="32"/>
          <w:lang w:val="en-US" w:eastAsia="zh-CN"/>
        </w:rPr>
        <w:t>0</w:t>
      </w:r>
      <w:r>
        <w:rPr>
          <w:rFonts w:hint="default" w:ascii="Times New Roman" w:hAnsi="Times New Roman" w:eastAsia="仿宋_GB2312" w:cs="Times New Roman"/>
          <w:color w:val="auto"/>
          <w:sz w:val="32"/>
        </w:rPr>
        <w:t>%；公务用车购置及运行维护费支出决算</w:t>
      </w:r>
      <w:r>
        <w:rPr>
          <w:rFonts w:hint="default" w:ascii="Times New Roman" w:hAnsi="Times New Roman" w:eastAsia="仿宋_GB2312" w:cs="Times New Roman"/>
          <w:color w:val="auto"/>
          <w:sz w:val="32"/>
          <w:lang w:val="en-US" w:eastAsia="zh-CN"/>
        </w:rPr>
        <w:t>0</w:t>
      </w:r>
      <w:r>
        <w:rPr>
          <w:rFonts w:hint="default" w:ascii="Times New Roman" w:hAnsi="Times New Roman" w:eastAsia="仿宋_GB2312" w:cs="Times New Roman"/>
          <w:color w:val="auto"/>
          <w:sz w:val="32"/>
        </w:rPr>
        <w:t>万元，占</w:t>
      </w:r>
      <w:r>
        <w:rPr>
          <w:rFonts w:hint="default" w:ascii="Times New Roman" w:hAnsi="Times New Roman" w:eastAsia="仿宋_GB2312" w:cs="Times New Roman"/>
          <w:color w:val="auto"/>
          <w:sz w:val="32"/>
          <w:lang w:val="en-US" w:eastAsia="zh-CN"/>
        </w:rPr>
        <w:t>0</w:t>
      </w:r>
      <w:r>
        <w:rPr>
          <w:rFonts w:hint="default" w:ascii="Times New Roman" w:hAnsi="Times New Roman" w:eastAsia="仿宋_GB2312" w:cs="Times New Roman"/>
          <w:color w:val="auto"/>
          <w:sz w:val="32"/>
        </w:rPr>
        <w:t>%；公务接待费支出决算</w:t>
      </w:r>
      <w:r>
        <w:rPr>
          <w:rFonts w:hint="eastAsia" w:eastAsia="仿宋_GB2312" w:cs="Times New Roman"/>
          <w:color w:val="auto"/>
          <w:sz w:val="32"/>
          <w:lang w:val="en-US" w:eastAsia="zh-CN"/>
        </w:rPr>
        <w:t>0.24</w:t>
      </w:r>
      <w:r>
        <w:rPr>
          <w:rFonts w:hint="default" w:ascii="Times New Roman" w:hAnsi="Times New Roman" w:eastAsia="仿宋_GB2312" w:cs="Times New Roman"/>
          <w:color w:val="auto"/>
          <w:sz w:val="32"/>
        </w:rPr>
        <w:t>万元，占</w:t>
      </w:r>
      <w:r>
        <w:rPr>
          <w:rFonts w:hint="default" w:ascii="Times New Roman" w:hAnsi="Times New Roman" w:eastAsia="仿宋_GB2312" w:cs="Times New Roman"/>
          <w:color w:val="auto"/>
          <w:sz w:val="32"/>
          <w:lang w:val="en-US" w:eastAsia="zh-CN"/>
        </w:rPr>
        <w:t>100</w:t>
      </w:r>
      <w:r>
        <w:rPr>
          <w:rFonts w:hint="default" w:ascii="Times New Roman" w:hAnsi="Times New Roman" w:eastAsia="仿宋_GB2312" w:cs="Times New Roman"/>
          <w:color w:val="auto"/>
          <w:sz w:val="32"/>
        </w:rPr>
        <w:t>%。具体情况如下：</w:t>
      </w:r>
    </w:p>
    <w:p w14:paraId="74DFEBEA">
      <w:pPr>
        <w:widowControl w:val="0"/>
        <w:suppressAutoHyphens/>
        <w:bidi w:val="0"/>
        <w:snapToGrid w:val="0"/>
        <w:spacing w:line="240" w:lineRule="auto"/>
        <w:ind w:left="0" w:leftChars="0" w:firstLine="0" w:firstLineChars="0"/>
        <w:jc w:val="center"/>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 w:cs="Times New Roman"/>
          <w:color w:val="auto"/>
          <w:kern w:val="2"/>
          <w:sz w:val="32"/>
          <w:szCs w:val="32"/>
          <w:highlight w:val="none"/>
          <w:lang w:val="en-US" w:eastAsia="zh-CN" w:bidi="ar-SA"/>
        </w:rPr>
        <w:object>
          <v:shape id="_x0000_i1028" o:spt="75" type="#_x0000_t75" style="height:261.95pt;width:338.3pt;" o:ole="t" filled="f" o:preferrelative="t" stroked="f" coordsize="21600,21600">
            <v:path/>
            <v:fill on="f" focussize="0,0"/>
            <v:stroke on="f"/>
            <v:imagedata r:id="rId18" o:title=""/>
            <o:lock v:ext="edit" aspectratio="t"/>
            <w10:wrap type="none"/>
            <w10:anchorlock/>
          </v:shape>
          <o:OLEObject Type="Embed" ProgID="Excel.Chart.8" ShapeID="_x0000_i1028" DrawAspect="Content" ObjectID="_1468075728" r:id="rId17">
            <o:LockedField>false</o:LockedField>
          </o:OLEObject>
        </w:object>
      </w:r>
    </w:p>
    <w:p w14:paraId="6B6D385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（图7：“三公”经费财政拨款支出结构）</w:t>
      </w:r>
    </w:p>
    <w:p w14:paraId="13A28A1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1.因公出国（境）经费支出</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万元。全年安排因公出国（境）团</w:t>
      </w:r>
      <w:r>
        <w:rPr>
          <w:rFonts w:hint="eastAsia" w:ascii="仿宋_GB2312" w:hAnsi="仿宋_GB2312" w:eastAsia="仿宋_GB2312" w:cs="仿宋_GB2312"/>
          <w:b w:val="0"/>
          <w:bCs w:val="0"/>
          <w:color w:val="auto"/>
          <w:kern w:val="2"/>
          <w:sz w:val="32"/>
          <w:szCs w:val="32"/>
          <w:highlight w:val="none"/>
          <w:lang w:val="en-US" w:eastAsia="zh-CN" w:bidi="ar-SA"/>
        </w:rPr>
        <w:t>组0</w:t>
      </w:r>
      <w:r>
        <w:rPr>
          <w:rFonts w:hint="eastAsia" w:ascii="Times New Roman" w:hAnsi="Times New Roman" w:eastAsia="仿宋_GB2312" w:cs="仿宋_GB2312"/>
          <w:b w:val="0"/>
          <w:bCs w:val="0"/>
          <w:color w:val="auto"/>
          <w:kern w:val="2"/>
          <w:sz w:val="32"/>
          <w:szCs w:val="32"/>
          <w:highlight w:val="none"/>
          <w:lang w:val="en-US" w:eastAsia="zh-CN" w:bidi="ar-SA"/>
        </w:rPr>
        <w:t>次，出国（境）</w:t>
      </w:r>
      <w:r>
        <w:rPr>
          <w:rFonts w:hint="eastAsia"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en-US" w:eastAsia="zh-CN" w:bidi="ar-SA"/>
        </w:rPr>
        <w:t>人</w:t>
      </w:r>
      <w:r>
        <w:rPr>
          <w:rFonts w:hint="eastAsia" w:ascii="Times New Roman" w:hAnsi="Times New Roman" w:eastAsia="仿宋_GB2312" w:cs="仿宋_GB2312"/>
          <w:b w:val="0"/>
          <w:bCs w:val="0"/>
          <w:color w:val="auto"/>
          <w:kern w:val="2"/>
          <w:sz w:val="32"/>
          <w:szCs w:val="32"/>
          <w:highlight w:val="none"/>
          <w:lang w:val="en-US" w:eastAsia="zh-CN" w:bidi="ar-SA"/>
        </w:rPr>
        <w:t>。</w:t>
      </w:r>
    </w:p>
    <w:p w14:paraId="4D4796B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2.公务用车购置及运行维护费支出</w:t>
      </w:r>
      <w:r>
        <w:rPr>
          <w:rFonts w:hint="eastAsia"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w:t>
      </w:r>
      <w:r>
        <w:rPr>
          <w:rFonts w:hint="eastAsia" w:eastAsia="仿宋_GB2312" w:cs="仿宋_GB2312"/>
          <w:b w:val="0"/>
          <w:bCs w:val="0"/>
          <w:color w:val="auto"/>
          <w:kern w:val="2"/>
          <w:sz w:val="32"/>
          <w:szCs w:val="32"/>
          <w:highlight w:val="none"/>
          <w:lang w:val="en-US" w:eastAsia="zh-CN" w:bidi="ar-SA"/>
        </w:rPr>
        <w:t>。</w:t>
      </w:r>
    </w:p>
    <w:p w14:paraId="6EAEB70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3.公务接待费支出0.24万元，完成预算100%。公务接待费支出决算比2023年度减少0.65万元，下降73.03%。</w:t>
      </w:r>
      <w:r>
        <w:rPr>
          <w:rFonts w:hint="default" w:ascii="Times New Roman" w:hAnsi="Times New Roman" w:eastAsia="仿宋_GB2312" w:cs="Times New Roman"/>
          <w:color w:val="auto"/>
          <w:kern w:val="2"/>
          <w:sz w:val="32"/>
          <w:szCs w:val="32"/>
          <w:highlight w:val="none"/>
          <w:lang w:val="en-US" w:eastAsia="zh-CN" w:bidi="ar-SA"/>
        </w:rPr>
        <w:t>主要原因是严守中央八项规定精神，厉行节约。</w:t>
      </w:r>
      <w:r>
        <w:rPr>
          <w:rFonts w:hint="eastAsia" w:ascii="Times New Roman" w:hAnsi="Times New Roman" w:eastAsia="仿宋_GB2312" w:cs="Times New Roman"/>
          <w:color w:val="auto"/>
          <w:kern w:val="2"/>
          <w:sz w:val="32"/>
          <w:szCs w:val="32"/>
          <w:highlight w:val="none"/>
          <w:lang w:val="en-US" w:eastAsia="zh-CN" w:bidi="ar-SA"/>
        </w:rPr>
        <w:t>其中：</w:t>
      </w:r>
    </w:p>
    <w:p w14:paraId="211C350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国内公务接待支出0.24万元，主要用于上级单位检查工作的餐费(执行公务、开展业务活动开支的交通费、住宿费、用餐费等)。国内公务接待2批次，21人次（不包括陪同人员），共计支出0.24万元。</w:t>
      </w:r>
    </w:p>
    <w:p w14:paraId="78C109D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外事接待支出0万元，外事接待0批次，0人次（不包括陪同人员），共计支出0万元。</w:t>
      </w:r>
    </w:p>
    <w:p w14:paraId="4A03498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1"/>
        <w:rPr>
          <w:rStyle w:val="30"/>
          <w:rFonts w:hint="default" w:ascii="Times New Roman" w:hAnsi="Times New Roman" w:eastAsia="仿宋_GB2312" w:cs="Times New Roman"/>
          <w:color w:val="auto"/>
          <w:highlight w:val="none"/>
          <w:lang w:eastAsia="zh-CN"/>
        </w:rPr>
      </w:pPr>
      <w:bookmarkStart w:id="40" w:name="_Toc15396610"/>
      <w:bookmarkStart w:id="41" w:name="_Toc15377218"/>
      <w:r>
        <w:rPr>
          <w:rFonts w:hint="default" w:ascii="Times New Roman" w:hAnsi="Times New Roman" w:eastAsia="仿宋_GB2312" w:cs="Times New Roman"/>
          <w:color w:val="auto"/>
          <w:sz w:val="32"/>
          <w:szCs w:val="32"/>
          <w:highlight w:val="none"/>
        </w:rPr>
        <w:t>八、</w:t>
      </w:r>
      <w:r>
        <w:rPr>
          <w:rStyle w:val="30"/>
          <w:rFonts w:hint="default" w:ascii="Times New Roman" w:hAnsi="Times New Roman" w:eastAsia="仿宋_GB2312" w:cs="Times New Roman"/>
          <w:b w:val="0"/>
          <w:color w:val="auto"/>
          <w:highlight w:val="none"/>
        </w:rPr>
        <w:t>政府性基金预算支出决算情况说明</w:t>
      </w:r>
      <w:bookmarkEnd w:id="40"/>
      <w:bookmarkEnd w:id="41"/>
      <w:r>
        <w:rPr>
          <w:rStyle w:val="30"/>
          <w:rFonts w:hint="default" w:ascii="Times New Roman" w:hAnsi="Times New Roman" w:eastAsia="仿宋_GB2312" w:cs="Times New Roman"/>
          <w:b w:val="0"/>
          <w:color w:val="auto"/>
          <w:highlight w:val="none"/>
          <w:lang w:eastAsia="zh-CN"/>
        </w:rPr>
        <w:t>。</w:t>
      </w:r>
    </w:p>
    <w:p w14:paraId="7FA5BCC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2024年度政府性基金预算财政拨款支出0万元。</w:t>
      </w:r>
    </w:p>
    <w:p w14:paraId="621E00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outlineLvl w:val="1"/>
        <w:rPr>
          <w:rStyle w:val="30"/>
          <w:rFonts w:hint="default" w:ascii="Times New Roman" w:hAnsi="Times New Roman" w:eastAsia="仿宋_GB2312" w:cs="Times New Roman"/>
          <w:b w:val="0"/>
          <w:color w:val="auto"/>
          <w:highlight w:val="none"/>
        </w:rPr>
      </w:pPr>
      <w:bookmarkStart w:id="42" w:name="_Toc15396611"/>
      <w:bookmarkStart w:id="43" w:name="_Toc15377219"/>
      <w:r>
        <w:rPr>
          <w:rStyle w:val="30"/>
          <w:rFonts w:hint="default" w:ascii="Times New Roman" w:hAnsi="Times New Roman" w:eastAsia="仿宋_GB2312" w:cs="Times New Roman"/>
          <w:b w:val="0"/>
          <w:color w:val="auto"/>
          <w:highlight w:val="none"/>
          <w:lang w:eastAsia="zh-CN"/>
        </w:rPr>
        <w:t>九、</w:t>
      </w:r>
      <w:r>
        <w:rPr>
          <w:rStyle w:val="30"/>
          <w:rFonts w:hint="default" w:ascii="Times New Roman" w:hAnsi="Times New Roman" w:eastAsia="仿宋_GB2312" w:cs="Times New Roman"/>
          <w:b w:val="0"/>
          <w:color w:val="auto"/>
          <w:highlight w:val="none"/>
        </w:rPr>
        <w:t>国有资本经营预算支出决算情况说明</w:t>
      </w:r>
      <w:bookmarkEnd w:id="42"/>
      <w:bookmarkEnd w:id="43"/>
    </w:p>
    <w:p w14:paraId="593FB1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w:t>
      </w:r>
      <w:bookmarkStart w:id="44" w:name="_Toc15396612"/>
      <w:bookmarkStart w:id="45" w:name="_Toc15377221"/>
    </w:p>
    <w:p w14:paraId="40FBBA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outlineLvl w:val="1"/>
        <w:rPr>
          <w:rStyle w:val="30"/>
          <w:rFonts w:hint="default" w:ascii="Times New Roman" w:hAnsi="Times New Roman" w:eastAsia="黑体" w:cs="Times New Roman"/>
          <w:b w:val="0"/>
          <w:color w:val="auto"/>
          <w:highlight w:val="none"/>
        </w:rPr>
      </w:pPr>
      <w:r>
        <w:rPr>
          <w:rStyle w:val="30"/>
          <w:rFonts w:hint="default" w:ascii="Times New Roman" w:hAnsi="Times New Roman" w:eastAsia="黑体" w:cs="Times New Roman"/>
          <w:b w:val="0"/>
          <w:color w:val="auto"/>
          <w:highlight w:val="none"/>
          <w:lang w:eastAsia="zh-CN"/>
        </w:rPr>
        <w:t>十、</w:t>
      </w:r>
      <w:r>
        <w:rPr>
          <w:rStyle w:val="30"/>
          <w:rFonts w:hint="default" w:ascii="Times New Roman" w:hAnsi="Times New Roman" w:eastAsia="黑体" w:cs="Times New Roman"/>
          <w:b w:val="0"/>
          <w:color w:val="auto"/>
          <w:highlight w:val="none"/>
        </w:rPr>
        <w:t>其他重要事项的情况说明</w:t>
      </w:r>
      <w:bookmarkEnd w:id="44"/>
      <w:bookmarkEnd w:id="45"/>
    </w:p>
    <w:p w14:paraId="78D178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46" w:name="_Toc15377222"/>
      <w:r>
        <w:rPr>
          <w:rFonts w:hint="eastAsia" w:ascii="Times New Roman" w:hAnsi="Times New Roman" w:eastAsia="楷体_GB2312" w:cs="楷体_GB2312"/>
          <w:b w:val="0"/>
          <w:bCs/>
          <w:color w:val="auto"/>
          <w:sz w:val="32"/>
          <w:szCs w:val="32"/>
          <w:highlight w:val="none"/>
        </w:rPr>
        <w:t>（一）机关运行经费支出情况</w:t>
      </w:r>
      <w:bookmarkEnd w:id="46"/>
    </w:p>
    <w:p w14:paraId="67676E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宣汉县行政审批局</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cs="Times New Roman"/>
          <w:color w:val="auto"/>
          <w:sz w:val="32"/>
          <w:szCs w:val="32"/>
          <w:highlight w:val="none"/>
          <w:lang w:val="en-US" w:eastAsia="zh-CN"/>
        </w:rPr>
        <w:t>77.28</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度减少</w:t>
      </w:r>
      <w:r>
        <w:rPr>
          <w:rFonts w:hint="default" w:ascii="Times New Roman" w:hAnsi="Times New Roman" w:cs="Times New Roman"/>
          <w:color w:val="auto"/>
          <w:sz w:val="32"/>
          <w:szCs w:val="32"/>
          <w:highlight w:val="none"/>
          <w:lang w:val="en-US" w:eastAsia="zh-CN"/>
        </w:rPr>
        <w:t>5.83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减少</w:t>
      </w:r>
      <w:r>
        <w:rPr>
          <w:rFonts w:hint="default" w:ascii="Times New Roman" w:hAnsi="Times New Roman" w:cs="Times New Roman"/>
          <w:color w:val="auto"/>
          <w:sz w:val="32"/>
          <w:szCs w:val="32"/>
          <w:highlight w:val="none"/>
          <w:lang w:val="en-US" w:eastAsia="zh-CN"/>
        </w:rPr>
        <w:t>7.01</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人员减少。</w:t>
      </w:r>
    </w:p>
    <w:p w14:paraId="69B6B1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bookmarkStart w:id="47" w:name="_Toc15377223"/>
      <w:r>
        <w:rPr>
          <w:rFonts w:hint="default" w:ascii="Times New Roman" w:hAnsi="Times New Roman" w:eastAsia="楷体_GB2312" w:cs="Times New Roman"/>
          <w:b w:val="0"/>
          <w:bCs/>
          <w:color w:val="auto"/>
          <w:sz w:val="32"/>
          <w:szCs w:val="32"/>
          <w:highlight w:val="none"/>
        </w:rPr>
        <w:t>（二）政府采购支出情况</w:t>
      </w:r>
      <w:bookmarkEnd w:id="47"/>
    </w:p>
    <w:p w14:paraId="115B5E1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2024年度，宣汉县行政审批局采购支出总额0万元。</w:t>
      </w:r>
    </w:p>
    <w:p w14:paraId="16CBEAD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bookmarkStart w:id="48" w:name="_Toc15377224"/>
      <w:r>
        <w:rPr>
          <w:rFonts w:hint="default" w:ascii="Times New Roman" w:hAnsi="Times New Roman" w:eastAsia="楷体_GB2312" w:cs="Times New Roman"/>
          <w:b w:val="0"/>
          <w:bCs/>
          <w:color w:val="auto"/>
          <w:sz w:val="32"/>
          <w:szCs w:val="32"/>
          <w:highlight w:val="none"/>
        </w:rPr>
        <w:t>（三）国有资产占有使用情况</w:t>
      </w:r>
      <w:bookmarkEnd w:id="48"/>
    </w:p>
    <w:p w14:paraId="186923F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截至2024年12月31日，宣汉县行政审批局共有车辆0辆，其中：主要负责人用车0辆、机要通信用车0辆、应急保障用车0辆、其他用车0辆。单价100万元（含）以上设备（不含车辆）0台（套）。</w:t>
      </w:r>
    </w:p>
    <w:p w14:paraId="0C6E11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（四）预算绩效管理情况</w:t>
      </w:r>
    </w:p>
    <w:p w14:paraId="1FD301E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w:t>
      </w:r>
      <w:r>
        <w:rPr>
          <w:rFonts w:hint="default" w:ascii="Times New Roman" w:hAnsi="Times New Roman" w:eastAsia="仿宋_GB2312" w:cs="Times New Roman"/>
          <w:color w:val="auto"/>
          <w:kern w:val="2"/>
          <w:sz w:val="32"/>
          <w:szCs w:val="32"/>
          <w:highlight w:val="none"/>
          <w:lang w:val="en-US" w:eastAsia="zh-CN" w:bidi="ar-SA"/>
        </w:rPr>
        <w:fldChar w:fldCharType="begin"/>
      </w:r>
      <w:r>
        <w:rPr>
          <w:rFonts w:hint="default" w:ascii="Times New Roman" w:hAnsi="Times New Roman" w:eastAsia="仿宋_GB2312" w:cs="Times New Roman"/>
          <w:color w:val="auto"/>
          <w:kern w:val="2"/>
          <w:sz w:val="32"/>
          <w:szCs w:val="32"/>
          <w:highlight w:val="none"/>
          <w:lang w:val="en-US" w:eastAsia="zh-CN" w:bidi="ar-SA"/>
        </w:rPr>
        <w:instrText xml:space="preserve"> = 1 \* GB3 \* MERGEFORMAT </w:instrText>
      </w:r>
      <w:r>
        <w:rPr>
          <w:rFonts w:hint="default" w:ascii="Times New Roman" w:hAnsi="Times New Roman" w:eastAsia="仿宋_GB2312" w:cs="Times New Roman"/>
          <w:color w:val="auto"/>
          <w:kern w:val="2"/>
          <w:sz w:val="32"/>
          <w:szCs w:val="32"/>
          <w:highlight w:val="none"/>
          <w:lang w:val="en-US" w:eastAsia="zh-CN" w:bidi="ar-SA"/>
        </w:rPr>
        <w:fldChar w:fldCharType="separate"/>
      </w:r>
      <w:r>
        <w:rPr>
          <w:rFonts w:hint="default" w:ascii="Times New Roman" w:hAnsi="Times New Roman" w:eastAsia="仿宋_GB2312" w:cs="Times New Roman"/>
          <w:color w:val="auto"/>
          <w:kern w:val="2"/>
          <w:sz w:val="32"/>
          <w:szCs w:val="32"/>
          <w:highlight w:val="none"/>
          <w:lang w:val="en-US" w:eastAsia="zh-CN" w:bidi="ar-SA"/>
        </w:rPr>
        <w:t>①</w:t>
      </w:r>
      <w:r>
        <w:rPr>
          <w:rFonts w:hint="default" w:ascii="Times New Roman" w:hAnsi="Times New Roman"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kern w:val="2"/>
          <w:sz w:val="32"/>
          <w:szCs w:val="32"/>
          <w:highlight w:val="none"/>
          <w:lang w:val="en-US" w:eastAsia="zh-CN" w:bidi="ar-SA"/>
        </w:rPr>
        <w:t>政务服务大厅购买社会化服务费：专家评审及技术听证</w:t>
      </w:r>
      <w:r>
        <w:rPr>
          <w:rFonts w:hint="default" w:ascii="Times New Roman" w:hAnsi="Times New Roman" w:eastAsia="仿宋_GB2312" w:cs="Times New Roman"/>
          <w:color w:val="auto"/>
          <w:kern w:val="2"/>
          <w:sz w:val="32"/>
          <w:szCs w:val="32"/>
          <w:highlight w:val="none"/>
          <w:lang w:val="en-US" w:eastAsia="zh-CN" w:bidi="ar-SA"/>
        </w:rPr>
        <w:fldChar w:fldCharType="begin"/>
      </w:r>
      <w:r>
        <w:rPr>
          <w:rFonts w:hint="default" w:ascii="Times New Roman" w:hAnsi="Times New Roman" w:eastAsia="仿宋_GB2312" w:cs="Times New Roman"/>
          <w:color w:val="auto"/>
          <w:kern w:val="2"/>
          <w:sz w:val="32"/>
          <w:szCs w:val="32"/>
          <w:highlight w:val="none"/>
          <w:lang w:val="en-US" w:eastAsia="zh-CN" w:bidi="ar-SA"/>
        </w:rPr>
        <w:instrText xml:space="preserve"> = 2 \* GB3 \* MERGEFORMAT </w:instrText>
      </w:r>
      <w:r>
        <w:rPr>
          <w:rFonts w:hint="default" w:ascii="Times New Roman" w:hAnsi="Times New Roman" w:eastAsia="仿宋_GB2312" w:cs="Times New Roman"/>
          <w:color w:val="auto"/>
          <w:kern w:val="2"/>
          <w:sz w:val="32"/>
          <w:szCs w:val="32"/>
          <w:highlight w:val="none"/>
          <w:lang w:val="en-US" w:eastAsia="zh-CN" w:bidi="ar-SA"/>
        </w:rPr>
        <w:fldChar w:fldCharType="separate"/>
      </w:r>
      <w:r>
        <w:rPr>
          <w:rFonts w:hint="default" w:ascii="Times New Roman" w:hAnsi="Times New Roman" w:eastAsia="仿宋_GB2312" w:cs="Times New Roman"/>
          <w:color w:val="auto"/>
          <w:kern w:val="2"/>
          <w:sz w:val="32"/>
          <w:szCs w:val="32"/>
          <w:highlight w:val="none"/>
          <w:lang w:val="en-US" w:eastAsia="zh-CN" w:bidi="ar-SA"/>
        </w:rPr>
        <w:t>②</w:t>
      </w:r>
      <w:r>
        <w:rPr>
          <w:rFonts w:hint="default" w:ascii="Times New Roman" w:hAnsi="Times New Roman"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kern w:val="2"/>
          <w:sz w:val="32"/>
          <w:szCs w:val="32"/>
          <w:highlight w:val="none"/>
          <w:lang w:val="en-US" w:eastAsia="zh-CN" w:bidi="ar-SA"/>
        </w:rPr>
        <w:t>向新开办企业赠送首套印章</w:t>
      </w:r>
      <w:r>
        <w:rPr>
          <w:rFonts w:hint="default" w:ascii="Times New Roman" w:hAnsi="Times New Roman" w:eastAsia="仿宋_GB2312" w:cs="Times New Roman"/>
          <w:color w:val="auto"/>
          <w:kern w:val="2"/>
          <w:sz w:val="32"/>
          <w:szCs w:val="32"/>
          <w:highlight w:val="none"/>
          <w:lang w:val="en-US" w:eastAsia="zh-CN" w:bidi="ar-SA"/>
        </w:rPr>
        <w:fldChar w:fldCharType="begin"/>
      </w:r>
      <w:r>
        <w:rPr>
          <w:rFonts w:hint="default" w:ascii="Times New Roman" w:hAnsi="Times New Roman" w:eastAsia="仿宋_GB2312" w:cs="Times New Roman"/>
          <w:color w:val="auto"/>
          <w:kern w:val="2"/>
          <w:sz w:val="32"/>
          <w:szCs w:val="32"/>
          <w:highlight w:val="none"/>
          <w:lang w:val="en-US" w:eastAsia="zh-CN" w:bidi="ar-SA"/>
        </w:rPr>
        <w:instrText xml:space="preserve"> = 3 \* GB3 \* MERGEFORMAT </w:instrText>
      </w:r>
      <w:r>
        <w:rPr>
          <w:rFonts w:hint="default" w:ascii="Times New Roman" w:hAnsi="Times New Roman" w:eastAsia="仿宋_GB2312" w:cs="Times New Roman"/>
          <w:color w:val="auto"/>
          <w:kern w:val="2"/>
          <w:sz w:val="32"/>
          <w:szCs w:val="32"/>
          <w:highlight w:val="none"/>
          <w:lang w:val="en-US" w:eastAsia="zh-CN" w:bidi="ar-SA"/>
        </w:rPr>
        <w:fldChar w:fldCharType="separate"/>
      </w:r>
      <w:r>
        <w:rPr>
          <w:rFonts w:hint="default" w:ascii="Times New Roman" w:hAnsi="Times New Roman" w:eastAsia="仿宋_GB2312" w:cs="Times New Roman"/>
          <w:color w:val="auto"/>
          <w:kern w:val="2"/>
          <w:sz w:val="32"/>
          <w:szCs w:val="32"/>
          <w:highlight w:val="none"/>
          <w:lang w:val="en-US" w:eastAsia="zh-CN" w:bidi="ar-SA"/>
        </w:rPr>
        <w:t>③</w:t>
      </w:r>
      <w:r>
        <w:rPr>
          <w:rFonts w:hint="default" w:ascii="Times New Roman" w:hAnsi="Times New Roman"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kern w:val="2"/>
          <w:sz w:val="32"/>
          <w:szCs w:val="32"/>
          <w:highlight w:val="none"/>
          <w:lang w:val="en-US" w:eastAsia="zh-CN" w:bidi="ar-SA"/>
        </w:rPr>
        <w:t>县政务服</w:t>
      </w:r>
      <w:r>
        <w:rPr>
          <w:rFonts w:hint="eastAsia" w:ascii="Times New Roman" w:hAnsi="Times New Roman" w:eastAsia="仿宋_GB2312" w:cs="仿宋_GB2312"/>
          <w:color w:val="auto"/>
          <w:kern w:val="2"/>
          <w:sz w:val="32"/>
          <w:szCs w:val="32"/>
          <w:highlight w:val="none"/>
          <w:lang w:val="en-US" w:eastAsia="zh-CN" w:bidi="ar-SA"/>
        </w:rPr>
        <w:t>务大厅及乡镇便民网络服务费</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4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④</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“互联网+政务服务”优化营商环境相关项目</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5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⑤</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行政审批证照购买及制作</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6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⑥</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行政审批现场踏勘调查经费项目等6个项目开展了预算事前绩效评估，对6个项目编制了绩效目标，预算执行过程中，选取2个项目开展绩效监控。</w:t>
      </w:r>
    </w:p>
    <w:p w14:paraId="2536F92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一般公共预算、政府性基金预算、国有资本经营预算、社会保险基金预算以及资本资产、债券资金等全面开展绩效自评，形成宣汉县行政审批局整体（含部门预算项目）绩效自评报告、政务服务大厅购买社会化服务费：专家评审及技术听证等专项预算项目绩效自评报告，其中，宣汉县行政审批局部门整体（含部门预算项目）绩效自评得分为98分，绩效自评综述：</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1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①</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政务服务大厅购买社会化服务费：专家评审及技术听证自评得分92分</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2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②</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向新开办企业赠送首套印章专项预算项目绩效自评得分为86分</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3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③</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县政务服务大厅及乡镇便民网络服务费自评得分87分</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4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④</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“互联网+政务服务”优化营商环境相关项目自评得分为93分</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5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⑤</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行政审批证照购买及制作项目自评得分为</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8分</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 6 \* GB3 \* MERGEFORMAT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⑥</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行政审批现场踏勘调查经费项目自评得分为85分。绩效自评报告详见附件。</w:t>
      </w:r>
    </w:p>
    <w:p w14:paraId="7A78DCAF">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49" w:name="_Toc15377225"/>
      <w:bookmarkStart w:id="50" w:name="_Toc15396613"/>
    </w:p>
    <w:p w14:paraId="50B936F2">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28413082">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11B798F8">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07995A1F">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501A3171">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名词解释</w:t>
      </w:r>
      <w:bookmarkEnd w:id="49"/>
      <w:bookmarkEnd w:id="50"/>
    </w:p>
    <w:p w14:paraId="229F6E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AFA82B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2.年初结转和结余：指以前年度尚未完成、结转到本年按有关规定继续使用的资金。 </w:t>
      </w:r>
    </w:p>
    <w:p w14:paraId="1CF96F8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3.年末结转和结余：指单位按有关规定结转到下年或以后年度继续使用的资金。</w:t>
      </w:r>
    </w:p>
    <w:p w14:paraId="4D6A75B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4.一般公共服务支出（类）：反映政府提供一般公共服务的支出</w:t>
      </w:r>
      <w:r>
        <w:rPr>
          <w:rFonts w:hint="eastAsia" w:eastAsia="仿宋_GB2312" w:cs="仿宋_GB2312"/>
          <w:color w:val="auto"/>
          <w:kern w:val="2"/>
          <w:sz w:val="32"/>
          <w:szCs w:val="32"/>
          <w:highlight w:val="none"/>
          <w:lang w:val="en-US" w:eastAsia="zh-CN" w:bidi="ar-SA"/>
        </w:rPr>
        <w:t>。</w:t>
      </w:r>
    </w:p>
    <w:p w14:paraId="23917ED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5.政府办公厅（室）及相关机构事务（款）：反映各级政府办公厅（室）及相关机构的支出</w:t>
      </w:r>
      <w:r>
        <w:rPr>
          <w:rFonts w:hint="eastAsia" w:eastAsia="仿宋_GB2312" w:cs="仿宋_GB2312"/>
          <w:color w:val="auto"/>
          <w:kern w:val="2"/>
          <w:sz w:val="32"/>
          <w:szCs w:val="32"/>
          <w:highlight w:val="none"/>
          <w:lang w:val="en-US" w:eastAsia="zh-CN" w:bidi="ar-SA"/>
        </w:rPr>
        <w:t>。</w:t>
      </w:r>
    </w:p>
    <w:p w14:paraId="05D779E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6.行政运行（项）：反映行政单位（包括实行公务员管理的事业单位）的基本支出。</w:t>
      </w:r>
    </w:p>
    <w:p w14:paraId="7FEE5E9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7.专项业务活动（项）：反映各级政府举行各类重大活动，召开重要会议（如国务院一类会议、国庆招待会、全国劳模大会）的支出，政府机关房地产管理、公务用车管理等方面的支出。</w:t>
      </w:r>
    </w:p>
    <w:p w14:paraId="471846E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8.政务公开审批（项）：反映各级政府政务公开审批方面的支出。</w:t>
      </w:r>
    </w:p>
    <w:p w14:paraId="633375F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9.事业运行（项）：反映事业单位的基本支出，不包括行政单位（包括实行公务员管理的事业单位）后勤服务中心、医务室等附属事业单位。</w:t>
      </w:r>
    </w:p>
    <w:p w14:paraId="40E79EE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10.社会保障和就业支出（类）：反映政府在社会保障与就业方面的支出</w:t>
      </w:r>
      <w:r>
        <w:rPr>
          <w:rFonts w:hint="eastAsia" w:eastAsia="仿宋_GB2312" w:cs="仿宋_GB2312"/>
          <w:color w:val="auto"/>
          <w:kern w:val="2"/>
          <w:sz w:val="32"/>
          <w:szCs w:val="32"/>
          <w:highlight w:val="none"/>
          <w:lang w:val="en-US" w:eastAsia="zh-CN" w:bidi="ar-SA"/>
        </w:rPr>
        <w:t>。</w:t>
      </w:r>
    </w:p>
    <w:p w14:paraId="48BFF3D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11.行政事业单位养老支出（款）：反映用于行政事业单位养老方面的支出</w:t>
      </w:r>
      <w:r>
        <w:rPr>
          <w:rFonts w:hint="eastAsia" w:eastAsia="仿宋_GB2312" w:cs="仿宋_GB2312"/>
          <w:color w:val="auto"/>
          <w:kern w:val="2"/>
          <w:sz w:val="32"/>
          <w:szCs w:val="32"/>
          <w:highlight w:val="none"/>
          <w:lang w:val="en-US" w:eastAsia="zh-CN" w:bidi="ar-SA"/>
        </w:rPr>
        <w:t>。</w:t>
      </w:r>
    </w:p>
    <w:p w14:paraId="5135DEE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12.机关事业单位基本养老保险缴费支出（项）：反映机关事业单位实施养老保险制度由单位缴纳的基本养老保险费支出。</w:t>
      </w:r>
    </w:p>
    <w:p w14:paraId="4383861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13.卫生健康支出（类）：反映政府卫生健康方面的支出</w:t>
      </w:r>
      <w:r>
        <w:rPr>
          <w:rFonts w:hint="eastAsia" w:eastAsia="仿宋_GB2312" w:cs="仿宋_GB2312"/>
          <w:color w:val="auto"/>
          <w:kern w:val="2"/>
          <w:sz w:val="32"/>
          <w:szCs w:val="32"/>
          <w:highlight w:val="none"/>
          <w:lang w:val="en-US" w:eastAsia="zh-CN" w:bidi="ar-SA"/>
        </w:rPr>
        <w:t>。</w:t>
      </w:r>
    </w:p>
    <w:p w14:paraId="1E2B064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14.行政事业单位医疗（款）：反映行政事业单位医疗方面的支出</w:t>
      </w:r>
      <w:r>
        <w:rPr>
          <w:rFonts w:hint="eastAsia" w:eastAsia="仿宋_GB2312" w:cs="仿宋_GB2312"/>
          <w:color w:val="auto"/>
          <w:kern w:val="2"/>
          <w:sz w:val="32"/>
          <w:szCs w:val="32"/>
          <w:highlight w:val="none"/>
          <w:lang w:val="en-US" w:eastAsia="zh-CN" w:bidi="ar-SA"/>
        </w:rPr>
        <w:t>。</w:t>
      </w:r>
    </w:p>
    <w:p w14:paraId="54660EA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125C1E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16.事业单位医疗（项）：反映财政部门安排的事业单位基本医疗保险缴费经费，未参加医疗保险的事业单位的公费医疗经费，按国家规定享受离休人员待遇的医疗经费。</w:t>
      </w:r>
    </w:p>
    <w:p w14:paraId="5B2AA6A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17.公务员医疗补助（项）:反映财政部门安排的公务员医疗补助经费。</w:t>
      </w:r>
    </w:p>
    <w:p w14:paraId="68CBB75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18.住房保障支出（类）：集中反映政府用于住房方面的支出</w:t>
      </w:r>
      <w:r>
        <w:rPr>
          <w:rFonts w:hint="eastAsia" w:eastAsia="仿宋_GB2312" w:cs="仿宋_GB2312"/>
          <w:color w:val="auto"/>
          <w:kern w:val="2"/>
          <w:sz w:val="32"/>
          <w:szCs w:val="32"/>
          <w:highlight w:val="none"/>
          <w:lang w:val="en-US" w:eastAsia="zh-CN" w:bidi="ar-SA"/>
        </w:rPr>
        <w:t>。</w:t>
      </w:r>
    </w:p>
    <w:p w14:paraId="1EA99AD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19.住房改革支出（款）：反映行政事业单位用财政拨款资金和其他资金等安排的住房改革支出；</w:t>
      </w:r>
    </w:p>
    <w:p w14:paraId="062EF2D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20.住房公积金（项）：反映行政事业单位按人力资源和社会保障部、财政部规定的基本工资和津补贴以及规定比例为职工缴纳的住房公积金。</w:t>
      </w:r>
    </w:p>
    <w:p w14:paraId="4429FAF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21.基本支出：指为保障机构正常运转、完成日常工作任务而发生的人员支出和公用支出。</w:t>
      </w:r>
    </w:p>
    <w:p w14:paraId="2E03329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22.项目支出：指在基本支出之外为完成特定行政任务和事业发展目标所发生的支出。 </w:t>
      </w:r>
    </w:p>
    <w:p w14:paraId="41BAB6D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57D75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94F9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E905E7">
      <w:pPr>
        <w:keepNext w:val="0"/>
        <w:keepLines w:val="0"/>
        <w:pageBreakBefore w:val="0"/>
        <w:kinsoku/>
        <w:wordWrap/>
        <w:overflowPunct/>
        <w:topLinePunct w:val="0"/>
        <w:autoSpaceDE/>
        <w:autoSpaceDN/>
        <w:bidi w:val="0"/>
        <w:spacing w:line="579" w:lineRule="exact"/>
        <w:jc w:val="center"/>
        <w:textAlignment w:val="auto"/>
        <w:rPr>
          <w:rStyle w:val="29"/>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方正小标宋简体" w:cs="Times New Roman"/>
          <w:b w:val="0"/>
          <w:bCs/>
          <w:sz w:val="44"/>
          <w:szCs w:val="44"/>
          <w:highlight w:val="none"/>
          <w:shd w:val="clear" w:color="auto" w:fill="FFFFFF"/>
        </w:rPr>
        <w:t>第四部分</w:t>
      </w:r>
      <w:r>
        <w:rPr>
          <w:rFonts w:hint="eastAsia" w:ascii="Times New Roman" w:hAnsi="Times New Roman" w:eastAsia="方正小标宋简体" w:cs="Times New Roman"/>
          <w:b w:val="0"/>
          <w:bCs/>
          <w:sz w:val="44"/>
          <w:szCs w:val="44"/>
          <w:highlight w:val="none"/>
          <w:shd w:val="clear" w:color="auto" w:fill="FFFFFF"/>
          <w:lang w:val="en-US" w:eastAsia="zh-CN"/>
        </w:rPr>
        <w:t xml:space="preserve"> </w:t>
      </w:r>
      <w:r>
        <w:rPr>
          <w:rFonts w:hint="eastAsia" w:ascii="Times New Roman" w:hAnsi="Times New Roman" w:eastAsia="方正小标宋简体" w:cs="Times New Roman"/>
          <w:b w:val="0"/>
          <w:bCs/>
          <w:sz w:val="44"/>
          <w:szCs w:val="44"/>
          <w:highlight w:val="none"/>
          <w:shd w:val="clear" w:color="auto" w:fill="FFFFFF"/>
        </w:rPr>
        <w:t xml:space="preserve"> 附件</w:t>
      </w:r>
      <w:bookmarkEnd w:id="52"/>
    </w:p>
    <w:p w14:paraId="0B6057A3">
      <w:pPr>
        <w:keepNext w:val="0"/>
        <w:keepLines w:val="0"/>
        <w:pageBreakBefore w:val="0"/>
        <w:kinsoku/>
        <w:wordWrap/>
        <w:overflowPunct/>
        <w:topLinePunct w:val="0"/>
        <w:autoSpaceDE/>
        <w:autoSpaceDN/>
        <w:bidi w:val="0"/>
        <w:spacing w:line="579" w:lineRule="exact"/>
        <w:jc w:val="left"/>
        <w:textAlignment w:val="auto"/>
        <w:outlineLvl w:val="0"/>
        <w:rPr>
          <w:rFonts w:hint="eastAsia" w:ascii="Times New Roman" w:hAnsi="Times New Roman" w:eastAsia="黑体" w:cs="黑体"/>
          <w:color w:val="FF0000"/>
          <w:sz w:val="32"/>
          <w:szCs w:val="32"/>
          <w:highlight w:val="none"/>
        </w:rPr>
      </w:pPr>
    </w:p>
    <w:p w14:paraId="4A991136">
      <w:pPr>
        <w:keepNext w:val="0"/>
        <w:keepLines w:val="0"/>
        <w:pageBreakBefore w:val="0"/>
        <w:kinsoku/>
        <w:wordWrap/>
        <w:overflowPunct/>
        <w:topLinePunct w:val="0"/>
        <w:autoSpaceDE/>
        <w:autoSpaceDN/>
        <w:bidi w:val="0"/>
        <w:spacing w:line="579"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749268D">
      <w:pPr>
        <w:keepNext w:val="0"/>
        <w:keepLines w:val="0"/>
        <w:pageBreakBefore w:val="0"/>
        <w:kinsoku/>
        <w:wordWrap/>
        <w:overflowPunct/>
        <w:topLinePunct w:val="0"/>
        <w:autoSpaceDE/>
        <w:autoSpaceDN/>
        <w:bidi w:val="0"/>
        <w:spacing w:line="579" w:lineRule="exact"/>
        <w:jc w:val="left"/>
        <w:textAlignment w:val="auto"/>
        <w:outlineLvl w:val="0"/>
        <w:rPr>
          <w:rFonts w:hint="default" w:ascii="Times New Roman" w:hAnsi="Times New Roman" w:eastAsia="黑体" w:cs="黑体"/>
          <w:color w:val="auto"/>
          <w:sz w:val="32"/>
          <w:szCs w:val="32"/>
          <w:highlight w:val="none"/>
          <w:lang w:val="en-US" w:eastAsia="zh-CN"/>
        </w:rPr>
      </w:pPr>
    </w:p>
    <w:p w14:paraId="779EDAEC">
      <w:pPr>
        <w:keepNext w:val="0"/>
        <w:keepLines w:val="0"/>
        <w:pageBreakBefore w:val="0"/>
        <w:widowControl/>
        <w:kinsoku/>
        <w:wordWrap/>
        <w:overflowPunct/>
        <w:topLinePunct w:val="0"/>
        <w:autoSpaceDE/>
        <w:autoSpaceDN/>
        <w:bidi w:val="0"/>
        <w:spacing w:line="579"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宣汉县行政审批局</w:t>
      </w:r>
    </w:p>
    <w:p w14:paraId="2DB4C37F">
      <w:pPr>
        <w:keepNext w:val="0"/>
        <w:keepLines w:val="0"/>
        <w:pageBreakBefore w:val="0"/>
        <w:widowControl/>
        <w:kinsoku/>
        <w:wordWrap/>
        <w:overflowPunct/>
        <w:topLinePunct w:val="0"/>
        <w:autoSpaceDE/>
        <w:autoSpaceDN/>
        <w:bidi w:val="0"/>
        <w:spacing w:line="579"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val="en-US" w:eastAsia="zh-CN"/>
        </w:rPr>
        <w:t>202</w:t>
      </w:r>
      <w:r>
        <w:rPr>
          <w:rFonts w:hint="eastAsia" w:eastAsia="方正小标宋简体" w:cs="Times New Roman"/>
          <w:b w:val="0"/>
          <w:bCs/>
          <w:sz w:val="44"/>
          <w:szCs w:val="44"/>
          <w:highlight w:val="none"/>
          <w:shd w:val="clear" w:color="auto" w:fill="FFFFFF"/>
          <w:lang w:val="en-US" w:eastAsia="zh-CN"/>
        </w:rPr>
        <w:t>4</w:t>
      </w:r>
      <w:r>
        <w:rPr>
          <w:rFonts w:hint="default" w:ascii="Times New Roman" w:hAnsi="Times New Roman" w:eastAsia="方正小标宋简体" w:cs="Times New Roman"/>
          <w:b w:val="0"/>
          <w:bCs/>
          <w:sz w:val="44"/>
          <w:szCs w:val="44"/>
          <w:highlight w:val="none"/>
          <w:shd w:val="clear" w:color="auto" w:fill="FFFFFF"/>
          <w:lang w:val="en-US" w:eastAsia="zh-CN"/>
        </w:rPr>
        <w:t>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A336624">
      <w:pPr>
        <w:keepNext w:val="0"/>
        <w:keepLines w:val="0"/>
        <w:pageBreakBefore w:val="0"/>
        <w:widowControl/>
        <w:kinsoku/>
        <w:wordWrap/>
        <w:overflowPunct/>
        <w:topLinePunct w:val="0"/>
        <w:autoSpaceDE/>
        <w:autoSpaceDN/>
        <w:bidi w:val="0"/>
        <w:adjustRightInd w:val="0"/>
        <w:snapToGrid w:val="0"/>
        <w:spacing w:line="579"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D008602">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990AE76">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val="0"/>
          <w:bCs/>
          <w:color w:val="auto"/>
          <w:sz w:val="32"/>
          <w:szCs w:val="32"/>
          <w:highlight w:val="none"/>
          <w:lang w:val="zh-CN"/>
        </w:rPr>
        <w:t>（一）</w:t>
      </w:r>
      <w:r>
        <w:rPr>
          <w:rFonts w:hint="default" w:ascii="Times New Roman" w:hAnsi="Times New Roman" w:eastAsia="楷体_GB2312" w:cs="楷体_GB2312"/>
          <w:b w:val="0"/>
          <w:bCs/>
          <w:color w:val="auto"/>
          <w:sz w:val="32"/>
          <w:szCs w:val="32"/>
          <w:highlight w:val="none"/>
          <w:lang w:val="zh-CN"/>
        </w:rPr>
        <w:t>机构组成。</w:t>
      </w:r>
      <w:r>
        <w:rPr>
          <w:rFonts w:hint="default" w:ascii="Times New Roman" w:hAnsi="Times New Roman" w:eastAsia="仿宋_GB2312" w:cs="Times New Roman"/>
          <w:sz w:val="32"/>
          <w:szCs w:val="32"/>
        </w:rPr>
        <w:t>宣汉县行政审批局属县人民政府的工作部门，内设</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个机构（办公室、</w:t>
      </w:r>
      <w:r>
        <w:rPr>
          <w:rFonts w:hint="default" w:ascii="Times New Roman" w:hAnsi="Times New Roman" w:eastAsia="仿宋_GB2312" w:cs="Times New Roman"/>
          <w:sz w:val="32"/>
          <w:szCs w:val="32"/>
          <w:lang w:eastAsia="zh-CN"/>
        </w:rPr>
        <w:t>政策法规</w:t>
      </w:r>
      <w:r>
        <w:rPr>
          <w:rFonts w:hint="default" w:ascii="Times New Roman" w:hAnsi="Times New Roman" w:eastAsia="仿宋_GB2312" w:cs="Times New Roman"/>
          <w:sz w:val="32"/>
          <w:szCs w:val="32"/>
        </w:rPr>
        <w:t>股、</w:t>
      </w:r>
      <w:r>
        <w:rPr>
          <w:rFonts w:hint="default" w:ascii="Times New Roman" w:hAnsi="Times New Roman" w:eastAsia="仿宋_GB2312" w:cs="Times New Roman"/>
          <w:sz w:val="32"/>
          <w:szCs w:val="32"/>
          <w:lang w:eastAsia="zh-CN"/>
        </w:rPr>
        <w:t>投资项目审批股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规划建设审批股、市场准入审批股、社会事务审批股、涉农事务审批股、行政权力监管股、政务</w:t>
      </w:r>
      <w:r>
        <w:rPr>
          <w:rFonts w:hint="default" w:ascii="Times New Roman" w:hAnsi="Times New Roman" w:eastAsia="仿宋_GB2312" w:cs="Times New Roman"/>
          <w:sz w:val="32"/>
          <w:szCs w:val="32"/>
        </w:rPr>
        <w:t>督查股</w:t>
      </w:r>
      <w:r>
        <w:rPr>
          <w:rFonts w:hint="eastAsia" w:eastAsia="仿宋_GB2312" w:cs="Times New Roman"/>
          <w:sz w:val="32"/>
          <w:szCs w:val="32"/>
          <w:lang w:eastAsia="zh-CN"/>
        </w:rPr>
        <w:t>、公共资源交易监督股</w:t>
      </w:r>
      <w:r>
        <w:rPr>
          <w:rFonts w:hint="default" w:ascii="Times New Roman" w:hAnsi="Times New Roman" w:eastAsia="仿宋_GB2312" w:cs="Times New Roman"/>
          <w:sz w:val="32"/>
          <w:szCs w:val="32"/>
        </w:rPr>
        <w:t>）。</w:t>
      </w:r>
    </w:p>
    <w:p w14:paraId="06913D2A">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楷体_GB2312" w:cs="楷体_GB2312"/>
          <w:b w:val="0"/>
          <w:bCs/>
          <w:color w:val="auto"/>
          <w:sz w:val="32"/>
          <w:szCs w:val="32"/>
          <w:highlight w:val="none"/>
          <w:lang w:val="zh-CN"/>
        </w:rPr>
      </w:pPr>
      <w:r>
        <w:rPr>
          <w:rFonts w:hint="default" w:ascii="Times New Roman" w:hAnsi="Times New Roman" w:eastAsia="楷体_GB2312" w:cs="楷体_GB2312"/>
          <w:b w:val="0"/>
          <w:bCs/>
          <w:color w:val="auto"/>
          <w:sz w:val="32"/>
          <w:szCs w:val="32"/>
          <w:highlight w:val="none"/>
          <w:lang w:val="zh-CN"/>
        </w:rPr>
        <w:t>（二）机构职能</w:t>
      </w:r>
      <w:r>
        <w:rPr>
          <w:rFonts w:hint="eastAsia" w:ascii="Times New Roman" w:hAnsi="Times New Roman" w:eastAsia="楷体_GB2312" w:cs="楷体_GB2312"/>
          <w:b w:val="0"/>
          <w:bCs/>
          <w:color w:val="auto"/>
          <w:sz w:val="32"/>
          <w:szCs w:val="32"/>
          <w:highlight w:val="none"/>
          <w:lang w:val="zh-CN"/>
        </w:rPr>
        <w:t>。</w:t>
      </w:r>
    </w:p>
    <w:p w14:paraId="60A0B6C1">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1.贯彻落实国家、省、市、县有关行政审批制度改革的相关政策规定，创新和完善相关工作体制机制。</w:t>
      </w:r>
    </w:p>
    <w:p w14:paraId="7D91124B">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w:t>
      </w:r>
      <w:r>
        <w:rPr>
          <w:rFonts w:hint="default" w:ascii="Times New Roman" w:hAnsi="Times New Roman" w:eastAsia="仿宋_GB2312" w:cs="Times New Roman"/>
          <w:sz w:val="32"/>
          <w:szCs w:val="32"/>
          <w:lang w:eastAsia="zh-CN"/>
        </w:rPr>
        <w:t>行使相对集中行政许可权</w:t>
      </w:r>
      <w:r>
        <w:rPr>
          <w:rFonts w:hint="default" w:ascii="Times New Roman" w:hAnsi="Times New Roman" w:eastAsia="仿宋_GB2312" w:cs="Times New Roman"/>
          <w:sz w:val="32"/>
          <w:szCs w:val="32"/>
        </w:rPr>
        <w:t>，对审批行为承担相应的法律责任；负责上级部门下放的行政许可事项承接工作。</w:t>
      </w:r>
    </w:p>
    <w:p w14:paraId="2CBFC59F">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3.负责划转的行政</w:t>
      </w:r>
      <w:r>
        <w:rPr>
          <w:rFonts w:hint="default" w:ascii="Times New Roman" w:hAnsi="Times New Roman" w:eastAsia="仿宋_GB2312" w:cs="Times New Roman"/>
          <w:sz w:val="32"/>
          <w:szCs w:val="32"/>
          <w:lang w:eastAsia="zh-CN"/>
        </w:rPr>
        <w:t>审批</w:t>
      </w:r>
      <w:r>
        <w:rPr>
          <w:rFonts w:hint="default" w:ascii="Times New Roman" w:hAnsi="Times New Roman" w:eastAsia="仿宋_GB2312" w:cs="Times New Roman"/>
          <w:sz w:val="32"/>
          <w:szCs w:val="32"/>
        </w:rPr>
        <w:t>事项涉及的现场勘察、技术论证和社会听证等</w:t>
      </w: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并组织实施</w:t>
      </w:r>
      <w:r>
        <w:rPr>
          <w:rFonts w:hint="default" w:ascii="Times New Roman" w:hAnsi="Times New Roman" w:eastAsia="仿宋_GB2312" w:cs="Times New Roman"/>
          <w:sz w:val="32"/>
          <w:szCs w:val="32"/>
        </w:rPr>
        <w:t>。</w:t>
      </w:r>
    </w:p>
    <w:p w14:paraId="317E6157">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4.负责牵头推进全县行政审批制度改革工作，组织清理和规范行政审批事项前置条件；负责对行政审批事项流程进行规范和优化，推进行政审批标准化建设。</w:t>
      </w:r>
    </w:p>
    <w:p w14:paraId="25B8F30A">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5.负责会同有关部门加强行政审批、政务服务信息化建设。</w:t>
      </w:r>
    </w:p>
    <w:p w14:paraId="54AB429A">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w:t>
      </w: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进驻</w:t>
      </w:r>
      <w:r>
        <w:rPr>
          <w:rFonts w:hint="default" w:ascii="Times New Roman" w:hAnsi="Times New Roman" w:eastAsia="仿宋_GB2312" w:cs="Times New Roman"/>
          <w:sz w:val="32"/>
          <w:szCs w:val="32"/>
          <w:lang w:eastAsia="zh-CN"/>
        </w:rPr>
        <w:t>大厅</w:t>
      </w:r>
      <w:r>
        <w:rPr>
          <w:rFonts w:hint="default" w:ascii="Times New Roman" w:hAnsi="Times New Roman" w:eastAsia="仿宋_GB2312" w:cs="Times New Roman"/>
          <w:sz w:val="32"/>
          <w:szCs w:val="32"/>
        </w:rPr>
        <w:t>部门政务</w:t>
      </w:r>
      <w:r>
        <w:rPr>
          <w:rFonts w:hint="default" w:ascii="Times New Roman" w:hAnsi="Times New Roman" w:eastAsia="仿宋_GB2312" w:cs="Times New Roman"/>
          <w:sz w:val="32"/>
          <w:szCs w:val="32"/>
          <w:lang w:eastAsia="zh-CN"/>
        </w:rPr>
        <w:t>的依申请服务事项办理，负责对大厅内行政审批、政务服务行为</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监督检查；负责</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大厅窗口</w:t>
      </w:r>
      <w:r>
        <w:rPr>
          <w:rFonts w:hint="default" w:ascii="Times New Roman" w:hAnsi="Times New Roman" w:eastAsia="仿宋_GB2312" w:cs="Times New Roman"/>
          <w:sz w:val="32"/>
          <w:szCs w:val="32"/>
        </w:rPr>
        <w:t>工作人员进行日常</w:t>
      </w:r>
      <w:r>
        <w:rPr>
          <w:rFonts w:hint="default"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培训和</w:t>
      </w:r>
      <w:r>
        <w:rPr>
          <w:rFonts w:hint="default" w:ascii="Times New Roman" w:hAnsi="Times New Roman" w:eastAsia="仿宋_GB2312" w:cs="Times New Roman"/>
          <w:sz w:val="32"/>
          <w:szCs w:val="32"/>
          <w:lang w:eastAsia="zh-CN"/>
        </w:rPr>
        <w:t>检查考核</w:t>
      </w:r>
      <w:r>
        <w:rPr>
          <w:rFonts w:hint="default" w:ascii="Times New Roman" w:hAnsi="Times New Roman" w:eastAsia="仿宋_GB2312" w:cs="Times New Roman"/>
          <w:sz w:val="32"/>
          <w:szCs w:val="32"/>
        </w:rPr>
        <w:t>。</w:t>
      </w:r>
    </w:p>
    <w:p w14:paraId="4FC5EC8F">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7.负责指导全县</w:t>
      </w:r>
      <w:r>
        <w:rPr>
          <w:rFonts w:hint="default" w:ascii="Times New Roman" w:hAnsi="Times New Roman" w:eastAsia="仿宋_GB2312" w:cs="Times New Roman"/>
          <w:sz w:val="32"/>
          <w:szCs w:val="32"/>
          <w:lang w:eastAsia="zh-CN"/>
        </w:rPr>
        <w:t>各级政务</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eastAsia="zh-CN"/>
        </w:rPr>
        <w:t>、便民服务</w:t>
      </w:r>
      <w:r>
        <w:rPr>
          <w:rFonts w:hint="default" w:ascii="Times New Roman" w:hAnsi="Times New Roman" w:eastAsia="仿宋_GB2312" w:cs="Times New Roman"/>
          <w:sz w:val="32"/>
          <w:szCs w:val="32"/>
        </w:rPr>
        <w:t>体系建设，负责建立行政审批、公共服务考核体系。</w:t>
      </w:r>
    </w:p>
    <w:p w14:paraId="707B6E65">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负责推进“互联网+政务服务”工作；负责一体化政务服务平台的运行管理工作。</w:t>
      </w:r>
    </w:p>
    <w:p w14:paraId="71858356">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.负责全县行政效能投诉和行政效能监察工作。</w:t>
      </w:r>
    </w:p>
    <w:p w14:paraId="0481F992">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.负责职责范围内的安全生产和职业健康、生态环境保护、人才队伍建设等工作。</w:t>
      </w:r>
    </w:p>
    <w:p w14:paraId="2F8C1420">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11.负责公共资源交易综合监管；负责对中介服务机构网上竞价、网上选取以及小额工程交易开展监督；受理移交并督办办公共资源交易投诉举报等工作。</w:t>
      </w:r>
    </w:p>
    <w:p w14:paraId="12186191">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.完成县委、县政府交办的其他工作。</w:t>
      </w:r>
    </w:p>
    <w:p w14:paraId="2B316B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宣汉县行政审批局为宣汉县人民政府工作部门，机关行政编制</w:t>
      </w:r>
      <w:r>
        <w:rPr>
          <w:rFonts w:hint="eastAsia" w:eastAsia="仿宋_GB2312" w:cs="Times New Roman"/>
          <w:color w:val="auto"/>
          <w:sz w:val="32"/>
          <w:szCs w:val="32"/>
          <w:lang w:val="en-US" w:eastAsia="zh-CN"/>
        </w:rPr>
        <w:t>18</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人，工勤编制</w:t>
      </w:r>
      <w:r>
        <w:rPr>
          <w:rFonts w:hint="eastAsia" w:eastAsia="仿宋_GB2312" w:cs="Times New Roman"/>
          <w:color w:val="auto"/>
          <w:sz w:val="32"/>
          <w:szCs w:val="32"/>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人，事业编制</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42人。</w:t>
      </w:r>
      <w:r>
        <w:rPr>
          <w:rFonts w:hint="default" w:ascii="Times New Roman" w:hAnsi="Times New Roman" w:eastAsia="仿宋_GB2312" w:cs="Times New Roman"/>
          <w:b w:val="0"/>
          <w:bCs w:val="0"/>
          <w:color w:val="000000"/>
          <w:kern w:val="0"/>
          <w:sz w:val="32"/>
          <w:szCs w:val="32"/>
          <w:highlight w:val="none"/>
          <w:shd w:val="clear" w:color="auto" w:fill="FFFFFF"/>
          <w:lang w:val="zh-CN"/>
        </w:rPr>
        <w:t>截至202</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color w:val="000000"/>
          <w:kern w:val="0"/>
          <w:sz w:val="32"/>
          <w:szCs w:val="32"/>
          <w:highlight w:val="none"/>
          <w:shd w:val="clear" w:color="auto" w:fill="FFFFFF"/>
          <w:lang w:val="zh-CN"/>
        </w:rPr>
        <w:t>年</w:t>
      </w:r>
      <w:r>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t>末，</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现有机关在职工作人员59人，行政21人（公务员19人，机关工勤2人），事业人员38</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w:t>
      </w:r>
    </w:p>
    <w:p w14:paraId="42CE87E3">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F8B1F68">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宣汉</w:t>
      </w:r>
      <w:r>
        <w:rPr>
          <w:rFonts w:hint="eastAsia" w:ascii="仿宋_GB2312" w:hAnsi="仿宋_GB2312" w:eastAsia="仿宋_GB2312" w:cs="仿宋_GB2312"/>
          <w:b w:val="0"/>
          <w:bCs w:val="0"/>
          <w:color w:val="auto"/>
          <w:sz w:val="32"/>
          <w:szCs w:val="32"/>
          <w:lang w:val="en-US" w:eastAsia="zh-CN"/>
        </w:rPr>
        <w:t>县</w:t>
      </w:r>
      <w:r>
        <w:rPr>
          <w:rFonts w:hint="default" w:ascii="Times New Roman" w:hAnsi="Times New Roman" w:eastAsia="仿宋_GB2312" w:cs="Times New Roman"/>
          <w:color w:val="auto"/>
          <w:sz w:val="32"/>
          <w:szCs w:val="32"/>
          <w:lang w:val="en-US" w:eastAsia="zh-CN"/>
        </w:rPr>
        <w:t>行政审批局202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年年初预算收入1</w:t>
      </w:r>
      <w:r>
        <w:rPr>
          <w:rFonts w:hint="eastAsia" w:eastAsia="仿宋_GB2312" w:cs="Times New Roman"/>
          <w:color w:val="auto"/>
          <w:sz w:val="32"/>
          <w:szCs w:val="32"/>
          <w:lang w:val="en-US" w:eastAsia="zh-CN"/>
        </w:rPr>
        <w:t>383.56</w:t>
      </w:r>
      <w:r>
        <w:rPr>
          <w:rFonts w:hint="default" w:ascii="Times New Roman" w:hAnsi="Times New Roman" w:eastAsia="仿宋_GB2312" w:cs="Times New Roman"/>
          <w:color w:val="auto"/>
          <w:sz w:val="32"/>
          <w:szCs w:val="32"/>
          <w:lang w:val="en-US" w:eastAsia="zh-CN"/>
        </w:rPr>
        <w:t>万元，其中：一般公共预算1</w:t>
      </w:r>
      <w:r>
        <w:rPr>
          <w:rFonts w:hint="eastAsia" w:eastAsia="仿宋_GB2312" w:cs="Times New Roman"/>
          <w:color w:val="auto"/>
          <w:sz w:val="32"/>
          <w:szCs w:val="32"/>
          <w:lang w:val="en-US" w:eastAsia="zh-CN"/>
        </w:rPr>
        <w:t>383.56</w:t>
      </w:r>
      <w:r>
        <w:rPr>
          <w:rFonts w:hint="default" w:ascii="Times New Roman" w:hAnsi="Times New Roman" w:eastAsia="仿宋_GB2312" w:cs="Times New Roman"/>
          <w:color w:val="auto"/>
          <w:sz w:val="32"/>
          <w:szCs w:val="32"/>
          <w:lang w:val="en-US" w:eastAsia="zh-CN"/>
        </w:rPr>
        <w:t>万元，无政府性基金预算。决算报表收入</w:t>
      </w:r>
      <w:r>
        <w:rPr>
          <w:rFonts w:hint="eastAsia" w:eastAsia="仿宋_GB2312" w:cs="Times New Roman"/>
          <w:color w:val="auto"/>
          <w:sz w:val="32"/>
          <w:szCs w:val="32"/>
          <w:lang w:val="en-US" w:eastAsia="zh-CN"/>
        </w:rPr>
        <w:t>1383.56</w:t>
      </w:r>
      <w:r>
        <w:rPr>
          <w:rFonts w:hint="default" w:ascii="Times New Roman" w:hAnsi="Times New Roman" w:eastAsia="仿宋_GB2312" w:cs="Times New Roman"/>
          <w:color w:val="auto"/>
          <w:sz w:val="32"/>
          <w:szCs w:val="32"/>
          <w:lang w:val="en-US" w:eastAsia="zh-CN"/>
        </w:rPr>
        <w:t>万元。</w:t>
      </w:r>
    </w:p>
    <w:p w14:paraId="333033CF">
      <w:pPr>
        <w:keepNext w:val="0"/>
        <w:keepLines w:val="0"/>
        <w:pageBreakBefore w:val="0"/>
        <w:suppressAutoHyphens/>
        <w:kinsoku/>
        <w:wordWrap/>
        <w:overflowPunct/>
        <w:topLinePunct w:val="0"/>
        <w:autoSpaceDE/>
        <w:autoSpaceDN/>
        <w:bidi w:val="0"/>
        <w:spacing w:line="579" w:lineRule="exact"/>
        <w:ind w:firstLine="640" w:firstLineChars="200"/>
        <w:jc w:val="both"/>
        <w:textAlignment w:val="auto"/>
        <w:rPr>
          <w:rFonts w:hint="default" w:ascii="Times New Roman" w:hAnsi="Times New Roman" w:cs="Times New Roman"/>
          <w:szCs w:val="32"/>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宣汉</w:t>
      </w:r>
      <w:r>
        <w:rPr>
          <w:rFonts w:hint="default" w:ascii="Times New Roman" w:hAnsi="Times New Roman" w:eastAsia="仿宋_GB2312" w:cs="Times New Roman"/>
          <w:sz w:val="32"/>
          <w:szCs w:val="32"/>
          <w:lang w:val="zh-CN" w:eastAsia="zh-CN"/>
        </w:rPr>
        <w:t>县</w:t>
      </w:r>
      <w:r>
        <w:rPr>
          <w:rFonts w:hint="default" w:ascii="Times New Roman" w:hAnsi="Times New Roman" w:cs="Times New Roman"/>
          <w:sz w:val="32"/>
          <w:szCs w:val="32"/>
          <w:lang w:val="zh-CN" w:eastAsia="zh-CN"/>
        </w:rPr>
        <w:t>行政审批局</w:t>
      </w:r>
      <w:r>
        <w:rPr>
          <w:rFonts w:hint="default" w:ascii="Times New Roman" w:hAnsi="Times New Roman" w:eastAsia="仿宋_GB2312" w:cs="Times New Roman"/>
          <w:sz w:val="32"/>
          <w:szCs w:val="32"/>
          <w:lang w:val="zh-CN"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年年初预算支出</w:t>
      </w:r>
      <w:r>
        <w:rPr>
          <w:rFonts w:hint="eastAsia" w:eastAsia="仿宋_GB2312" w:cs="Times New Roman"/>
          <w:sz w:val="32"/>
          <w:szCs w:val="32"/>
          <w:lang w:val="en-US" w:eastAsia="zh-CN"/>
        </w:rPr>
        <w:t>1383.56</w:t>
      </w:r>
      <w:r>
        <w:rPr>
          <w:rFonts w:hint="default" w:ascii="Times New Roman" w:hAnsi="Times New Roman" w:eastAsia="仿宋_GB2312" w:cs="Times New Roman"/>
          <w:sz w:val="32"/>
          <w:szCs w:val="32"/>
          <w:lang w:val="zh-CN" w:eastAsia="zh-CN"/>
        </w:rPr>
        <w:t>万元，其中，一般公共预算财政拨款收入</w:t>
      </w:r>
      <w:r>
        <w:rPr>
          <w:rFonts w:hint="eastAsia" w:eastAsia="仿宋_GB2312" w:cs="Times New Roman"/>
          <w:sz w:val="32"/>
          <w:szCs w:val="32"/>
          <w:lang w:val="en-US" w:eastAsia="zh-CN"/>
        </w:rPr>
        <w:t>1383.56</w:t>
      </w:r>
      <w:r>
        <w:rPr>
          <w:rFonts w:hint="default" w:ascii="Times New Roman" w:hAnsi="Times New Roman" w:eastAsia="仿宋_GB2312" w:cs="Times New Roman"/>
          <w:sz w:val="32"/>
          <w:szCs w:val="32"/>
          <w:lang w:val="zh-CN" w:eastAsia="zh-CN"/>
        </w:rPr>
        <w:t>万元，占100％；无政府性基金预算财政拨款收入。决算报表支出</w:t>
      </w:r>
      <w:r>
        <w:rPr>
          <w:rFonts w:hint="eastAsia" w:eastAsia="仿宋_GB2312" w:cs="Times New Roman"/>
          <w:sz w:val="32"/>
          <w:szCs w:val="32"/>
          <w:lang w:val="en-US" w:eastAsia="zh-CN"/>
        </w:rPr>
        <w:t>1383.56</w:t>
      </w:r>
      <w:r>
        <w:rPr>
          <w:rFonts w:hint="default" w:ascii="Times New Roman" w:hAnsi="Times New Roman" w:eastAsia="仿宋_GB2312" w:cs="Times New Roman"/>
          <w:sz w:val="32"/>
          <w:szCs w:val="32"/>
          <w:lang w:val="zh-CN" w:eastAsia="zh-CN"/>
        </w:rPr>
        <w:t>万元，其中：基本支出</w:t>
      </w:r>
      <w:r>
        <w:rPr>
          <w:rFonts w:hint="default" w:ascii="Times New Roman" w:hAnsi="Times New Roman" w:cs="Times New Roman"/>
          <w:sz w:val="32"/>
          <w:szCs w:val="32"/>
          <w:lang w:val="en-US" w:eastAsia="zh-CN"/>
        </w:rPr>
        <w:t>900.62</w:t>
      </w:r>
      <w:r>
        <w:rPr>
          <w:rFonts w:hint="default" w:ascii="Times New Roman" w:hAnsi="Times New Roman" w:eastAsia="仿宋_GB2312" w:cs="Times New Roman"/>
          <w:sz w:val="32"/>
          <w:szCs w:val="32"/>
          <w:lang w:val="zh-CN" w:eastAsia="zh-CN"/>
        </w:rPr>
        <w:t>万元，占</w:t>
      </w:r>
      <w:r>
        <w:rPr>
          <w:rFonts w:hint="eastAsia" w:eastAsia="仿宋_GB2312" w:cs="Times New Roman"/>
          <w:sz w:val="32"/>
          <w:szCs w:val="32"/>
          <w:lang w:val="en-US" w:eastAsia="zh-CN"/>
        </w:rPr>
        <w:t>65.09</w:t>
      </w:r>
      <w:r>
        <w:rPr>
          <w:rFonts w:hint="default" w:ascii="Times New Roman" w:hAnsi="Times New Roman" w:eastAsia="仿宋_GB2312" w:cs="Times New Roman"/>
          <w:sz w:val="32"/>
          <w:szCs w:val="32"/>
          <w:lang w:val="zh-CN" w:eastAsia="zh-CN"/>
        </w:rPr>
        <w:t>%、项目支出</w:t>
      </w:r>
      <w:r>
        <w:rPr>
          <w:rFonts w:hint="default" w:ascii="Times New Roman" w:hAnsi="Times New Roman" w:cs="Times New Roman"/>
          <w:sz w:val="32"/>
          <w:szCs w:val="32"/>
          <w:lang w:val="en-US" w:eastAsia="zh-CN"/>
        </w:rPr>
        <w:t>482.94</w:t>
      </w:r>
      <w:r>
        <w:rPr>
          <w:rFonts w:hint="default" w:ascii="Times New Roman" w:hAnsi="Times New Roman" w:eastAsia="仿宋_GB2312" w:cs="Times New Roman"/>
          <w:sz w:val="32"/>
          <w:szCs w:val="32"/>
          <w:lang w:val="zh-CN" w:eastAsia="zh-CN"/>
        </w:rPr>
        <w:t>万元，占</w:t>
      </w:r>
      <w:r>
        <w:rPr>
          <w:rFonts w:hint="eastAsia" w:cs="Times New Roman"/>
          <w:sz w:val="32"/>
          <w:szCs w:val="32"/>
          <w:lang w:val="en-US" w:eastAsia="zh-CN"/>
        </w:rPr>
        <w:t>34.91</w:t>
      </w:r>
      <w:r>
        <w:rPr>
          <w:rFonts w:hint="default" w:ascii="Times New Roman" w:hAnsi="Times New Roman" w:eastAsia="仿宋_GB2312" w:cs="Times New Roman"/>
          <w:sz w:val="32"/>
          <w:szCs w:val="32"/>
          <w:lang w:val="zh-CN" w:eastAsia="zh-CN"/>
        </w:rPr>
        <w:t>%。</w:t>
      </w:r>
    </w:p>
    <w:p w14:paraId="015A3BA2">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宣汉</w:t>
      </w:r>
      <w:r>
        <w:rPr>
          <w:rFonts w:hint="default" w:ascii="Times New Roman" w:hAnsi="Times New Roman" w:eastAsia="仿宋_GB2312" w:cs="Times New Roman"/>
          <w:sz w:val="32"/>
          <w:szCs w:val="32"/>
          <w:lang w:val="zh-CN" w:eastAsia="zh-CN"/>
        </w:rPr>
        <w:t>县</w:t>
      </w:r>
      <w:r>
        <w:rPr>
          <w:rFonts w:hint="default" w:ascii="Times New Roman" w:hAnsi="Times New Roman" w:cs="Times New Roman"/>
          <w:sz w:val="32"/>
          <w:szCs w:val="32"/>
          <w:lang w:val="zh-CN" w:eastAsia="zh-CN"/>
        </w:rPr>
        <w:t>行政审批局</w:t>
      </w:r>
      <w:r>
        <w:rPr>
          <w:rFonts w:hint="default" w:ascii="Times New Roman" w:hAnsi="Times New Roman" w:eastAsia="仿宋_GB2312" w:cs="Times New Roman"/>
          <w:sz w:val="32"/>
          <w:szCs w:val="32"/>
          <w:lang w:val="zh-CN"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年无结转结余。</w:t>
      </w:r>
    </w:p>
    <w:p w14:paraId="79865A7D">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51CDBC8">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2A8FFC33">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互联网+政务服务”优化营商环境相关费用这个项目完成了推进“互联网+政务服务”工作；完善了一体化政务服务平台的运行管理工作。已完成划转的行政审批事项涉及的现场勘察、技术论证和社会听证等协调工作并组织实施。牵头推进了全县审批制度改革工作，组织清理和规范了行政审批事项前置条件；已对行政审批事项流程进行规范和优化，推进了行政审批标准化建设。行使了相对集中行政许可权，对审批行为承担相应的法律责任；已完成上级部门下放的行政许可事项承接工作。</w:t>
      </w:r>
    </w:p>
    <w:p w14:paraId="5B562919">
      <w:pPr>
        <w:keepNext w:val="0"/>
        <w:keepLines w:val="0"/>
        <w:pageBreakBefore w:val="0"/>
        <w:suppressAutoHyphens/>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经费来源是财政全额预算，没有其他收入，按照财政部门规定编制年度部门预算，经主要领导审定后，报财政局按法定程序审核、报批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强化预算约束，提高财政资金使用</w:t>
      </w:r>
      <w:r>
        <w:rPr>
          <w:rFonts w:hint="default" w:ascii="Times New Roman" w:hAnsi="Times New Roman" w:eastAsia="仿宋_GB2312" w:cs="Times New Roman"/>
          <w:sz w:val="32"/>
          <w:szCs w:val="32"/>
          <w:lang w:eastAsia="zh-CN"/>
        </w:rPr>
        <w:t>。</w:t>
      </w:r>
    </w:p>
    <w:p w14:paraId="47724C44">
      <w:pPr>
        <w:keepNext w:val="0"/>
        <w:keepLines w:val="0"/>
        <w:pageBreakBefore w:val="0"/>
        <w:suppressAutoHyphens/>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在预算执行上按照</w:t>
      </w:r>
      <w:r>
        <w:rPr>
          <w:rFonts w:hint="default" w:ascii="Times New Roman" w:hAnsi="Times New Roman" w:eastAsia="仿宋_GB2312" w:cs="Times New Roman"/>
          <w:sz w:val="32"/>
          <w:szCs w:val="32"/>
        </w:rPr>
        <w:t>法律、法规，做到</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收支真实、数额准确、内容完整。</w:t>
      </w:r>
      <w:r>
        <w:rPr>
          <w:rFonts w:hint="default" w:ascii="Times New Roman" w:hAnsi="Times New Roman" w:eastAsia="仿宋_GB2312" w:cs="Times New Roman"/>
          <w:sz w:val="32"/>
          <w:szCs w:val="32"/>
          <w:lang w:eastAsia="zh-CN"/>
        </w:rPr>
        <w:t>执行中</w:t>
      </w:r>
      <w:r>
        <w:rPr>
          <w:rFonts w:hint="default" w:ascii="Times New Roman" w:hAnsi="Times New Roman" w:eastAsia="仿宋_GB2312" w:cs="Times New Roman"/>
          <w:sz w:val="32"/>
          <w:szCs w:val="32"/>
        </w:rPr>
        <w:t>经主要领导审定后，及时报送财政部门按法定程序审查和批准，并按时向社会公开</w:t>
      </w:r>
      <w:r>
        <w:rPr>
          <w:rFonts w:hint="default" w:ascii="Times New Roman" w:hAnsi="Times New Roman" w:eastAsia="仿宋_GB2312" w:cs="Times New Roman"/>
          <w:sz w:val="32"/>
          <w:szCs w:val="32"/>
          <w:lang w:eastAsia="zh-CN"/>
        </w:rPr>
        <w:t>。</w:t>
      </w:r>
    </w:p>
    <w:p w14:paraId="396D439D">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Times New Roman"/>
          <w:color w:val="000000"/>
          <w:kern w:val="2"/>
          <w:sz w:val="32"/>
          <w:szCs w:val="32"/>
          <w:lang w:val="en-US" w:eastAsia="zh-CN" w:bidi="ar-SA"/>
        </w:rPr>
        <w:t>严格按照县级部门预算编制通知和要求，按时完成基础库、项目库报送工作，按时完成202</w:t>
      </w:r>
      <w:r>
        <w:rPr>
          <w:rFonts w:hint="eastAsia"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年预算编制工作，并按时提交单位预算草案。预算编制全面、科学，202</w:t>
      </w:r>
      <w:r>
        <w:rPr>
          <w:rFonts w:hint="eastAsia"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年部门决算绩效目标填报及年末结余结转都是严格按照县财政局要求完成</w:t>
      </w:r>
      <w:r>
        <w:rPr>
          <w:rFonts w:hint="eastAsia" w:eastAsia="仿宋_GB2312" w:cs="Times New Roman"/>
          <w:color w:val="000000"/>
          <w:kern w:val="2"/>
          <w:sz w:val="32"/>
          <w:szCs w:val="32"/>
          <w:lang w:val="en-US" w:eastAsia="zh-CN" w:bidi="ar-SA"/>
        </w:rPr>
        <w:t>。</w:t>
      </w:r>
    </w:p>
    <w:p w14:paraId="0F7DF200">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严格按照收支管理规定和国库集中支付制度规范使用资金，不存在无预算、超预算拨款，虚列支出，人为调节收支科目和金额情况；我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设立一个零余额账户</w:t>
      </w:r>
      <w:r>
        <w:rPr>
          <w:rFonts w:hint="default" w:ascii="Times New Roman" w:hAnsi="Times New Roman" w:eastAsia="仿宋_GB2312" w:cs="Times New Roman"/>
          <w:sz w:val="32"/>
          <w:szCs w:val="32"/>
          <w:lang w:eastAsia="zh-CN"/>
        </w:rPr>
        <w:t>和基本账户</w:t>
      </w:r>
      <w:r>
        <w:rPr>
          <w:rFonts w:hint="default" w:ascii="Times New Roman" w:hAnsi="Times New Roman" w:eastAsia="仿宋_GB2312" w:cs="Times New Roman"/>
          <w:sz w:val="32"/>
          <w:szCs w:val="32"/>
        </w:rPr>
        <w:t>，归口国库部门统一管理，纳入系统统一支付，并建立本部门财经管理制度，规范资金管理和使用。</w:t>
      </w:r>
    </w:p>
    <w:p w14:paraId="2519B50F">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一直严格按照《行政事业性国有资产管理条例》规定，</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固定资产的管理实行统一领导、分级管理、各司其责的管理机制。各股室固定资产实物管理实行“谁使用、谁管理、谁负责”的原则将所有资产如实登记入账，并合理配置、有效使用，根据各股室实际情况，除因工作需要确需安装专线网络的工作电脑、打印机以外，基本保证各干部职工一人一台工作电脑，没有资产闲置情况，也不存在国有资产的出租、投资、处置</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情况。</w:t>
      </w:r>
    </w:p>
    <w:p w14:paraId="68085E4F">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z w:val="32"/>
          <w:szCs w:val="32"/>
          <w:lang w:eastAsia="zh-CN"/>
        </w:rPr>
        <w:t>我局按照法定采购方式和程序实施采购，不存在通过不合理条件限制政府采购供应商。二是不存在对内外资企业实行差别待遇或歧视。没有以供应商的所有制形式、组织形式等对供应商资格进行限定，不存在指定购买国家或地区品牌的产品。</w:t>
      </w:r>
    </w:p>
    <w:p w14:paraId="56FEE676">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3767664C">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482.94</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个。</w:t>
      </w:r>
    </w:p>
    <w:p w14:paraId="6B577E84">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项目决策。首先，我们对绩效目标进行了全面的分析和评估。主要评估项目设立是符合国家、省、市相关政策，在面对新时代新征程提出的新任务，党和国家优化营商环境同全面建设社会主义现代化国家、全面推进中华民族伟大复兴的要求还不完全适应，同实现国家、省、市有关行政审批制度改革的相关政策规定、相关工作体制机制创新和完善的要求还不完全适应，和会同有关部门加强行政审批、政务服务信息化建设的要求还不完全适应，需要在巩固党和国家优化营商环境的改革成果的基础上继续深化改革，对指导全县各级政务服务、便民服务体系建设，对行政审批、公共服务考核体系进行建立。在制定绩效目标时，我们充分考虑了项目的可行性，确保目标具有挑战性又具有可实现性。其次，针对绩效目标项目的关键任务和指标，我们进行了科学的量化和分解。我们将整体目标分解为今天的阶段性任务，并建立了相应的指标体系，以便于对项目进展进行有效监控和评估。在制定指标时，充分考虑了项目的特点和发展阶段，确保指标具有可操作性又具有反映项目实际情况的准确性。</w:t>
      </w:r>
    </w:p>
    <w:p w14:paraId="06FCB63E">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2.项目执行</w:t>
      </w:r>
      <w:r>
        <w:rPr>
          <w:rFonts w:hint="default" w:ascii="Times New Roman" w:hAnsi="Times New Roman" w:eastAsia="仿宋_GB2312" w:cs="Times New Roman"/>
          <w:color w:val="auto"/>
          <w:kern w:val="2"/>
          <w:sz w:val="32"/>
          <w:szCs w:val="32"/>
          <w:highlight w:val="none"/>
          <w:lang w:val="zh-CN" w:eastAsia="zh-CN" w:bidi="ar-SA"/>
        </w:rPr>
        <w:t>。主要评估项目实施方案科学合理，项目实施过程中，深入推进“最多跑一次”改革，争取将“最多跑一次”占比提高到90﹪。推进“互联网+政务服务”改革，推进县上“一网通办”，加强政务外网建设，建成本级政务信息共享平台。打造一流营商环境持续发力，为宣汉高质量发展提供“加速度”正常保障工作，包括电费</w:t>
      </w:r>
      <w:r>
        <w:rPr>
          <w:rFonts w:hint="default" w:ascii="Times New Roman" w:hAnsi="Times New Roman" w:eastAsia="仿宋_GB2312" w:cs="Times New Roman"/>
          <w:color w:val="auto"/>
          <w:kern w:val="2"/>
          <w:sz w:val="32"/>
          <w:szCs w:val="32"/>
          <w:highlight w:val="none"/>
          <w:lang w:val="en-US" w:eastAsia="zh-CN" w:bidi="ar-SA"/>
        </w:rPr>
        <w:t>6.69万元、办公费3万元、会议费3万元、其他商品服务支出10万元</w:t>
      </w:r>
      <w:r>
        <w:rPr>
          <w:rFonts w:hint="default" w:ascii="Times New Roman" w:hAnsi="Times New Roman" w:eastAsia="仿宋_GB2312" w:cs="Times New Roman"/>
          <w:color w:val="auto"/>
          <w:kern w:val="2"/>
          <w:sz w:val="32"/>
          <w:szCs w:val="32"/>
          <w:highlight w:val="none"/>
          <w:lang w:val="zh-CN" w:eastAsia="zh-CN" w:bidi="ar-SA"/>
        </w:rPr>
        <w:t>作为便民利民政策性财政支出，相关组织架构及实施流程规范合理。</w:t>
      </w:r>
    </w:p>
    <w:p w14:paraId="47DB67AC">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目标实现。主要评估项目目标明确，与计划相符，主要是落实中央、省、市优化营商环境改革要求，全面完成改革任务。绩效目标与绩效指标和现实需求相匹配，具有科学性、前瞻性。深化党和国家优化营商环境改革，使市场在资源配置中起决定性作用，更好发挥政府作用，使党和国家优化营商环境更加科学化、运行更加顺畅高效。</w:t>
      </w:r>
    </w:p>
    <w:p w14:paraId="65314361">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eastAsia="楷体_GB2312" w:cs="Times New Roman"/>
          <w:b w:val="0"/>
          <w:bCs w:val="0"/>
          <w:color w:val="000000"/>
          <w:kern w:val="0"/>
          <w:sz w:val="32"/>
          <w:szCs w:val="32"/>
          <w:highlight w:val="none"/>
          <w:shd w:val="clear" w:color="auto" w:fill="FFFFFF"/>
          <w:lang w:val="en-US"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lang w:val="en-US" w:eastAsia="zh-CN"/>
        </w:rPr>
        <w:t>根据预决算编制相关要求和我局工作实际，我局按时编报了202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预决算，填报了绩效目标，细化了专项资金项目等工作。制定了半年度、9月、11月及全年的预算执行计划并按计划实施，并对各计划期内的工作进行了评估，较好地执行了当年度财政预算，完成了预期内的各项工作。</w:t>
      </w:r>
    </w:p>
    <w:p w14:paraId="5894B1BF">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6B033E0">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000000"/>
          <w:kern w:val="0"/>
          <w:sz w:val="32"/>
          <w:szCs w:val="32"/>
          <w:shd w:val="clear" w:color="auto" w:fill="FFFFFF"/>
        </w:rPr>
        <w:t>我局财务管理制度健全，执行制度严格合规，会计核算符合相关规定，资金专款专用，资金支付依据和开支标准合法合规，严格执行政府采购，</w:t>
      </w:r>
      <w:r>
        <w:rPr>
          <w:rFonts w:hint="default" w:ascii="Times New Roman" w:hAnsi="Times New Roman" w:eastAsia="仿宋_GB2312" w:cs="Times New Roman"/>
          <w:color w:val="000000"/>
          <w:kern w:val="0"/>
          <w:sz w:val="32"/>
          <w:szCs w:val="32"/>
          <w:shd w:val="clear" w:color="auto" w:fill="FFFFFF"/>
          <w:lang w:eastAsia="zh-CN"/>
        </w:rPr>
        <w:t>并按照要求将我局整体绩效自评情况和自行组织的评价情况向社会公开。</w:t>
      </w:r>
      <w:r>
        <w:rPr>
          <w:rFonts w:hint="default" w:ascii="Times New Roman" w:hAnsi="Times New Roman" w:eastAsia="仿宋_GB2312" w:cs="Times New Roman"/>
          <w:sz w:val="32"/>
          <w:szCs w:val="32"/>
          <w:lang w:val="en-US" w:eastAsia="zh-CN"/>
        </w:rPr>
        <w:t>我局202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年部门支出与年初预算项目一致，达到预期绩效目标。</w:t>
      </w:r>
      <w:r>
        <w:rPr>
          <w:rFonts w:hint="default" w:ascii="Times New Roman" w:hAnsi="Times New Roman" w:cs="Times New Roman"/>
          <w:sz w:val="32"/>
          <w:szCs w:val="32"/>
          <w:lang w:val="en-US" w:eastAsia="zh-CN"/>
        </w:rPr>
        <w:t>自评得分为98分。</w:t>
      </w:r>
    </w:p>
    <w:p w14:paraId="7F378A33">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r>
        <w:rPr>
          <w:rFonts w:hint="default" w:ascii="Times New Roman" w:hAnsi="Times New Roman" w:eastAsia="楷体" w:cs="Times New Roman"/>
          <w:color w:val="000000"/>
          <w:kern w:val="0"/>
          <w:sz w:val="32"/>
          <w:szCs w:val="32"/>
          <w:shd w:val="clear" w:color="auto" w:fill="FFFFFF"/>
          <w:lang w:eastAsia="zh-CN"/>
        </w:rPr>
        <w:t>主要</w:t>
      </w:r>
      <w:r>
        <w:rPr>
          <w:rFonts w:hint="default" w:ascii="Times New Roman" w:hAnsi="Times New Roman" w:eastAsia="仿宋_GB2312" w:cs="Times New Roman"/>
          <w:color w:val="000000"/>
          <w:kern w:val="0"/>
          <w:sz w:val="32"/>
          <w:szCs w:val="32"/>
          <w:shd w:val="clear" w:color="auto" w:fill="FFFFFF"/>
        </w:rPr>
        <w:t>是</w:t>
      </w:r>
      <w:r>
        <w:rPr>
          <w:rFonts w:hint="default" w:ascii="Times New Roman" w:hAnsi="Times New Roman" w:eastAsia="仿宋_GB2312" w:cs="Times New Roman"/>
          <w:color w:val="000000"/>
          <w:kern w:val="0"/>
          <w:sz w:val="32"/>
          <w:szCs w:val="32"/>
          <w:shd w:val="clear" w:color="auto" w:fill="FFFFFF"/>
          <w:lang w:eastAsia="zh-CN"/>
        </w:rPr>
        <w:t>加强现金管理、减少现金支付</w:t>
      </w:r>
      <w:r>
        <w:rPr>
          <w:rFonts w:hint="default" w:ascii="Times New Roman" w:hAnsi="Times New Roman" w:cs="Times New Roman"/>
          <w:sz w:val="32"/>
          <w:szCs w:val="32"/>
          <w:lang w:val="en-US" w:eastAsia="zh-CN"/>
        </w:rPr>
        <w:t>。</w:t>
      </w:r>
    </w:p>
    <w:p w14:paraId="73147C2F">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r>
        <w:rPr>
          <w:rFonts w:hint="default" w:ascii="Times New Roman" w:hAnsi="Times New Roman" w:eastAsia="仿宋_GB2312" w:cs="Times New Roman"/>
          <w:color w:val="000000"/>
          <w:kern w:val="0"/>
          <w:sz w:val="32"/>
          <w:szCs w:val="32"/>
          <w:shd w:val="clear" w:color="auto" w:fill="FFFFFF"/>
          <w:lang w:eastAsia="zh-CN"/>
        </w:rPr>
        <w:t>一是遵循先有预算、后有支出的原则，加强财务管理和内部控制监督制度。严格按照单位“三定”方案职能职责，科学编制年初预算绩效，严禁超预算和无预算安排支出，严格开支范围和标准，严格支出报销审核，不报销任何超范围、超标准的费用。二是严格控制“三公”经费。严格贯彻落实中央、省委省政府和县委县政府相关规定，加强“三公”经费支出的审核和审批，有效控制“三公”经费支出。</w:t>
      </w:r>
      <w:bookmarkStart w:id="53" w:name="_Hlk110546638"/>
    </w:p>
    <w:bookmarkEnd w:id="53"/>
    <w:p w14:paraId="632B3A4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CD9361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327E793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12C49E1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260B0F3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2FF5EAE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54B886D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61AC230">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75217BC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0612FEA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554D5C9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4D718A10">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48C89E4E">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7C83777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772A726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15BCFFF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bookmarkStart w:id="68" w:name="_GoBack"/>
      <w:bookmarkEnd w:id="68"/>
    </w:p>
    <w:p w14:paraId="53E9CB53">
      <w:pPr>
        <w:bidi w:val="0"/>
        <w:rPr>
          <w:rFonts w:hint="eastAsia"/>
          <w:lang w:val="zh-CN" w:eastAsia="zh-CN"/>
        </w:rPr>
      </w:pPr>
    </w:p>
    <w:tbl>
      <w:tblPr>
        <w:tblStyle w:val="15"/>
        <w:tblW w:w="59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
        <w:gridCol w:w="675"/>
        <w:gridCol w:w="64"/>
        <w:gridCol w:w="770"/>
        <w:gridCol w:w="260"/>
        <w:gridCol w:w="461"/>
        <w:gridCol w:w="216"/>
        <w:gridCol w:w="810"/>
        <w:gridCol w:w="409"/>
        <w:gridCol w:w="53"/>
        <w:gridCol w:w="438"/>
        <w:gridCol w:w="98"/>
        <w:gridCol w:w="371"/>
        <w:gridCol w:w="101"/>
        <w:gridCol w:w="388"/>
        <w:gridCol w:w="714"/>
        <w:gridCol w:w="432"/>
        <w:gridCol w:w="117"/>
        <w:gridCol w:w="441"/>
        <w:gridCol w:w="81"/>
        <w:gridCol w:w="566"/>
        <w:gridCol w:w="2631"/>
        <w:gridCol w:w="247"/>
      </w:tblGrid>
      <w:tr w14:paraId="5E88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207F95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5D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A90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9A1DD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51172224T000011244785-行政审批现场踏勘调查经费</w:t>
            </w:r>
          </w:p>
        </w:tc>
      </w:tr>
      <w:tr w14:paraId="2228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1E2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F45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536" w:type="pct"/>
            <w:gridSpan w:val="2"/>
            <w:tcBorders>
              <w:top w:val="nil"/>
              <w:left w:val="nil"/>
              <w:bottom w:val="nil"/>
              <w:right w:val="nil"/>
            </w:tcBorders>
            <w:shd w:val="clear" w:color="auto" w:fill="auto"/>
            <w:vAlign w:val="center"/>
          </w:tcPr>
          <w:p w14:paraId="1A60820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0AAA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7807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4D8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2BA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CF5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1002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0F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E9E">
            <w:pPr>
              <w:snapToGrid w:val="0"/>
              <w:rPr>
                <w:rFonts w:hint="eastAsia" w:ascii="宋体" w:hAnsi="宋体" w:eastAsia="宋体" w:cs="宋体"/>
                <w:i w:val="0"/>
                <w:iCs w:val="0"/>
                <w:color w:val="000000"/>
                <w:sz w:val="18"/>
                <w:szCs w:val="18"/>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CA97">
            <w:pPr>
              <w:snapToGrid w:val="0"/>
              <w:rPr>
                <w:rFonts w:hint="eastAsia" w:ascii="宋体" w:hAnsi="宋体" w:eastAsia="宋体" w:cs="宋体"/>
                <w:i w:val="0"/>
                <w:iCs w:val="0"/>
                <w:color w:val="000000"/>
                <w:sz w:val="18"/>
                <w:szCs w:val="18"/>
                <w:u w:val="none"/>
              </w:rPr>
            </w:pPr>
          </w:p>
        </w:tc>
        <w:tc>
          <w:tcPr>
            <w:tcW w:w="1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C44F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行政许可相对集中改革后，20个部门180项行政许可事项及16个关联事项划转至县行政审批局，在审批事项办理过程中，涉及现场踏勘调查事项较多，产生大量车辆租赁、人员差旅费等费用。从2021年开始实施现场踏勘调查工作后，进一步强化审批工作保障，推动各项任务顺利实施，切实提升服务效率与质量。</w:t>
            </w:r>
          </w:p>
        </w:tc>
        <w:tc>
          <w:tcPr>
            <w:tcW w:w="24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21C1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36"/>
                <w:lang w:val="en-US" w:eastAsia="zh-CN" w:bidi="ar"/>
              </w:rPr>
              <w:t>全县行政许可相对集中改革后，</w:t>
            </w:r>
            <w:r>
              <w:rPr>
                <w:rStyle w:val="37"/>
                <w:lang w:val="en-US" w:eastAsia="zh-CN" w:bidi="ar"/>
              </w:rPr>
              <w:t>20</w:t>
            </w:r>
            <w:r>
              <w:rPr>
                <w:rStyle w:val="36"/>
                <w:lang w:val="en-US" w:eastAsia="zh-CN" w:bidi="ar"/>
              </w:rPr>
              <w:t>个部门</w:t>
            </w:r>
            <w:r>
              <w:rPr>
                <w:rStyle w:val="37"/>
                <w:lang w:val="en-US" w:eastAsia="zh-CN" w:bidi="ar"/>
              </w:rPr>
              <w:t>180</w:t>
            </w:r>
            <w:r>
              <w:rPr>
                <w:rStyle w:val="36"/>
                <w:lang w:val="en-US" w:eastAsia="zh-CN" w:bidi="ar"/>
              </w:rPr>
              <w:t>项行政许可事项及</w:t>
            </w:r>
            <w:r>
              <w:rPr>
                <w:rStyle w:val="37"/>
                <w:lang w:val="en-US" w:eastAsia="zh-CN" w:bidi="ar"/>
              </w:rPr>
              <w:t>16</w:t>
            </w:r>
            <w:r>
              <w:rPr>
                <w:rStyle w:val="36"/>
                <w:lang w:val="en-US" w:eastAsia="zh-CN" w:bidi="ar"/>
              </w:rPr>
              <w:t>个关联事项划转至县行政审批局，在审批事项办理过程中，涉及现场踏勘调查事项较多，产生大量车辆租赁、人员差旅费等费用。从</w:t>
            </w:r>
            <w:r>
              <w:rPr>
                <w:rStyle w:val="37"/>
                <w:lang w:val="en-US" w:eastAsia="zh-CN" w:bidi="ar"/>
              </w:rPr>
              <w:t>2021</w:t>
            </w:r>
            <w:r>
              <w:rPr>
                <w:rStyle w:val="36"/>
                <w:lang w:val="en-US" w:eastAsia="zh-CN" w:bidi="ar"/>
              </w:rPr>
              <w:t>年开始实施现场踏勘调查工作后，进一步强化了审批工作保障，推动了各项任务顺利实施，切实提升了服务效率与质量。</w:t>
            </w:r>
          </w:p>
        </w:tc>
      </w:tr>
      <w:tr w14:paraId="6501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0672">
            <w:pPr>
              <w:snapToGrid w:val="0"/>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A7E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C3D5A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行政许可相对集中改革后，20个部门180项行政许可事项及16个关联事项划转至县行政审批局，在审批事项办理过程中，涉及现场踏勘调查事项较多，产生大量车辆租赁、人员差旅费等费用。为进一步强化审批工作保障，推动各项任务顺利实施，切实提升服务效率与质量，从2021年开始实施现场踏勘调查工作。</w:t>
            </w:r>
          </w:p>
        </w:tc>
      </w:tr>
      <w:tr w14:paraId="4D03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4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554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7C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0E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91F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A5A0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2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AF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0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2B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64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A327">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FC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38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426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88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9FA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FD4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5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94E8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C0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39BA">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0B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35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91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A3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C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9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4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F6F0">
            <w:pPr>
              <w:snapToGrid w:val="0"/>
              <w:rPr>
                <w:rFonts w:hint="eastAsia" w:ascii="黑体" w:hAnsi="黑体" w:eastAsia="黑体" w:cs="黑体"/>
                <w:i/>
                <w:iCs/>
                <w:color w:val="000000"/>
                <w:sz w:val="18"/>
                <w:szCs w:val="18"/>
                <w:u w:val="none"/>
              </w:rPr>
            </w:pPr>
          </w:p>
        </w:tc>
      </w:tr>
      <w:tr w14:paraId="4EC3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5C5A">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983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3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8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091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C3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22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D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EB6A">
            <w:pPr>
              <w:snapToGrid w:val="0"/>
              <w:rPr>
                <w:rFonts w:hint="eastAsia" w:ascii="黑体" w:hAnsi="黑体" w:eastAsia="黑体" w:cs="黑体"/>
                <w:i/>
                <w:iCs/>
                <w:color w:val="000000"/>
                <w:sz w:val="18"/>
                <w:szCs w:val="18"/>
                <w:u w:val="none"/>
              </w:rPr>
            </w:pPr>
          </w:p>
        </w:tc>
      </w:tr>
      <w:tr w14:paraId="0306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0401">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A4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58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75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F6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2B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F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23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05B2">
            <w:pPr>
              <w:snapToGrid w:val="0"/>
              <w:rPr>
                <w:rFonts w:hint="eastAsia" w:ascii="黑体" w:hAnsi="黑体" w:eastAsia="黑体" w:cs="黑体"/>
                <w:i/>
                <w:iCs/>
                <w:color w:val="000000"/>
                <w:sz w:val="18"/>
                <w:szCs w:val="18"/>
                <w:u w:val="none"/>
              </w:rPr>
            </w:pPr>
          </w:p>
        </w:tc>
      </w:tr>
      <w:tr w14:paraId="0374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F39A">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88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CA24">
            <w:pPr>
              <w:snapToGrid w:val="0"/>
              <w:jc w:val="center"/>
              <w:rPr>
                <w:rFonts w:hint="eastAsia" w:ascii="微软雅黑" w:hAnsi="微软雅黑" w:eastAsia="微软雅黑" w:cs="微软雅黑"/>
                <w:i/>
                <w:iCs/>
                <w:color w:val="000000"/>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3E7A0">
            <w:pPr>
              <w:snapToGrid w:val="0"/>
              <w:jc w:val="center"/>
              <w:rPr>
                <w:rFonts w:hint="eastAsia" w:ascii="微软雅黑" w:hAnsi="微软雅黑" w:eastAsia="微软雅黑" w:cs="微软雅黑"/>
                <w:i/>
                <w:iCs/>
                <w:color w:val="000000"/>
                <w:sz w:val="16"/>
                <w:szCs w:val="16"/>
                <w:u w:val="none"/>
              </w:rPr>
            </w:pPr>
          </w:p>
        </w:tc>
        <w:tc>
          <w:tcPr>
            <w:tcW w:w="6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49173">
            <w:pPr>
              <w:snapToGrid w:val="0"/>
              <w:jc w:val="center"/>
              <w:rPr>
                <w:rFonts w:hint="eastAsia" w:ascii="微软雅黑" w:hAnsi="微软雅黑" w:eastAsia="微软雅黑" w:cs="微软雅黑"/>
                <w:i/>
                <w:iCs/>
                <w:color w:val="000000"/>
                <w:sz w:val="16"/>
                <w:szCs w:val="16"/>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DE9AA">
            <w:pPr>
              <w:snapToGrid w:val="0"/>
              <w:jc w:val="center"/>
              <w:rPr>
                <w:rFonts w:hint="eastAsia" w:ascii="微软雅黑" w:hAnsi="微软雅黑" w:eastAsia="微软雅黑" w:cs="微软雅黑"/>
                <w:i/>
                <w:iCs/>
                <w:color w:val="000000"/>
                <w:sz w:val="16"/>
                <w:szCs w:val="16"/>
                <w:u w:val="none"/>
              </w:rPr>
            </w:pP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D3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5F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365D">
            <w:pPr>
              <w:snapToGrid w:val="0"/>
              <w:rPr>
                <w:rFonts w:hint="eastAsia" w:ascii="黑体" w:hAnsi="黑体" w:eastAsia="黑体" w:cs="黑体"/>
                <w:i/>
                <w:iCs/>
                <w:color w:val="000000"/>
                <w:sz w:val="18"/>
                <w:szCs w:val="18"/>
                <w:u w:val="none"/>
              </w:rPr>
            </w:pPr>
          </w:p>
        </w:tc>
      </w:tr>
      <w:tr w14:paraId="5F31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BE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741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7E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D5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60A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8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D6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24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C3B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3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0D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1B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6ED5">
            <w:pPr>
              <w:snapToGrid w:val="0"/>
              <w:jc w:val="center"/>
              <w:rPr>
                <w:rFonts w:hint="eastAsia" w:ascii="宋体" w:hAnsi="宋体" w:eastAsia="宋体" w:cs="宋体"/>
                <w:i w:val="0"/>
                <w:iCs w:val="0"/>
                <w:color w:val="000000"/>
                <w:sz w:val="18"/>
                <w:szCs w:val="18"/>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13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B8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6D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通过实施现场踏勘调查工作后，进一步强化了审批工作保障，推动了各项任务顺利实施，切实提升了服务效率与质量。</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83A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F7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04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C5BF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02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D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E3F35">
            <w:pPr>
              <w:snapToGrid w:val="0"/>
              <w:jc w:val="center"/>
              <w:rPr>
                <w:rFonts w:hint="eastAsia" w:ascii="微软雅黑" w:hAnsi="微软雅黑" w:eastAsia="微软雅黑" w:cs="微软雅黑"/>
                <w:i/>
                <w:iCs/>
                <w:color w:val="000000"/>
                <w:sz w:val="16"/>
                <w:szCs w:val="16"/>
                <w:u w:val="none"/>
              </w:rPr>
            </w:pPr>
          </w:p>
        </w:tc>
      </w:tr>
      <w:tr w14:paraId="0083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6F98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F4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B6B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7126">
            <w:pPr>
              <w:snapToGrid w:val="0"/>
              <w:rPr>
                <w:rFonts w:hint="eastAsia" w:ascii="宋体" w:hAnsi="宋体" w:eastAsia="宋体" w:cs="宋体"/>
                <w:i w:val="0"/>
                <w:iCs w:val="0"/>
                <w:color w:val="000000"/>
                <w:sz w:val="18"/>
                <w:szCs w:val="18"/>
                <w:u w:val="none"/>
              </w:rPr>
            </w:pPr>
          </w:p>
        </w:tc>
      </w:tr>
      <w:tr w14:paraId="5364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jc w:val="center"/>
        </w:trPr>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529A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52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ACD1F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项目指标体系，结合工作开展情况，自评得分85分。全县行政许可相对集中改革后，20个部门180项行政许可事项及16个关联事项划转至县行政审批局，在审批事项办理过程中，涉及现场踏勘调查事项较多，产生大量车辆租赁、人员差旅费等费用。从2021年开始实施现场踏勘调查工作后，进一步强化了审批工作保障，推动了各项任务顺利实施，切实提升了服务效率与质量。</w:t>
            </w:r>
          </w:p>
        </w:tc>
      </w:tr>
      <w:tr w14:paraId="383F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6A3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52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FE85C5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有时效率稍显低下、</w:t>
            </w:r>
          </w:p>
        </w:tc>
      </w:tr>
      <w:tr w14:paraId="5619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E368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52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BDF4C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简化流程：应简化审批流程，减少不必要的环节和手续，以提高审批效率。</w:t>
            </w:r>
          </w:p>
        </w:tc>
      </w:tr>
      <w:tr w14:paraId="3F43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472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1F13864">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ED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A9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BBB7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51172221T000000130258-县政务服务大厅,乡镇便民服务网络服务费</w:t>
            </w:r>
          </w:p>
        </w:tc>
      </w:tr>
      <w:tr w14:paraId="0A1D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305" w:hRule="atLeast"/>
          <w:jc w:val="center"/>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B2E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CE7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515" w:type="pct"/>
            <w:gridSpan w:val="2"/>
            <w:tcBorders>
              <w:top w:val="nil"/>
              <w:left w:val="nil"/>
              <w:bottom w:val="nil"/>
              <w:right w:val="nil"/>
            </w:tcBorders>
            <w:shd w:val="clear" w:color="auto" w:fill="auto"/>
            <w:vAlign w:val="center"/>
          </w:tcPr>
          <w:p w14:paraId="5BAE836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178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0485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8DD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73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F9F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D28E3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92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2A88">
            <w:pPr>
              <w:snapToGrid w:val="0"/>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F4B9">
            <w:pPr>
              <w:snapToGrid w:val="0"/>
              <w:rPr>
                <w:rFonts w:hint="eastAsia" w:ascii="宋体" w:hAnsi="宋体" w:eastAsia="宋体" w:cs="宋体"/>
                <w:i w:val="0"/>
                <w:iCs w:val="0"/>
                <w:color w:val="000000"/>
                <w:sz w:val="18"/>
                <w:szCs w:val="18"/>
                <w:u w:val="none"/>
              </w:rPr>
            </w:pPr>
          </w:p>
        </w:tc>
        <w:tc>
          <w:tcPr>
            <w:tcW w:w="15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B7B3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保障县政务服务大厅及乡镇便民服务中心网络运行 </w:t>
            </w:r>
          </w:p>
        </w:tc>
        <w:tc>
          <w:tcPr>
            <w:tcW w:w="2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BE7A9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已保障县政务服务大厅及乡镇便民服务中心网络正常运行</w:t>
            </w:r>
          </w:p>
        </w:tc>
      </w:tr>
      <w:tr w14:paraId="4DB2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8AF3">
            <w:pPr>
              <w:snapToGrid w:val="0"/>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4E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82A4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对县政务服务大厅及乡镇的便民服务中心的运行情况实施监控以及建立行政审批、公共服务考核体系。办事群众满意率100%。</w:t>
            </w:r>
          </w:p>
        </w:tc>
      </w:tr>
      <w:tr w14:paraId="5FFD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706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4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24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F2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85F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3F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F4C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1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83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E3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8F20">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F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F0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7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40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37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FDB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36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F61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F5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E67C">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7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45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29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A79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62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E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2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50E4">
            <w:pPr>
              <w:snapToGrid w:val="0"/>
              <w:rPr>
                <w:rFonts w:hint="eastAsia" w:ascii="黑体" w:hAnsi="黑体" w:eastAsia="黑体" w:cs="黑体"/>
                <w:i/>
                <w:iCs/>
                <w:color w:val="000000"/>
                <w:sz w:val="18"/>
                <w:szCs w:val="18"/>
                <w:u w:val="none"/>
              </w:rPr>
            </w:pPr>
          </w:p>
        </w:tc>
      </w:tr>
      <w:tr w14:paraId="126A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342C">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5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D8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B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F09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EE8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B6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E9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A22C">
            <w:pPr>
              <w:snapToGrid w:val="0"/>
              <w:rPr>
                <w:rFonts w:hint="eastAsia" w:ascii="黑体" w:hAnsi="黑体" w:eastAsia="黑体" w:cs="黑体"/>
                <w:i/>
                <w:iCs/>
                <w:color w:val="000000"/>
                <w:sz w:val="18"/>
                <w:szCs w:val="18"/>
                <w:u w:val="none"/>
              </w:rPr>
            </w:pPr>
          </w:p>
        </w:tc>
      </w:tr>
      <w:tr w14:paraId="431F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F349">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9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859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F2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B4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F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E5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F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5929">
            <w:pPr>
              <w:snapToGrid w:val="0"/>
              <w:rPr>
                <w:rFonts w:hint="eastAsia" w:ascii="黑体" w:hAnsi="黑体" w:eastAsia="黑体" w:cs="黑体"/>
                <w:i/>
                <w:iCs/>
                <w:color w:val="000000"/>
                <w:sz w:val="18"/>
                <w:szCs w:val="18"/>
                <w:u w:val="none"/>
              </w:rPr>
            </w:pPr>
          </w:p>
        </w:tc>
      </w:tr>
      <w:tr w14:paraId="36D0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BB4">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18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5D243">
            <w:pPr>
              <w:snapToGrid w:val="0"/>
              <w:jc w:val="center"/>
              <w:rPr>
                <w:rFonts w:hint="eastAsia" w:ascii="微软雅黑" w:hAnsi="微软雅黑" w:eastAsia="微软雅黑" w:cs="微软雅黑"/>
                <w:i/>
                <w:iCs/>
                <w:color w:val="000000"/>
                <w:sz w:val="16"/>
                <w:szCs w:val="16"/>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82596">
            <w:pPr>
              <w:snapToGrid w:val="0"/>
              <w:jc w:val="center"/>
              <w:rPr>
                <w:rFonts w:hint="eastAsia" w:ascii="微软雅黑" w:hAnsi="微软雅黑" w:eastAsia="微软雅黑" w:cs="微软雅黑"/>
                <w:i/>
                <w:iCs/>
                <w:color w:val="000000"/>
                <w:sz w:val="16"/>
                <w:szCs w:val="16"/>
                <w:u w:val="none"/>
              </w:rPr>
            </w:pPr>
          </w:p>
        </w:tc>
        <w:tc>
          <w:tcPr>
            <w:tcW w:w="6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C6799">
            <w:pPr>
              <w:snapToGrid w:val="0"/>
              <w:jc w:val="center"/>
              <w:rPr>
                <w:rFonts w:hint="eastAsia" w:ascii="微软雅黑" w:hAnsi="微软雅黑" w:eastAsia="微软雅黑" w:cs="微软雅黑"/>
                <w:i/>
                <w:iCs/>
                <w:color w:val="000000"/>
                <w:sz w:val="16"/>
                <w:szCs w:val="16"/>
                <w:u w:val="none"/>
              </w:rPr>
            </w:pP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6A16F">
            <w:pPr>
              <w:snapToGrid w:val="0"/>
              <w:jc w:val="center"/>
              <w:rPr>
                <w:rFonts w:hint="eastAsia" w:ascii="微软雅黑" w:hAnsi="微软雅黑" w:eastAsia="微软雅黑" w:cs="微软雅黑"/>
                <w:i/>
                <w:iCs/>
                <w:color w:val="000000"/>
                <w:sz w:val="16"/>
                <w:szCs w:val="16"/>
                <w:u w:val="none"/>
              </w:rPr>
            </w:pP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AB5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2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70F5">
            <w:pPr>
              <w:snapToGrid w:val="0"/>
              <w:rPr>
                <w:rFonts w:hint="eastAsia" w:ascii="黑体" w:hAnsi="黑体" w:eastAsia="黑体" w:cs="黑体"/>
                <w:i/>
                <w:iCs/>
                <w:color w:val="000000"/>
                <w:sz w:val="18"/>
                <w:szCs w:val="18"/>
                <w:u w:val="none"/>
              </w:rPr>
            </w:pPr>
          </w:p>
        </w:tc>
      </w:tr>
      <w:tr w14:paraId="170E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98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6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EA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733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D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F5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E47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E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0F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C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60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9C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D98A">
            <w:pPr>
              <w:snapToGrid w:val="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4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C43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F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乡镇便民服务中心网络正常运行</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F7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EA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51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B01B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B7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C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1BAAD">
            <w:pPr>
              <w:snapToGrid w:val="0"/>
              <w:jc w:val="center"/>
              <w:rPr>
                <w:rFonts w:hint="eastAsia" w:ascii="微软雅黑" w:hAnsi="微软雅黑" w:eastAsia="微软雅黑" w:cs="微软雅黑"/>
                <w:i/>
                <w:iCs/>
                <w:color w:val="000000"/>
                <w:sz w:val="16"/>
                <w:szCs w:val="16"/>
                <w:u w:val="none"/>
              </w:rPr>
            </w:pPr>
          </w:p>
        </w:tc>
      </w:tr>
      <w:tr w14:paraId="01AE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E078">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B02B">
            <w:pPr>
              <w:snapToGrid w:val="0"/>
              <w:jc w:val="center"/>
              <w:rPr>
                <w:rFonts w:hint="eastAsia" w:ascii="宋体" w:hAnsi="宋体" w:eastAsia="宋体" w:cs="宋体"/>
                <w:i w:val="0"/>
                <w:iCs w:val="0"/>
                <w:color w:val="000000"/>
                <w:sz w:val="18"/>
                <w:szCs w:val="18"/>
                <w:u w:val="none"/>
              </w:rPr>
            </w:pPr>
          </w:p>
        </w:tc>
        <w:tc>
          <w:tcPr>
            <w:tcW w:w="3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24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24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保障乡镇便民服务大厅网络正常运行</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E8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13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85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6AA8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59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1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FF454">
            <w:pPr>
              <w:snapToGrid w:val="0"/>
              <w:jc w:val="center"/>
              <w:rPr>
                <w:rFonts w:hint="eastAsia" w:ascii="微软雅黑" w:hAnsi="微软雅黑" w:eastAsia="微软雅黑" w:cs="微软雅黑"/>
                <w:i/>
                <w:iCs/>
                <w:color w:val="000000"/>
                <w:sz w:val="16"/>
                <w:szCs w:val="16"/>
                <w:u w:val="none"/>
              </w:rPr>
            </w:pPr>
          </w:p>
        </w:tc>
      </w:tr>
      <w:tr w14:paraId="4FC6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AB37">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8C8B">
            <w:pPr>
              <w:snapToGrid w:val="0"/>
              <w:jc w:val="center"/>
              <w:rPr>
                <w:rFonts w:hint="eastAsia" w:ascii="宋体" w:hAnsi="宋体" w:eastAsia="宋体" w:cs="宋体"/>
                <w:i w:val="0"/>
                <w:iCs w:val="0"/>
                <w:color w:val="000000"/>
                <w:sz w:val="18"/>
                <w:szCs w:val="18"/>
                <w:u w:val="none"/>
              </w:rPr>
            </w:pPr>
          </w:p>
        </w:tc>
        <w:tc>
          <w:tcPr>
            <w:tcW w:w="3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7F04">
            <w:pPr>
              <w:snapToGrid w:val="0"/>
              <w:jc w:val="center"/>
              <w:rPr>
                <w:rFonts w:hint="eastAsia" w:ascii="宋体" w:hAnsi="宋体" w:eastAsia="宋体" w:cs="宋体"/>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23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保障县政务服务大厅网络正常运行</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0E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B1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E3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713E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EE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9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ACEB6">
            <w:pPr>
              <w:snapToGrid w:val="0"/>
              <w:jc w:val="center"/>
              <w:rPr>
                <w:rFonts w:hint="eastAsia" w:ascii="微软雅黑" w:hAnsi="微软雅黑" w:eastAsia="微软雅黑" w:cs="微软雅黑"/>
                <w:i/>
                <w:iCs/>
                <w:color w:val="000000"/>
                <w:sz w:val="16"/>
                <w:szCs w:val="16"/>
                <w:u w:val="none"/>
              </w:rPr>
            </w:pPr>
          </w:p>
        </w:tc>
      </w:tr>
      <w:tr w14:paraId="6C43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AEE7">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216D">
            <w:pPr>
              <w:snapToGrid w:val="0"/>
              <w:jc w:val="center"/>
              <w:rPr>
                <w:rFonts w:hint="eastAsia" w:ascii="宋体" w:hAnsi="宋体" w:eastAsia="宋体" w:cs="宋体"/>
                <w:i w:val="0"/>
                <w:iCs w:val="0"/>
                <w:color w:val="000000"/>
                <w:sz w:val="18"/>
                <w:szCs w:val="18"/>
                <w:u w:val="none"/>
              </w:rPr>
            </w:pPr>
          </w:p>
        </w:tc>
        <w:tc>
          <w:tcPr>
            <w:tcW w:w="3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2F4B">
            <w:pPr>
              <w:snapToGrid w:val="0"/>
              <w:jc w:val="center"/>
              <w:rPr>
                <w:rFonts w:hint="eastAsia" w:ascii="宋体" w:hAnsi="宋体" w:eastAsia="宋体" w:cs="宋体"/>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3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深受办事群众的一致好评</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32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C4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29B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653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3F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D1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773DF">
            <w:pPr>
              <w:snapToGrid w:val="0"/>
              <w:jc w:val="center"/>
              <w:rPr>
                <w:rFonts w:hint="eastAsia" w:ascii="微软雅黑" w:hAnsi="微软雅黑" w:eastAsia="微软雅黑" w:cs="微软雅黑"/>
                <w:i/>
                <w:iCs/>
                <w:color w:val="000000"/>
                <w:sz w:val="16"/>
                <w:szCs w:val="16"/>
                <w:u w:val="none"/>
              </w:rPr>
            </w:pPr>
          </w:p>
        </w:tc>
      </w:tr>
      <w:tr w14:paraId="06DB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135D">
            <w:pPr>
              <w:snapToGrid w:val="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08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7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C0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得到县级办事群众的一致好评</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D4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C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57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CD60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2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C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E0F37">
            <w:pPr>
              <w:snapToGrid w:val="0"/>
              <w:jc w:val="center"/>
              <w:rPr>
                <w:rFonts w:hint="eastAsia" w:ascii="微软雅黑" w:hAnsi="微软雅黑" w:eastAsia="微软雅黑" w:cs="微软雅黑"/>
                <w:i/>
                <w:iCs/>
                <w:color w:val="000000"/>
                <w:sz w:val="16"/>
                <w:szCs w:val="16"/>
                <w:u w:val="none"/>
              </w:rPr>
            </w:pPr>
          </w:p>
        </w:tc>
      </w:tr>
      <w:tr w14:paraId="1B04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B26D">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3B11">
            <w:pPr>
              <w:snapToGrid w:val="0"/>
              <w:jc w:val="center"/>
              <w:rPr>
                <w:rFonts w:hint="eastAsia" w:ascii="宋体" w:hAnsi="宋体" w:eastAsia="宋体" w:cs="宋体"/>
                <w:i w:val="0"/>
                <w:iCs w:val="0"/>
                <w:color w:val="000000"/>
                <w:sz w:val="18"/>
                <w:szCs w:val="18"/>
                <w:u w:val="none"/>
              </w:rPr>
            </w:pPr>
          </w:p>
        </w:tc>
        <w:tc>
          <w:tcPr>
            <w:tcW w:w="3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6120">
            <w:pPr>
              <w:snapToGrid w:val="0"/>
              <w:jc w:val="center"/>
              <w:rPr>
                <w:rFonts w:hint="eastAsia" w:ascii="宋体" w:hAnsi="宋体" w:eastAsia="宋体" w:cs="宋体"/>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9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得到乡镇办事群众的一致好评</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6B1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6D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2F5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F407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97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3F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F5F1D">
            <w:pPr>
              <w:snapToGrid w:val="0"/>
              <w:jc w:val="center"/>
              <w:rPr>
                <w:rFonts w:hint="eastAsia" w:ascii="微软雅黑" w:hAnsi="微软雅黑" w:eastAsia="微软雅黑" w:cs="微软雅黑"/>
                <w:i/>
                <w:iCs/>
                <w:color w:val="000000"/>
                <w:sz w:val="16"/>
                <w:szCs w:val="16"/>
                <w:u w:val="none"/>
              </w:rPr>
            </w:pPr>
          </w:p>
        </w:tc>
      </w:tr>
      <w:tr w14:paraId="5976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C8D7">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2F85">
            <w:pPr>
              <w:snapToGrid w:val="0"/>
              <w:jc w:val="center"/>
              <w:rPr>
                <w:rFonts w:hint="eastAsia" w:ascii="宋体" w:hAnsi="宋体" w:eastAsia="宋体" w:cs="宋体"/>
                <w:i w:val="0"/>
                <w:iCs w:val="0"/>
                <w:color w:val="000000"/>
                <w:sz w:val="18"/>
                <w:szCs w:val="18"/>
                <w:u w:val="none"/>
              </w:rPr>
            </w:pPr>
          </w:p>
        </w:tc>
        <w:tc>
          <w:tcPr>
            <w:tcW w:w="3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26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0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乡镇便民服务中心网络服务费</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480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3E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D9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42C3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7FA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0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E7F5B">
            <w:pPr>
              <w:snapToGrid w:val="0"/>
              <w:jc w:val="center"/>
              <w:rPr>
                <w:rFonts w:hint="eastAsia" w:ascii="微软雅黑" w:hAnsi="微软雅黑" w:eastAsia="微软雅黑" w:cs="微软雅黑"/>
                <w:i/>
                <w:iCs/>
                <w:color w:val="000000"/>
                <w:sz w:val="16"/>
                <w:szCs w:val="16"/>
                <w:u w:val="none"/>
              </w:rPr>
            </w:pPr>
          </w:p>
        </w:tc>
      </w:tr>
      <w:tr w14:paraId="36DD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775"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36AD">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881B">
            <w:pPr>
              <w:snapToGrid w:val="0"/>
              <w:jc w:val="center"/>
              <w:rPr>
                <w:rFonts w:hint="eastAsia" w:ascii="宋体" w:hAnsi="宋体" w:eastAsia="宋体" w:cs="宋体"/>
                <w:i w:val="0"/>
                <w:iCs w:val="0"/>
                <w:color w:val="000000"/>
                <w:sz w:val="18"/>
                <w:szCs w:val="18"/>
                <w:u w:val="none"/>
              </w:rPr>
            </w:pPr>
          </w:p>
        </w:tc>
        <w:tc>
          <w:tcPr>
            <w:tcW w:w="3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8124">
            <w:pPr>
              <w:snapToGrid w:val="0"/>
              <w:jc w:val="center"/>
              <w:rPr>
                <w:rFonts w:hint="eastAsia" w:ascii="宋体" w:hAnsi="宋体" w:eastAsia="宋体" w:cs="宋体"/>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30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县政务服务大厅及乡镇便民服务中心网络正常运行</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E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2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7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6895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94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5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38D74">
            <w:pPr>
              <w:snapToGrid w:val="0"/>
              <w:jc w:val="center"/>
              <w:rPr>
                <w:rFonts w:hint="eastAsia" w:ascii="微软雅黑" w:hAnsi="微软雅黑" w:eastAsia="微软雅黑" w:cs="微软雅黑"/>
                <w:i/>
                <w:iCs/>
                <w:color w:val="000000"/>
                <w:sz w:val="16"/>
                <w:szCs w:val="16"/>
                <w:u w:val="none"/>
              </w:rPr>
            </w:pPr>
          </w:p>
        </w:tc>
      </w:tr>
      <w:tr w14:paraId="1004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5C70">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6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90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13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办事群众的满意率</w:t>
            </w:r>
          </w:p>
        </w:tc>
        <w:tc>
          <w:tcPr>
            <w:tcW w:w="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5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0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61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7B2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9E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8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A3C63">
            <w:pPr>
              <w:snapToGrid w:val="0"/>
              <w:jc w:val="center"/>
              <w:rPr>
                <w:rFonts w:hint="eastAsia" w:ascii="微软雅黑" w:hAnsi="微软雅黑" w:eastAsia="微软雅黑" w:cs="微软雅黑"/>
                <w:i/>
                <w:iCs/>
                <w:color w:val="000000"/>
                <w:sz w:val="16"/>
                <w:szCs w:val="16"/>
                <w:u w:val="none"/>
              </w:rPr>
            </w:pPr>
          </w:p>
        </w:tc>
      </w:tr>
      <w:tr w14:paraId="3FC9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2726"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B4D5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928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42B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4B4BF">
            <w:pPr>
              <w:snapToGrid w:val="0"/>
              <w:rPr>
                <w:rFonts w:hint="eastAsia" w:ascii="宋体" w:hAnsi="宋体" w:eastAsia="宋体" w:cs="宋体"/>
                <w:i w:val="0"/>
                <w:iCs w:val="0"/>
                <w:color w:val="000000"/>
                <w:sz w:val="18"/>
                <w:szCs w:val="18"/>
                <w:u w:val="none"/>
              </w:rPr>
            </w:pPr>
          </w:p>
        </w:tc>
      </w:tr>
      <w:tr w14:paraId="5983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568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37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D03EE4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根据项目指标体系，结合工作开展情况，自评得分87分。对网络系统进行持续监控、安全防护、故障排查，大大确保了网络系统的稳定性、安全性。</w:t>
            </w:r>
          </w:p>
        </w:tc>
      </w:tr>
      <w:tr w14:paraId="4AB9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5578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37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D2CF90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运维管理手段稍显落后</w:t>
            </w:r>
          </w:p>
        </w:tc>
      </w:tr>
      <w:tr w14:paraId="6C05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1" w:type="pct"/>
          <w:wAfter w:w="115" w:type="pct"/>
          <w:trHeight w:val="0" w:hRule="atLeast"/>
          <w:jc w:val="center"/>
        </w:trPr>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1BEC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37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14C038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督促移动和电信集团加强网络日常的维护，确保县政务服务大厅及乡镇便民服务中心网络正常运行。</w:t>
            </w:r>
          </w:p>
        </w:tc>
      </w:tr>
    </w:tbl>
    <w:p w14:paraId="0287DC3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C60236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43DFBE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FAA47D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0125F2B">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31417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7D6D23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A508AA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B285A8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D74EE2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F0035D9">
      <w:pPr>
        <w:bidi w:val="0"/>
        <w:rPr>
          <w:rFonts w:hint="eastAsia"/>
          <w:lang w:val="zh-CN" w:eastAsia="zh-CN"/>
        </w:rPr>
      </w:pPr>
    </w:p>
    <w:tbl>
      <w:tblPr>
        <w:tblStyle w:val="15"/>
        <w:tblW w:w="60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
        <w:gridCol w:w="610"/>
        <w:gridCol w:w="5"/>
        <w:gridCol w:w="16"/>
        <w:gridCol w:w="598"/>
        <w:gridCol w:w="47"/>
        <w:gridCol w:w="666"/>
        <w:gridCol w:w="12"/>
        <w:gridCol w:w="1866"/>
        <w:gridCol w:w="520"/>
        <w:gridCol w:w="418"/>
        <w:gridCol w:w="8"/>
        <w:gridCol w:w="431"/>
        <w:gridCol w:w="85"/>
        <w:gridCol w:w="647"/>
        <w:gridCol w:w="74"/>
        <w:gridCol w:w="742"/>
        <w:gridCol w:w="295"/>
        <w:gridCol w:w="230"/>
        <w:gridCol w:w="284"/>
        <w:gridCol w:w="134"/>
        <w:gridCol w:w="284"/>
        <w:gridCol w:w="1846"/>
        <w:gridCol w:w="633"/>
      </w:tblGrid>
      <w:tr w14:paraId="7576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8E557C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BC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D30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4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9390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51172222T000007265621-向新开办企业赠送首套印章</w:t>
            </w:r>
          </w:p>
        </w:tc>
      </w:tr>
      <w:tr w14:paraId="122C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C33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058D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377" w:type="pct"/>
            <w:gridSpan w:val="2"/>
            <w:tcBorders>
              <w:top w:val="nil"/>
              <w:left w:val="nil"/>
              <w:bottom w:val="nil"/>
              <w:right w:val="nil"/>
            </w:tcBorders>
            <w:shd w:val="clear" w:color="auto" w:fill="auto"/>
            <w:vAlign w:val="center"/>
          </w:tcPr>
          <w:p w14:paraId="6062F19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1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522C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7B29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jc w:val="center"/>
        </w:trPr>
        <w:tc>
          <w:tcPr>
            <w:tcW w:w="4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A96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37A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36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9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75E78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20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C52A">
            <w:pPr>
              <w:snapToGrid w:val="0"/>
              <w:rPr>
                <w:rFonts w:hint="eastAsia" w:ascii="宋体" w:hAnsi="宋体" w:eastAsia="宋体" w:cs="宋体"/>
                <w:i w:val="0"/>
                <w:iCs w:val="0"/>
                <w:color w:val="000000"/>
                <w:sz w:val="18"/>
                <w:szCs w:val="18"/>
                <w:u w:val="none"/>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E76D">
            <w:pPr>
              <w:snapToGrid w:val="0"/>
              <w:rPr>
                <w:rFonts w:hint="eastAsia" w:ascii="宋体" w:hAnsi="宋体" w:eastAsia="宋体" w:cs="宋体"/>
                <w:i w:val="0"/>
                <w:iCs w:val="0"/>
                <w:color w:val="000000"/>
                <w:sz w:val="18"/>
                <w:szCs w:val="18"/>
                <w:u w:val="none"/>
              </w:rPr>
            </w:pPr>
          </w:p>
        </w:tc>
        <w:tc>
          <w:tcPr>
            <w:tcW w:w="2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F6B4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按照达市府发【2022】13号文件要求，向新开办企业赠送首套印章，实现企业开办“零成本”。进一步激发我县市场主体活力，营造更加优质高效的政务服务环境。</w:t>
            </w:r>
          </w:p>
        </w:tc>
        <w:tc>
          <w:tcPr>
            <w:tcW w:w="209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FB4E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36"/>
                <w:lang w:val="en-US" w:eastAsia="zh-CN" w:bidi="ar"/>
              </w:rPr>
              <w:t>按照达市府发【</w:t>
            </w:r>
            <w:r>
              <w:rPr>
                <w:rStyle w:val="37"/>
                <w:lang w:val="en-US" w:eastAsia="zh-CN" w:bidi="ar"/>
              </w:rPr>
              <w:t>2022</w:t>
            </w:r>
            <w:r>
              <w:rPr>
                <w:rStyle w:val="36"/>
                <w:lang w:val="en-US" w:eastAsia="zh-CN" w:bidi="ar"/>
              </w:rPr>
              <w:t>】</w:t>
            </w:r>
            <w:r>
              <w:rPr>
                <w:rStyle w:val="37"/>
                <w:lang w:val="en-US" w:eastAsia="zh-CN" w:bidi="ar"/>
              </w:rPr>
              <w:t>13</w:t>
            </w:r>
            <w:r>
              <w:rPr>
                <w:rStyle w:val="36"/>
                <w:lang w:val="en-US" w:eastAsia="zh-CN" w:bidi="ar"/>
              </w:rPr>
              <w:t>号文件要求，向新开办企业赠送首套印章，实现企业开办</w:t>
            </w:r>
            <w:r>
              <w:rPr>
                <w:rStyle w:val="37"/>
                <w:lang w:val="en-US" w:eastAsia="zh-CN" w:bidi="ar"/>
              </w:rPr>
              <w:t>“</w:t>
            </w:r>
            <w:r>
              <w:rPr>
                <w:rStyle w:val="36"/>
                <w:lang w:val="en-US" w:eastAsia="zh-CN" w:bidi="ar"/>
              </w:rPr>
              <w:t>零成本</w:t>
            </w:r>
            <w:r>
              <w:rPr>
                <w:rStyle w:val="37"/>
                <w:lang w:val="en-US" w:eastAsia="zh-CN" w:bidi="ar"/>
              </w:rPr>
              <w:t>”</w:t>
            </w:r>
            <w:r>
              <w:rPr>
                <w:rStyle w:val="36"/>
                <w:lang w:val="en-US" w:eastAsia="zh-CN" w:bidi="ar"/>
              </w:rPr>
              <w:t>。已进一步激发我县市场主体活力，营造了更加优质高效的政务服务环境。</w:t>
            </w:r>
          </w:p>
        </w:tc>
      </w:tr>
      <w:tr w14:paraId="6818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B865">
            <w:pPr>
              <w:snapToGrid w:val="0"/>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70C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4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AA4F0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甲方有权对合同规定范围内乙方的服务行为进行监督和检查，拥有监管权。有权定期核对乙方提供制作印章的数量。对甲方认为不合理的部分有权下达整改通知书，并要求乙方限期整改。乙方收到《新办企业“免费印章”刻制通知单》0.5个工作日之内完成新办企业首套4枚印章刻制，并凭《新办企业“免费印章”刻制回执单》与企业开办窗口工作人员完成交接。</w:t>
            </w:r>
          </w:p>
        </w:tc>
      </w:tr>
      <w:tr w14:paraId="4A4B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B3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69B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46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F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126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20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AA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92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EF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72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BF04">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AD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E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D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38.27</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87C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C65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73.82%</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45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84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4A4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CC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052C">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31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7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E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38.27</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15B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F0A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73.82%</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8D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6B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AD1A">
            <w:pPr>
              <w:snapToGrid w:val="0"/>
              <w:rPr>
                <w:rFonts w:hint="eastAsia" w:ascii="黑体" w:hAnsi="黑体" w:eastAsia="黑体" w:cs="黑体"/>
                <w:i/>
                <w:iCs/>
                <w:color w:val="000000"/>
                <w:sz w:val="18"/>
                <w:szCs w:val="18"/>
                <w:u w:val="none"/>
              </w:rPr>
            </w:pPr>
          </w:p>
        </w:tc>
      </w:tr>
      <w:tr w14:paraId="165D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38ED">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20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D7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C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788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89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08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99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19E4">
            <w:pPr>
              <w:snapToGrid w:val="0"/>
              <w:rPr>
                <w:rFonts w:hint="eastAsia" w:ascii="黑体" w:hAnsi="黑体" w:eastAsia="黑体" w:cs="黑体"/>
                <w:i/>
                <w:iCs/>
                <w:color w:val="000000"/>
                <w:sz w:val="18"/>
                <w:szCs w:val="18"/>
                <w:u w:val="none"/>
              </w:rPr>
            </w:pPr>
          </w:p>
        </w:tc>
      </w:tr>
      <w:tr w14:paraId="567A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E6B5">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1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43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1A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8C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E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168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128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C50F">
            <w:pPr>
              <w:snapToGrid w:val="0"/>
              <w:rPr>
                <w:rFonts w:hint="eastAsia" w:ascii="黑体" w:hAnsi="黑体" w:eastAsia="黑体" w:cs="黑体"/>
                <w:i/>
                <w:iCs/>
                <w:color w:val="000000"/>
                <w:sz w:val="18"/>
                <w:szCs w:val="18"/>
                <w:u w:val="none"/>
              </w:rPr>
            </w:pPr>
          </w:p>
        </w:tc>
      </w:tr>
      <w:tr w14:paraId="4690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C19A">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3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F87A">
            <w:pPr>
              <w:snapToGrid w:val="0"/>
              <w:jc w:val="center"/>
              <w:rPr>
                <w:rFonts w:hint="eastAsia" w:ascii="微软雅黑" w:hAnsi="微软雅黑" w:eastAsia="微软雅黑" w:cs="微软雅黑"/>
                <w:i/>
                <w:iCs/>
                <w:color w:val="000000"/>
                <w:sz w:val="16"/>
                <w:szCs w:val="16"/>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D350">
            <w:pPr>
              <w:snapToGrid w:val="0"/>
              <w:jc w:val="center"/>
              <w:rPr>
                <w:rFonts w:hint="eastAsia" w:ascii="微软雅黑" w:hAnsi="微软雅黑" w:eastAsia="微软雅黑" w:cs="微软雅黑"/>
                <w:i/>
                <w:iCs/>
                <w:color w:val="000000"/>
                <w:sz w:val="16"/>
                <w:szCs w:val="16"/>
                <w:u w:val="none"/>
              </w:rPr>
            </w:pP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58A682">
            <w:pPr>
              <w:snapToGrid w:val="0"/>
              <w:jc w:val="center"/>
              <w:rPr>
                <w:rFonts w:hint="eastAsia" w:ascii="微软雅黑" w:hAnsi="微软雅黑" w:eastAsia="微软雅黑" w:cs="微软雅黑"/>
                <w:i/>
                <w:iCs/>
                <w:color w:val="000000"/>
                <w:sz w:val="16"/>
                <w:szCs w:val="16"/>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8F962">
            <w:pPr>
              <w:snapToGrid w:val="0"/>
              <w:jc w:val="center"/>
              <w:rPr>
                <w:rFonts w:hint="eastAsia" w:ascii="微软雅黑" w:hAnsi="微软雅黑" w:eastAsia="微软雅黑" w:cs="微软雅黑"/>
                <w:i/>
                <w:iCs/>
                <w:color w:val="000000"/>
                <w:sz w:val="16"/>
                <w:szCs w:val="16"/>
                <w:u w:val="none"/>
              </w:rPr>
            </w:pP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CD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6C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261B">
            <w:pPr>
              <w:snapToGrid w:val="0"/>
              <w:rPr>
                <w:rFonts w:hint="eastAsia" w:ascii="黑体" w:hAnsi="黑体" w:eastAsia="黑体" w:cs="黑体"/>
                <w:i/>
                <w:iCs/>
                <w:color w:val="000000"/>
                <w:sz w:val="18"/>
                <w:szCs w:val="18"/>
                <w:u w:val="none"/>
              </w:rPr>
            </w:pPr>
          </w:p>
        </w:tc>
      </w:tr>
      <w:tr w14:paraId="5FCE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BF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77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19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5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DF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1A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B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D8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2F7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A8B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30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A9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EE92">
            <w:pPr>
              <w:snapToGrid w:val="0"/>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CB1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E0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97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得到办事企业的一致好评</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E0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7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43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E0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17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373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E4E04">
            <w:pPr>
              <w:snapToGrid w:val="0"/>
              <w:jc w:val="center"/>
              <w:rPr>
                <w:rFonts w:hint="eastAsia" w:ascii="微软雅黑" w:hAnsi="微软雅黑" w:eastAsia="微软雅黑" w:cs="微软雅黑"/>
                <w:i/>
                <w:iCs/>
                <w:color w:val="000000"/>
                <w:sz w:val="16"/>
                <w:szCs w:val="16"/>
                <w:u w:val="none"/>
              </w:rPr>
            </w:pPr>
          </w:p>
        </w:tc>
      </w:tr>
      <w:tr w14:paraId="28C8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83"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EEC53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8D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8DF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0D3C0">
            <w:pPr>
              <w:snapToGrid w:val="0"/>
              <w:rPr>
                <w:rFonts w:hint="eastAsia" w:ascii="宋体" w:hAnsi="宋体" w:eastAsia="宋体" w:cs="宋体"/>
                <w:i w:val="0"/>
                <w:iCs w:val="0"/>
                <w:color w:val="000000"/>
                <w:sz w:val="18"/>
                <w:szCs w:val="18"/>
                <w:u w:val="none"/>
              </w:rPr>
            </w:pPr>
          </w:p>
        </w:tc>
      </w:tr>
      <w:tr w14:paraId="6CDA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2DDB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5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1BADAB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根据项目指标体系，结合工作开展情况，自评得分86分。进一步激发了我县市场主体活力，营造了更加优质高效的政务服务环境</w:t>
            </w:r>
          </w:p>
        </w:tc>
      </w:tr>
      <w:tr w14:paraId="5D8B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3130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5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F56502B">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流程繁琐：在政策执行过程中，由于流程繁琐等原因，刻章企业在日常工作和我局结算付费时遇到了各种问题。；2.财政负担：虽然赠送印章的初衷是为了减轻企业的负担，但在实际操作中，政府需要承担相应的财政负担。</w:t>
            </w:r>
          </w:p>
        </w:tc>
      </w:tr>
      <w:tr w14:paraId="3DA8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444"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6D1BA98">
            <w:pPr>
              <w:keepNext w:val="0"/>
              <w:keepLines w:val="0"/>
              <w:widowControl/>
              <w:suppressLineNumbers w:val="0"/>
              <w:snapToGrid w:val="0"/>
              <w:jc w:val="both"/>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改进措施  </w:t>
            </w:r>
          </w:p>
        </w:tc>
        <w:tc>
          <w:tcPr>
            <w:tcW w:w="4555" w:type="pct"/>
            <w:gridSpan w:val="21"/>
            <w:tcBorders>
              <w:top w:val="single" w:color="000000" w:sz="4" w:space="0"/>
              <w:left w:val="single" w:color="auto" w:sz="4" w:space="0"/>
              <w:bottom w:val="single" w:color="000000" w:sz="4" w:space="0"/>
              <w:right w:val="single" w:color="000000" w:sz="4" w:space="0"/>
            </w:tcBorders>
            <w:shd w:val="clear" w:color="auto" w:fill="auto"/>
            <w:vAlign w:val="center"/>
          </w:tcPr>
          <w:p w14:paraId="2F8BF50B">
            <w:pPr>
              <w:keepNext w:val="0"/>
              <w:keepLines w:val="0"/>
              <w:widowControl/>
              <w:suppressLineNumbers w:val="0"/>
              <w:snapToGrid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Style w:val="39"/>
                <w:rFonts w:hint="eastAsia" w:asciiTheme="minorEastAsia" w:hAnsiTheme="minorEastAsia" w:eastAsiaTheme="minorEastAsia" w:cstheme="minorEastAsia"/>
                <w:lang w:val="en-US" w:eastAsia="zh-CN" w:bidi="ar"/>
              </w:rPr>
              <w:t>简化资金审核流程；合理分配财政资源</w:t>
            </w:r>
          </w:p>
        </w:tc>
      </w:tr>
      <w:tr w14:paraId="69A8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4547"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AA27CD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43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5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B3B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52D81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51172222T000007037076-办公用房租赁费</w:t>
            </w:r>
          </w:p>
        </w:tc>
      </w:tr>
      <w:tr w14:paraId="4C26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5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522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1476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480" w:type="pct"/>
            <w:gridSpan w:val="2"/>
            <w:tcBorders>
              <w:top w:val="nil"/>
              <w:left w:val="nil"/>
              <w:bottom w:val="nil"/>
              <w:right w:val="nil"/>
            </w:tcBorders>
            <w:shd w:val="clear" w:color="auto" w:fill="auto"/>
            <w:vAlign w:val="center"/>
          </w:tcPr>
          <w:p w14:paraId="7D8B3A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9F3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4A6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38A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33E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020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6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DD158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40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87A3">
            <w:pPr>
              <w:snapToGrid w:val="0"/>
              <w:rPr>
                <w:rFonts w:hint="eastAsia" w:ascii="宋体" w:hAnsi="宋体" w:eastAsia="宋体" w:cs="宋体"/>
                <w:i w:val="0"/>
                <w:iCs w:val="0"/>
                <w:color w:val="000000"/>
                <w:sz w:val="18"/>
                <w:szCs w:val="18"/>
                <w:u w:val="none"/>
              </w:rPr>
            </w:pPr>
          </w:p>
        </w:tc>
        <w:tc>
          <w:tcPr>
            <w:tcW w:w="2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73D7">
            <w:pPr>
              <w:snapToGrid w:val="0"/>
              <w:rPr>
                <w:rFonts w:hint="eastAsia" w:ascii="宋体" w:hAnsi="宋体" w:eastAsia="宋体" w:cs="宋体"/>
                <w:i w:val="0"/>
                <w:iCs w:val="0"/>
                <w:color w:val="000000"/>
                <w:sz w:val="18"/>
                <w:szCs w:val="18"/>
                <w:u w:val="none"/>
              </w:rPr>
            </w:pPr>
          </w:p>
        </w:tc>
        <w:tc>
          <w:tcPr>
            <w:tcW w:w="22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0F8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1.创造良好的办公环境；2.提高工作效率和服务质量；3.优化工作流程、提升服务水平。保证政务服务大厅及机关工作正常运行。</w:t>
            </w:r>
          </w:p>
        </w:tc>
        <w:tc>
          <w:tcPr>
            <w:tcW w:w="176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F77D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由于良好的办公环境，让职工感到舒适和自在，快速、高效地完成了工作任务，保障了政务服务大厅及机关工作正常运行。</w:t>
            </w:r>
          </w:p>
        </w:tc>
      </w:tr>
      <w:tr w14:paraId="4A3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D2F5">
            <w:pPr>
              <w:snapToGrid w:val="0"/>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6B13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42C5D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在每年租房合同到期一个月前，需向县财政提交租用申请及资金请示报告，然后按时续签租房合同。待计划下达后，及时申请用款计划并按时支付给房租老板。</w:t>
            </w:r>
          </w:p>
        </w:tc>
      </w:tr>
      <w:tr w14:paraId="4C29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86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48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B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D6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C9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C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36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E76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D0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CA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67AC">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1D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E3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BF2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84.00</w:t>
            </w: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BE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84.00</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18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C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F07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2F35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1D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7098">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99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15D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FA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84.00</w:t>
            </w: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F13C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84.00</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F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C5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3A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AA2D">
            <w:pPr>
              <w:snapToGrid w:val="0"/>
              <w:rPr>
                <w:rFonts w:hint="eastAsia" w:ascii="黑体" w:hAnsi="黑体" w:eastAsia="黑体" w:cs="黑体"/>
                <w:i/>
                <w:iCs/>
                <w:color w:val="000000"/>
                <w:sz w:val="18"/>
                <w:szCs w:val="18"/>
                <w:u w:val="none"/>
              </w:rPr>
            </w:pPr>
          </w:p>
        </w:tc>
      </w:tr>
      <w:tr w14:paraId="5F08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F57E">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760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C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C31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5797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EB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F56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71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09D8">
            <w:pPr>
              <w:snapToGrid w:val="0"/>
              <w:rPr>
                <w:rFonts w:hint="eastAsia" w:ascii="黑体" w:hAnsi="黑体" w:eastAsia="黑体" w:cs="黑体"/>
                <w:i/>
                <w:iCs/>
                <w:color w:val="000000"/>
                <w:sz w:val="18"/>
                <w:szCs w:val="18"/>
                <w:u w:val="none"/>
              </w:rPr>
            </w:pPr>
          </w:p>
        </w:tc>
      </w:tr>
      <w:tr w14:paraId="63DE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42CA">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C4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7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6B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66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864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D5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8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173F">
            <w:pPr>
              <w:snapToGrid w:val="0"/>
              <w:rPr>
                <w:rFonts w:hint="eastAsia" w:ascii="黑体" w:hAnsi="黑体" w:eastAsia="黑体" w:cs="黑体"/>
                <w:i/>
                <w:iCs/>
                <w:color w:val="000000"/>
                <w:sz w:val="18"/>
                <w:szCs w:val="18"/>
                <w:u w:val="none"/>
              </w:rPr>
            </w:pPr>
          </w:p>
        </w:tc>
      </w:tr>
      <w:tr w14:paraId="0190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2346">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47D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2935">
            <w:pPr>
              <w:snapToGrid w:val="0"/>
              <w:jc w:val="center"/>
              <w:rPr>
                <w:rFonts w:hint="eastAsia" w:ascii="微软雅黑" w:hAnsi="微软雅黑" w:eastAsia="微软雅黑" w:cs="微软雅黑"/>
                <w:i/>
                <w:iCs/>
                <w:color w:val="000000"/>
                <w:sz w:val="16"/>
                <w:szCs w:val="16"/>
                <w:u w:val="none"/>
              </w:rPr>
            </w:pP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A3C01">
            <w:pPr>
              <w:snapToGrid w:val="0"/>
              <w:jc w:val="center"/>
              <w:rPr>
                <w:rFonts w:hint="eastAsia" w:ascii="微软雅黑" w:hAnsi="微软雅黑" w:eastAsia="微软雅黑" w:cs="微软雅黑"/>
                <w:i/>
                <w:iCs/>
                <w:color w:val="000000"/>
                <w:sz w:val="16"/>
                <w:szCs w:val="16"/>
                <w:u w:val="none"/>
              </w:rPr>
            </w:pPr>
          </w:p>
        </w:tc>
        <w:tc>
          <w:tcPr>
            <w:tcW w:w="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46D12">
            <w:pPr>
              <w:snapToGrid w:val="0"/>
              <w:jc w:val="center"/>
              <w:rPr>
                <w:rFonts w:hint="eastAsia" w:ascii="微软雅黑" w:hAnsi="微软雅黑" w:eastAsia="微软雅黑" w:cs="微软雅黑"/>
                <w:i/>
                <w:iCs/>
                <w:color w:val="000000"/>
                <w:sz w:val="16"/>
                <w:szCs w:val="16"/>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0B0E">
            <w:pPr>
              <w:snapToGrid w:val="0"/>
              <w:jc w:val="center"/>
              <w:rPr>
                <w:rFonts w:hint="eastAsia" w:ascii="微软雅黑" w:hAnsi="微软雅黑" w:eastAsia="微软雅黑" w:cs="微软雅黑"/>
                <w:i/>
                <w:iCs/>
                <w:color w:val="000000"/>
                <w:sz w:val="16"/>
                <w:szCs w:val="16"/>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2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9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C22B">
            <w:pPr>
              <w:snapToGrid w:val="0"/>
              <w:rPr>
                <w:rFonts w:hint="eastAsia" w:ascii="黑体" w:hAnsi="黑体" w:eastAsia="黑体" w:cs="黑体"/>
                <w:i/>
                <w:iCs/>
                <w:color w:val="000000"/>
                <w:sz w:val="18"/>
                <w:szCs w:val="18"/>
                <w:u w:val="none"/>
              </w:rPr>
            </w:pPr>
          </w:p>
        </w:tc>
      </w:tr>
      <w:tr w14:paraId="1DFB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D7B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717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A8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C15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CF6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2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2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A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2E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8CF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6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38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E286">
            <w:pPr>
              <w:snapToGrid w:val="0"/>
              <w:jc w:val="center"/>
              <w:rPr>
                <w:rFonts w:hint="eastAsia" w:ascii="宋体" w:hAnsi="宋体" w:eastAsia="宋体" w:cs="宋体"/>
                <w:i w:val="0"/>
                <w:iCs w:val="0"/>
                <w:color w:val="000000"/>
                <w:sz w:val="18"/>
                <w:szCs w:val="18"/>
                <w:u w:val="none"/>
              </w:rPr>
            </w:pPr>
          </w:p>
        </w:tc>
        <w:tc>
          <w:tcPr>
            <w:tcW w:w="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A0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8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C51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由于良好的办公环境，让职工感到舒适和自在，快速、高效地完成了工作任务，保障了政务服务大厅及机关工作正常运行。</w:t>
            </w:r>
          </w:p>
        </w:tc>
        <w:tc>
          <w:tcPr>
            <w:tcW w:w="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12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84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F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5A0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77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24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B738">
            <w:pPr>
              <w:snapToGrid w:val="0"/>
              <w:jc w:val="center"/>
              <w:rPr>
                <w:rFonts w:hint="eastAsia" w:ascii="微软雅黑" w:hAnsi="微软雅黑" w:eastAsia="微软雅黑" w:cs="微软雅黑"/>
                <w:i/>
                <w:iCs/>
                <w:color w:val="000000"/>
                <w:sz w:val="16"/>
                <w:szCs w:val="16"/>
                <w:u w:val="none"/>
              </w:rPr>
            </w:pPr>
          </w:p>
        </w:tc>
      </w:tr>
      <w:tr w14:paraId="02D6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326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A4F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F6A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4BA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C8E7">
            <w:pPr>
              <w:snapToGrid w:val="0"/>
              <w:rPr>
                <w:rFonts w:hint="eastAsia" w:ascii="宋体" w:hAnsi="宋体" w:eastAsia="宋体" w:cs="宋体"/>
                <w:i w:val="0"/>
                <w:iCs w:val="0"/>
                <w:color w:val="000000"/>
                <w:sz w:val="18"/>
                <w:szCs w:val="18"/>
                <w:u w:val="none"/>
              </w:rPr>
            </w:pPr>
          </w:p>
        </w:tc>
      </w:tr>
      <w:tr w14:paraId="0922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741"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301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264"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36AF3FA">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根据项目指标体系，结合工作开展情况，自评得分88分。由于良好的办公环境，让职工感到舒适和自在，快速、高效地完成了工作任务，保障了政务服务大厅及机关工作正常运行。</w:t>
            </w:r>
          </w:p>
        </w:tc>
      </w:tr>
      <w:tr w14:paraId="7C53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7F4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264"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BF086F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租用办公用房时间过长</w:t>
            </w:r>
          </w:p>
        </w:tc>
      </w:tr>
      <w:tr w14:paraId="25A1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9" w:type="pct"/>
          <w:wAfter w:w="293" w:type="pct"/>
          <w:trHeight w:val="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10E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264"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3E29587">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建议相关部门加大新大厅的建设装修进度</w:t>
            </w:r>
          </w:p>
        </w:tc>
      </w:tr>
    </w:tbl>
    <w:p w14:paraId="51F54F47">
      <w:pPr>
        <w:bidi w:val="0"/>
        <w:rPr>
          <w:rFonts w:hint="eastAsia"/>
          <w:lang w:val="zh-CN" w:eastAsia="zh-CN"/>
        </w:rPr>
      </w:pPr>
    </w:p>
    <w:tbl>
      <w:tblPr>
        <w:tblStyle w:val="15"/>
        <w:tblW w:w="54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618"/>
        <w:gridCol w:w="712"/>
        <w:gridCol w:w="2396"/>
        <w:gridCol w:w="425"/>
        <w:gridCol w:w="514"/>
        <w:gridCol w:w="727"/>
        <w:gridCol w:w="1047"/>
        <w:gridCol w:w="514"/>
        <w:gridCol w:w="415"/>
        <w:gridCol w:w="1423"/>
      </w:tblGrid>
      <w:tr w14:paraId="6DC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CCE26A">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35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E4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4ADD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51172223T000009346729-县政务服务大厅及乡镇便民服务网络服务费（部门专项）</w:t>
            </w:r>
          </w:p>
        </w:tc>
      </w:tr>
      <w:tr w14:paraId="510C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64B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3C0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538" w:type="pct"/>
            <w:tcBorders>
              <w:top w:val="nil"/>
              <w:left w:val="nil"/>
              <w:bottom w:val="nil"/>
              <w:right w:val="nil"/>
            </w:tcBorders>
            <w:shd w:val="clear" w:color="auto" w:fill="auto"/>
            <w:vAlign w:val="center"/>
          </w:tcPr>
          <w:p w14:paraId="726D33E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628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25FF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E1C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8B7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A2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4629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F7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B451">
            <w:pPr>
              <w:snapToGrid w:val="0"/>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2352">
            <w:pPr>
              <w:snapToGrid w:val="0"/>
              <w:rPr>
                <w:rFonts w:hint="eastAsia" w:ascii="宋体" w:hAnsi="宋体" w:eastAsia="宋体" w:cs="宋体"/>
                <w:i w:val="0"/>
                <w:iCs w:val="0"/>
                <w:color w:val="000000"/>
                <w:sz w:val="18"/>
                <w:szCs w:val="18"/>
                <w:u w:val="none"/>
              </w:rPr>
            </w:pPr>
          </w:p>
        </w:tc>
        <w:tc>
          <w:tcPr>
            <w:tcW w:w="24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A17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40"/>
                <w:lang w:val="en-US" w:eastAsia="zh-CN" w:bidi="ar"/>
              </w:rPr>
              <w:t>保障县政务服务大厅及乡镇便民服务中心网络运行</w:t>
            </w:r>
            <w:r>
              <w:rPr>
                <w:rStyle w:val="41"/>
                <w:rFonts w:eastAsia="宋体"/>
                <w:lang w:val="en-US" w:eastAsia="zh-CN" w:bidi="ar"/>
              </w:rPr>
              <w:t xml:space="preserve"> </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1E9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36"/>
                <w:lang w:val="en-US" w:eastAsia="zh-CN" w:bidi="ar"/>
              </w:rPr>
              <w:t>已保障县政务服务大厅及乡镇便民服务中心网络正常运行</w:t>
            </w:r>
            <w:r>
              <w:rPr>
                <w:rStyle w:val="37"/>
                <w:lang w:val="en-US" w:eastAsia="zh-CN" w:bidi="ar"/>
              </w:rPr>
              <w:t xml:space="preserve"> </w:t>
            </w:r>
          </w:p>
        </w:tc>
      </w:tr>
      <w:tr w14:paraId="6CDC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71C5">
            <w:pPr>
              <w:snapToGrid w:val="0"/>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E8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125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对县政务服务大厅及乡镇的便民服务中心的运行情况实施监控以及建立行政审批、公共服务考核体系。办事群众满意率100%。</w:t>
            </w:r>
          </w:p>
        </w:tc>
      </w:tr>
      <w:tr w14:paraId="45C9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23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D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3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37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16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C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7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F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0C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2937">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8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5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EF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E16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2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F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B1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F90C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EE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0CC9">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E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6B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A0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A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5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2B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A00B">
            <w:pPr>
              <w:snapToGrid w:val="0"/>
              <w:rPr>
                <w:rFonts w:hint="eastAsia" w:ascii="黑体" w:hAnsi="黑体" w:eastAsia="黑体" w:cs="黑体"/>
                <w:i/>
                <w:iCs/>
                <w:color w:val="000000"/>
                <w:sz w:val="18"/>
                <w:szCs w:val="18"/>
                <w:u w:val="none"/>
              </w:rPr>
            </w:pPr>
          </w:p>
        </w:tc>
      </w:tr>
      <w:tr w14:paraId="5333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9A5B">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FC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1E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1D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62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3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9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13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2BCB">
            <w:pPr>
              <w:snapToGrid w:val="0"/>
              <w:rPr>
                <w:rFonts w:hint="eastAsia" w:ascii="黑体" w:hAnsi="黑体" w:eastAsia="黑体" w:cs="黑体"/>
                <w:i/>
                <w:iCs/>
                <w:color w:val="000000"/>
                <w:sz w:val="18"/>
                <w:szCs w:val="18"/>
                <w:u w:val="none"/>
              </w:rPr>
            </w:pPr>
          </w:p>
        </w:tc>
      </w:tr>
      <w:tr w14:paraId="05D4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7BF5">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57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F9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FD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E5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A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C0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C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AC21">
            <w:pPr>
              <w:snapToGrid w:val="0"/>
              <w:rPr>
                <w:rFonts w:hint="eastAsia" w:ascii="黑体" w:hAnsi="黑体" w:eastAsia="黑体" w:cs="黑体"/>
                <w:i/>
                <w:iCs/>
                <w:color w:val="000000"/>
                <w:sz w:val="18"/>
                <w:szCs w:val="18"/>
                <w:u w:val="none"/>
              </w:rPr>
            </w:pPr>
          </w:p>
        </w:tc>
      </w:tr>
      <w:tr w14:paraId="4738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1A34">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63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3E3">
            <w:pPr>
              <w:snapToGrid w:val="0"/>
              <w:jc w:val="center"/>
              <w:rPr>
                <w:rFonts w:hint="eastAsia" w:ascii="微软雅黑" w:hAnsi="微软雅黑" w:eastAsia="微软雅黑" w:cs="微软雅黑"/>
                <w:i/>
                <w:iCs/>
                <w:color w:val="000000"/>
                <w:sz w:val="16"/>
                <w:szCs w:val="16"/>
                <w:u w:val="none"/>
              </w:rPr>
            </w:pP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4729">
            <w:pPr>
              <w:snapToGrid w:val="0"/>
              <w:jc w:val="center"/>
              <w:rPr>
                <w:rFonts w:hint="eastAsia" w:ascii="微软雅黑" w:hAnsi="微软雅黑" w:eastAsia="微软雅黑" w:cs="微软雅黑"/>
                <w:i/>
                <w:iCs/>
                <w:color w:val="000000"/>
                <w:sz w:val="16"/>
                <w:szCs w:val="16"/>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6FF1E">
            <w:pPr>
              <w:snapToGrid w:val="0"/>
              <w:jc w:val="center"/>
              <w:rPr>
                <w:rFonts w:hint="eastAsia" w:ascii="微软雅黑" w:hAnsi="微软雅黑" w:eastAsia="微软雅黑" w:cs="微软雅黑"/>
                <w:i/>
                <w:iCs/>
                <w:color w:val="000000"/>
                <w:sz w:val="16"/>
                <w:szCs w:val="16"/>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F51C">
            <w:pPr>
              <w:snapToGrid w:val="0"/>
              <w:jc w:val="center"/>
              <w:rPr>
                <w:rFonts w:hint="eastAsia" w:ascii="微软雅黑" w:hAnsi="微软雅黑" w:eastAsia="微软雅黑" w:cs="微软雅黑"/>
                <w:i/>
                <w:iCs/>
                <w:color w:val="00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2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5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9D7C">
            <w:pPr>
              <w:snapToGrid w:val="0"/>
              <w:rPr>
                <w:rFonts w:hint="eastAsia" w:ascii="黑体" w:hAnsi="黑体" w:eastAsia="黑体" w:cs="黑体"/>
                <w:i/>
                <w:iCs/>
                <w:color w:val="000000"/>
                <w:sz w:val="18"/>
                <w:szCs w:val="18"/>
                <w:u w:val="none"/>
              </w:rPr>
            </w:pPr>
          </w:p>
        </w:tc>
      </w:tr>
      <w:tr w14:paraId="0374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E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C1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72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5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3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B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1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1E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8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7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6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14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3249">
            <w:pPr>
              <w:snapToGrid w:val="0"/>
              <w:jc w:val="center"/>
              <w:rPr>
                <w:rFonts w:hint="eastAsia" w:ascii="宋体" w:hAnsi="宋体" w:eastAsia="宋体" w:cs="宋体"/>
                <w:i w:val="0"/>
                <w:iCs w:val="0"/>
                <w:color w:val="000000"/>
                <w:sz w:val="18"/>
                <w:szCs w:val="18"/>
                <w:u w:val="none"/>
              </w:rPr>
            </w:pP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D0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2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3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乡镇便民服务中心网络正常运行</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4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5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6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4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A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E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70D3">
            <w:pPr>
              <w:snapToGrid w:val="0"/>
              <w:jc w:val="center"/>
              <w:rPr>
                <w:rFonts w:hint="eastAsia" w:ascii="微软雅黑" w:hAnsi="微软雅黑" w:eastAsia="微软雅黑" w:cs="微软雅黑"/>
                <w:i/>
                <w:iCs/>
                <w:color w:val="000000"/>
                <w:sz w:val="16"/>
                <w:szCs w:val="16"/>
                <w:u w:val="none"/>
              </w:rPr>
            </w:pPr>
          </w:p>
        </w:tc>
      </w:tr>
      <w:tr w14:paraId="1B43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5D4B">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024D">
            <w:pPr>
              <w:snapToGrid w:val="0"/>
              <w:jc w:val="center"/>
              <w:rPr>
                <w:rFonts w:hint="eastAsia" w:ascii="宋体" w:hAnsi="宋体" w:eastAsia="宋体" w:cs="宋体"/>
                <w:i w:val="0"/>
                <w:iCs w:val="0"/>
                <w:color w:val="000000"/>
                <w:sz w:val="18"/>
                <w:szCs w:val="18"/>
                <w:u w:val="none"/>
              </w:rPr>
            </w:pP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14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1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保障县政务服务大厅网络正常运行</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88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A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6E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41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7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F5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C472">
            <w:pPr>
              <w:snapToGrid w:val="0"/>
              <w:jc w:val="center"/>
              <w:rPr>
                <w:rFonts w:hint="eastAsia" w:ascii="微软雅黑" w:hAnsi="微软雅黑" w:eastAsia="微软雅黑" w:cs="微软雅黑"/>
                <w:i/>
                <w:iCs/>
                <w:color w:val="000000"/>
                <w:sz w:val="16"/>
                <w:szCs w:val="16"/>
                <w:u w:val="none"/>
              </w:rPr>
            </w:pPr>
          </w:p>
        </w:tc>
      </w:tr>
      <w:tr w14:paraId="78D6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4471">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70C0">
            <w:pPr>
              <w:snapToGrid w:val="0"/>
              <w:jc w:val="center"/>
              <w:rPr>
                <w:rFonts w:hint="eastAsia" w:ascii="宋体" w:hAnsi="宋体" w:eastAsia="宋体" w:cs="宋体"/>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156B">
            <w:pPr>
              <w:snapToGrid w:val="0"/>
              <w:jc w:val="center"/>
              <w:rPr>
                <w:rFonts w:hint="eastAsia" w:ascii="宋体" w:hAnsi="宋体" w:eastAsia="宋体" w:cs="宋体"/>
                <w:i w:val="0"/>
                <w:iCs w:val="0"/>
                <w:color w:val="000000"/>
                <w:sz w:val="18"/>
                <w:szCs w:val="18"/>
                <w:u w:val="none"/>
              </w:rPr>
            </w:pP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A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深受办事群众的一致好评</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5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59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6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C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C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B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05A0">
            <w:pPr>
              <w:snapToGrid w:val="0"/>
              <w:jc w:val="center"/>
              <w:rPr>
                <w:rFonts w:hint="eastAsia" w:ascii="微软雅黑" w:hAnsi="微软雅黑" w:eastAsia="微软雅黑" w:cs="微软雅黑"/>
                <w:i/>
                <w:iCs/>
                <w:color w:val="000000"/>
                <w:sz w:val="16"/>
                <w:szCs w:val="16"/>
                <w:u w:val="none"/>
              </w:rPr>
            </w:pPr>
          </w:p>
        </w:tc>
      </w:tr>
      <w:tr w14:paraId="3671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2800">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4866">
            <w:pPr>
              <w:snapToGrid w:val="0"/>
              <w:jc w:val="center"/>
              <w:rPr>
                <w:rFonts w:hint="eastAsia" w:ascii="宋体" w:hAnsi="宋体" w:eastAsia="宋体" w:cs="宋体"/>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8743">
            <w:pPr>
              <w:snapToGrid w:val="0"/>
              <w:jc w:val="center"/>
              <w:rPr>
                <w:rFonts w:hint="eastAsia" w:ascii="宋体" w:hAnsi="宋体" w:eastAsia="宋体" w:cs="宋体"/>
                <w:i w:val="0"/>
                <w:iCs w:val="0"/>
                <w:color w:val="000000"/>
                <w:sz w:val="18"/>
                <w:szCs w:val="18"/>
                <w:u w:val="none"/>
              </w:rPr>
            </w:pP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3E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保障乡镇便民服务大厅网络正常运行</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4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3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0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4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6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18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5D4A">
            <w:pPr>
              <w:snapToGrid w:val="0"/>
              <w:jc w:val="center"/>
              <w:rPr>
                <w:rFonts w:hint="eastAsia" w:ascii="微软雅黑" w:hAnsi="微软雅黑" w:eastAsia="微软雅黑" w:cs="微软雅黑"/>
                <w:i/>
                <w:iCs/>
                <w:color w:val="000000"/>
                <w:sz w:val="16"/>
                <w:szCs w:val="16"/>
                <w:u w:val="none"/>
              </w:rPr>
            </w:pPr>
          </w:p>
        </w:tc>
      </w:tr>
      <w:tr w14:paraId="5786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5399">
            <w:pPr>
              <w:snapToGrid w:val="0"/>
              <w:jc w:val="center"/>
              <w:rPr>
                <w:rFonts w:hint="eastAsia" w:ascii="宋体" w:hAnsi="宋体" w:eastAsia="宋体" w:cs="宋体"/>
                <w:i w:val="0"/>
                <w:iCs w:val="0"/>
                <w:color w:val="000000"/>
                <w:sz w:val="18"/>
                <w:szCs w:val="18"/>
                <w:u w:val="none"/>
              </w:rPr>
            </w:pP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1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998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A7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得到乡镇办事群众的一致好评</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0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14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E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D6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A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0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67F4">
            <w:pPr>
              <w:snapToGrid w:val="0"/>
              <w:jc w:val="center"/>
              <w:rPr>
                <w:rFonts w:hint="eastAsia" w:ascii="微软雅黑" w:hAnsi="微软雅黑" w:eastAsia="微软雅黑" w:cs="微软雅黑"/>
                <w:i/>
                <w:iCs/>
                <w:color w:val="000000"/>
                <w:sz w:val="16"/>
                <w:szCs w:val="16"/>
                <w:u w:val="none"/>
              </w:rPr>
            </w:pPr>
          </w:p>
        </w:tc>
      </w:tr>
      <w:tr w14:paraId="7527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72FD">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DDA6">
            <w:pPr>
              <w:snapToGrid w:val="0"/>
              <w:jc w:val="center"/>
              <w:rPr>
                <w:rFonts w:hint="eastAsia" w:ascii="宋体" w:hAnsi="宋体" w:eastAsia="宋体" w:cs="宋体"/>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D0F4">
            <w:pPr>
              <w:snapToGrid w:val="0"/>
              <w:jc w:val="center"/>
              <w:rPr>
                <w:rFonts w:hint="eastAsia" w:ascii="宋体" w:hAnsi="宋体" w:eastAsia="宋体" w:cs="宋体"/>
                <w:i w:val="0"/>
                <w:iCs w:val="0"/>
                <w:color w:val="000000"/>
                <w:sz w:val="18"/>
                <w:szCs w:val="18"/>
                <w:u w:val="none"/>
              </w:rPr>
            </w:pP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D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得到县级办事群众的一致好评</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B3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9C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6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0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44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DE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05F5">
            <w:pPr>
              <w:snapToGrid w:val="0"/>
              <w:jc w:val="center"/>
              <w:rPr>
                <w:rFonts w:hint="eastAsia" w:ascii="微软雅黑" w:hAnsi="微软雅黑" w:eastAsia="微软雅黑" w:cs="微软雅黑"/>
                <w:i/>
                <w:iCs/>
                <w:color w:val="000000"/>
                <w:sz w:val="16"/>
                <w:szCs w:val="16"/>
                <w:u w:val="none"/>
              </w:rPr>
            </w:pPr>
          </w:p>
        </w:tc>
      </w:tr>
      <w:tr w14:paraId="47F6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B852">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269C">
            <w:pPr>
              <w:snapToGrid w:val="0"/>
              <w:jc w:val="center"/>
              <w:rPr>
                <w:rFonts w:hint="eastAsia" w:ascii="宋体" w:hAnsi="宋体" w:eastAsia="宋体" w:cs="宋体"/>
                <w:i w:val="0"/>
                <w:iCs w:val="0"/>
                <w:color w:val="000000"/>
                <w:sz w:val="18"/>
                <w:szCs w:val="18"/>
                <w:u w:val="none"/>
              </w:rPr>
            </w:pP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F2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BD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乡镇便民服务中心网络服务费</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A9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10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A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41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9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B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29AD">
            <w:pPr>
              <w:snapToGrid w:val="0"/>
              <w:jc w:val="center"/>
              <w:rPr>
                <w:rFonts w:hint="eastAsia" w:ascii="微软雅黑" w:hAnsi="微软雅黑" w:eastAsia="微软雅黑" w:cs="微软雅黑"/>
                <w:i/>
                <w:iCs/>
                <w:color w:val="000000"/>
                <w:sz w:val="16"/>
                <w:szCs w:val="16"/>
                <w:u w:val="none"/>
              </w:rPr>
            </w:pPr>
          </w:p>
        </w:tc>
      </w:tr>
      <w:tr w14:paraId="0745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3B59">
            <w:pPr>
              <w:snapToGrid w:val="0"/>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8C37">
            <w:pPr>
              <w:snapToGrid w:val="0"/>
              <w:jc w:val="center"/>
              <w:rPr>
                <w:rFonts w:hint="eastAsia" w:ascii="宋体" w:hAnsi="宋体" w:eastAsia="宋体" w:cs="宋体"/>
                <w:i w:val="0"/>
                <w:iCs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8250">
            <w:pPr>
              <w:snapToGrid w:val="0"/>
              <w:jc w:val="center"/>
              <w:rPr>
                <w:rFonts w:hint="eastAsia" w:ascii="宋体" w:hAnsi="宋体" w:eastAsia="宋体" w:cs="宋体"/>
                <w:i w:val="0"/>
                <w:iCs w:val="0"/>
                <w:color w:val="000000"/>
                <w:sz w:val="18"/>
                <w:szCs w:val="18"/>
                <w:u w:val="none"/>
              </w:rPr>
            </w:pP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93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县政务服务大厅及乡镇便民服务中心网络正常运行</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41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2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9A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1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42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C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0EBA">
            <w:pPr>
              <w:snapToGrid w:val="0"/>
              <w:jc w:val="center"/>
              <w:rPr>
                <w:rFonts w:hint="eastAsia" w:ascii="微软雅黑" w:hAnsi="微软雅黑" w:eastAsia="微软雅黑" w:cs="微软雅黑"/>
                <w:i/>
                <w:iCs/>
                <w:color w:val="000000"/>
                <w:sz w:val="16"/>
                <w:szCs w:val="16"/>
                <w:u w:val="none"/>
              </w:rPr>
            </w:pPr>
          </w:p>
        </w:tc>
      </w:tr>
      <w:tr w14:paraId="26DD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084C">
            <w:pPr>
              <w:snapToGrid w:val="0"/>
              <w:jc w:val="center"/>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A9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3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17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办事群众的满意率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08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3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3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46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0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2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4FDF">
            <w:pPr>
              <w:snapToGrid w:val="0"/>
              <w:jc w:val="center"/>
              <w:rPr>
                <w:rFonts w:hint="eastAsia" w:ascii="微软雅黑" w:hAnsi="微软雅黑" w:eastAsia="微软雅黑" w:cs="微软雅黑"/>
                <w:i/>
                <w:iCs/>
                <w:color w:val="000000"/>
                <w:sz w:val="16"/>
                <w:szCs w:val="16"/>
                <w:u w:val="none"/>
              </w:rPr>
            </w:pPr>
          </w:p>
        </w:tc>
      </w:tr>
      <w:tr w14:paraId="603A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50B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5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8CC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795C">
            <w:pPr>
              <w:snapToGrid w:val="0"/>
              <w:rPr>
                <w:rFonts w:hint="eastAsia" w:ascii="宋体" w:hAnsi="宋体" w:eastAsia="宋体" w:cs="宋体"/>
                <w:i w:val="0"/>
                <w:iCs w:val="0"/>
                <w:color w:val="000000"/>
                <w:sz w:val="18"/>
                <w:szCs w:val="18"/>
                <w:u w:val="none"/>
              </w:rPr>
            </w:pPr>
          </w:p>
        </w:tc>
      </w:tr>
      <w:tr w14:paraId="0A89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9B4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53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AD3E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根据项目指标体系，结合工作开展情况，自评得分87分。对网络系统进行持续监控、安全防护、故障排查，大大确保了网络系统的稳定性、安全性。</w:t>
            </w:r>
          </w:p>
        </w:tc>
      </w:tr>
      <w:tr w14:paraId="7592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D76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53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30CAD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运维管理手段稍显落后</w:t>
            </w:r>
          </w:p>
        </w:tc>
      </w:tr>
      <w:tr w14:paraId="3A25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BC7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53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7B487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督促移动和电信集团加强网络日常的维护，确保县政务服务大厅及乡镇便民服务中心网络正常运行。</w:t>
            </w:r>
          </w:p>
        </w:tc>
      </w:tr>
    </w:tbl>
    <w:p w14:paraId="71BE8AF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F447A7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CA4EAD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10036F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B82D8C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548358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A73931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A943B5B">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577260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4A3442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A755F9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8A82CA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B505A7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5"/>
        <w:tblW w:w="56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611"/>
        <w:gridCol w:w="700"/>
        <w:gridCol w:w="2"/>
        <w:gridCol w:w="1942"/>
        <w:gridCol w:w="855"/>
        <w:gridCol w:w="8"/>
        <w:gridCol w:w="490"/>
        <w:gridCol w:w="8"/>
        <w:gridCol w:w="758"/>
        <w:gridCol w:w="1097"/>
        <w:gridCol w:w="95"/>
        <w:gridCol w:w="490"/>
        <w:gridCol w:w="6"/>
        <w:gridCol w:w="411"/>
        <w:gridCol w:w="1548"/>
        <w:gridCol w:w="454"/>
      </w:tblGrid>
      <w:tr w14:paraId="06CC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477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39ED5C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10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F8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5438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51172223T000009687945-行政审批证照购买及制作经费</w:t>
            </w:r>
          </w:p>
        </w:tc>
      </w:tr>
      <w:tr w14:paraId="04A6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DCF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A8475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588" w:type="pct"/>
            <w:gridSpan w:val="2"/>
            <w:tcBorders>
              <w:top w:val="nil"/>
              <w:left w:val="nil"/>
              <w:bottom w:val="nil"/>
              <w:right w:val="nil"/>
            </w:tcBorders>
            <w:shd w:val="clear" w:color="auto" w:fill="auto"/>
            <w:vAlign w:val="center"/>
          </w:tcPr>
          <w:p w14:paraId="18A756A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46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0516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BE3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F2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F43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42B1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29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DB54">
            <w:pPr>
              <w:snapToGrid w:val="0"/>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80D7">
            <w:pPr>
              <w:snapToGrid w:val="0"/>
              <w:rPr>
                <w:rFonts w:hint="eastAsia" w:ascii="宋体" w:hAnsi="宋体" w:eastAsia="宋体" w:cs="宋体"/>
                <w:i w:val="0"/>
                <w:iCs w:val="0"/>
                <w:color w:val="000000"/>
                <w:sz w:val="18"/>
                <w:szCs w:val="18"/>
                <w:u w:val="none"/>
              </w:rPr>
            </w:pP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DA5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我县行政许可实施相对集中后，20个县级部门180项行政许可职能职责转到我局，在行政审批及关联事项办理过程中，需购买或制作工商营业执照、食品经营许可证、卫生许可证等60余种各类证照。</w:t>
            </w:r>
          </w:p>
        </w:tc>
        <w:tc>
          <w:tcPr>
            <w:tcW w:w="18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C9812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36"/>
                <w:lang w:val="en-US" w:eastAsia="zh-CN" w:bidi="ar"/>
              </w:rPr>
              <w:t>我县行政许可实施相对集中后，</w:t>
            </w:r>
            <w:r>
              <w:rPr>
                <w:rStyle w:val="37"/>
                <w:lang w:val="en-US" w:eastAsia="zh-CN" w:bidi="ar"/>
              </w:rPr>
              <w:t>20</w:t>
            </w:r>
            <w:r>
              <w:rPr>
                <w:rStyle w:val="36"/>
                <w:lang w:val="en-US" w:eastAsia="zh-CN" w:bidi="ar"/>
              </w:rPr>
              <w:t>个县级部门</w:t>
            </w:r>
            <w:r>
              <w:rPr>
                <w:rStyle w:val="37"/>
                <w:lang w:val="en-US" w:eastAsia="zh-CN" w:bidi="ar"/>
              </w:rPr>
              <w:t>180</w:t>
            </w:r>
            <w:r>
              <w:rPr>
                <w:rStyle w:val="36"/>
                <w:lang w:val="en-US" w:eastAsia="zh-CN" w:bidi="ar"/>
              </w:rPr>
              <w:t>项行政许可职能职责转到我局，在行政审批及关联事项办理过程中，通过购买或制作工商营业执照、食品经营许可证、卫生许可证等</w:t>
            </w:r>
            <w:r>
              <w:rPr>
                <w:rStyle w:val="37"/>
                <w:lang w:val="en-US" w:eastAsia="zh-CN" w:bidi="ar"/>
              </w:rPr>
              <w:t>60</w:t>
            </w:r>
            <w:r>
              <w:rPr>
                <w:rStyle w:val="36"/>
                <w:lang w:val="en-US" w:eastAsia="zh-CN" w:bidi="ar"/>
              </w:rPr>
              <w:t>余种各类证照，极大地保证了此项工作的顺利开展。</w:t>
            </w:r>
          </w:p>
        </w:tc>
      </w:tr>
      <w:tr w14:paraId="7AF2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1900">
            <w:pPr>
              <w:snapToGrid w:val="0"/>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F5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F1B88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首先，需要明确购买的证照类型及其具体用途。涉及购买证照的股室根据需要向办公室提交申请材料，审核通过后，由办公室购买证照并发放给申请股室。圆满完成年初计划任务。</w:t>
            </w:r>
          </w:p>
        </w:tc>
      </w:tr>
      <w:tr w14:paraId="23C7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D8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D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F4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72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D1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C1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CF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27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F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CE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8D54">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14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C3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4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FA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8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4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E1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9F5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C7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9045">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6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E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1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208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0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4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D3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96B4">
            <w:pPr>
              <w:snapToGrid w:val="0"/>
              <w:rPr>
                <w:rFonts w:hint="eastAsia" w:ascii="黑体" w:hAnsi="黑体" w:eastAsia="黑体" w:cs="黑体"/>
                <w:i/>
                <w:iCs/>
                <w:color w:val="000000"/>
                <w:sz w:val="18"/>
                <w:szCs w:val="18"/>
                <w:u w:val="none"/>
              </w:rPr>
            </w:pPr>
          </w:p>
        </w:tc>
      </w:tr>
      <w:tr w14:paraId="510F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6505">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D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3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CC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999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39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90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0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4E17">
            <w:pPr>
              <w:snapToGrid w:val="0"/>
              <w:rPr>
                <w:rFonts w:hint="eastAsia" w:ascii="黑体" w:hAnsi="黑体" w:eastAsia="黑体" w:cs="黑体"/>
                <w:i/>
                <w:iCs/>
                <w:color w:val="000000"/>
                <w:sz w:val="18"/>
                <w:szCs w:val="18"/>
                <w:u w:val="none"/>
              </w:rPr>
            </w:pPr>
          </w:p>
        </w:tc>
      </w:tr>
      <w:tr w14:paraId="3EA8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31C7">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5C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D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DE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91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4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EA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B1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9FE5">
            <w:pPr>
              <w:snapToGrid w:val="0"/>
              <w:rPr>
                <w:rFonts w:hint="eastAsia" w:ascii="黑体" w:hAnsi="黑体" w:eastAsia="黑体" w:cs="黑体"/>
                <w:i/>
                <w:iCs/>
                <w:color w:val="000000"/>
                <w:sz w:val="18"/>
                <w:szCs w:val="18"/>
                <w:u w:val="none"/>
              </w:rPr>
            </w:pPr>
          </w:p>
        </w:tc>
      </w:tr>
      <w:tr w14:paraId="1F14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1183">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8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278D">
            <w:pPr>
              <w:snapToGrid w:val="0"/>
              <w:jc w:val="center"/>
              <w:rPr>
                <w:rFonts w:hint="eastAsia" w:ascii="微软雅黑" w:hAnsi="微软雅黑" w:eastAsia="微软雅黑" w:cs="微软雅黑"/>
                <w:i/>
                <w:iCs/>
                <w:color w:val="000000"/>
                <w:sz w:val="16"/>
                <w:szCs w:val="16"/>
                <w:u w:val="none"/>
              </w:rPr>
            </w:pP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18BBF">
            <w:pPr>
              <w:snapToGrid w:val="0"/>
              <w:jc w:val="center"/>
              <w:rPr>
                <w:rFonts w:hint="eastAsia" w:ascii="微软雅黑" w:hAnsi="微软雅黑" w:eastAsia="微软雅黑" w:cs="微软雅黑"/>
                <w:i/>
                <w:iCs/>
                <w:color w:val="000000"/>
                <w:sz w:val="16"/>
                <w:szCs w:val="16"/>
                <w:u w:val="none"/>
              </w:rPr>
            </w:pP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609FE">
            <w:pPr>
              <w:snapToGrid w:val="0"/>
              <w:jc w:val="center"/>
              <w:rPr>
                <w:rFonts w:hint="eastAsia" w:ascii="微软雅黑" w:hAnsi="微软雅黑" w:eastAsia="微软雅黑" w:cs="微软雅黑"/>
                <w:i/>
                <w:iCs/>
                <w:color w:val="000000"/>
                <w:sz w:val="16"/>
                <w:szCs w:val="16"/>
                <w:u w:val="none"/>
              </w:rPr>
            </w:pP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57BC">
            <w:pPr>
              <w:snapToGrid w:val="0"/>
              <w:jc w:val="center"/>
              <w:rPr>
                <w:rFonts w:hint="eastAsia" w:ascii="微软雅黑" w:hAnsi="微软雅黑" w:eastAsia="微软雅黑" w:cs="微软雅黑"/>
                <w:i/>
                <w:iCs/>
                <w:color w:val="000000"/>
                <w:sz w:val="16"/>
                <w:szCs w:val="16"/>
                <w:u w:val="none"/>
              </w:rPr>
            </w:pP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B2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4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AAD1">
            <w:pPr>
              <w:snapToGrid w:val="0"/>
              <w:rPr>
                <w:rFonts w:hint="eastAsia" w:ascii="黑体" w:hAnsi="黑体" w:eastAsia="黑体" w:cs="黑体"/>
                <w:i/>
                <w:iCs/>
                <w:color w:val="000000"/>
                <w:sz w:val="18"/>
                <w:szCs w:val="18"/>
                <w:u w:val="none"/>
              </w:rPr>
            </w:pPr>
          </w:p>
        </w:tc>
      </w:tr>
      <w:tr w14:paraId="6FF0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46C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AE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1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E8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E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C6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D38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3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E2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C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BE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9D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FD8E">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1B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8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A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得到办事群众及企业的一致好评</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0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6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88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8F5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A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C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8175">
            <w:pPr>
              <w:snapToGrid w:val="0"/>
              <w:jc w:val="center"/>
              <w:rPr>
                <w:rFonts w:hint="eastAsia" w:ascii="微软雅黑" w:hAnsi="微软雅黑" w:eastAsia="微软雅黑" w:cs="微软雅黑"/>
                <w:i/>
                <w:iCs/>
                <w:color w:val="000000"/>
                <w:sz w:val="16"/>
                <w:szCs w:val="16"/>
                <w:u w:val="none"/>
              </w:rPr>
            </w:pPr>
          </w:p>
        </w:tc>
      </w:tr>
      <w:tr w14:paraId="48C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55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28105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E06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0B0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r>
              <w:rPr>
                <w:rFonts w:ascii="宋体" w:hAnsi="宋体" w:eastAsia="宋体" w:cs="宋体"/>
                <w:i w:val="0"/>
                <w:iCs w:val="0"/>
                <w:color w:val="000000"/>
                <w:kern w:val="0"/>
                <w:sz w:val="18"/>
                <w:szCs w:val="18"/>
                <w:u w:val="none"/>
                <w:lang w:val="en-US" w:eastAsia="zh-CN" w:bidi="ar"/>
              </w:rPr>
              <w:t>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E77C">
            <w:pPr>
              <w:snapToGrid w:val="0"/>
              <w:rPr>
                <w:rFonts w:hint="eastAsia" w:ascii="宋体" w:hAnsi="宋体" w:eastAsia="宋体" w:cs="宋体"/>
                <w:i w:val="0"/>
                <w:iCs w:val="0"/>
                <w:color w:val="000000"/>
                <w:sz w:val="18"/>
                <w:szCs w:val="18"/>
                <w:u w:val="none"/>
              </w:rPr>
            </w:pPr>
          </w:p>
        </w:tc>
      </w:tr>
      <w:tr w14:paraId="54B6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2A07">
            <w:pPr>
              <w:keepNext w:val="0"/>
              <w:keepLines w:val="0"/>
              <w:widowControl/>
              <w:suppressLineNumbers w:val="0"/>
              <w:snapToGrid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447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2A4AD41">
            <w:pPr>
              <w:keepNext w:val="0"/>
              <w:keepLines w:val="0"/>
              <w:widowControl/>
              <w:suppressLineNumbers w:val="0"/>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项目指标体系，结合工作开展情况，自评得分78分。我县行政许可实施相对集中后，20个县级部门180项行政许可职能职责转到我局，在行政审批及关联事项办理过程中，通过购买或制作工商营业执照、食品经营许可证、卫生许可证等60余种各类证照，极大地保证了此项工作的顺利开展。</w:t>
            </w:r>
          </w:p>
        </w:tc>
      </w:tr>
      <w:tr w14:paraId="1272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0"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6891">
            <w:pPr>
              <w:keepNext w:val="0"/>
              <w:keepLines w:val="0"/>
              <w:widowControl/>
              <w:suppressLineNumbers w:val="0"/>
              <w:snapToGrid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47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6D5FBE">
            <w:pPr>
              <w:keepNext w:val="0"/>
              <w:keepLines w:val="0"/>
              <w:widowControl/>
              <w:suppressLineNumbers w:val="0"/>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制作流程繁琐：证照制作流程往往涉及多个环节和部门，需要提交大量材料和经过多次审核。这不仅增加了证照制作的时间成本和经济成本，也给申请人带来不便。</w:t>
            </w:r>
          </w:p>
        </w:tc>
      </w:tr>
      <w:tr w14:paraId="6C7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pct"/>
          <w:trHeight w:val="636"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4F45">
            <w:pPr>
              <w:keepNext w:val="0"/>
              <w:keepLines w:val="0"/>
              <w:widowControl/>
              <w:suppressLineNumbers w:val="0"/>
              <w:snapToGrid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47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93EC4D7">
            <w:pPr>
              <w:keepNext w:val="0"/>
              <w:keepLines w:val="0"/>
              <w:widowControl/>
              <w:suppressLineNumbers w:val="0"/>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优化证照制作流程：简化证照制作流程，减少不必要的环节和材料提交，提高证照制作效率和便利性。同时，加强证照制作过程中的信息保密和安全管理，防止个人信息泄露和滥用。</w:t>
            </w:r>
          </w:p>
        </w:tc>
      </w:tr>
      <w:tr w14:paraId="68A1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A707F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6B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E59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9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AB2E9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51172223T000009803271-县政务服务大厅免费邮寄费</w:t>
            </w:r>
          </w:p>
        </w:tc>
      </w:tr>
      <w:tr w14:paraId="714F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07B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D21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c>
          <w:tcPr>
            <w:tcW w:w="541" w:type="pct"/>
            <w:tcBorders>
              <w:top w:val="nil"/>
              <w:left w:val="nil"/>
              <w:bottom w:val="nil"/>
              <w:right w:val="nil"/>
            </w:tcBorders>
            <w:shd w:val="clear" w:color="auto" w:fill="auto"/>
            <w:vAlign w:val="center"/>
          </w:tcPr>
          <w:p w14:paraId="77E171A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5C1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宣汉县行政审批局</w:t>
            </w:r>
          </w:p>
        </w:tc>
      </w:tr>
      <w:tr w14:paraId="666F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46B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AF0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22E8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3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71D1D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15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A345">
            <w:pPr>
              <w:snapToGrid w:val="0"/>
              <w:rPr>
                <w:rFonts w:hint="eastAsia" w:ascii="宋体" w:hAnsi="宋体" w:eastAsia="宋体" w:cs="宋体"/>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2D02">
            <w:pPr>
              <w:snapToGrid w:val="0"/>
              <w:rPr>
                <w:rFonts w:hint="eastAsia" w:ascii="宋体" w:hAnsi="宋体" w:eastAsia="宋体" w:cs="宋体"/>
                <w:i w:val="0"/>
                <w:iCs w:val="0"/>
                <w:color w:val="000000"/>
                <w:sz w:val="18"/>
                <w:szCs w:val="18"/>
                <w:u w:val="none"/>
              </w:rPr>
            </w:pPr>
          </w:p>
        </w:tc>
        <w:tc>
          <w:tcPr>
            <w:tcW w:w="23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6996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群众、企业办事“最多跑一次”的目标，实现由“上门取”变为“送上门”，节省时间，降低办事成本，优化服务环境、切实让办事群众体验到“一窗受理、集成服务，足不出户、邮政送达”的便捷服务。最终实现企业、群众办事“只跑一次或一次不跑”改革目标。</w:t>
            </w:r>
          </w:p>
        </w:tc>
        <w:tc>
          <w:tcPr>
            <w:tcW w:w="203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72B52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36"/>
                <w:lang w:val="en-US" w:eastAsia="zh-CN" w:bidi="ar"/>
              </w:rPr>
              <w:t>根据《宣汉县人民政府办公室关于印发</w:t>
            </w:r>
            <w:r>
              <w:rPr>
                <w:rStyle w:val="37"/>
                <w:lang w:val="en-US" w:eastAsia="zh-CN" w:bidi="ar"/>
              </w:rPr>
              <w:t>&lt;</w:t>
            </w:r>
            <w:r>
              <w:rPr>
                <w:rStyle w:val="36"/>
                <w:lang w:val="en-US" w:eastAsia="zh-CN" w:bidi="ar"/>
              </w:rPr>
              <w:t>宣汉县深化</w:t>
            </w:r>
            <w:r>
              <w:rPr>
                <w:rStyle w:val="37"/>
                <w:lang w:val="en-US" w:eastAsia="zh-CN" w:bidi="ar"/>
              </w:rPr>
              <w:t>“</w:t>
            </w:r>
            <w:r>
              <w:rPr>
                <w:rStyle w:val="36"/>
                <w:lang w:val="en-US" w:eastAsia="zh-CN" w:bidi="ar"/>
              </w:rPr>
              <w:t>放管服</w:t>
            </w:r>
            <w:r>
              <w:rPr>
                <w:rStyle w:val="37"/>
                <w:lang w:val="en-US" w:eastAsia="zh-CN" w:bidi="ar"/>
              </w:rPr>
              <w:t>”</w:t>
            </w:r>
            <w:r>
              <w:rPr>
                <w:rStyle w:val="36"/>
                <w:lang w:val="en-US" w:eastAsia="zh-CN" w:bidi="ar"/>
              </w:rPr>
              <w:t>改革优化营商环境实施方案</w:t>
            </w:r>
            <w:r>
              <w:rPr>
                <w:rStyle w:val="37"/>
                <w:lang w:val="en-US" w:eastAsia="zh-CN" w:bidi="ar"/>
              </w:rPr>
              <w:t>&gt;</w:t>
            </w:r>
            <w:r>
              <w:rPr>
                <w:rStyle w:val="36"/>
                <w:lang w:val="en-US" w:eastAsia="zh-CN" w:bidi="ar"/>
              </w:rPr>
              <w:t>的通知》（宣府办【</w:t>
            </w:r>
            <w:r>
              <w:rPr>
                <w:rStyle w:val="37"/>
                <w:lang w:val="en-US" w:eastAsia="zh-CN" w:bidi="ar"/>
              </w:rPr>
              <w:t>2019</w:t>
            </w:r>
            <w:r>
              <w:rPr>
                <w:rStyle w:val="36"/>
                <w:lang w:val="en-US" w:eastAsia="zh-CN" w:bidi="ar"/>
              </w:rPr>
              <w:t>】</w:t>
            </w:r>
            <w:r>
              <w:rPr>
                <w:rStyle w:val="37"/>
                <w:lang w:val="en-US" w:eastAsia="zh-CN" w:bidi="ar"/>
              </w:rPr>
              <w:t>101</w:t>
            </w:r>
            <w:r>
              <w:rPr>
                <w:rStyle w:val="36"/>
                <w:lang w:val="en-US" w:eastAsia="zh-CN" w:bidi="ar"/>
              </w:rPr>
              <w:t>号）精神，从</w:t>
            </w:r>
            <w:r>
              <w:rPr>
                <w:rStyle w:val="37"/>
                <w:lang w:val="en-US" w:eastAsia="zh-CN" w:bidi="ar"/>
              </w:rPr>
              <w:t>2020</w:t>
            </w:r>
            <w:r>
              <w:rPr>
                <w:rStyle w:val="36"/>
                <w:lang w:val="en-US" w:eastAsia="zh-CN" w:bidi="ar"/>
              </w:rPr>
              <w:t>起县政务服务大厅开通免费邮寄收件送件服务。进一步落实了</w:t>
            </w:r>
            <w:r>
              <w:rPr>
                <w:rStyle w:val="37"/>
                <w:lang w:val="en-US" w:eastAsia="zh-CN" w:bidi="ar"/>
              </w:rPr>
              <w:t>“</w:t>
            </w:r>
            <w:r>
              <w:rPr>
                <w:rStyle w:val="36"/>
                <w:lang w:val="en-US" w:eastAsia="zh-CN" w:bidi="ar"/>
              </w:rPr>
              <w:t>最多跑一次</w:t>
            </w:r>
            <w:r>
              <w:rPr>
                <w:rStyle w:val="37"/>
                <w:lang w:val="en-US" w:eastAsia="zh-CN" w:bidi="ar"/>
              </w:rPr>
              <w:t>”</w:t>
            </w:r>
            <w:r>
              <w:rPr>
                <w:rStyle w:val="36"/>
                <w:lang w:val="en-US" w:eastAsia="zh-CN" w:bidi="ar"/>
              </w:rPr>
              <w:t>改革，充分发挥了政务服务便民、利民作用，极大地提升了政务服务水平。</w:t>
            </w:r>
          </w:p>
        </w:tc>
      </w:tr>
      <w:tr w14:paraId="7098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6D3C">
            <w:pPr>
              <w:snapToGrid w:val="0"/>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68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9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5CFD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为提升政务服务水平，根据《宣汉县人民政府办公室关于印发&lt;宣汉县深化“放管服”改革优化营商环境实施方案&gt;的通知》（宣府办【2019】101号）精神，从2020起县政务服务大厅开通免费邮寄收件送件服务。</w:t>
            </w:r>
          </w:p>
        </w:tc>
      </w:tr>
      <w:tr w14:paraId="3266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FD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8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5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A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7E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9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C97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E5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254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05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D327">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9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3D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15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80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9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FA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46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F60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2F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B6F9">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A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55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9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4BD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B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93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4F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4D9B">
            <w:pPr>
              <w:snapToGrid w:val="0"/>
              <w:rPr>
                <w:rFonts w:hint="eastAsia" w:ascii="黑体" w:hAnsi="黑体" w:eastAsia="黑体" w:cs="黑体"/>
                <w:i/>
                <w:iCs/>
                <w:color w:val="000000"/>
                <w:sz w:val="18"/>
                <w:szCs w:val="18"/>
                <w:u w:val="none"/>
              </w:rPr>
            </w:pPr>
          </w:p>
        </w:tc>
      </w:tr>
      <w:tr w14:paraId="082B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D370">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E0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7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A5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65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BF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BC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43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70B8">
            <w:pPr>
              <w:snapToGrid w:val="0"/>
              <w:rPr>
                <w:rFonts w:hint="eastAsia" w:ascii="黑体" w:hAnsi="黑体" w:eastAsia="黑体" w:cs="黑体"/>
                <w:i/>
                <w:iCs/>
                <w:color w:val="000000"/>
                <w:sz w:val="18"/>
                <w:szCs w:val="18"/>
                <w:u w:val="none"/>
              </w:rPr>
            </w:pPr>
          </w:p>
        </w:tc>
      </w:tr>
      <w:tr w14:paraId="7394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606C">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91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511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5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50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4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59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F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3A3D">
            <w:pPr>
              <w:snapToGrid w:val="0"/>
              <w:rPr>
                <w:rFonts w:hint="eastAsia" w:ascii="黑体" w:hAnsi="黑体" w:eastAsia="黑体" w:cs="黑体"/>
                <w:i/>
                <w:iCs/>
                <w:color w:val="000000"/>
                <w:sz w:val="18"/>
                <w:szCs w:val="18"/>
                <w:u w:val="none"/>
              </w:rPr>
            </w:pPr>
          </w:p>
        </w:tc>
      </w:tr>
      <w:tr w14:paraId="3F4A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0225">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0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0284">
            <w:pPr>
              <w:snapToGrid w:val="0"/>
              <w:jc w:val="center"/>
              <w:rPr>
                <w:rFonts w:hint="eastAsia" w:ascii="微软雅黑" w:hAnsi="微软雅黑" w:eastAsia="微软雅黑" w:cs="微软雅黑"/>
                <w:i/>
                <w:iCs/>
                <w:color w:val="000000"/>
                <w:sz w:val="16"/>
                <w:szCs w:val="16"/>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2C8C">
            <w:pPr>
              <w:snapToGrid w:val="0"/>
              <w:jc w:val="center"/>
              <w:rPr>
                <w:rFonts w:hint="eastAsia" w:ascii="微软雅黑" w:hAnsi="微软雅黑" w:eastAsia="微软雅黑" w:cs="微软雅黑"/>
                <w:i/>
                <w:iCs/>
                <w:color w:val="000000"/>
                <w:sz w:val="16"/>
                <w:szCs w:val="16"/>
                <w:u w:val="none"/>
              </w:rPr>
            </w:pPr>
          </w:p>
        </w:tc>
        <w:tc>
          <w:tcPr>
            <w:tcW w:w="10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237E7">
            <w:pPr>
              <w:snapToGrid w:val="0"/>
              <w:jc w:val="center"/>
              <w:rPr>
                <w:rFonts w:hint="eastAsia" w:ascii="微软雅黑" w:hAnsi="微软雅黑" w:eastAsia="微软雅黑" w:cs="微软雅黑"/>
                <w:i/>
                <w:iCs/>
                <w:color w:val="000000"/>
                <w:sz w:val="16"/>
                <w:szCs w:val="16"/>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81EC">
            <w:pPr>
              <w:snapToGrid w:val="0"/>
              <w:jc w:val="center"/>
              <w:rPr>
                <w:rFonts w:hint="eastAsia" w:ascii="微软雅黑" w:hAnsi="微软雅黑" w:eastAsia="微软雅黑" w:cs="微软雅黑"/>
                <w:i/>
                <w:iCs/>
                <w:color w:val="000000"/>
                <w:sz w:val="16"/>
                <w:szCs w:val="16"/>
                <w:u w:val="none"/>
              </w:rPr>
            </w:pP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B8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CD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79CA">
            <w:pPr>
              <w:snapToGrid w:val="0"/>
              <w:rPr>
                <w:rFonts w:hint="eastAsia" w:ascii="黑体" w:hAnsi="黑体" w:eastAsia="黑体" w:cs="黑体"/>
                <w:i/>
                <w:iCs/>
                <w:color w:val="000000"/>
                <w:sz w:val="18"/>
                <w:szCs w:val="18"/>
                <w:u w:val="none"/>
              </w:rPr>
            </w:pPr>
          </w:p>
        </w:tc>
      </w:tr>
      <w:tr w14:paraId="1250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98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A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09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1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99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4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EB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4B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A61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00E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E7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36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660E">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8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96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8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极大地提升了政务服务水平，得到办事群众的一致好评</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026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898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B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5C1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B8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F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33253">
            <w:pPr>
              <w:snapToGrid w:val="0"/>
              <w:jc w:val="center"/>
              <w:rPr>
                <w:rFonts w:hint="eastAsia" w:ascii="微软雅黑" w:hAnsi="微软雅黑" w:eastAsia="微软雅黑" w:cs="微软雅黑"/>
                <w:i/>
                <w:iCs/>
                <w:color w:val="000000"/>
                <w:sz w:val="16"/>
                <w:szCs w:val="16"/>
                <w:u w:val="none"/>
              </w:rPr>
            </w:pPr>
          </w:p>
        </w:tc>
      </w:tr>
      <w:tr w14:paraId="3C68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B4A1">
            <w:pPr>
              <w:snapToGrid w:val="0"/>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C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B1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全年共邮寄28963件</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750E">
            <w:pPr>
              <w:keepNext w:val="0"/>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2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37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1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3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7F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3850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A9D7">
            <w:pPr>
              <w:snapToGrid w:val="0"/>
              <w:rPr>
                <w:rFonts w:hint="eastAsia" w:ascii="宋体" w:hAnsi="宋体" w:eastAsia="宋体" w:cs="宋体"/>
                <w:i w:val="0"/>
                <w:iCs w:val="0"/>
                <w:color w:val="000000"/>
                <w:sz w:val="18"/>
                <w:szCs w:val="18"/>
                <w:u w:val="none"/>
              </w:rPr>
            </w:pPr>
          </w:p>
        </w:tc>
      </w:tr>
      <w:tr w14:paraId="5CF0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0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995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578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3B7B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C3E8E">
            <w:pPr>
              <w:snapToGrid w:val="0"/>
              <w:rPr>
                <w:rFonts w:hint="eastAsia" w:ascii="宋体" w:hAnsi="宋体" w:eastAsia="宋体" w:cs="宋体"/>
                <w:i w:val="0"/>
                <w:iCs w:val="0"/>
                <w:color w:val="000000"/>
                <w:sz w:val="18"/>
                <w:szCs w:val="18"/>
                <w:u w:val="none"/>
              </w:rPr>
            </w:pPr>
          </w:p>
        </w:tc>
      </w:tr>
      <w:tr w14:paraId="0584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587E">
            <w:pPr>
              <w:keepNext w:val="0"/>
              <w:keepLines w:val="0"/>
              <w:widowControl/>
              <w:suppressLineNumbers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469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C9C93F1">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项目指标体系，结合工作开展情况，自评得分86分。根据《宣汉县人民政府办公室关于印发&lt;宣汉县深化“放管服”改革优化营商环境实施方案&gt;的通知》（宣府办【2019】101号）精神，从2020起县政务服务大厅开通免费邮寄收件送件服务。进一步落实了“最多跑一次”改革，充分发挥了政务服务便民、利民作用，极大地提升了政务服务水平。</w:t>
            </w:r>
          </w:p>
        </w:tc>
      </w:tr>
      <w:tr w14:paraId="2EF7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C4D5">
            <w:pPr>
              <w:keepNext w:val="0"/>
              <w:keepLines w:val="0"/>
              <w:widowControl/>
              <w:suppressLineNumbers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69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310C30C">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收件人迁移新址不详、由于当事人举家外出务工、结婚外嫁等原因、导致邮寄送达时无法找到收件人新地址，造成退回。</w:t>
            </w:r>
          </w:p>
        </w:tc>
      </w:tr>
      <w:tr w14:paraId="244B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A67A">
            <w:pPr>
              <w:keepNext w:val="0"/>
              <w:keepLines w:val="0"/>
              <w:widowControl/>
              <w:suppressLineNumbers w:val="0"/>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69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9FEC35E">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当事人免费邮寄业务完成之前，经办人需要仔细确认地址，尽量避免造成退回。</w:t>
            </w:r>
          </w:p>
        </w:tc>
      </w:tr>
    </w:tbl>
    <w:p w14:paraId="006553A1">
      <w:pPr>
        <w:pStyle w:val="8"/>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6FECBD46">
      <w:pPr>
        <w:pStyle w:val="8"/>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黑体" w:cs="黑体"/>
          <w:color w:val="auto"/>
          <w:kern w:val="0"/>
          <w:sz w:val="32"/>
          <w:szCs w:val="32"/>
          <w:highlight w:val="none"/>
          <w:shd w:val="clear" w:color="auto" w:fill="FFFFFF"/>
          <w:lang w:val="en-US" w:eastAsia="zh-CN"/>
        </w:rPr>
      </w:pPr>
    </w:p>
    <w:p w14:paraId="254B9D0B">
      <w:pPr>
        <w:pStyle w:val="35"/>
        <w:keepNext w:val="0"/>
        <w:keepLines w:val="0"/>
        <w:pageBreakBefore w:val="0"/>
        <w:widowControl w:val="0"/>
        <w:kinsoku/>
        <w:wordWrap/>
        <w:overflowPunct/>
        <w:topLinePunct w:val="0"/>
        <w:autoSpaceDE/>
        <w:autoSpaceDN/>
        <w:bidi w:val="0"/>
        <w:adjustRightInd/>
        <w:snapToGrid/>
        <w:spacing w:line="579" w:lineRule="exact"/>
        <w:ind w:left="0" w:leftChars="0" w:firstLine="64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118FB964">
      <w:pPr>
        <w:pStyle w:val="35"/>
        <w:keepNext w:val="0"/>
        <w:keepLines w:val="0"/>
        <w:pageBreakBefore w:val="0"/>
        <w:widowControl w:val="0"/>
        <w:kinsoku/>
        <w:wordWrap/>
        <w:overflowPunct/>
        <w:topLinePunct w:val="0"/>
        <w:autoSpaceDE/>
        <w:autoSpaceDN/>
        <w:bidi w:val="0"/>
        <w:adjustRightInd/>
        <w:snapToGrid/>
        <w:spacing w:line="579" w:lineRule="exact"/>
        <w:ind w:left="0" w:leftChars="0" w:firstLine="64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F7B87A8">
      <w:pPr>
        <w:pStyle w:val="35"/>
        <w:keepNext w:val="0"/>
        <w:keepLines w:val="0"/>
        <w:pageBreakBefore w:val="0"/>
        <w:widowControl w:val="0"/>
        <w:kinsoku/>
        <w:wordWrap/>
        <w:overflowPunct/>
        <w:topLinePunct w:val="0"/>
        <w:autoSpaceDE/>
        <w:autoSpaceDN/>
        <w:bidi w:val="0"/>
        <w:adjustRightInd/>
        <w:snapToGrid/>
        <w:spacing w:line="579" w:lineRule="exact"/>
        <w:ind w:left="0" w:leftChars="0" w:firstLine="640"/>
        <w:jc w:val="center"/>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（本部门不涉及此类项目）</w:t>
      </w:r>
    </w:p>
    <w:p w14:paraId="05EB011A">
      <w:pPr>
        <w:widowControl/>
        <w:jc w:val="center"/>
        <w:rPr>
          <w:rFonts w:hint="eastAsia" w:ascii="Times New Roman" w:hAnsi="Times New Roman" w:eastAsia="黑体"/>
          <w:color w:val="auto"/>
          <w:sz w:val="44"/>
          <w:szCs w:val="44"/>
          <w:highlight w:val="none"/>
        </w:rPr>
      </w:pPr>
      <w:bookmarkStart w:id="54" w:name="_Toc15396618"/>
    </w:p>
    <w:p w14:paraId="54446117">
      <w:pPr>
        <w:widowControl/>
        <w:jc w:val="center"/>
        <w:rPr>
          <w:rFonts w:hint="eastAsia" w:ascii="Times New Roman" w:hAnsi="Times New Roman" w:eastAsia="黑体"/>
          <w:color w:val="auto"/>
          <w:sz w:val="44"/>
          <w:szCs w:val="44"/>
          <w:highlight w:val="none"/>
        </w:rPr>
      </w:pPr>
    </w:p>
    <w:p w14:paraId="7F63B58A">
      <w:pPr>
        <w:widowControl/>
        <w:jc w:val="center"/>
        <w:rPr>
          <w:rFonts w:hint="eastAsia" w:ascii="Times New Roman" w:hAnsi="Times New Roman" w:eastAsia="黑体"/>
          <w:color w:val="auto"/>
          <w:sz w:val="44"/>
          <w:szCs w:val="44"/>
          <w:highlight w:val="none"/>
        </w:rPr>
      </w:pPr>
    </w:p>
    <w:p w14:paraId="78A35217">
      <w:pPr>
        <w:widowControl/>
        <w:jc w:val="center"/>
        <w:rPr>
          <w:rFonts w:hint="eastAsia" w:ascii="Times New Roman" w:hAnsi="Times New Roman" w:eastAsia="黑体"/>
          <w:color w:val="auto"/>
          <w:sz w:val="44"/>
          <w:szCs w:val="44"/>
          <w:highlight w:val="none"/>
        </w:rPr>
      </w:pPr>
    </w:p>
    <w:p w14:paraId="15F7CCBD">
      <w:pPr>
        <w:widowControl/>
        <w:jc w:val="center"/>
        <w:rPr>
          <w:rFonts w:hint="eastAsia" w:ascii="Times New Roman" w:hAnsi="Times New Roman" w:eastAsia="黑体"/>
          <w:color w:val="auto"/>
          <w:sz w:val="44"/>
          <w:szCs w:val="44"/>
          <w:highlight w:val="none"/>
        </w:rPr>
      </w:pPr>
    </w:p>
    <w:p w14:paraId="3E0F2E74">
      <w:pPr>
        <w:widowControl/>
        <w:jc w:val="center"/>
        <w:rPr>
          <w:rFonts w:hint="eastAsia" w:ascii="Times New Roman" w:hAnsi="Times New Roman" w:eastAsia="黑体"/>
          <w:color w:val="auto"/>
          <w:sz w:val="44"/>
          <w:szCs w:val="44"/>
          <w:highlight w:val="none"/>
        </w:rPr>
      </w:pPr>
    </w:p>
    <w:p w14:paraId="23C2AF7E">
      <w:pPr>
        <w:widowControl/>
        <w:jc w:val="center"/>
        <w:rPr>
          <w:rFonts w:hint="eastAsia" w:ascii="Times New Roman" w:hAnsi="Times New Roman" w:eastAsia="黑体"/>
          <w:color w:val="auto"/>
          <w:sz w:val="44"/>
          <w:szCs w:val="44"/>
          <w:highlight w:val="none"/>
        </w:rPr>
      </w:pPr>
    </w:p>
    <w:p w14:paraId="098B701D">
      <w:pPr>
        <w:widowControl/>
        <w:jc w:val="center"/>
        <w:rPr>
          <w:rFonts w:hint="eastAsia" w:ascii="Times New Roman" w:hAnsi="Times New Roman" w:eastAsia="黑体"/>
          <w:color w:val="auto"/>
          <w:sz w:val="44"/>
          <w:szCs w:val="44"/>
          <w:highlight w:val="none"/>
        </w:rPr>
      </w:pPr>
    </w:p>
    <w:p w14:paraId="6CA68914">
      <w:pPr>
        <w:widowControl/>
        <w:jc w:val="center"/>
        <w:rPr>
          <w:rFonts w:hint="eastAsia" w:ascii="Times New Roman" w:hAnsi="Times New Roman" w:eastAsia="黑体"/>
          <w:color w:val="auto"/>
          <w:sz w:val="44"/>
          <w:szCs w:val="44"/>
          <w:highlight w:val="none"/>
        </w:rPr>
      </w:pPr>
    </w:p>
    <w:p w14:paraId="7F70AFBB">
      <w:pPr>
        <w:widowControl/>
        <w:jc w:val="center"/>
        <w:rPr>
          <w:rFonts w:hint="eastAsia" w:ascii="Times New Roman" w:hAnsi="Times New Roman" w:eastAsia="黑体"/>
          <w:color w:val="auto"/>
          <w:sz w:val="44"/>
          <w:szCs w:val="44"/>
          <w:highlight w:val="none"/>
        </w:rPr>
      </w:pPr>
    </w:p>
    <w:p w14:paraId="1521132F">
      <w:pPr>
        <w:widowControl/>
        <w:jc w:val="center"/>
        <w:rPr>
          <w:rFonts w:hint="eastAsia" w:ascii="Times New Roman" w:hAnsi="Times New Roman" w:eastAsia="黑体"/>
          <w:color w:val="auto"/>
          <w:sz w:val="44"/>
          <w:szCs w:val="44"/>
          <w:highlight w:val="none"/>
        </w:rPr>
      </w:pPr>
    </w:p>
    <w:p w14:paraId="2C01DAE5">
      <w:pPr>
        <w:widowControl/>
        <w:jc w:val="center"/>
        <w:rPr>
          <w:rFonts w:hint="eastAsia" w:ascii="Times New Roman" w:hAnsi="Times New Roman" w:eastAsia="黑体"/>
          <w:color w:val="auto"/>
          <w:sz w:val="44"/>
          <w:szCs w:val="44"/>
          <w:highlight w:val="none"/>
        </w:rPr>
      </w:pPr>
    </w:p>
    <w:p w14:paraId="5E7F0F5A">
      <w:pPr>
        <w:pStyle w:val="2"/>
        <w:rPr>
          <w:rFonts w:hint="eastAsia" w:ascii="Times New Roman" w:hAnsi="Times New Roman" w:eastAsia="黑体"/>
          <w:color w:val="auto"/>
          <w:sz w:val="44"/>
          <w:szCs w:val="44"/>
          <w:highlight w:val="none"/>
        </w:rPr>
      </w:pPr>
    </w:p>
    <w:p w14:paraId="7256D5CC">
      <w:pPr>
        <w:pStyle w:val="3"/>
        <w:rPr>
          <w:rFonts w:hint="eastAsia" w:ascii="Times New Roman" w:hAnsi="Times New Roman" w:eastAsia="黑体"/>
          <w:color w:val="auto"/>
          <w:sz w:val="44"/>
          <w:szCs w:val="44"/>
          <w:highlight w:val="none"/>
        </w:rPr>
      </w:pPr>
    </w:p>
    <w:p w14:paraId="19B4A574">
      <w:pPr>
        <w:pStyle w:val="3"/>
        <w:rPr>
          <w:rFonts w:hint="eastAsia" w:ascii="Times New Roman" w:hAnsi="Times New Roman" w:eastAsia="黑体"/>
          <w:color w:val="auto"/>
          <w:sz w:val="44"/>
          <w:szCs w:val="44"/>
          <w:highlight w:val="none"/>
        </w:rPr>
      </w:pPr>
    </w:p>
    <w:p w14:paraId="6672151C">
      <w:pPr>
        <w:keepNext w:val="0"/>
        <w:keepLines w:val="0"/>
        <w:pageBreakBefore w:val="0"/>
        <w:widowControl/>
        <w:kinsoku/>
        <w:wordWrap/>
        <w:overflowPunct/>
        <w:topLinePunct w:val="0"/>
        <w:autoSpaceDE/>
        <w:autoSpaceDN/>
        <w:bidi w:val="0"/>
        <w:spacing w:line="579"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方正小标宋简体" w:cs="方正小标宋简体"/>
          <w:color w:val="auto"/>
          <w:kern w:val="2"/>
          <w:sz w:val="44"/>
          <w:szCs w:val="44"/>
          <w:highlight w:val="none"/>
          <w:lang w:val="en-US" w:eastAsia="zh-CN" w:bidi="ar-SA"/>
        </w:rPr>
        <w:t xml:space="preserve">第五部分 </w:t>
      </w:r>
      <w:r>
        <w:rPr>
          <w:rFonts w:hint="eastAsia" w:eastAsia="方正小标宋简体" w:cs="方正小标宋简体"/>
          <w:color w:val="auto"/>
          <w:kern w:val="2"/>
          <w:sz w:val="44"/>
          <w:szCs w:val="44"/>
          <w:highlight w:val="none"/>
          <w:lang w:val="en-US" w:eastAsia="zh-CN" w:bidi="ar-SA"/>
        </w:rPr>
        <w:t xml:space="preserve"> </w:t>
      </w:r>
      <w:r>
        <w:rPr>
          <w:rFonts w:hint="eastAsia" w:ascii="Times New Roman" w:hAnsi="Times New Roman" w:eastAsia="方正小标宋简体" w:cs="方正小标宋简体"/>
          <w:color w:val="auto"/>
          <w:kern w:val="2"/>
          <w:sz w:val="44"/>
          <w:szCs w:val="44"/>
          <w:highlight w:val="none"/>
          <w:lang w:val="en-US" w:eastAsia="zh-CN" w:bidi="ar-SA"/>
        </w:rPr>
        <w:t>附表</w:t>
      </w:r>
      <w:bookmarkEnd w:id="51"/>
      <w:bookmarkEnd w:id="54"/>
      <w:bookmarkStart w:id="55" w:name="_Toc15396619"/>
    </w:p>
    <w:p w14:paraId="504EC79A">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p>
    <w:p w14:paraId="381CD1F7">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6A053DA4">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7F2076C8">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3DA5D44E">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700E7B7A">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4A00B6F0">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4E31EF78">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74AEA2E7">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6477F25A">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634ABC26">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6105E464">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2FD3B98">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48B3AA34">
      <w:pPr>
        <w:pStyle w:val="14"/>
        <w:keepNext w:val="0"/>
        <w:keepLines w:val="0"/>
        <w:pageBreakBefore w:val="0"/>
        <w:kinsoku/>
        <w:wordWrap/>
        <w:overflowPunct/>
        <w:topLinePunct w:val="0"/>
        <w:autoSpaceDE/>
        <w:autoSpaceDN/>
        <w:bidi w:val="0"/>
        <w:adjustRightInd w:val="0"/>
        <w:snapToGrid w:val="0"/>
        <w:spacing w:line="579"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697F9CD5">
      <w:pPr>
        <w:rPr>
          <w:rFonts w:hint="eastAsia" w:ascii="Times New Roman" w:hAnsi="Times New Roman"/>
          <w:lang w:eastAsia="zh-CN"/>
        </w:rPr>
      </w:pPr>
    </w:p>
    <w:sectPr>
      <w:footerReference r:id="rId6" w:type="first"/>
      <w:footerReference r:id="rId5" w:type="default"/>
      <w:pgSz w:w="11906" w:h="16838"/>
      <w:pgMar w:top="2098" w:right="1587"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619A">
    <w:pPr>
      <w:pStyle w:val="11"/>
      <w:jc w:val="center"/>
    </w:pPr>
  </w:p>
  <w:p w14:paraId="125FBA1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439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25A45">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125A45">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4F64197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B04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74B9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E74B9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5F8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zRlYTI2MjJmODJkOWY4NTczZWRmNjgxY2E5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700"/>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63D"/>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3528"/>
    <w:rsid w:val="012A5EC2"/>
    <w:rsid w:val="012F41F1"/>
    <w:rsid w:val="015975B8"/>
    <w:rsid w:val="02BE1699"/>
    <w:rsid w:val="02EE59E6"/>
    <w:rsid w:val="02FEBE30"/>
    <w:rsid w:val="03771E7F"/>
    <w:rsid w:val="0384368F"/>
    <w:rsid w:val="03D66BA6"/>
    <w:rsid w:val="04916F1E"/>
    <w:rsid w:val="04E07D8C"/>
    <w:rsid w:val="05A4281A"/>
    <w:rsid w:val="061E35DE"/>
    <w:rsid w:val="066E0107"/>
    <w:rsid w:val="07996F6E"/>
    <w:rsid w:val="07DFD8BA"/>
    <w:rsid w:val="07EA2C20"/>
    <w:rsid w:val="08470072"/>
    <w:rsid w:val="09867E8F"/>
    <w:rsid w:val="0A2032A3"/>
    <w:rsid w:val="0B1D3CDA"/>
    <w:rsid w:val="0CA8290A"/>
    <w:rsid w:val="0D35B1ED"/>
    <w:rsid w:val="0E254B6B"/>
    <w:rsid w:val="0F98263C"/>
    <w:rsid w:val="101860EC"/>
    <w:rsid w:val="101F47CC"/>
    <w:rsid w:val="10C055FF"/>
    <w:rsid w:val="11691059"/>
    <w:rsid w:val="11694EBD"/>
    <w:rsid w:val="11772AA4"/>
    <w:rsid w:val="118107EC"/>
    <w:rsid w:val="12A12A75"/>
    <w:rsid w:val="12E24EE2"/>
    <w:rsid w:val="13D50BC4"/>
    <w:rsid w:val="14556E32"/>
    <w:rsid w:val="14A476F7"/>
    <w:rsid w:val="14B17F78"/>
    <w:rsid w:val="15761F97"/>
    <w:rsid w:val="165E0673"/>
    <w:rsid w:val="16B831D5"/>
    <w:rsid w:val="16BB723D"/>
    <w:rsid w:val="17DF1265"/>
    <w:rsid w:val="17E50567"/>
    <w:rsid w:val="186504BB"/>
    <w:rsid w:val="196F50D8"/>
    <w:rsid w:val="19A445FC"/>
    <w:rsid w:val="1A2B654F"/>
    <w:rsid w:val="1BE8440E"/>
    <w:rsid w:val="1CC6347C"/>
    <w:rsid w:val="1D155CEE"/>
    <w:rsid w:val="1D1638FE"/>
    <w:rsid w:val="1DBB3395"/>
    <w:rsid w:val="1E312DEB"/>
    <w:rsid w:val="1E740ACF"/>
    <w:rsid w:val="1FF35744"/>
    <w:rsid w:val="1FF6BC77"/>
    <w:rsid w:val="213B4094"/>
    <w:rsid w:val="217B7A8F"/>
    <w:rsid w:val="2186353C"/>
    <w:rsid w:val="22342EF0"/>
    <w:rsid w:val="22490D52"/>
    <w:rsid w:val="22C97BAA"/>
    <w:rsid w:val="23367230"/>
    <w:rsid w:val="23860B96"/>
    <w:rsid w:val="239B1428"/>
    <w:rsid w:val="23DF5E19"/>
    <w:rsid w:val="240371BF"/>
    <w:rsid w:val="244F3473"/>
    <w:rsid w:val="24C97D99"/>
    <w:rsid w:val="24EE1B49"/>
    <w:rsid w:val="24F86524"/>
    <w:rsid w:val="25A718F0"/>
    <w:rsid w:val="25BB59F6"/>
    <w:rsid w:val="260F557C"/>
    <w:rsid w:val="26970054"/>
    <w:rsid w:val="281408E2"/>
    <w:rsid w:val="29FD04D3"/>
    <w:rsid w:val="2ABA427C"/>
    <w:rsid w:val="2BFF7BC6"/>
    <w:rsid w:val="2C0A1425"/>
    <w:rsid w:val="2C8A61B5"/>
    <w:rsid w:val="2DCC3C84"/>
    <w:rsid w:val="2DF04E50"/>
    <w:rsid w:val="2E586DFA"/>
    <w:rsid w:val="2F040D46"/>
    <w:rsid w:val="2F6B035B"/>
    <w:rsid w:val="2FAE5751"/>
    <w:rsid w:val="2FB1A395"/>
    <w:rsid w:val="2FD9A7D8"/>
    <w:rsid w:val="2FDBF714"/>
    <w:rsid w:val="303D3985"/>
    <w:rsid w:val="30AB6865"/>
    <w:rsid w:val="319F7F4E"/>
    <w:rsid w:val="326E42CA"/>
    <w:rsid w:val="32BD1EF1"/>
    <w:rsid w:val="3304709D"/>
    <w:rsid w:val="33A67A93"/>
    <w:rsid w:val="33A773CB"/>
    <w:rsid w:val="349D6851"/>
    <w:rsid w:val="35A3428A"/>
    <w:rsid w:val="35C506A4"/>
    <w:rsid w:val="36AA5135"/>
    <w:rsid w:val="36BE0DA7"/>
    <w:rsid w:val="376B6AA6"/>
    <w:rsid w:val="376D39B2"/>
    <w:rsid w:val="37E16F03"/>
    <w:rsid w:val="37F53A3B"/>
    <w:rsid w:val="383B5A24"/>
    <w:rsid w:val="389B6C89"/>
    <w:rsid w:val="38D469F0"/>
    <w:rsid w:val="38E40172"/>
    <w:rsid w:val="39627CCD"/>
    <w:rsid w:val="397BAF1F"/>
    <w:rsid w:val="39F2758E"/>
    <w:rsid w:val="3AB79AF3"/>
    <w:rsid w:val="3AE834C0"/>
    <w:rsid w:val="3B7EF35A"/>
    <w:rsid w:val="3B9FDB6C"/>
    <w:rsid w:val="3BF5BC2F"/>
    <w:rsid w:val="3CB955D6"/>
    <w:rsid w:val="3CCA47F2"/>
    <w:rsid w:val="3CEA09F1"/>
    <w:rsid w:val="3CEBA265"/>
    <w:rsid w:val="3D98207C"/>
    <w:rsid w:val="3DEE7CF3"/>
    <w:rsid w:val="3E740A63"/>
    <w:rsid w:val="3E78745D"/>
    <w:rsid w:val="3EE17838"/>
    <w:rsid w:val="3F55381A"/>
    <w:rsid w:val="3F7F7599"/>
    <w:rsid w:val="3FF4CAE0"/>
    <w:rsid w:val="3FF7B227"/>
    <w:rsid w:val="41306BEE"/>
    <w:rsid w:val="42843695"/>
    <w:rsid w:val="43762FDE"/>
    <w:rsid w:val="44E268DA"/>
    <w:rsid w:val="450D13D7"/>
    <w:rsid w:val="45506656"/>
    <w:rsid w:val="45FB72D0"/>
    <w:rsid w:val="46745085"/>
    <w:rsid w:val="486A6C7A"/>
    <w:rsid w:val="4A627F82"/>
    <w:rsid w:val="4B0E749A"/>
    <w:rsid w:val="4B2477C4"/>
    <w:rsid w:val="4B4F25DA"/>
    <w:rsid w:val="4B7E5126"/>
    <w:rsid w:val="4BE068DB"/>
    <w:rsid w:val="4D577224"/>
    <w:rsid w:val="4DBF1CEB"/>
    <w:rsid w:val="4DEB45C9"/>
    <w:rsid w:val="4DF0007C"/>
    <w:rsid w:val="4EAB630A"/>
    <w:rsid w:val="4ECE2238"/>
    <w:rsid w:val="4F833267"/>
    <w:rsid w:val="4FE9BD67"/>
    <w:rsid w:val="4FFB052F"/>
    <w:rsid w:val="519F7BA4"/>
    <w:rsid w:val="534D3630"/>
    <w:rsid w:val="537E6D0A"/>
    <w:rsid w:val="53F74C96"/>
    <w:rsid w:val="55170BA8"/>
    <w:rsid w:val="553218C9"/>
    <w:rsid w:val="55676DD2"/>
    <w:rsid w:val="567E1AA5"/>
    <w:rsid w:val="56E47B74"/>
    <w:rsid w:val="57175D52"/>
    <w:rsid w:val="57BD3DD4"/>
    <w:rsid w:val="58F5279F"/>
    <w:rsid w:val="59205A6E"/>
    <w:rsid w:val="5AF92295"/>
    <w:rsid w:val="5B250254"/>
    <w:rsid w:val="5BDD79E6"/>
    <w:rsid w:val="5BF561CA"/>
    <w:rsid w:val="5BFF5DFC"/>
    <w:rsid w:val="5CD71FC4"/>
    <w:rsid w:val="5D1F11B5"/>
    <w:rsid w:val="5D695134"/>
    <w:rsid w:val="5DAE1B18"/>
    <w:rsid w:val="5DE7D9E5"/>
    <w:rsid w:val="5EC24ED2"/>
    <w:rsid w:val="5ECEC941"/>
    <w:rsid w:val="5FBF9FF3"/>
    <w:rsid w:val="5FC353A5"/>
    <w:rsid w:val="5FCD4E2C"/>
    <w:rsid w:val="5FEF394A"/>
    <w:rsid w:val="5FF56091"/>
    <w:rsid w:val="5FF67715"/>
    <w:rsid w:val="609F196E"/>
    <w:rsid w:val="62BF3928"/>
    <w:rsid w:val="63B3701E"/>
    <w:rsid w:val="647F5392"/>
    <w:rsid w:val="65E66580"/>
    <w:rsid w:val="66343FD7"/>
    <w:rsid w:val="664B1D71"/>
    <w:rsid w:val="664B4E8E"/>
    <w:rsid w:val="6690633C"/>
    <w:rsid w:val="67277B67"/>
    <w:rsid w:val="67717495"/>
    <w:rsid w:val="67AA3209"/>
    <w:rsid w:val="698D0931"/>
    <w:rsid w:val="6A7FE5F3"/>
    <w:rsid w:val="6B053271"/>
    <w:rsid w:val="6BDD78B3"/>
    <w:rsid w:val="6C4A05C8"/>
    <w:rsid w:val="6C8742B8"/>
    <w:rsid w:val="6D527D69"/>
    <w:rsid w:val="6DBF5E93"/>
    <w:rsid w:val="6DE21847"/>
    <w:rsid w:val="6DFF077E"/>
    <w:rsid w:val="6E2B2A93"/>
    <w:rsid w:val="6E714EF0"/>
    <w:rsid w:val="6E7E3605"/>
    <w:rsid w:val="6E7FDCC7"/>
    <w:rsid w:val="6ED6A62E"/>
    <w:rsid w:val="6EE00B15"/>
    <w:rsid w:val="6F6B6EC0"/>
    <w:rsid w:val="6F6D0484"/>
    <w:rsid w:val="6F6FB3EB"/>
    <w:rsid w:val="6F8731EA"/>
    <w:rsid w:val="6FCE6052"/>
    <w:rsid w:val="6FD57C00"/>
    <w:rsid w:val="6FEFFFD8"/>
    <w:rsid w:val="6FF5CC65"/>
    <w:rsid w:val="6FFB47EC"/>
    <w:rsid w:val="6FFF034A"/>
    <w:rsid w:val="700F3CEF"/>
    <w:rsid w:val="70484440"/>
    <w:rsid w:val="712A28F1"/>
    <w:rsid w:val="715C0E4B"/>
    <w:rsid w:val="71790547"/>
    <w:rsid w:val="71922E29"/>
    <w:rsid w:val="71992E7C"/>
    <w:rsid w:val="71F93806"/>
    <w:rsid w:val="72233669"/>
    <w:rsid w:val="72734D90"/>
    <w:rsid w:val="73131D48"/>
    <w:rsid w:val="73160E6D"/>
    <w:rsid w:val="7332FE48"/>
    <w:rsid w:val="73AB61DA"/>
    <w:rsid w:val="73AD73D5"/>
    <w:rsid w:val="73B6EB34"/>
    <w:rsid w:val="73FA497D"/>
    <w:rsid w:val="744731E5"/>
    <w:rsid w:val="745D2E3B"/>
    <w:rsid w:val="74BBD01D"/>
    <w:rsid w:val="74ED5379"/>
    <w:rsid w:val="75DEEEC2"/>
    <w:rsid w:val="75E32345"/>
    <w:rsid w:val="76E3355F"/>
    <w:rsid w:val="76FF5125"/>
    <w:rsid w:val="776F6FFA"/>
    <w:rsid w:val="777C610E"/>
    <w:rsid w:val="778769C8"/>
    <w:rsid w:val="77A75DCA"/>
    <w:rsid w:val="77DC22F5"/>
    <w:rsid w:val="77FA34D6"/>
    <w:rsid w:val="783E271A"/>
    <w:rsid w:val="78616DE9"/>
    <w:rsid w:val="78E875D7"/>
    <w:rsid w:val="79086DAD"/>
    <w:rsid w:val="79C30DFA"/>
    <w:rsid w:val="79D7FD79"/>
    <w:rsid w:val="79EE5BA4"/>
    <w:rsid w:val="7A894339"/>
    <w:rsid w:val="7AB20098"/>
    <w:rsid w:val="7AD284E8"/>
    <w:rsid w:val="7AFF7572"/>
    <w:rsid w:val="7B6C7DFB"/>
    <w:rsid w:val="7BBFBED0"/>
    <w:rsid w:val="7BC3E394"/>
    <w:rsid w:val="7C1F3737"/>
    <w:rsid w:val="7C490589"/>
    <w:rsid w:val="7C58067C"/>
    <w:rsid w:val="7CBFC87B"/>
    <w:rsid w:val="7CFE0F48"/>
    <w:rsid w:val="7D272ABC"/>
    <w:rsid w:val="7D5E0E75"/>
    <w:rsid w:val="7D7EC23E"/>
    <w:rsid w:val="7DC51E91"/>
    <w:rsid w:val="7E26202F"/>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41"/>
    <w:basedOn w:val="17"/>
    <w:qFormat/>
    <w:uiPriority w:val="0"/>
    <w:rPr>
      <w:rFonts w:hint="eastAsia" w:ascii="宋体" w:hAnsi="宋体" w:eastAsia="宋体" w:cs="宋体"/>
      <w:color w:val="000000"/>
      <w:sz w:val="18"/>
      <w:szCs w:val="18"/>
      <w:u w:val="none"/>
    </w:rPr>
  </w:style>
  <w:style w:type="character" w:customStyle="1" w:styleId="37">
    <w:name w:val="font31"/>
    <w:basedOn w:val="17"/>
    <w:qFormat/>
    <w:uiPriority w:val="0"/>
    <w:rPr>
      <w:rFonts w:hint="eastAsia" w:ascii="黑体" w:hAnsi="黑体" w:eastAsia="黑体" w:cs="黑体"/>
      <w:color w:val="000000"/>
      <w:sz w:val="18"/>
      <w:szCs w:val="18"/>
      <w:u w:val="none"/>
    </w:rPr>
  </w:style>
  <w:style w:type="character" w:customStyle="1" w:styleId="38">
    <w:name w:val="font132"/>
    <w:basedOn w:val="17"/>
    <w:qFormat/>
    <w:uiPriority w:val="0"/>
    <w:rPr>
      <w:rFonts w:hint="eastAsia" w:ascii="微软雅黑" w:hAnsi="微软雅黑" w:eastAsia="微软雅黑" w:cs="微软雅黑"/>
      <w:i/>
      <w:iCs/>
      <w:color w:val="000000"/>
      <w:sz w:val="18"/>
      <w:szCs w:val="18"/>
      <w:u w:val="none"/>
    </w:rPr>
  </w:style>
  <w:style w:type="character" w:customStyle="1" w:styleId="39">
    <w:name w:val="font181"/>
    <w:basedOn w:val="17"/>
    <w:qFormat/>
    <w:uiPriority w:val="0"/>
    <w:rPr>
      <w:rFonts w:hint="eastAsia" w:ascii="微软雅黑" w:hAnsi="微软雅黑" w:eastAsia="微软雅黑" w:cs="微软雅黑"/>
      <w:color w:val="000000"/>
      <w:sz w:val="18"/>
      <w:szCs w:val="18"/>
      <w:u w:val="none"/>
    </w:rPr>
  </w:style>
  <w:style w:type="character" w:customStyle="1" w:styleId="40">
    <w:name w:val="font21"/>
    <w:basedOn w:val="17"/>
    <w:qFormat/>
    <w:uiPriority w:val="0"/>
    <w:rPr>
      <w:rFonts w:ascii="宋体" w:hAnsi="宋体" w:eastAsia="宋体" w:cs="宋体"/>
      <w:color w:val="000000"/>
      <w:sz w:val="18"/>
      <w:szCs w:val="18"/>
      <w:u w:val="none"/>
    </w:rPr>
  </w:style>
  <w:style w:type="character" w:customStyle="1" w:styleId="41">
    <w:name w:val="font111"/>
    <w:basedOn w:val="17"/>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收入支出预算安排情况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1360.3</c:v>
                </c:pt>
                <c:pt idx="1">
                  <c:v>1383.56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1360.3</c:v>
                </c:pt>
                <c:pt idx="1">
                  <c:v>1383.56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19085494"/>
        <c:axId val="881963780"/>
      </c:barChart>
      <c:catAx>
        <c:axId val="619085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963780"/>
        <c:crosses val="autoZero"/>
        <c:auto val="1"/>
        <c:lblAlgn val="ctr"/>
        <c:lblOffset val="100"/>
        <c:noMultiLvlLbl val="0"/>
      </c:catAx>
      <c:valAx>
        <c:axId val="8819637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085494"/>
        <c:crosses val="autoZero"/>
        <c:crossBetween val="between"/>
      </c:valAx>
      <c:spPr>
        <a:noFill/>
        <a:ln>
          <a:noFill/>
        </a:ln>
        <a:effectLst/>
      </c:spPr>
    </c:plotArea>
    <c:legend>
      <c:legendPos val="b"/>
      <c:legendEntry>
        <c:idx val="2"/>
        <c:delete val="1"/>
      </c:legendEntry>
      <c:layout>
        <c:manualLayout>
          <c:xMode val="edge"/>
          <c:yMode val="edge"/>
          <c:x val="0.439261363636364"/>
          <c:y val="0.8733423545331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658a91-eda6-4142-ad32-3d7e46cb8d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收入支出预算安排情况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1360.3</c:v>
                </c:pt>
                <c:pt idx="1">
                  <c:v>1383.56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1360.3</c:v>
                </c:pt>
                <c:pt idx="1">
                  <c:v>1383.56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19085494"/>
        <c:axId val="881963780"/>
      </c:barChart>
      <c:catAx>
        <c:axId val="619085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963780"/>
        <c:crosses val="autoZero"/>
        <c:auto val="1"/>
        <c:lblAlgn val="ctr"/>
        <c:lblOffset val="100"/>
        <c:noMultiLvlLbl val="0"/>
      </c:catAx>
      <c:valAx>
        <c:axId val="8819637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085494"/>
        <c:crosses val="autoZero"/>
        <c:crossBetween val="between"/>
      </c:valAx>
      <c:spPr>
        <a:noFill/>
        <a:ln>
          <a:noFill/>
        </a:ln>
        <a:effectLst/>
      </c:spPr>
    </c:plotArea>
    <c:legend>
      <c:legendPos val="b"/>
      <c:legendEntry>
        <c:idx val="2"/>
        <c:delete val="1"/>
      </c:legendEntry>
      <c:layout>
        <c:manualLayout>
          <c:xMode val="edge"/>
          <c:yMode val="edge"/>
          <c:x val="0.439261363636364"/>
          <c:y val="0.8733423545331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658a91-eda6-4142-ad32-3d7e46cb8d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收入支出预算安排情况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1360.3</c:v>
                </c:pt>
                <c:pt idx="1">
                  <c:v>1383.56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1360.3</c:v>
                </c:pt>
                <c:pt idx="1">
                  <c:v>1383.56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19085494"/>
        <c:axId val="881963780"/>
      </c:barChart>
      <c:catAx>
        <c:axId val="619085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963780"/>
        <c:crosses val="autoZero"/>
        <c:auto val="1"/>
        <c:lblAlgn val="ctr"/>
        <c:lblOffset val="100"/>
        <c:noMultiLvlLbl val="0"/>
      </c:catAx>
      <c:valAx>
        <c:axId val="8819637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085494"/>
        <c:crosses val="autoZero"/>
        <c:crossBetween val="between"/>
      </c:valAx>
      <c:spPr>
        <a:noFill/>
        <a:ln>
          <a:noFill/>
        </a:ln>
        <a:effectLst/>
      </c:spPr>
    </c:plotArea>
    <c:legend>
      <c:legendPos val="b"/>
      <c:legendEntry>
        <c:idx val="2"/>
        <c:delete val="1"/>
      </c:legendEntry>
      <c:layout>
        <c:manualLayout>
          <c:xMode val="edge"/>
          <c:yMode val="edge"/>
          <c:x val="0.439261363636364"/>
          <c:y val="0.8733423545331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658a91-eda6-4142-ad32-3d7e46cb8d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10531</Words>
  <Characters>11406</Characters>
  <Lines>61</Lines>
  <Paragraphs>17</Paragraphs>
  <TotalTime>1</TotalTime>
  <ScaleCrop>false</ScaleCrop>
  <LinksUpToDate>false</LinksUpToDate>
  <CharactersWithSpaces>11433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小弟阿树</cp:lastModifiedBy>
  <cp:lastPrinted>2025-11-27T01:54:00Z</cp:lastPrinted>
  <dcterms:modified xsi:type="dcterms:W3CDTF">2025-11-27T02:36:54Z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04787F2533EB45DC91BCDE4AB213247F</vt:lpwstr>
  </property>
  <property fmtid="{D5CDD505-2E9C-101B-9397-08002B2CF9AE}" pid="4" name="KSOTemplateDocerSaveRecord">
    <vt:lpwstr>eyJoZGlkIjoiY2NlZTBlNTAzMjM5ZTlmMDBjNjc4YzBkOGYxOTJhNDIiLCJ1c2VySWQiOiIxNTc0ODcxOTM0In0=</vt:lpwstr>
  </property>
</Properties>
</file>