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96598"/>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宣汉县观山乡人民政府部门决算</w:t>
      </w:r>
      <w:bookmarkEnd w:id="6"/>
      <w:bookmarkEnd w:id="7"/>
      <w:bookmarkEnd w:id="8"/>
      <w:bookmarkEnd w:id="9"/>
      <w:bookmarkEnd w:id="10"/>
      <w:bookmarkEnd w:id="11"/>
      <w:r>
        <w:rPr>
          <w:rFonts w:hint="eastAsia" w:ascii="方正小标宋简体" w:hAnsi="宋体" w:eastAsia="方正小标宋简体"/>
          <w:color w:val="000000"/>
          <w:sz w:val="72"/>
          <w:szCs w:val="72"/>
        </w:rPr>
        <w:t>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 w:hAnsi="仿宋" w:eastAsia="仿宋"/>
          <w:bCs/>
          <w:color w:val="000000"/>
          <w:sz w:val="32"/>
          <w:szCs w:val="32"/>
        </w:rPr>
        <w:t>1、一是落实政策。宣传、落实好党的路线、方针、政策和国家的法律、法规、稳定农村基础经济制度，坚持依法行政、推进政务公开，加强对村民委员会的指导，提高，培育村民委员会自治能力。二是促进发展。科学制定发展规划，加强农村市场监督，搞活市场流通，推广农业技术，完善农业社会化服务体系，引导农村劳动力转移和就业，不断提高社会主义新农村建设水平。三是维护稳定。要坚持“立党为公，执政为名”。要加强和巩固农村基层政权的预警和管理，建立、健全各种应急机制，开展农村扶贫何社会救助，切实保障农民合法权益，维护农村社会稳定。四是加强管理。加强民政、教育、科技、文化、卫生、人口和计划生育、安全生产、劳动保障、农村牧业和乡村规划等社会管理，加强社会主义精神文明建设，做好防灾减灾工作，加强环境保护，努力改善农村人居环境，不断提高农村人口素质和农民生活质量。五是提供服务。进一步发展和完善农业社会化服务体系，打造政务平台，主动为</w:t>
      </w:r>
      <w:r>
        <w:rPr>
          <w:rFonts w:hint="eastAsia" w:ascii="仿宋" w:hAnsi="仿宋" w:eastAsia="仿宋"/>
          <w:bCs/>
          <w:color w:val="000000"/>
          <w:sz w:val="32"/>
          <w:szCs w:val="32"/>
          <w:lang w:eastAsia="zh-CN"/>
        </w:rPr>
        <w:t>基层群众</w:t>
      </w:r>
      <w:r>
        <w:rPr>
          <w:rFonts w:hint="eastAsia" w:ascii="仿宋" w:hAnsi="仿宋" w:eastAsia="仿宋"/>
          <w:bCs/>
          <w:color w:val="000000"/>
          <w:sz w:val="32"/>
          <w:szCs w:val="32"/>
        </w:rPr>
        <w:t>提供周到便捷的服务，引导各类协会和农村专业合作经济发展并充分发挥其作用，发展农村审核公益事业，加强农村基础设施建设，增加公共产品，提供政策、科技、市场信息和社会救济、救助服务，及时向上级党委、政府反映社情民意，进一步密切党和政府与人民群众的关系。</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2、调整乡镇事业职能</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 xml:space="preserve"> 乡镇事业单位原承担的行政执法职能统一由县级主管部门行使，农村土地承包管理、农民负担监督管理、农村集体资产财务管理等行政管理职能交由乡镇人民政府承担，在乡镇机关明确承担农村行政管理职能的机构确定工作岗位。要合理划分公益性职能和经营性职能，实现分类管理。强化公益性服务功能，确保公益性事业投入不减少，其经费主要由财政保障。农村经营管理系统不再列入基层农业技术推广体系，要提高经营性服务组织的自我发展能力，实行市场化运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（二）2018年重点工作完成情况</w:t>
      </w:r>
    </w:p>
    <w:p>
      <w:pPr>
        <w:pStyle w:val="5"/>
        <w:adjustRightInd w:val="0"/>
        <w:snapToGrid w:val="0"/>
        <w:spacing w:before="93" w:line="600" w:lineRule="exact"/>
        <w:ind w:firstLine="672" w:firstLineChars="210"/>
        <w:rPr>
          <w:rFonts w:hint="eastAsia"/>
          <w:bCs/>
          <w:color w:val="000000"/>
          <w:sz w:val="32"/>
          <w:szCs w:val="32"/>
        </w:rPr>
      </w:pPr>
      <w:r>
        <w:rPr>
          <w:rFonts w:hint="eastAsia"/>
          <w:bCs/>
          <w:color w:val="000000"/>
          <w:sz w:val="32"/>
          <w:szCs w:val="32"/>
        </w:rPr>
        <w:t>2018年完成了五大重点工作任务：一是扶贫攻坚完成预定脱贫任务；二是观山社会稳定、和谐明显好于以往；三是党风廉政建设保持良好；四是基础设施建设持续推进。完成了观山乡乡村公路（观南路）建设、观山乡磨滩岩道路加宽。</w:t>
      </w:r>
    </w:p>
    <w:bookmarkEnd w:id="18"/>
    <w:bookmarkEnd w:id="19"/>
    <w:p>
      <w:pPr>
        <w:pStyle w:val="3"/>
        <w:rPr>
          <w:rStyle w:val="25"/>
          <w:rFonts w:hint="eastAsia" w:ascii="黑体" w:hAnsi="黑体" w:eastAsia="黑体"/>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观山乡属一级预算单位，下属二级单位0个，其中行政单位1个，参照公务员法管理的事业单位0个，其他事业单位1个。</w:t>
      </w:r>
      <w:r>
        <w:rPr>
          <w:rFonts w:ascii="仿宋" w:hAnsi="仿宋" w:eastAsia="仿宋"/>
          <w:color w:val="000000"/>
          <w:sz w:val="32"/>
          <w:szCs w:val="32"/>
        </w:rPr>
        <w:br w:type="page"/>
      </w:r>
      <w:bookmarkStart w:id="76" w:name="_GoBack"/>
      <w:bookmarkEnd w:id="76"/>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2018年度收、支总计516.21万元。与2017年相比，收、支总计各减少200.04万元，下降27.93</w:t>
      </w:r>
      <w:r>
        <w:rPr>
          <w:rFonts w:ascii="仿宋" w:hAnsi="仿宋" w:eastAsia="仿宋"/>
          <w:color w:val="000000"/>
          <w:sz w:val="32"/>
          <w:szCs w:val="32"/>
        </w:rPr>
        <w:t>%</w:t>
      </w:r>
      <w:r>
        <w:rPr>
          <w:rFonts w:hint="eastAsia" w:ascii="仿宋" w:hAnsi="仿宋" w:eastAsia="仿宋"/>
          <w:color w:val="000000"/>
          <w:sz w:val="32"/>
          <w:szCs w:val="32"/>
        </w:rPr>
        <w:t>。主要变动原因是基础实施投资减少。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r>
        <w:drawing>
          <wp:anchor distT="0" distB="0" distL="114300" distR="114300" simplePos="0" relativeHeight="251659264" behindDoc="0" locked="0" layoutInCell="1" allowOverlap="1">
            <wp:simplePos x="0" y="0"/>
            <wp:positionH relativeFrom="column">
              <wp:posOffset>352425</wp:posOffset>
            </wp:positionH>
            <wp:positionV relativeFrom="paragraph">
              <wp:posOffset>239395</wp:posOffset>
            </wp:positionV>
            <wp:extent cx="4533265" cy="3066415"/>
            <wp:effectExtent l="0" t="0" r="63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533265" cy="3066415"/>
                    </a:xfrm>
                    <a:prstGeom prst="rect">
                      <a:avLst/>
                    </a:prstGeom>
                  </pic:spPr>
                </pic:pic>
              </a:graphicData>
            </a:graphic>
          </wp:anchor>
        </w:drawing>
      </w:r>
    </w:p>
    <w:p>
      <w:pPr>
        <w:pStyle w:val="23"/>
        <w:numPr>
          <w:ilvl w:val="1"/>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8年本年收入合计516.21万元，其中：一般公共预算财政拨款收入424.94万元，占82.32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；政府性基金预算财政拨款收入91.28万元，占17.68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95250</wp:posOffset>
            </wp:positionH>
            <wp:positionV relativeFrom="paragraph">
              <wp:posOffset>147955</wp:posOffset>
            </wp:positionV>
            <wp:extent cx="4572000" cy="2743200"/>
            <wp:effectExtent l="0" t="0" r="19050" b="19050"/>
            <wp:wrapTopAndBottom/>
            <wp:docPr id="3" name="图表 3" title="2017收入结构"/>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drawing>
          <wp:anchor distT="0" distB="0" distL="114300" distR="114300" simplePos="0" relativeHeight="251661312" behindDoc="0" locked="0" layoutInCell="1" allowOverlap="1">
            <wp:simplePos x="0" y="0"/>
            <wp:positionH relativeFrom="column">
              <wp:posOffset>371475</wp:posOffset>
            </wp:positionH>
            <wp:positionV relativeFrom="paragraph">
              <wp:posOffset>1118870</wp:posOffset>
            </wp:positionV>
            <wp:extent cx="4572000" cy="2743200"/>
            <wp:effectExtent l="0" t="0" r="19050" b="1905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8年本年支出合计516.21万元，其中：基本支出297.18万元，占58</w:t>
      </w:r>
      <w:r>
        <w:rPr>
          <w:rFonts w:ascii="仿宋" w:hAnsi="仿宋" w:eastAsia="仿宋"/>
          <w:color w:val="000000"/>
          <w:sz w:val="32"/>
          <w:szCs w:val="32"/>
        </w:rPr>
        <w:t>%</w:t>
      </w:r>
      <w:r>
        <w:rPr>
          <w:rFonts w:hint="eastAsia" w:ascii="仿宋" w:hAnsi="仿宋" w:eastAsia="仿宋"/>
          <w:color w:val="000000"/>
          <w:sz w:val="32"/>
          <w:szCs w:val="32"/>
        </w:rPr>
        <w:t>；项目支出219.03万元，占42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1600" w:firstLine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8年财政拨款收、支总计516.21万元。与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7年相比，财政拨款收、支总计各减少200.04万元，下降27.93</w:t>
      </w:r>
      <w:r>
        <w:rPr>
          <w:rFonts w:ascii="仿宋" w:hAnsi="仿宋" w:eastAsia="仿宋"/>
          <w:color w:val="000000"/>
          <w:sz w:val="32"/>
          <w:szCs w:val="32"/>
        </w:rPr>
        <w:t>%</w:t>
      </w:r>
      <w:r>
        <w:rPr>
          <w:rFonts w:hint="eastAsia" w:ascii="仿宋" w:hAnsi="仿宋" w:eastAsia="仿宋"/>
          <w:color w:val="000000"/>
          <w:sz w:val="32"/>
          <w:szCs w:val="32"/>
        </w:rPr>
        <w:t>。主要变动原因是基础实施投资减少。</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361950</wp:posOffset>
            </wp:positionH>
            <wp:positionV relativeFrom="paragraph">
              <wp:posOffset>66675</wp:posOffset>
            </wp:positionV>
            <wp:extent cx="4572000" cy="2743200"/>
            <wp:effectExtent l="0" t="0" r="19050" b="1905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8年一般公共预算财政拨款支出424.94万元，占本年支出合计的82.32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7年相比，一般公共预算财政拨款增加37.68万元，增长9.83</w:t>
      </w:r>
      <w:r>
        <w:rPr>
          <w:rFonts w:ascii="仿宋" w:hAnsi="仿宋" w:eastAsia="仿宋"/>
          <w:color w:val="000000"/>
          <w:sz w:val="32"/>
          <w:szCs w:val="32"/>
        </w:rPr>
        <w:t>%</w:t>
      </w:r>
      <w:r>
        <w:rPr>
          <w:rFonts w:hint="eastAsia" w:ascii="仿宋" w:hAnsi="仿宋" w:eastAsia="仿宋"/>
          <w:color w:val="000000"/>
          <w:sz w:val="32"/>
          <w:szCs w:val="32"/>
        </w:rPr>
        <w:t>。主要变动原因是在职员工增加，一般公共预算增加。</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152400</wp:posOffset>
            </wp:positionH>
            <wp:positionV relativeFrom="paragraph">
              <wp:posOffset>-1704975</wp:posOffset>
            </wp:positionV>
            <wp:extent cx="4572000" cy="2743200"/>
            <wp:effectExtent l="0" t="0" r="19050" b="1905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514350</wp:posOffset>
            </wp:positionH>
            <wp:positionV relativeFrom="paragraph">
              <wp:posOffset>2533650</wp:posOffset>
            </wp:positionV>
            <wp:extent cx="4572000" cy="2743200"/>
            <wp:effectExtent l="0" t="0" r="19050" b="1905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政拨款支出424.94万元，主要用于以下方面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一般公共服务</w:t>
      </w:r>
      <w:r>
        <w:rPr>
          <w:rStyle w:val="14"/>
          <w:rFonts w:hint="eastAsia" w:ascii="仿宋" w:hAnsi="仿宋" w:eastAsia="仿宋"/>
          <w:bCs/>
          <w:color w:val="000000"/>
          <w:sz w:val="32"/>
          <w:szCs w:val="32"/>
        </w:rPr>
        <w:t>（类）</w:t>
      </w:r>
      <w:r>
        <w:rPr>
          <w:rFonts w:hint="eastAsia" w:ascii="仿宋" w:hAnsi="仿宋" w:eastAsia="仿宋"/>
          <w:color w:val="000000" w:themeColor="text1"/>
          <w:sz w:val="32"/>
          <w:szCs w:val="32"/>
          <w14:textFill>
            <w14:solidFill>
              <w14:schemeClr w14:val="tx1"/>
            </w14:solidFill>
          </w14:textFill>
        </w:rPr>
        <w:t>支出261.46万元，占61.53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；社会保障和就业</w:t>
      </w:r>
      <w:r>
        <w:rPr>
          <w:rStyle w:val="14"/>
          <w:rFonts w:hint="eastAsia" w:ascii="仿宋" w:hAnsi="仿宋" w:eastAsia="仿宋"/>
          <w:bCs/>
          <w:color w:val="000000"/>
          <w:sz w:val="32"/>
          <w:szCs w:val="32"/>
        </w:rPr>
        <w:t>（类）</w:t>
      </w:r>
      <w:r>
        <w:rPr>
          <w:rFonts w:hint="eastAsia" w:ascii="仿宋" w:hAnsi="仿宋" w:eastAsia="仿宋"/>
          <w:color w:val="000000" w:themeColor="text1"/>
          <w:sz w:val="32"/>
          <w:szCs w:val="32"/>
          <w14:textFill>
            <w14:solidFill>
              <w14:schemeClr w14:val="tx1"/>
            </w14:solidFill>
          </w14:textFill>
        </w:rPr>
        <w:t>支出21.69万元，占5.10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；医疗卫生与计划生育</w:t>
      </w:r>
      <w:r>
        <w:rPr>
          <w:rStyle w:val="14"/>
          <w:rFonts w:hint="eastAsia" w:ascii="仿宋" w:hAnsi="仿宋" w:eastAsia="仿宋"/>
          <w:bCs/>
          <w:color w:val="000000"/>
          <w:sz w:val="32"/>
          <w:szCs w:val="32"/>
        </w:rPr>
        <w:t>（类）</w:t>
      </w:r>
      <w:r>
        <w:rPr>
          <w:rFonts w:hint="eastAsia" w:ascii="仿宋" w:hAnsi="仿宋" w:eastAsia="仿宋"/>
          <w:color w:val="000000" w:themeColor="text1"/>
          <w:sz w:val="32"/>
          <w:szCs w:val="32"/>
          <w14:textFill>
            <w14:solidFill>
              <w14:schemeClr w14:val="tx1"/>
            </w14:solidFill>
          </w14:textFill>
        </w:rPr>
        <w:t>支出12.64万元，占2.97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；节能环保</w:t>
      </w:r>
      <w:r>
        <w:rPr>
          <w:rStyle w:val="14"/>
          <w:rFonts w:hint="eastAsia" w:ascii="仿宋" w:hAnsi="仿宋" w:eastAsia="仿宋"/>
          <w:bCs/>
          <w:color w:val="000000"/>
          <w:sz w:val="32"/>
          <w:szCs w:val="32"/>
        </w:rPr>
        <w:t>（类）</w:t>
      </w:r>
      <w:r>
        <w:rPr>
          <w:rFonts w:hint="eastAsia" w:ascii="仿宋" w:hAnsi="仿宋" w:eastAsia="仿宋"/>
          <w:color w:val="000000" w:themeColor="text1"/>
          <w:sz w:val="32"/>
          <w:szCs w:val="32"/>
          <w14:textFill>
            <w14:solidFill>
              <w14:schemeClr w14:val="tx1"/>
            </w14:solidFill>
          </w14:textFill>
        </w:rPr>
        <w:t>支出5万元，占1.18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；农林水</w:t>
      </w:r>
      <w:r>
        <w:rPr>
          <w:rStyle w:val="14"/>
          <w:rFonts w:hint="eastAsia" w:ascii="仿宋" w:hAnsi="仿宋" w:eastAsia="仿宋"/>
          <w:bCs/>
          <w:color w:val="000000"/>
          <w:sz w:val="32"/>
          <w:szCs w:val="32"/>
        </w:rPr>
        <w:t>（类）</w:t>
      </w:r>
      <w:r>
        <w:rPr>
          <w:rFonts w:hint="eastAsia" w:ascii="仿宋" w:hAnsi="仿宋" w:eastAsia="仿宋"/>
          <w:color w:val="000000" w:themeColor="text1"/>
          <w:sz w:val="32"/>
          <w:szCs w:val="32"/>
          <w14:textFill>
            <w14:solidFill>
              <w14:schemeClr w14:val="tx1"/>
            </w14:solidFill>
          </w14:textFill>
        </w:rPr>
        <w:t>支出109.32万元，占25.73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w:t>
      </w:r>
      <w:r>
        <w:rPr>
          <w:rStyle w:val="14"/>
          <w:rFonts w:hint="eastAsia" w:ascii="仿宋" w:hAnsi="仿宋" w:eastAsia="仿宋"/>
          <w:bCs/>
          <w:color w:val="000000"/>
          <w:sz w:val="32"/>
          <w:szCs w:val="32"/>
        </w:rPr>
        <w:t>（类）</w:t>
      </w:r>
      <w:r>
        <w:rPr>
          <w:rFonts w:hint="eastAsia" w:ascii="仿宋" w:hAnsi="仿宋" w:eastAsia="仿宋"/>
          <w:color w:val="000000" w:themeColor="text1"/>
          <w:sz w:val="32"/>
          <w:szCs w:val="32"/>
          <w14:textFill>
            <w14:solidFill>
              <w14:schemeClr w14:val="tx1"/>
            </w14:solidFill>
          </w14:textFill>
        </w:rPr>
        <w:t>支出14.83万元，占3.49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一般公共服务（类）政府办公厅（室）及相关机构事务（款）行政运行（项）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支出决算为116.30万元，完成预算100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 xml:space="preserve"> 一般公共服务（类）政府办公厅（室）及相关机构事务（款）一般行政管理事务（项）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支出决算为92.86万元，完成预算100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 xml:space="preserve"> 一般公共服务（类）政府办公厅（室）及相关机构事务（款）其他政府办公厅（室）及相关机构事务支出（项）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支出决算为43.04万元，完成预算100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4.</w:t>
      </w:r>
      <w:r>
        <w:rPr>
          <w:rStyle w:val="14"/>
          <w:rFonts w:hint="eastAsia" w:ascii="仿宋" w:hAnsi="仿宋" w:eastAsia="仿宋"/>
          <w:bCs/>
          <w:color w:val="000000"/>
          <w:sz w:val="32"/>
          <w:szCs w:val="32"/>
        </w:rPr>
        <w:t xml:space="preserve"> 一般公共服务（类）财政事务（款）其他财政事务支出（项）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5.</w:t>
      </w:r>
      <w:r>
        <w:rPr>
          <w:rStyle w:val="14"/>
          <w:rFonts w:hint="eastAsia" w:ascii="仿宋" w:hAnsi="仿宋" w:eastAsia="仿宋"/>
          <w:bCs/>
          <w:color w:val="000000"/>
          <w:sz w:val="32"/>
          <w:szCs w:val="32"/>
        </w:rPr>
        <w:t xml:space="preserve"> 一般公共服务（类）纪检监察事务（款）派驻派出机构（项）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6.</w:t>
      </w:r>
      <w:r>
        <w:rPr>
          <w:rStyle w:val="14"/>
          <w:rFonts w:hint="eastAsia" w:ascii="仿宋" w:hAnsi="仿宋" w:eastAsia="仿宋"/>
          <w:bCs/>
          <w:color w:val="000000"/>
          <w:sz w:val="32"/>
          <w:szCs w:val="32"/>
        </w:rPr>
        <w:t xml:space="preserve"> 一般公共服务（类）组织事务（款）其他组织事务支出（项）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支出决算为2.90万元，完成预算100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支出决算为21.69万元，完成预算100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医疗卫生与计划生育（类）公共卫生（款）重大公共卫生专项（项）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支出决算为3.42万元，完成预算100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支出决算为5.29万元，完成预算100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10.</w:t>
      </w:r>
      <w:r>
        <w:rPr>
          <w:rStyle w:val="14"/>
          <w:rFonts w:hint="eastAsia" w:ascii="仿宋" w:hAnsi="仿宋" w:eastAsia="仿宋"/>
          <w:bCs/>
          <w:color w:val="000000"/>
          <w:sz w:val="32"/>
          <w:szCs w:val="32"/>
        </w:rPr>
        <w:t>医疗卫生与计划生育（类）行政事业单位医疗（款）事业单位医疗（项）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支出决算为2.29万元，完成预算100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11</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医疗卫生与计划生育（类）行政事业单位医疗（款）公务员医疗补助（项）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支出决算为1.54万元，完成预算100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医疗卫生与计划生育（类）行政事业单位医疗（款）其他行政事业单位医疗支出 （项）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支出决算为0.09万元，完成预算100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bCs/>
          <w:color w:val="000000"/>
          <w:sz w:val="32"/>
          <w:szCs w:val="32"/>
        </w:rPr>
      </w:pPr>
      <w:r>
        <w:rPr>
          <w:rFonts w:hint="eastAsia" w:ascii="仿宋" w:hAnsi="仿宋" w:eastAsia="仿宋"/>
          <w:b/>
          <w:color w:val="000000"/>
          <w:sz w:val="32"/>
          <w:szCs w:val="32"/>
        </w:rPr>
        <w:t>13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节能环保支出（类）污染减排（款）其他污染减排支出（项）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支出决算为5.00万元，完成预算100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农林水支出（类）扶贫（款）其他扶贫支出（项）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支出决算为16.00万元，完成预算100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16.</w:t>
      </w:r>
      <w:r>
        <w:rPr>
          <w:rStyle w:val="14"/>
          <w:rFonts w:hint="eastAsia" w:ascii="仿宋" w:hAnsi="仿宋" w:eastAsia="仿宋"/>
          <w:bCs/>
          <w:color w:val="000000"/>
          <w:sz w:val="32"/>
          <w:szCs w:val="32"/>
        </w:rPr>
        <w:t xml:space="preserve"> 农林水支出（类）农村综合改革（款）对村民委员会和村党支部的补助（项）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支出决算为93.32万元，完成预算100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17.住房保障支出（类）保障性安居工程支出（款）其他保障性安居工程支出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支出决算为1.21万元，完成预算100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18.住房保障支出（类）住房改革支出（款）住房公积金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支出决算为13.62万元，完成预算100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8年一般公共预算财政拨款基本支出424.94万元，其中：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225.28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199.65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8年“三公”经费财政拨款支出决算为万元，完成预算</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438150</wp:posOffset>
            </wp:positionH>
            <wp:positionV relativeFrom="paragraph">
              <wp:posOffset>1733550</wp:posOffset>
            </wp:positionV>
            <wp:extent cx="4572000" cy="2743200"/>
            <wp:effectExtent l="0" t="0" r="19050" b="1905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；公务接待费支出决算5.50万元，占100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bCs/>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5.5万元，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7年减少0.5万元，下降8.3</w:t>
      </w:r>
      <w:r>
        <w:rPr>
          <w:rFonts w:ascii="仿宋_GB2312" w:eastAsia="仿宋_GB2312"/>
          <w:color w:val="000000"/>
          <w:sz w:val="32"/>
          <w:szCs w:val="32"/>
        </w:rPr>
        <w:t>%</w:t>
      </w:r>
      <w:r>
        <w:rPr>
          <w:rFonts w:hint="eastAsia" w:ascii="仿宋_GB2312" w:eastAsia="仿宋_GB2312"/>
          <w:color w:val="000000"/>
          <w:sz w:val="32"/>
          <w:szCs w:val="32"/>
        </w:rPr>
        <w:t>。严格执行中央八项规定，不让接待费上浮。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主要用于执行公务用餐接待费等。国内公务接待495批次，1253人次（不包括陪同人员），共计支出5.5万元</w:t>
      </w:r>
      <w:r>
        <w:rPr>
          <w:rFonts w:ascii="仿宋_GB2312" w:eastAsia="仿宋_GB2312"/>
          <w:color w:val="000000"/>
          <w:sz w:val="32"/>
          <w:szCs w:val="32"/>
        </w:rPr>
        <w:t xml:space="preserve"> </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8年政府性基金预算拨款支出91.28万元。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5项目开展了预算事前绩效评估，对3个项目编制了绩效目标，预算执行过程中，选取3个项目开展绩效监控，年终执行完毕后，对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本部门按要求对2018年部门整体支出开展绩效自评，从评价情况来看一般公共服务支出、社会保障和就业支出、医疗卫生与计划生育支出这个项目完成预算100%。</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行政事业类</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宣汉县观山乡人民政府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295.75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295.78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严格按预算执行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完成预算任务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正投入使用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完成100％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按年初预算295.78万元。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年终完成295.78万元支出任务。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本部门按要求对2018年部门整体支出绩效评价情况开展自评，《宣汉县观山乡2018年部门整体支出绩效评价报告》见附件。</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一般公共服务支出项目、农林水支出项目开展了绩效评价，《观山乡行政事业类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8年，机关运行经费支出0万元，与</w:t>
      </w:r>
      <w:r>
        <w:rPr>
          <w:rFonts w:ascii="仿宋_GB2312" w:eastAsia="仿宋_GB2312"/>
          <w:color w:val="000000"/>
          <w:sz w:val="32"/>
          <w:szCs w:val="32"/>
        </w:rPr>
        <w:t>201</w:t>
      </w:r>
      <w:r>
        <w:rPr>
          <w:rFonts w:hint="eastAsia" w:ascii="仿宋_GB2312" w:eastAsia="仿宋_GB2312"/>
          <w:color w:val="000000"/>
          <w:sz w:val="32"/>
          <w:szCs w:val="32"/>
        </w:rPr>
        <w:t>7年决算数持平。</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8年，观山乡政府采购支出总额0万元，其中：政府采购货物支出0万元、政府采购工程支出0万元、政府采购服务支出0万元。授予中小企业合同金额0万元，占政府采购支出总额的0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w:t>
      </w:r>
      <w:r>
        <w:rPr>
          <w:rFonts w:ascii="仿宋" w:hAnsi="仿宋" w:eastAsia="仿宋"/>
          <w:b/>
          <w:color w:val="000000"/>
          <w:sz w:val="32"/>
          <w:szCs w:val="32"/>
        </w:rPr>
        <w:t>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日，观山乡共有车辆0辆，其中：部级领导干部用车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rPr>
          <w:rFonts w:ascii="黑体" w:hAnsi="黑体" w:eastAsia="黑体"/>
          <w:color w:val="000000"/>
          <w:sz w:val="44"/>
          <w:szCs w:val="44"/>
        </w:rPr>
      </w:pPr>
      <w:bookmarkStart w:id="57" w:name="_Toc15396614"/>
      <w:bookmarkStart w:id="58" w:name="_Toc15377226"/>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观山乡2018年部门整体支出绩效评价报告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widowControl/>
        <w:adjustRightInd w:val="0"/>
        <w:snapToGrid w:val="0"/>
        <w:spacing w:line="579" w:lineRule="exact"/>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（一）机构组成</w:t>
      </w:r>
    </w:p>
    <w:p>
      <w:pPr>
        <w:spacing w:line="579"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sz w:val="32"/>
          <w:szCs w:val="32"/>
        </w:rPr>
        <w:t>2018年末，我乡</w:t>
      </w:r>
      <w:r>
        <w:rPr>
          <w:rFonts w:hint="eastAsia" w:ascii="仿宋_GB2312" w:hAnsi="仿宋_GB2312" w:eastAsia="仿宋_GB2312" w:cs="仿宋_GB2312"/>
          <w:sz w:val="32"/>
          <w:szCs w:val="32"/>
        </w:rPr>
        <w:t>纳入部门决算汇编范围的有</w:t>
      </w:r>
      <w:r>
        <w:rPr>
          <w:rFonts w:hint="eastAsia" w:ascii="仿宋_GB2312" w:hAnsi="仿宋_GB2312" w:eastAsia="仿宋_GB2312" w:cs="仿宋_GB2312"/>
          <w:color w:val="000000"/>
          <w:sz w:val="32"/>
          <w:szCs w:val="32"/>
        </w:rPr>
        <w:t>1个乡乡汇总录入单位，与上年一致。</w:t>
      </w:r>
    </w:p>
    <w:p>
      <w:pPr>
        <w:widowControl/>
        <w:adjustRightInd w:val="0"/>
        <w:snapToGrid w:val="0"/>
        <w:spacing w:line="579" w:lineRule="exact"/>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（二）机构职能</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和组织我乡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（2）制定并组织实施我乡村乡建设规划，部署重点工程建设，地方道路建设及公共设施，水利设施的管理，负责土地、林木、水等自然资源和生态环境的保护，做好护林防火工作。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负责我乡行政区域内的民政、计划生育、文化教育、卫生、体育等社会公益事业的综合性工作，维护一切经济单位和个人的正当经济权益，取缔非法经济活动，调解和处理民事纠纷，打击刑事犯罪维护社会稳定。</w:t>
      </w:r>
    </w:p>
    <w:p>
      <w:pPr>
        <w:spacing w:line="579"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（4）按计划组织我乡本级财政收入，完成国家财政计划，不断培植税源，管好财政资金，增强财政实力。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（5）抓好我乡精神文明建设，丰富群众文化生活，提倡移风易俗，反对封建迷信，破除陈规陋习，树立社会主义新风尚。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（6）完成上级政府交办的其它事项。</w:t>
      </w:r>
    </w:p>
    <w:p>
      <w:pPr>
        <w:widowControl/>
        <w:adjustRightInd w:val="0"/>
        <w:snapToGrid w:val="0"/>
        <w:spacing w:line="579" w:lineRule="exact"/>
        <w:ind w:firstLine="720"/>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（三）人员概况</w:t>
      </w:r>
    </w:p>
    <w:p>
      <w:pPr>
        <w:widowControl/>
        <w:adjustRightInd w:val="0"/>
        <w:snapToGrid w:val="0"/>
        <w:spacing w:line="579" w:lineRule="exact"/>
        <w:ind w:firstLine="640" w:firstLineChars="20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2018年年末人员25与上年一至。其中：在岗、在职人员25人。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widowControl/>
        <w:adjustRightInd w:val="0"/>
        <w:snapToGrid w:val="0"/>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8年本年收入合计516.21万元，其中：一般公共预算财政拨款收入424.94万元，占82.32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；政府性基金预算财政拨款收入91.28万元，占17.68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8年本年支出合计516.21万元，其中：基本支出297.18万元，占58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；项目支出219.03万元，占42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numPr>
          <w:ilvl w:val="0"/>
          <w:numId w:val="6"/>
        </w:numPr>
        <w:spacing w:line="579"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预决算编制情况</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2018年全年支出全额为516.22万元，其中：基本支出297.18万元，项目支出219.03.万元</w:t>
      </w:r>
    </w:p>
    <w:p>
      <w:pPr>
        <w:numPr>
          <w:ilvl w:val="0"/>
          <w:numId w:val="6"/>
        </w:numPr>
        <w:spacing w:line="579"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执行管理情况</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总额控制在预算总额以内，除预算内项目暂无其他相关事项的调整，财政供养人员控制在预算编制内，“三公”经费总的控制较好，实际支出未超本年预算和上年决算支出。预算管理方面，预算执行总体较为有效，但还需进一步强化，资金使用管理需严控进一步加强。在资产管理方面，建立了资产管理制度，定期进行盘点，做到该销号的销号，总的执行较好。</w:t>
      </w:r>
    </w:p>
    <w:p>
      <w:pPr>
        <w:numPr>
          <w:ilvl w:val="0"/>
          <w:numId w:val="6"/>
        </w:numPr>
        <w:spacing w:line="579"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支出绩效情况</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支出绩效行政运转保障。首先在预算内保障机关的正常办公需要，人员工资福利以及急待解决的应急应难的支出保障，严控不必要的支出，厉行节约，该办的必办，该缓的必缓，有轻有重，严控出国出境，差旅费、会议费和公务接待费用等支出，总之把有限的财政资金用好。机关用水、电、气等到厉行节约、反对浪费，总的运行情况良好。在财政局和乡政府的双重领导下，总的是在按会计制度执行的基础上，不断完善财务制度，政府办公用品集中平均制度，资金监管制度、财务会审签字制度，单位所有支出，先签字后办理，票据必须由经办人、分管领导、主要领导、财政审核签字认可，手续齐备、规范合法有效等才能报销，合理安排资金的使用。</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2018年绩效成果较往年有显著提高。但还存在管理制度执行力弱、效率不高等现象。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建议在制定管理制度上更科学化，例如：如何得到全社会关注、理解和支持，或者说如何让其主动配合，想方设法做好这项工作。</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59D1CFE"/>
    <w:multiLevelType w:val="singleLevel"/>
    <w:tmpl w:val="059D1CFE"/>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A49EA"/>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56EE3"/>
    <w:rsid w:val="00260C38"/>
    <w:rsid w:val="002616C0"/>
    <w:rsid w:val="002662AA"/>
    <w:rsid w:val="00280496"/>
    <w:rsid w:val="00295495"/>
    <w:rsid w:val="002B2613"/>
    <w:rsid w:val="002F1818"/>
    <w:rsid w:val="002F567B"/>
    <w:rsid w:val="003216A9"/>
    <w:rsid w:val="0037013F"/>
    <w:rsid w:val="00380C92"/>
    <w:rsid w:val="00391102"/>
    <w:rsid w:val="003A484F"/>
    <w:rsid w:val="003B0BE0"/>
    <w:rsid w:val="003B0C1B"/>
    <w:rsid w:val="003B688C"/>
    <w:rsid w:val="003C0291"/>
    <w:rsid w:val="003C1CC5"/>
    <w:rsid w:val="003C39AE"/>
    <w:rsid w:val="003C7B60"/>
    <w:rsid w:val="003D1FB2"/>
    <w:rsid w:val="003D66DA"/>
    <w:rsid w:val="003E1310"/>
    <w:rsid w:val="003E6D6F"/>
    <w:rsid w:val="003E6F55"/>
    <w:rsid w:val="00406254"/>
    <w:rsid w:val="004223DE"/>
    <w:rsid w:val="00434489"/>
    <w:rsid w:val="00437085"/>
    <w:rsid w:val="00443880"/>
    <w:rsid w:val="00445196"/>
    <w:rsid w:val="004464F4"/>
    <w:rsid w:val="00471401"/>
    <w:rsid w:val="004736EB"/>
    <w:rsid w:val="00473F31"/>
    <w:rsid w:val="0048263A"/>
    <w:rsid w:val="00487E5D"/>
    <w:rsid w:val="004A711F"/>
    <w:rsid w:val="004B199D"/>
    <w:rsid w:val="004B4690"/>
    <w:rsid w:val="004E0A2D"/>
    <w:rsid w:val="004E206B"/>
    <w:rsid w:val="004E6DF7"/>
    <w:rsid w:val="004F0FBD"/>
    <w:rsid w:val="00505A47"/>
    <w:rsid w:val="00512FDA"/>
    <w:rsid w:val="00520DA0"/>
    <w:rsid w:val="00522D99"/>
    <w:rsid w:val="005664BB"/>
    <w:rsid w:val="0057481D"/>
    <w:rsid w:val="0058486E"/>
    <w:rsid w:val="005B07FF"/>
    <w:rsid w:val="005D1C8B"/>
    <w:rsid w:val="005D5CED"/>
    <w:rsid w:val="005F1A4C"/>
    <w:rsid w:val="00605688"/>
    <w:rsid w:val="006070AF"/>
    <w:rsid w:val="00607E6C"/>
    <w:rsid w:val="006101B1"/>
    <w:rsid w:val="00614E44"/>
    <w:rsid w:val="00622830"/>
    <w:rsid w:val="0062664D"/>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12E5A"/>
    <w:rsid w:val="007416B6"/>
    <w:rsid w:val="00746F48"/>
    <w:rsid w:val="0075404D"/>
    <w:rsid w:val="0076182A"/>
    <w:rsid w:val="00767B7E"/>
    <w:rsid w:val="007770C3"/>
    <w:rsid w:val="00784D24"/>
    <w:rsid w:val="00785FBA"/>
    <w:rsid w:val="00786E4A"/>
    <w:rsid w:val="007875EB"/>
    <w:rsid w:val="007935E4"/>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42BE"/>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945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20EC"/>
    <w:rsid w:val="00AD5620"/>
    <w:rsid w:val="00AD7C1B"/>
    <w:rsid w:val="00AE16BA"/>
    <w:rsid w:val="00AE1EBE"/>
    <w:rsid w:val="00B03C9D"/>
    <w:rsid w:val="00B060AE"/>
    <w:rsid w:val="00B10517"/>
    <w:rsid w:val="00B14E76"/>
    <w:rsid w:val="00B161B8"/>
    <w:rsid w:val="00B2048C"/>
    <w:rsid w:val="00B300DE"/>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1416"/>
    <w:rsid w:val="00BF5BD6"/>
    <w:rsid w:val="00C03E31"/>
    <w:rsid w:val="00C11EB7"/>
    <w:rsid w:val="00C274C7"/>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34820"/>
    <w:rsid w:val="00E50624"/>
    <w:rsid w:val="00E53C09"/>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C545B"/>
    <w:rsid w:val="00FD3CC1"/>
    <w:rsid w:val="00FF1E02"/>
    <w:rsid w:val="00FF30B4"/>
    <w:rsid w:val="10C055FF"/>
    <w:rsid w:val="16BB723D"/>
    <w:rsid w:val="240371BF"/>
    <w:rsid w:val="26CD6E2E"/>
    <w:rsid w:val="29FD04D3"/>
    <w:rsid w:val="31650E11"/>
    <w:rsid w:val="319F7F4E"/>
    <w:rsid w:val="742315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508;&#31181;&#22270;&#244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1508;&#31181;&#22270;&#244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1508;&#31181;&#22270;&#244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1508;&#31181;&#22270;&#244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1508;&#31181;&#22270;&#244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1508;&#31181;&#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dLblPos val="bestFit"/>
              <c:showLegendKey val="0"/>
              <c:showVal val="1"/>
              <c:showCatName val="0"/>
              <c:showSerName val="0"/>
              <c:showPercent val="1"/>
              <c:showBubbleSize val="0"/>
              <c:extLst>
                <c:ext xmlns:c15="http://schemas.microsoft.com/office/drawing/2012/chart" uri="{CE6537A1-D6FC-4f65-9D91-7224C49458BB}"/>
              </c:extLst>
            </c:dLbl>
            <c:dLbl>
              <c:idx val="1"/>
              <c:layout/>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Sheet1!$A$8:$B$8</c:f>
              <c:strCache>
                <c:ptCount val="2"/>
                <c:pt idx="0">
                  <c:v>一般公共预算财政拨款收入</c:v>
                </c:pt>
                <c:pt idx="1">
                  <c:v>政府性基金预算财政拨款收入</c:v>
                </c:pt>
              </c:strCache>
            </c:strRef>
          </c:cat>
          <c:val>
            <c:numRef>
              <c:f>Sheet1!$A$9:$B$9</c:f>
              <c:numCache>
                <c:formatCode>General</c:formatCode>
                <c:ptCount val="2"/>
                <c:pt idx="0">
                  <c:v>424.94</c:v>
                </c:pt>
                <c:pt idx="1">
                  <c:v>91.28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Sheet1!$A$8:$B$8</c:f>
              <c:strCache>
                <c:ptCount val="2"/>
                <c:pt idx="0">
                  <c:v>基本支出</c:v>
                </c:pt>
                <c:pt idx="1">
                  <c:v>项目支出</c:v>
                </c:pt>
              </c:strCache>
            </c:strRef>
          </c:cat>
          <c:val>
            <c:numRef>
              <c:f>Sheet1!$A$9:$B$9</c:f>
              <c:numCache>
                <c:formatCode>General</c:formatCode>
                <c:ptCount val="2"/>
                <c:pt idx="0">
                  <c:v>297.18</c:v>
                </c:pt>
                <c:pt idx="1">
                  <c:v>219.03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9606299212598"/>
          <c:y val="0.0282524059492563"/>
          <c:w val="0.74988801399825"/>
          <c:h val="0.828939195100612"/>
        </c:manualLayout>
      </c:layout>
      <c:barChart>
        <c:barDir val="col"/>
        <c:grouping val="stacked"/>
        <c:varyColors val="0"/>
        <c:ser>
          <c:idx val="0"/>
          <c:order val="0"/>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Sheet1!$A$2:$B$2</c:f>
              <c:strCache>
                <c:ptCount val="2"/>
                <c:pt idx="0">
                  <c:v>2017年度</c:v>
                </c:pt>
                <c:pt idx="1">
                  <c:v>2018年度</c:v>
                </c:pt>
              </c:strCache>
            </c:strRef>
          </c:cat>
          <c:val>
            <c:numRef>
              <c:f>Sheet1!$A$3:$B$3</c:f>
              <c:numCache>
                <c:formatCode>General</c:formatCode>
                <c:ptCount val="2"/>
                <c:pt idx="0">
                  <c:v>516.22</c:v>
                </c:pt>
                <c:pt idx="1">
                  <c:v>716.26</c:v>
                </c:pt>
              </c:numCache>
            </c:numRef>
          </c:val>
        </c:ser>
        <c:dLbls>
          <c:showLegendKey val="0"/>
          <c:showVal val="0"/>
          <c:showCatName val="0"/>
          <c:showSerName val="0"/>
          <c:showPercent val="0"/>
          <c:showBubbleSize val="0"/>
        </c:dLbls>
        <c:gapWidth val="150"/>
        <c:overlap val="100"/>
        <c:axId val="533336448"/>
        <c:axId val="533337984"/>
      </c:barChart>
      <c:catAx>
        <c:axId val="5333364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3337984"/>
        <c:crosses val="autoZero"/>
        <c:auto val="1"/>
        <c:lblAlgn val="ctr"/>
        <c:lblOffset val="100"/>
        <c:noMultiLvlLbl val="0"/>
      </c:catAx>
      <c:valAx>
        <c:axId val="533337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33364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Sheet1!$A$2:$B$2</c:f>
              <c:strCache>
                <c:ptCount val="2"/>
                <c:pt idx="0">
                  <c:v>2017年度</c:v>
                </c:pt>
                <c:pt idx="1">
                  <c:v>2018年度</c:v>
                </c:pt>
              </c:strCache>
            </c:strRef>
          </c:cat>
          <c:val>
            <c:numRef>
              <c:f>Sheet1!$A$3:$B$3</c:f>
              <c:numCache>
                <c:formatCode>General</c:formatCode>
                <c:ptCount val="2"/>
                <c:pt idx="0">
                  <c:v>387.26</c:v>
                </c:pt>
                <c:pt idx="1">
                  <c:v>424.94</c:v>
                </c:pt>
              </c:numCache>
            </c:numRef>
          </c:val>
        </c:ser>
        <c:dLbls>
          <c:showLegendKey val="0"/>
          <c:showVal val="0"/>
          <c:showCatName val="0"/>
          <c:showSerName val="0"/>
          <c:showPercent val="0"/>
          <c:showBubbleSize val="0"/>
        </c:dLbls>
        <c:gapWidth val="150"/>
        <c:overlap val="100"/>
        <c:axId val="533391616"/>
        <c:axId val="533409792"/>
      </c:barChart>
      <c:catAx>
        <c:axId val="5333916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3409792"/>
        <c:crosses val="autoZero"/>
        <c:auto val="1"/>
        <c:lblAlgn val="ctr"/>
        <c:lblOffset val="100"/>
        <c:noMultiLvlLbl val="0"/>
      </c:catAx>
      <c:valAx>
        <c:axId val="533409792"/>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3391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Sheet1!$E$2:$J$2</c:f>
              <c:strCache>
                <c:ptCount val="6"/>
                <c:pt idx="0">
                  <c:v>一般公共服务</c:v>
                </c:pt>
                <c:pt idx="1">
                  <c:v>节能环保支出</c:v>
                </c:pt>
                <c:pt idx="2">
                  <c:v>农林水支出</c:v>
                </c:pt>
                <c:pt idx="3">
                  <c:v>社会保障和就业</c:v>
                </c:pt>
                <c:pt idx="4">
                  <c:v>医疗卫生与计划生育</c:v>
                </c:pt>
                <c:pt idx="5">
                  <c:v>住房保障</c:v>
                </c:pt>
              </c:strCache>
            </c:strRef>
          </c:cat>
          <c:val>
            <c:numRef>
              <c:f>Sheet1!$E$3:$J$3</c:f>
              <c:numCache>
                <c:formatCode>General</c:formatCode>
                <c:ptCount val="6"/>
                <c:pt idx="0">
                  <c:v>261.46</c:v>
                </c:pt>
                <c:pt idx="1">
                  <c:v>5</c:v>
                </c:pt>
                <c:pt idx="2">
                  <c:v>109.32</c:v>
                </c:pt>
                <c:pt idx="3">
                  <c:v>21.69</c:v>
                </c:pt>
                <c:pt idx="4">
                  <c:v>12.64</c:v>
                </c:pt>
                <c:pt idx="5">
                  <c:v>14.83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Lbl>
              <c:idx val="0"/>
              <c:layout/>
              <c:dLblPos val="inEnd"/>
              <c:showLegendKey val="0"/>
              <c:showVal val="1"/>
              <c:showCatName val="1"/>
              <c:showSerName val="0"/>
              <c:showPercent val="1"/>
              <c:showBubbleSize val="0"/>
              <c:extLst>
                <c:ext xmlns:c15="http://schemas.microsoft.com/office/drawing/2012/chart" uri="{CE6537A1-D6FC-4f65-9D91-7224C49458BB}"/>
              </c:extLst>
            </c:dLbl>
            <c:dLbl>
              <c:idx val="1"/>
              <c:layout>
                <c:manualLayout>
                  <c:x val="0.271852471566054"/>
                  <c:y val="0.023148148148148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Sheet1!$B$38:$D$38</c:f>
              <c:strCache>
                <c:ptCount val="3"/>
                <c:pt idx="0">
                  <c:v>公务接待费</c:v>
                </c:pt>
                <c:pt idx="1">
                  <c:v>公务用车购置及运行费</c:v>
                </c:pt>
                <c:pt idx="2">
                  <c:v>因公出国（境）费用</c:v>
                </c:pt>
              </c:strCache>
            </c:strRef>
          </c:cat>
          <c:val>
            <c:numRef>
              <c:f>Sheet1!$B$39:$D$39</c:f>
              <c:numCache>
                <c:formatCode>General</c:formatCode>
                <c:ptCount val="3"/>
                <c:pt idx="0">
                  <c:v>5.5</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F677A-863F-455A-8041-A4A87515DBF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7906</Words>
  <Characters>8538</Characters>
  <Lines>77</Lines>
  <Paragraphs>21</Paragraphs>
  <TotalTime>1378</TotalTime>
  <ScaleCrop>false</ScaleCrop>
  <LinksUpToDate>false</LinksUpToDate>
  <CharactersWithSpaces>8617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2022-04-02T01:03:21Z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849117EC9B0F46CCB083E0626DB5DB45</vt:lpwstr>
  </property>
</Properties>
</file>