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宣汉县龙泉学校部门决算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公开时间：2020年11月12日</w:t>
      </w:r>
    </w:p>
    <w:p/>
    <w:p>
      <w:pPr>
        <w:pStyle w:val="10"/>
        <w:adjustRightInd w:val="0"/>
        <w:snapToGrid w:val="0"/>
        <w:spacing w:before="0" w:line="440" w:lineRule="exact"/>
        <w:jc w:val="left"/>
        <w:rPr>
          <w:rFonts w:cs="仿宋"/>
        </w:rPr>
      </w:pPr>
      <w:r>
        <w:rPr>
          <w:rFonts w:hint="eastAsia" w:cs="仿宋"/>
        </w:rPr>
        <w:t>第一部分 部门概况</w:t>
      </w:r>
      <w:r>
        <w:rPr>
          <w:rFonts w:hint="eastAsia" w:cs="仿宋"/>
          <w:b/>
          <w:bCs/>
        </w:rPr>
        <w:t>.................................4</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一、基本职能及主要工作</w:t>
      </w:r>
      <w:r>
        <w:rPr>
          <w:rFonts w:hint="eastAsia" w:ascii="仿宋" w:hAnsi="仿宋" w:eastAsia="仿宋" w:cs="仿宋"/>
          <w:b/>
          <w:bCs/>
          <w:sz w:val="28"/>
          <w:szCs w:val="28"/>
        </w:rPr>
        <w:t>.........................4</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二、机构设置....................................4</w:t>
      </w:r>
    </w:p>
    <w:p>
      <w:pPr>
        <w:pStyle w:val="10"/>
        <w:adjustRightInd w:val="0"/>
        <w:snapToGrid w:val="0"/>
        <w:spacing w:before="0" w:line="440" w:lineRule="exact"/>
        <w:jc w:val="left"/>
        <w:rPr>
          <w:rFonts w:cs="仿宋"/>
          <w:b/>
          <w:bCs/>
        </w:rPr>
      </w:pPr>
      <w:r>
        <w:rPr>
          <w:rFonts w:hint="eastAsia" w:cs="仿宋"/>
          <w:b/>
          <w:bCs/>
        </w:rPr>
        <w:t>第二部分度部门决算情况说明........................5</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一、收入支出决算总体情况说明...................5</w:t>
      </w:r>
    </w:p>
    <w:p>
      <w:pPr>
        <w:pStyle w:val="11"/>
        <w:tabs>
          <w:tab w:val="left" w:pos="7258"/>
          <w:tab w:val="clear" w:pos="8296"/>
        </w:tabs>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二、收入决算情况说明...........................5</w:t>
      </w:r>
      <w:r>
        <w:rPr>
          <w:rFonts w:hint="eastAsia" w:ascii="仿宋" w:hAnsi="仿宋" w:eastAsia="仿宋" w:cs="仿宋"/>
          <w:sz w:val="28"/>
          <w:szCs w:val="28"/>
        </w:rPr>
        <w:tab/>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三、支出决算情况说明...........................6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四、财政拨款收入支出决算总体情况说明...........7</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五、一般公共预算财政拨款支出决算情况说明.......8</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六、一般公共预算财政拨款基本支出决算情况说明...10</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七、“三公”经费财政拨款支出决算情况说明.........10</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八、政府性基金预算支出决算情况说明..............12</w:t>
      </w:r>
    </w:p>
    <w:p>
      <w:pPr>
        <w:pStyle w:val="11"/>
        <w:adjustRightInd w:val="0"/>
        <w:snapToGrid w:val="0"/>
        <w:spacing w:line="440" w:lineRule="exact"/>
        <w:ind w:leftChars="0"/>
        <w:jc w:val="left"/>
        <w:rPr>
          <w:rFonts w:ascii="仿宋" w:hAnsi="仿宋" w:eastAsia="仿宋" w:cs="仿宋"/>
          <w:sz w:val="28"/>
          <w:szCs w:val="28"/>
        </w:rPr>
      </w:pPr>
      <w:r>
        <w:rPr>
          <w:rFonts w:hint="eastAsia" w:ascii="仿宋" w:hAnsi="仿宋" w:eastAsia="仿宋" w:cs="仿宋"/>
          <w:sz w:val="28"/>
          <w:szCs w:val="28"/>
        </w:rPr>
        <w:t>九、 国有资本经营预算支出决算情况说明..........12.</w:t>
      </w:r>
    </w:p>
    <w:p>
      <w:pPr>
        <w:adjustRightInd w:val="0"/>
        <w:snapToGrid w:val="0"/>
        <w:spacing w:line="440" w:lineRule="exact"/>
        <w:ind w:firstLine="560" w:firstLineChars="200"/>
        <w:jc w:val="left"/>
        <w:rPr>
          <w:rFonts w:ascii="仿宋" w:hAnsi="仿宋" w:eastAsia="仿宋" w:cs="仿宋"/>
          <w:sz w:val="28"/>
          <w:szCs w:val="28"/>
        </w:rPr>
      </w:pPr>
      <w:r>
        <w:rPr>
          <w:rStyle w:val="15"/>
          <w:rFonts w:hint="eastAsia" w:ascii="仿宋" w:hAnsi="仿宋" w:eastAsia="仿宋" w:cs="仿宋"/>
          <w:color w:val="000000" w:themeColor="text1"/>
          <w:sz w:val="28"/>
          <w:szCs w:val="28"/>
          <w:u w:val="none"/>
          <w14:textFill>
            <w14:solidFill>
              <w14:schemeClr w14:val="tx1"/>
            </w14:solidFill>
          </w14:textFill>
        </w:rPr>
        <w:t>十、</w:t>
      </w:r>
      <w:r>
        <w:rPr>
          <w:rFonts w:hint="eastAsia" w:ascii="仿宋" w:hAnsi="仿宋" w:eastAsia="仿宋" w:cs="仿宋"/>
          <w:sz w:val="28"/>
          <w:szCs w:val="28"/>
        </w:rPr>
        <w:t>其他重要事项的情况说明....................12.</w:t>
      </w:r>
      <w:r>
        <w:rPr>
          <w:rFonts w:hint="eastAsia" w:ascii="仿宋" w:hAnsi="仿宋" w:eastAsia="仿宋" w:cs="仿宋"/>
          <w:sz w:val="28"/>
          <w:szCs w:val="28"/>
        </w:rPr>
        <w:tab/>
      </w:r>
    </w:p>
    <w:p>
      <w:pPr>
        <w:pStyle w:val="10"/>
        <w:adjustRightInd w:val="0"/>
        <w:snapToGrid w:val="0"/>
        <w:spacing w:before="0" w:line="440" w:lineRule="exact"/>
        <w:jc w:val="left"/>
        <w:rPr>
          <w:rFonts w:cs="仿宋"/>
        </w:rPr>
      </w:pPr>
      <w:r>
        <w:rPr>
          <w:rFonts w:hint="eastAsia" w:cs="仿宋"/>
        </w:rPr>
        <w:t>第三部分 名词解释..................................13</w:t>
      </w:r>
    </w:p>
    <w:p>
      <w:pPr>
        <w:pStyle w:val="10"/>
        <w:adjustRightInd w:val="0"/>
        <w:snapToGrid w:val="0"/>
        <w:spacing w:before="0" w:line="440" w:lineRule="exact"/>
        <w:jc w:val="left"/>
        <w:rPr>
          <w:rFonts w:cs="仿宋"/>
        </w:rPr>
      </w:pPr>
      <w:r>
        <w:rPr>
          <w:rFonts w:hint="eastAsia" w:cs="仿宋"/>
        </w:rPr>
        <w:t>第四部分 附件.......................................17</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附件1............................................20</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附件2............................................22</w:t>
      </w:r>
    </w:p>
    <w:p>
      <w:pPr>
        <w:pStyle w:val="10"/>
        <w:adjustRightInd w:val="0"/>
        <w:snapToGrid w:val="0"/>
        <w:spacing w:before="0" w:line="440" w:lineRule="exact"/>
        <w:jc w:val="left"/>
        <w:rPr>
          <w:rFonts w:cs="仿宋"/>
        </w:rPr>
      </w:pPr>
      <w:r>
        <w:rPr>
          <w:rFonts w:hint="eastAsia" w:cs="仿宋"/>
        </w:rPr>
        <w:t>第五部分 附表.......................................26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一、收入支出决算总表.............................26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二、收入决算表...................................26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三、支出决算表...................................26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四、财政拨款收入支出决算总表.....................26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五、财政拨款支出决算明细表.......................26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六、一般公共预算财政拨款支出决算表...............26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七、一般公共预算财政拨款支出决算明细表...........26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八、一般公共预算财政拨款基本支出决算表.............26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九、一般公共预算财政拨款项目支出决算表.............26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十、一般公共预算财政拨款“三公”经费支出决算表.....26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十一、政府性基金预算财政拨款收入支出决算表.........26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十二、政府性基金预算财政拨款“三公”经费支出决算表..26</w:t>
      </w:r>
    </w:p>
    <w:p>
      <w:pPr>
        <w:pStyle w:val="11"/>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十三、国有资本经营预算支出决算表....................26</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bookmarkStart w:id="18" w:name="_Toc15377200"/>
      <w:bookmarkStart w:id="19" w:name="_Toc15396601"/>
      <w:r>
        <w:rPr>
          <w:rFonts w:hint="eastAsia" w:ascii="仿宋" w:hAnsi="仿宋" w:eastAsia="仿宋"/>
          <w:bCs/>
          <w:color w:val="000000"/>
          <w:sz w:val="32"/>
          <w:szCs w:val="32"/>
        </w:rPr>
        <w:t>（一）主要职能。宣传贯彻执行党和国家的教育方针、政策、法律法规等，坚持依法治教、依法治学，贯彻执行县教科局的行政规章制度.组织开展本校的教育教学科研和教育教学改革。负责对本校教育教学业务的具体管理，负责教育教学管理及教研教改工作，全力推进素质教育实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8446"/>
      <w:bookmarkStart w:id="21"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0"/>
      <w:bookmarkEnd w:id="21"/>
      <w:r>
        <w:rPr>
          <w:rFonts w:hint="eastAsia"/>
          <w:color w:val="000000"/>
          <w:kern w:val="2"/>
          <w:sz w:val="32"/>
          <w:szCs w:val="32"/>
        </w:rPr>
        <w:t>通过全体教职工的团结协作，共同努力，完成了义务教育的教育教学任务，学校先后获得“师德先进集体”、“初中教育教学先进集体”、“二星级平安学校”“特色文化教育先进集体”等荣誉称号。</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p>
    <w:p>
      <w:pPr>
        <w:ind w:firstLine="800" w:firstLineChars="250"/>
        <w:rPr>
          <w:rFonts w:ascii="仿宋" w:hAnsi="仿宋" w:eastAsia="仿宋"/>
          <w:sz w:val="32"/>
          <w:szCs w:val="32"/>
        </w:rPr>
      </w:pPr>
      <w:r>
        <w:rPr>
          <w:rFonts w:hint="eastAsia" w:ascii="仿宋" w:hAnsi="仿宋" w:eastAsia="仿宋"/>
          <w:sz w:val="32"/>
          <w:szCs w:val="32"/>
        </w:rPr>
        <w:t>宣汉县龙泉学校无下属二级单位。</w:t>
      </w: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bookmarkEnd w:id="18"/>
    <w:bookmarkEnd w:id="19"/>
    <w:p>
      <w:pPr>
        <w:pStyle w:val="2"/>
        <w:ind w:right="440"/>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2019年度收、支总计1381.97万元。与2018年相比，收、支总计各增加207.82万元，增长17.7</w:t>
      </w:r>
      <w:r>
        <w:rPr>
          <w:rFonts w:ascii="仿宋" w:hAnsi="仿宋" w:eastAsia="仿宋"/>
          <w:color w:val="000000"/>
          <w:sz w:val="32"/>
          <w:szCs w:val="32"/>
        </w:rPr>
        <w:t>%</w:t>
      </w:r>
      <w:r>
        <w:rPr>
          <w:rFonts w:hint="eastAsia" w:ascii="仿宋" w:hAnsi="仿宋" w:eastAsia="仿宋"/>
          <w:color w:val="000000"/>
          <w:sz w:val="32"/>
          <w:szCs w:val="32"/>
        </w:rPr>
        <w:t>。主要变动原因是新增人员较多导致人员经费支出增加和项目资金的增加。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23495</wp:posOffset>
            </wp:positionH>
            <wp:positionV relativeFrom="paragraph">
              <wp:posOffset>233045</wp:posOffset>
            </wp:positionV>
            <wp:extent cx="5457190" cy="3376930"/>
            <wp:effectExtent l="5080" t="4445" r="508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9年本年收入合计1381.97万元，其中：一般公共预算财政拨款收入1366.97万元，占98.91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；政府性基金预算财政拨款收入15万元，占1.09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134620</wp:posOffset>
            </wp:positionH>
            <wp:positionV relativeFrom="paragraph">
              <wp:posOffset>175895</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9年本年支出合计1381.97万元，其中：基本支出1074.82万元，占77.77</w:t>
      </w:r>
      <w:r>
        <w:rPr>
          <w:rFonts w:ascii="仿宋" w:hAnsi="仿宋" w:eastAsia="仿宋"/>
          <w:color w:val="000000"/>
          <w:sz w:val="32"/>
          <w:szCs w:val="32"/>
        </w:rPr>
        <w:t>%</w:t>
      </w:r>
      <w:r>
        <w:rPr>
          <w:rFonts w:hint="eastAsia" w:ascii="仿宋" w:hAnsi="仿宋" w:eastAsia="仿宋"/>
          <w:color w:val="000000"/>
          <w:sz w:val="32"/>
          <w:szCs w:val="32"/>
        </w:rPr>
        <w:t>；项目支出307.15万元，占22.23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252095</wp:posOffset>
            </wp:positionH>
            <wp:positionV relativeFrom="page">
              <wp:posOffset>880745</wp:posOffset>
            </wp:positionV>
            <wp:extent cx="3889375" cy="3295650"/>
            <wp:effectExtent l="4445" t="4445" r="1143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2019年度收、支总计1381.97万元。与2018年相比，收、支总计各增加207.82万元，增长17.7</w:t>
      </w:r>
      <w:r>
        <w:rPr>
          <w:rFonts w:ascii="仿宋" w:hAnsi="仿宋" w:eastAsia="仿宋"/>
          <w:color w:val="000000"/>
          <w:sz w:val="32"/>
          <w:szCs w:val="32"/>
        </w:rPr>
        <w:t>%</w:t>
      </w:r>
      <w:r>
        <w:rPr>
          <w:rFonts w:hint="eastAsia" w:ascii="仿宋" w:hAnsi="仿宋" w:eastAsia="仿宋"/>
          <w:color w:val="000000"/>
          <w:sz w:val="32"/>
          <w:szCs w:val="32"/>
        </w:rPr>
        <w:t>。主要变动原因是新增人员较多导致人员经费支出增加和项目资金的增加。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0">
            <wp:simplePos x="0" y="0"/>
            <wp:positionH relativeFrom="page">
              <wp:posOffset>1628775</wp:posOffset>
            </wp:positionH>
            <wp:positionV relativeFrom="page">
              <wp:posOffset>6513830</wp:posOffset>
            </wp:positionV>
            <wp:extent cx="3451225" cy="2618740"/>
            <wp:effectExtent l="4445" t="5080" r="11430"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9年一般公共预算财政拨款支出1366.97万元，占本年支出合计的98.91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8年相比，一般公共预算财政拨款增加192.82万元，增长16.42</w:t>
      </w:r>
      <w:r>
        <w:rPr>
          <w:rFonts w:ascii="仿宋" w:hAnsi="仿宋" w:eastAsia="仿宋"/>
          <w:color w:val="000000"/>
          <w:sz w:val="32"/>
          <w:szCs w:val="32"/>
        </w:rPr>
        <w:t>%</w:t>
      </w:r>
      <w:r>
        <w:rPr>
          <w:rFonts w:hint="eastAsia" w:ascii="仿宋" w:hAnsi="仿宋" w:eastAsia="仿宋"/>
          <w:color w:val="000000"/>
          <w:sz w:val="32"/>
          <w:szCs w:val="32"/>
        </w:rPr>
        <w:t>。主要变动原因是新增人员较多，人员经费增加。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3360" behindDoc="0" locked="0" layoutInCell="1" allowOverlap="0">
            <wp:simplePos x="0" y="0"/>
            <wp:positionH relativeFrom="page">
              <wp:posOffset>1633220</wp:posOffset>
            </wp:positionH>
            <wp:positionV relativeFrom="paragraph">
              <wp:posOffset>252095</wp:posOffset>
            </wp:positionV>
            <wp:extent cx="4182745" cy="2419985"/>
            <wp:effectExtent l="4445" t="4445" r="22860"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政拨款支出1366.97万元，主要用于以下方面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1165.56万元，占85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万元，占</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支出97.72万元，占7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36.43万元，占3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；住房保障支出67.25万元，占5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-283845</wp:posOffset>
            </wp:positionH>
            <wp:positionV relativeFrom="page">
              <wp:posOffset>1633220</wp:posOffset>
            </wp:positionV>
            <wp:extent cx="5438775" cy="2498725"/>
            <wp:effectExtent l="4445" t="4445" r="5080" b="1143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2019年一般公共预算支出决算数为1381.97</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预算173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一般公共服务（类）0（款）0（项）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教育（类）1（款）2（项）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支出决算为1165.56万元，完成预算198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等于预算数的主要原因是新增人员较多,人员经费支出增加。</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科学技术（类）0（款）0（项）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文化旅游体育与传媒（类）0（款）0（项）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0。</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社会保障和就业（类）1（款）1（项）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支出决算为97.72万元，完成预算100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（类）1（款）1（项）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支出决算为36.43万元，完成预算100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Fonts w:hint="eastAsia" w:ascii="仿宋" w:hAnsi="仿宋" w:eastAsia="仿宋"/>
          <w:b/>
          <w:bCs/>
          <w:color w:val="000000" w:themeColor="text1"/>
          <w:sz w:val="32"/>
          <w:szCs w:val="32"/>
          <w14:textFill>
            <w14:solidFill>
              <w14:schemeClr w14:val="tx1"/>
            </w14:solidFill>
          </w14:textFill>
        </w:rPr>
        <w:t>7、住房保障支出</w:t>
      </w:r>
      <w:r>
        <w:rPr>
          <w:rStyle w:val="14"/>
          <w:rFonts w:hint="eastAsia" w:ascii="仿宋" w:hAnsi="仿宋" w:eastAsia="仿宋"/>
          <w:bCs/>
          <w:color w:val="000000"/>
          <w:sz w:val="32"/>
          <w:szCs w:val="32"/>
        </w:rPr>
        <w:t>（类）1（款）1（项）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支出决算为67.25万元，完成预算100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9年一般公共预算财政拨款基本支出1074.82万元，其中：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922.16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152.66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9年“三公”经费财政拨款支出决算为2.89万元，完成预算98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，决算数小于预算数的主要原因是厉行节约，实际三公经费减少。</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；公务接待费支出决算2.89万元，占100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2"/>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2.89万元，</w:t>
      </w:r>
      <w:r>
        <w:rPr>
          <w:rStyle w:val="14"/>
          <w:rFonts w:hint="eastAsia" w:ascii="仿宋" w:hAnsi="仿宋" w:eastAsia="仿宋"/>
          <w:b w:val="0"/>
          <w:bCs/>
          <w:color w:val="000000"/>
          <w:sz w:val="32"/>
          <w:szCs w:val="32"/>
        </w:rPr>
        <w:t>完成预算98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8年减少0.06万元，增长</w:t>
      </w:r>
      <w:r>
        <w:rPr>
          <w:rFonts w:ascii="仿宋_GB2312" w:eastAsia="仿宋_GB2312"/>
          <w:color w:val="000000"/>
          <w:sz w:val="32"/>
          <w:szCs w:val="32"/>
        </w:rPr>
        <w:t>/</w:t>
      </w:r>
      <w:r>
        <w:rPr>
          <w:rFonts w:hint="eastAsia" w:ascii="仿宋_GB2312" w:eastAsia="仿宋_GB2312"/>
          <w:color w:val="000000"/>
          <w:sz w:val="32"/>
          <w:szCs w:val="32"/>
        </w:rPr>
        <w:t>下降2</w:t>
      </w:r>
      <w:r>
        <w:rPr>
          <w:rFonts w:ascii="仿宋_GB2312" w:eastAsia="仿宋_GB2312"/>
          <w:color w:val="000000"/>
          <w:sz w:val="32"/>
          <w:szCs w:val="32"/>
        </w:rPr>
        <w:t>%</w:t>
      </w:r>
      <w:r>
        <w:rPr>
          <w:rFonts w:hint="eastAsia" w:ascii="仿宋_GB2312" w:eastAsia="仿宋_GB2312"/>
          <w:color w:val="000000"/>
          <w:sz w:val="32"/>
          <w:szCs w:val="32"/>
        </w:rPr>
        <w:t>。主要原因是厉行节约，减少接待。其中：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2.89</w:t>
      </w:r>
      <w:r>
        <w:rPr>
          <w:rFonts w:hint="eastAsia" w:ascii="仿宋_GB2312" w:eastAsia="仿宋_GB2312"/>
          <w:color w:val="000000"/>
          <w:sz w:val="32"/>
          <w:szCs w:val="32"/>
        </w:rPr>
        <w:t>万元，主要用于执行公务、开展业务活动开支的交通费、住宿费、用餐费等。国内公务接待52批次，498人次（不包括陪同人员），共计支出2.89万元，具体内容包括：接待来校调研人员0.8万元，接待工作检查等0.7万元，培训活动接待1.39万元。</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9年政府性基金预算拨款支出15万元。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9年，宣汉县龙泉学校机关运行经费支出0万元.</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9年，宣汉县龙泉学校政府采购支出总额0万元。</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日，宣汉县龙泉学校共有车辆0辆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XXX项目（项目名称）开展了预算事前绩效评估，对XX个项目编制了绩效目标，预算执行过程中，选取XX个项目开展绩效监控，年终执行完毕后，对XX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本部门按要求对2019年部门整体支出绩效评价情况开展自评，《宣汉县龙泉学校2019年部门整体支出绩效评价报告》见附件（附件1）。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本部门自行组织对XXX项目、XXX项目开展了绩效评价，《XXX项目2019年绩效评价报告》见附件（附件2）。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卫生健康（类）…（款）…（项）：指……。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宣汉县龙泉学校</w:t>
      </w:r>
    </w:p>
    <w:p>
      <w:pPr>
        <w:spacing w:line="600" w:lineRule="exact"/>
        <w:jc w:val="center"/>
        <w:rPr>
          <w:rFonts w:ascii="黑体" w:hAnsi="宋体" w:eastAsia="黑体" w:cs="宋体"/>
          <w:color w:val="000000"/>
          <w:kern w:val="0"/>
          <w:sz w:val="24"/>
          <w:szCs w:val="32"/>
          <w:shd w:val="clear" w:color="auto" w:fill="FFFFFF"/>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宣汉县龙泉学校是一所公办的九年一贯制学校,主管部门为宣汉县教育科技局。无二级单位。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bCs/>
          <w:color w:val="000000"/>
          <w:sz w:val="32"/>
          <w:szCs w:val="32"/>
        </w:rPr>
        <w:t>宣传贯彻执行党和国家的教育方针、政策、法律法规等，坚持依法治教、依法治学，贯彻执行县教科局的行政规章制度.组织开展本校的教育教学科研和教育教学改革。负责对本校教育教学业务的具体管理，负责教育教学管理及教研教改工作，全力推进素质教育实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宣汉县龙泉学校有在职教师</w:t>
      </w:r>
      <w:r>
        <w:rPr>
          <w:rFonts w:hint="eastAsia" w:ascii="仿宋_GB2312" w:hAnsi="宋体" w:eastAsia="仿宋_GB2312" w:cs="宋体"/>
          <w:color w:val="000000"/>
          <w:kern w:val="0"/>
          <w:sz w:val="32"/>
          <w:szCs w:val="32"/>
          <w:shd w:val="clear" w:color="auto" w:fill="FFFFFF"/>
        </w:rPr>
        <w:t>82人，退休教师43人，遗属人员9人，在校学生879人。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 w:cs="宋体"/>
          <w:color w:val="000000"/>
          <w:kern w:val="0"/>
          <w:sz w:val="32"/>
          <w:szCs w:val="32"/>
          <w:shd w:val="clear" w:color="auto" w:fill="FFFFFF"/>
        </w:rPr>
      </w:pPr>
      <w:r>
        <w:rPr>
          <w:rFonts w:ascii="仿宋" w:hAnsi="仿宋" w:eastAsia="仿宋"/>
          <w:color w:val="000000"/>
          <w:sz w:val="32"/>
          <w:szCs w:val="32"/>
        </w:rPr>
        <w:t>201</w:t>
      </w:r>
      <w:r>
        <w:rPr>
          <w:rFonts w:hint="eastAsia" w:ascii="仿宋" w:hAnsi="仿宋" w:eastAsia="仿宋"/>
          <w:color w:val="000000"/>
          <w:sz w:val="32"/>
          <w:szCs w:val="32"/>
        </w:rPr>
        <w:t>9年宣汉县龙泉学校财政收入合计1381.97万元,其中一般公共预算财</w:t>
      </w:r>
      <w:r>
        <w:rPr>
          <w:rFonts w:hint="eastAsia" w:ascii="仿宋" w:hAnsi="仿宋" w:eastAsia="仿宋"/>
          <w:color w:val="000000" w:themeColor="text1"/>
          <w:sz w:val="32"/>
          <w:szCs w:val="32"/>
          <w14:textFill>
            <w14:solidFill>
              <w14:schemeClr w14:val="tx1"/>
            </w14:solidFill>
          </w14:textFill>
        </w:rPr>
        <w:t>政拨款支出1366.97万元，政府基金财政收入15万元。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仿宋" w:cs="宋体"/>
          <w:color w:val="000000"/>
          <w:kern w:val="0"/>
          <w:sz w:val="32"/>
          <w:szCs w:val="32"/>
          <w:shd w:val="clear" w:color="auto" w:fill="FFFFFF"/>
        </w:rPr>
      </w:pPr>
      <w:r>
        <w:rPr>
          <w:rFonts w:ascii="仿宋" w:hAnsi="仿宋" w:eastAsia="仿宋"/>
          <w:color w:val="000000"/>
          <w:sz w:val="32"/>
          <w:szCs w:val="32"/>
        </w:rPr>
        <w:t>201</w:t>
      </w:r>
      <w:r>
        <w:rPr>
          <w:rFonts w:hint="eastAsia" w:ascii="仿宋" w:hAnsi="仿宋" w:eastAsia="仿宋"/>
          <w:color w:val="000000"/>
          <w:sz w:val="32"/>
          <w:szCs w:val="32"/>
        </w:rPr>
        <w:t>9年宣汉县龙泉学校共支出1381.97万元，其中：一般公共预算财</w:t>
      </w:r>
      <w:r>
        <w:rPr>
          <w:rFonts w:hint="eastAsia" w:ascii="仿宋" w:hAnsi="仿宋" w:eastAsia="仿宋"/>
          <w:color w:val="000000" w:themeColor="text1"/>
          <w:sz w:val="32"/>
          <w:szCs w:val="32"/>
          <w14:textFill>
            <w14:solidFill>
              <w14:schemeClr w14:val="tx1"/>
            </w14:solidFill>
          </w14:textFill>
        </w:rPr>
        <w:t>政拨款支出1366.97万元，主要用于以下方面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1165.56万元，占85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万元，占</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支出97.72万元，占7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36.43万元，占3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；住房保障支出67.25万元，占5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。政府基金财政拨款支出主要用于少年宫日常运行等费用。</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龙泉学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w:t>
      </w:r>
      <w:bookmarkStart w:id="73" w:name="_GoBack"/>
      <w:bookmarkEnd w:id="73"/>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由于我校教学点多且分散，外籍教师较多，缺编严重，故而我校本年度聘请了16位临时代课老师，学校用于临聘教师资金较多，严重制约了学校的发展。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Calibri" w:eastAsia="仿宋_GB2312" w:cs="仿宋"/>
          <w:color w:val="000000"/>
          <w:kern w:val="0"/>
          <w:sz w:val="32"/>
          <w:szCs w:val="32"/>
        </w:rPr>
        <w:t>搞好预算，厉行节约，开源节流，严格控制支出，根据学校实际有计划地减少临聘人员，加强固定资产的管理，促进学校健康发展。</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D45CC4F"/>
    <w:multiLevelType w:val="singleLevel"/>
    <w:tmpl w:val="FD45CC4F"/>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A02E1"/>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058B7"/>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274"/>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4C5A"/>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2F8C"/>
    <w:rsid w:val="00F754A1"/>
    <w:rsid w:val="00F81FD9"/>
    <w:rsid w:val="00F841AA"/>
    <w:rsid w:val="00F84A94"/>
    <w:rsid w:val="00F87E96"/>
    <w:rsid w:val="00FA23E8"/>
    <w:rsid w:val="00FD3CC1"/>
    <w:rsid w:val="00FF1E02"/>
    <w:rsid w:val="00FF30B4"/>
    <w:rsid w:val="04D90FB0"/>
    <w:rsid w:val="10C055FF"/>
    <w:rsid w:val="11B5328E"/>
    <w:rsid w:val="16425158"/>
    <w:rsid w:val="16BB723D"/>
    <w:rsid w:val="240371BF"/>
    <w:rsid w:val="29FD04D3"/>
    <w:rsid w:val="319F7F4E"/>
    <w:rsid w:val="34FC547C"/>
    <w:rsid w:val="3F0E0A92"/>
    <w:rsid w:val="4ECE2238"/>
    <w:rsid w:val="53D640B8"/>
    <w:rsid w:val="56DC5A1E"/>
    <w:rsid w:val="5828695B"/>
    <w:rsid w:val="6DE130A1"/>
    <w:rsid w:val="6EB60D7E"/>
    <w:rsid w:val="6F067FF2"/>
    <w:rsid w:val="72734D90"/>
    <w:rsid w:val="75AD06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8711774620756"/>
          <c:y val="0.0518059855521156"/>
          <c:w val="0.764026005297375"/>
          <c:h val="0.846233230134159"/>
        </c:manualLayout>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1174.15</c:v>
                </c:pt>
                <c:pt idx="1">
                  <c:v>1174.15</c:v>
                </c:pt>
              </c:numCache>
            </c:numRef>
          </c:val>
        </c:ser>
        <c:ser>
          <c:idx val="1"/>
          <c:order val="1"/>
          <c:tx>
            <c:strRef>
              <c:f>Sheet1!$C$1</c:f>
              <c:strCache>
                <c:ptCount val="1"/>
                <c:pt idx="0">
                  <c:v>2019年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1381.97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1381.97</c:v>
                </c:pt>
                <c:pt idx="1">
                  <c:v>1381.97</c:v>
                </c:pt>
              </c:numCache>
            </c:numRef>
          </c:val>
        </c:ser>
        <c:dLbls>
          <c:showLegendKey val="0"/>
          <c:showVal val="1"/>
          <c:showCatName val="0"/>
          <c:showSerName val="0"/>
          <c:showPercent val="0"/>
          <c:showBubbleSize val="0"/>
        </c:dLbls>
        <c:gapWidth val="150"/>
        <c:axId val="252594048"/>
        <c:axId val="395100544"/>
      </c:barChart>
      <c:catAx>
        <c:axId val="2525940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5100544"/>
        <c:crosses val="autoZero"/>
        <c:auto val="1"/>
        <c:lblAlgn val="ctr"/>
        <c:lblOffset val="100"/>
        <c:noMultiLvlLbl val="0"/>
      </c:catAx>
      <c:valAx>
        <c:axId val="395100544"/>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25940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146875"/>
          <c:y val="0.1245"/>
          <c:w val="0.570625"/>
          <c:h val="0.760833333333333"/>
        </c:manualLayout>
      </c:layout>
      <c:pieChart>
        <c:varyColors val="1"/>
        <c:ser>
          <c:idx val="0"/>
          <c:order val="0"/>
          <c:tx>
            <c:strRef>
              <c:f>Sheet1!$B$1</c:f>
              <c:strCache>
                <c:ptCount val="1"/>
                <c:pt idx="0">
                  <c:v>收入决算</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一般公共财政预算收入</c:v>
                </c:pt>
                <c:pt idx="1">
                  <c:v>政府性基金预算财政拨款收入</c:v>
                </c:pt>
              </c:strCache>
            </c:strRef>
          </c:cat>
          <c:val>
            <c:numRef>
              <c:f>Sheet1!$B$2:$B$3</c:f>
              <c:numCache>
                <c:formatCode>General</c:formatCode>
                <c:ptCount val="2"/>
                <c:pt idx="0">
                  <c:v>1366.97</c:v>
                </c:pt>
                <c:pt idx="1">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33875"/>
          <c:y val="0.127833333333333"/>
          <c:w val="0.62725"/>
          <c:h val="0.836333333333333"/>
        </c:manualLayout>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1074.82</c:v>
                </c:pt>
                <c:pt idx="1">
                  <c:v>307.15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06715731371"/>
          <c:y val="0.11905916585839"/>
          <c:w val="0.832934682612696"/>
          <c:h val="0.699806013579049"/>
        </c:manualLayout>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1174.15</c:v>
                </c:pt>
                <c:pt idx="1">
                  <c:v>1174.15</c:v>
                </c:pt>
              </c:numCache>
            </c:numRef>
          </c:val>
        </c:ser>
        <c:ser>
          <c:idx val="1"/>
          <c:order val="1"/>
          <c:tx>
            <c:strRef>
              <c:f>Sheet1!$C$1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1381.97</c:v>
                </c:pt>
                <c:pt idx="1">
                  <c:v>1381.97</c:v>
                </c:pt>
              </c:numCache>
            </c:numRef>
          </c:val>
        </c:ser>
        <c:dLbls>
          <c:showLegendKey val="0"/>
          <c:showVal val="1"/>
          <c:showCatName val="0"/>
          <c:showSerName val="0"/>
          <c:showPercent val="0"/>
          <c:showBubbleSize val="0"/>
        </c:dLbls>
        <c:gapWidth val="75"/>
        <c:axId val="255639936"/>
        <c:axId val="255641472"/>
      </c:barChart>
      <c:catAx>
        <c:axId val="2556399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641472"/>
        <c:crosses val="autoZero"/>
        <c:auto val="1"/>
        <c:lblAlgn val="ctr"/>
        <c:lblOffset val="100"/>
        <c:noMultiLvlLbl val="0"/>
      </c:catAx>
      <c:valAx>
        <c:axId val="255641472"/>
        <c:scaling>
          <c:orientation val="minMax"/>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63993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1174.15</c:v>
                </c:pt>
                <c:pt idx="1">
                  <c:v>1174.15</c:v>
                </c:pt>
              </c:numCache>
            </c:numRef>
          </c:val>
        </c:ser>
        <c:ser>
          <c:idx val="1"/>
          <c:order val="1"/>
          <c:tx>
            <c:strRef>
              <c:f>Sheet1!$C$1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1366.97</c:v>
                </c:pt>
                <c:pt idx="1">
                  <c:v>1366.97</c:v>
                </c:pt>
              </c:numCache>
            </c:numRef>
          </c:val>
        </c:ser>
        <c:dLbls>
          <c:showLegendKey val="0"/>
          <c:showVal val="1"/>
          <c:showCatName val="0"/>
          <c:showSerName val="0"/>
          <c:showPercent val="0"/>
          <c:showBubbleSize val="0"/>
        </c:dLbls>
        <c:gapWidth val="75"/>
        <c:axId val="256072704"/>
        <c:axId val="256074496"/>
      </c:barChart>
      <c:catAx>
        <c:axId val="256072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6074496"/>
        <c:crosses val="autoZero"/>
        <c:auto val="1"/>
        <c:lblAlgn val="ctr"/>
        <c:lblOffset val="100"/>
        <c:noMultiLvlLbl val="0"/>
      </c:catAx>
      <c:valAx>
        <c:axId val="256074496"/>
        <c:scaling>
          <c:orientation val="minMax"/>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607270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overlay val="0"/>
    </c:title>
    <c:autoTitleDeleted val="0"/>
    <c:plotArea>
      <c:layout/>
      <c:pieChart>
        <c:varyColors val="1"/>
        <c:ser>
          <c:idx val="0"/>
          <c:order val="0"/>
          <c:tx>
            <c:strRef>
              <c:f>Sheet1!$B$1</c:f>
              <c:strCache>
                <c:ptCount val="1"/>
                <c:pt idx="0">
                  <c:v>一般公共预算财政拨款支出结构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85</c:v>
                </c:pt>
                <c:pt idx="1">
                  <c:v>7</c:v>
                </c:pt>
                <c:pt idx="2">
                  <c:v>3</c:v>
                </c:pt>
                <c:pt idx="3">
                  <c:v>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1452</Words>
  <Characters>8279</Characters>
  <Lines>68</Lines>
  <Paragraphs>19</Paragraphs>
  <TotalTime>0</TotalTime>
  <ScaleCrop>false</ScaleCrop>
  <LinksUpToDate>false</LinksUpToDate>
  <CharactersWithSpaces>9712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2020-11-11T10:36:00Z</dcterms:created>
  <dc:creator>曹颖</dc:creator>
  <cp:lastModifiedBy>admin</cp:lastModifiedBy>
  <cp:lastPrinted>2020-07-23T02:58:00Z</cp:lastPrinted>
  <dcterms:modified xsi:type="dcterms:W3CDTF">2022-02-22T02:44:55Z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7B07EF3063B14E1D8B1807E821D0E58E</vt:lpwstr>
  </property>
</Properties>
</file>