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8441"/>
      <w:bookmarkStart w:id="2" w:name="_Toc15377425"/>
      <w:bookmarkStart w:id="3" w:name="_Toc15377193"/>
      <w:bookmarkStart w:id="4" w:name="_Toc15396597"/>
      <w:bookmarkStart w:id="5" w:name="_Toc15396475"/>
      <w:r>
        <w:rPr>
          <w:rFonts w:ascii="黑体" w:hAnsi="黑体" w:eastAsia="黑体"/>
          <w:color w:val="000000"/>
          <w:sz w:val="52"/>
          <w:szCs w:val="52"/>
        </w:rPr>
        <w:t>201</w:t>
      </w:r>
      <w:r>
        <w:rPr>
          <w:rFonts w:hint="eastAsia" w:ascii="黑体" w:hAnsi="黑体" w:eastAsia="黑体"/>
          <w:color w:val="000000"/>
          <w:sz w:val="52"/>
          <w:szCs w:val="52"/>
          <w:lang w:val="en-US" w:eastAsia="zh-CN"/>
        </w:rPr>
        <w:t>9</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8442"/>
      <w:bookmarkStart w:id="9" w:name="_Toc15377426"/>
      <w:bookmarkStart w:id="10" w:name="_Toc15377194"/>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宣汉县樊哙中学部门决算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588" w:firstLineChars="210"/>
        <w:outlineLvl w:val="2"/>
        <w:rPr>
          <w:rFonts w:ascii="仿宋" w:hAnsi="仿宋"/>
          <w:bCs/>
          <w:color w:val="000000"/>
          <w:sz w:val="32"/>
          <w:szCs w:val="32"/>
        </w:rPr>
      </w:pPr>
      <w:r>
        <w:rPr>
          <w:rFonts w:hint="eastAsia" w:hAnsi="仿宋_GB2312" w:cs="仿宋_GB2312"/>
          <w:sz w:val="28"/>
          <w:szCs w:val="28"/>
        </w:rPr>
        <w:t>宣汉县樊哙中学是一所纯初中教育的单设初中学校。主要负责樊哙镇及渡口土家族乡九年义务教育中七、八、九年级教育教学工作。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p>
    <w:p>
      <w:pPr>
        <w:pStyle w:val="4"/>
        <w:spacing w:before="0" w:after="0" w:line="578"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pStyle w:val="4"/>
        <w:spacing w:before="0" w:after="0" w:line="578" w:lineRule="exact"/>
        <w:ind w:firstLine="560" w:firstLineChars="200"/>
        <w:jc w:val="left"/>
        <w:rPr>
          <w:rFonts w:ascii="仿宋" w:hAnsi="仿宋" w:eastAsia="仿宋"/>
          <w:bCs w:val="0"/>
          <w:color w:val="000000"/>
        </w:rPr>
      </w:pPr>
      <w:r>
        <w:rPr>
          <w:rFonts w:hint="eastAsia" w:ascii="仿宋_GB2312" w:hAnsi="仿宋_GB2312" w:eastAsia="仿宋_GB2312" w:cs="仿宋_GB2312"/>
          <w:b w:val="0"/>
          <w:bCs w:val="0"/>
          <w:sz w:val="28"/>
          <w:szCs w:val="28"/>
        </w:rPr>
        <w:t>一年来，学校先后获得“师德先进集体”、“教育教学先进集体”、“最佳文明单位”、“星级平安学校”等殊荣。</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588" w:firstLineChars="210"/>
        <w:rPr>
          <w:color w:val="000000"/>
          <w:sz w:val="32"/>
          <w:szCs w:val="32"/>
        </w:rPr>
      </w:pPr>
      <w:r>
        <w:rPr>
          <w:rFonts w:hint="eastAsia" w:hAnsi="仿宋_GB2312" w:cs="仿宋_GB2312"/>
          <w:sz w:val="28"/>
          <w:szCs w:val="28"/>
        </w:rPr>
        <w:t>宣汉县樊哙中学属财政全额拨款事业单位1个</w:t>
      </w:r>
      <w:r>
        <w:rPr>
          <w:rFonts w:hint="eastAsia"/>
          <w:color w:val="000000"/>
          <w:sz w:val="32"/>
          <w:szCs w:val="32"/>
        </w:rPr>
        <w:t>。</w:t>
      </w:r>
    </w:p>
    <w:p>
      <w:pPr>
        <w:ind w:firstLine="800" w:firstLineChars="250"/>
        <w:rPr>
          <w:rFonts w:ascii="仿宋" w:hAnsi="仿宋" w:eastAsia="仿宋"/>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1475.86</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122.04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9.01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学生人数增加，</w:t>
      </w:r>
      <w:r>
        <w:rPr>
          <w:rFonts w:hint="eastAsia" w:ascii="仿宋" w:hAnsi="仿宋" w:eastAsia="仿宋"/>
          <w:color w:val="000000"/>
          <w:sz w:val="32"/>
          <w:szCs w:val="32"/>
        </w:rPr>
        <w:t>教职工人数的增加及工资标准的提高。</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274310" cy="1953895"/>
            <wp:effectExtent l="4445" t="4445" r="17145" b="228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年本年收入合计1</w:t>
      </w:r>
      <w:r>
        <w:rPr>
          <w:rFonts w:hint="eastAsia" w:ascii="仿宋" w:hAnsi="仿宋" w:eastAsia="仿宋"/>
          <w:color w:val="000000"/>
          <w:sz w:val="32"/>
          <w:szCs w:val="32"/>
          <w:lang w:val="en-US" w:eastAsia="zh-CN"/>
        </w:rPr>
        <w:t>475.86</w:t>
      </w:r>
      <w:r>
        <w:rPr>
          <w:rFonts w:hint="eastAsia" w:ascii="仿宋" w:hAnsi="仿宋" w:eastAsia="仿宋"/>
          <w:color w:val="000000"/>
          <w:sz w:val="32"/>
          <w:szCs w:val="32"/>
        </w:rPr>
        <w:t>万元，其中：一般公共预算财政拨款收入1</w:t>
      </w:r>
      <w:r>
        <w:rPr>
          <w:rFonts w:hint="eastAsia" w:ascii="仿宋" w:hAnsi="仿宋" w:eastAsia="仿宋"/>
          <w:color w:val="000000"/>
          <w:sz w:val="32"/>
          <w:szCs w:val="32"/>
          <w:lang w:val="en-US" w:eastAsia="zh-CN"/>
        </w:rPr>
        <w:t>475.86</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FF0000"/>
          <w:sz w:val="32"/>
          <w:szCs w:val="32"/>
        </w:rPr>
        <w:drawing>
          <wp:anchor distT="0" distB="0" distL="114300" distR="114300" simplePos="0" relativeHeight="251666432" behindDoc="0" locked="0" layoutInCell="1" allowOverlap="1">
            <wp:simplePos x="0" y="0"/>
            <wp:positionH relativeFrom="margin">
              <wp:posOffset>57150</wp:posOffset>
            </wp:positionH>
            <wp:positionV relativeFrom="paragraph">
              <wp:posOffset>305435</wp:posOffset>
            </wp:positionV>
            <wp:extent cx="5274310" cy="1586230"/>
            <wp:effectExtent l="4445" t="4445" r="17145"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年本年支出合计1</w:t>
      </w:r>
      <w:r>
        <w:rPr>
          <w:rFonts w:hint="eastAsia" w:ascii="仿宋" w:hAnsi="仿宋" w:eastAsia="仿宋"/>
          <w:color w:val="000000"/>
          <w:sz w:val="32"/>
          <w:szCs w:val="32"/>
          <w:lang w:val="en-US" w:eastAsia="zh-CN"/>
        </w:rPr>
        <w:t>475.86</w:t>
      </w:r>
      <w:r>
        <w:rPr>
          <w:rFonts w:hint="eastAsia" w:ascii="仿宋" w:hAnsi="仿宋" w:eastAsia="仿宋"/>
          <w:color w:val="000000"/>
          <w:sz w:val="32"/>
          <w:szCs w:val="32"/>
        </w:rPr>
        <w:t>万元，其中：基本支出1</w:t>
      </w:r>
      <w:r>
        <w:rPr>
          <w:rFonts w:hint="eastAsia" w:ascii="仿宋" w:hAnsi="仿宋" w:eastAsia="仿宋"/>
          <w:color w:val="000000"/>
          <w:sz w:val="32"/>
          <w:szCs w:val="32"/>
          <w:lang w:val="en-US" w:eastAsia="zh-CN"/>
        </w:rPr>
        <w:t>229.3</w:t>
      </w:r>
      <w:r>
        <w:rPr>
          <w:rFonts w:hint="eastAsia" w:ascii="仿宋" w:hAnsi="仿宋" w:eastAsia="仿宋"/>
          <w:color w:val="000000"/>
          <w:sz w:val="32"/>
          <w:szCs w:val="32"/>
        </w:rPr>
        <w:t>万元，占8</w:t>
      </w:r>
      <w:r>
        <w:rPr>
          <w:rFonts w:hint="eastAsia" w:ascii="仿宋" w:hAnsi="仿宋" w:eastAsia="仿宋"/>
          <w:color w:val="000000"/>
          <w:sz w:val="32"/>
          <w:szCs w:val="32"/>
          <w:lang w:val="en-US" w:eastAsia="zh-CN"/>
        </w:rPr>
        <w:t>3.29</w:t>
      </w:r>
      <w:r>
        <w:rPr>
          <w:rFonts w:ascii="仿宋" w:hAnsi="仿宋" w:eastAsia="仿宋"/>
          <w:color w:val="000000"/>
          <w:sz w:val="32"/>
          <w:szCs w:val="32"/>
        </w:rPr>
        <w:t>%</w:t>
      </w:r>
      <w:r>
        <w:rPr>
          <w:rFonts w:hint="eastAsia" w:ascii="仿宋" w:hAnsi="仿宋" w:eastAsia="仿宋"/>
          <w:color w:val="000000"/>
          <w:sz w:val="32"/>
          <w:szCs w:val="32"/>
        </w:rPr>
        <w:t>；项目支出24</w:t>
      </w:r>
      <w:r>
        <w:rPr>
          <w:rFonts w:hint="eastAsia" w:ascii="仿宋" w:hAnsi="仿宋" w:eastAsia="仿宋"/>
          <w:color w:val="000000"/>
          <w:sz w:val="32"/>
          <w:szCs w:val="32"/>
          <w:lang w:val="en-US" w:eastAsia="zh-CN"/>
        </w:rPr>
        <w:t>6.56</w:t>
      </w:r>
      <w:r>
        <w:rPr>
          <w:rFonts w:hint="eastAsia" w:ascii="仿宋" w:hAnsi="仿宋" w:eastAsia="仿宋"/>
          <w:color w:val="000000"/>
          <w:sz w:val="32"/>
          <w:szCs w:val="32"/>
        </w:rPr>
        <w:t>万元，占1</w:t>
      </w:r>
      <w:r>
        <w:rPr>
          <w:rFonts w:hint="eastAsia" w:ascii="仿宋" w:hAnsi="仿宋" w:eastAsia="仿宋"/>
          <w:color w:val="000000"/>
          <w:sz w:val="32"/>
          <w:szCs w:val="32"/>
          <w:lang w:val="en-US" w:eastAsia="zh-CN"/>
        </w:rPr>
        <w:t>6.71</w:t>
      </w:r>
      <w:r>
        <w:rPr>
          <w:rFonts w:ascii="仿宋" w:hAnsi="仿宋" w:eastAsia="仿宋"/>
          <w:color w:val="000000"/>
          <w:sz w:val="32"/>
          <w:szCs w:val="32"/>
        </w:rPr>
        <w:t>%</w:t>
      </w:r>
      <w:r>
        <w:rPr>
          <w:rFonts w:hint="eastAsia" w:ascii="仿宋" w:hAnsi="仿宋" w:eastAsia="仿宋"/>
          <w:color w:val="000000"/>
          <w:sz w:val="32"/>
          <w:szCs w:val="32"/>
          <w:shd w:val="pct10" w:color="auto" w:fill="FFFFFF"/>
        </w:rPr>
        <w:t>。</w:t>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FF0000"/>
          <w:sz w:val="32"/>
          <w:szCs w:val="32"/>
        </w:rPr>
        <w:drawing>
          <wp:anchor distT="0" distB="0" distL="114300" distR="114300" simplePos="0" relativeHeight="251672576" behindDoc="1" locked="0" layoutInCell="1" allowOverlap="1">
            <wp:simplePos x="0" y="0"/>
            <wp:positionH relativeFrom="column">
              <wp:posOffset>255905</wp:posOffset>
            </wp:positionH>
            <wp:positionV relativeFrom="paragraph">
              <wp:posOffset>408305</wp:posOffset>
            </wp:positionV>
            <wp:extent cx="5274310" cy="1579245"/>
            <wp:effectExtent l="4445" t="4445" r="17145" b="16510"/>
            <wp:wrapTight wrapText="bothSides">
              <wp:wrapPolygon>
                <wp:start x="-18" y="-61"/>
                <wp:lineTo x="-18" y="21305"/>
                <wp:lineTo x="21514" y="21305"/>
                <wp:lineTo x="21514" y="-61"/>
                <wp:lineTo x="-18" y="-61"/>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2951.72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122.04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9.01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学生人数增加，</w:t>
      </w:r>
      <w:r>
        <w:rPr>
          <w:rFonts w:hint="eastAsia" w:ascii="仿宋" w:hAnsi="仿宋" w:eastAsia="仿宋"/>
          <w:color w:val="000000"/>
          <w:sz w:val="32"/>
          <w:szCs w:val="32"/>
        </w:rPr>
        <w:t>教职工人数的增加及工资标准的提高。</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79744" behindDoc="0" locked="0" layoutInCell="1" allowOverlap="1">
            <wp:simplePos x="0" y="0"/>
            <wp:positionH relativeFrom="column">
              <wp:posOffset>0</wp:posOffset>
            </wp:positionH>
            <wp:positionV relativeFrom="paragraph">
              <wp:posOffset>381000</wp:posOffset>
            </wp:positionV>
            <wp:extent cx="5274310" cy="1953895"/>
            <wp:effectExtent l="4445" t="4445" r="17145" b="2286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年一般公共预算财政拨款支出1</w:t>
      </w:r>
      <w:r>
        <w:rPr>
          <w:rFonts w:hint="eastAsia" w:ascii="仿宋" w:hAnsi="仿宋" w:eastAsia="仿宋"/>
          <w:color w:val="000000"/>
          <w:sz w:val="32"/>
          <w:szCs w:val="32"/>
          <w:lang w:val="en-US" w:eastAsia="zh-CN"/>
        </w:rPr>
        <w:t>475.86</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122.04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9.01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学生人数增加，</w:t>
      </w:r>
      <w:r>
        <w:rPr>
          <w:rFonts w:hint="eastAsia" w:ascii="仿宋" w:hAnsi="仿宋" w:eastAsia="仿宋"/>
          <w:color w:val="000000"/>
          <w:sz w:val="32"/>
          <w:szCs w:val="32"/>
        </w:rPr>
        <w:t>教职工人数的增加及工资标准的提高。</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81792" behindDoc="1" locked="0" layoutInCell="1" allowOverlap="1">
            <wp:simplePos x="0" y="0"/>
            <wp:positionH relativeFrom="margin">
              <wp:posOffset>0</wp:posOffset>
            </wp:positionH>
            <wp:positionV relativeFrom="paragraph">
              <wp:posOffset>429260</wp:posOffset>
            </wp:positionV>
            <wp:extent cx="4855845" cy="1779905"/>
            <wp:effectExtent l="4445" t="4445" r="16510" b="635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1475.86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235.07</w:t>
      </w:r>
      <w:r>
        <w:rPr>
          <w:rFonts w:hint="eastAsia" w:ascii="仿宋" w:hAnsi="仿宋" w:eastAsia="仿宋"/>
          <w:color w:val="000000" w:themeColor="text1"/>
          <w:sz w:val="32"/>
          <w:szCs w:val="32"/>
          <w14:textFill>
            <w14:solidFill>
              <w14:schemeClr w14:val="tx1"/>
            </w14:solidFill>
          </w14:textFill>
        </w:rPr>
        <w:t>万元，占8</w:t>
      </w:r>
      <w:r>
        <w:rPr>
          <w:rFonts w:hint="eastAsia" w:ascii="仿宋" w:hAnsi="仿宋" w:eastAsia="仿宋"/>
          <w:color w:val="000000" w:themeColor="text1"/>
          <w:sz w:val="32"/>
          <w:szCs w:val="32"/>
          <w:lang w:val="en-US" w:eastAsia="zh-CN"/>
          <w14:textFill>
            <w14:solidFill>
              <w14:schemeClr w14:val="tx1"/>
            </w14:solidFill>
          </w14:textFill>
        </w:rPr>
        <w:t>3.68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支出1</w:t>
      </w:r>
      <w:r>
        <w:rPr>
          <w:rFonts w:hint="eastAsia" w:ascii="仿宋" w:hAnsi="仿宋" w:eastAsia="仿宋"/>
          <w:color w:val="000000" w:themeColor="text1"/>
          <w:sz w:val="32"/>
          <w:szCs w:val="32"/>
          <w:lang w:val="en-US" w:eastAsia="zh-CN"/>
          <w14:textFill>
            <w14:solidFill>
              <w14:schemeClr w14:val="tx1"/>
            </w14:solidFill>
          </w14:textFill>
        </w:rPr>
        <w:t>17.71</w:t>
      </w:r>
      <w:r>
        <w:rPr>
          <w:rFonts w:hint="eastAsia" w:ascii="仿宋" w:hAnsi="仿宋" w:eastAsia="仿宋"/>
          <w:color w:val="000000" w:themeColor="text1"/>
          <w:sz w:val="32"/>
          <w:szCs w:val="32"/>
          <w14:textFill>
            <w14:solidFill>
              <w14:schemeClr w14:val="tx1"/>
            </w14:solidFill>
          </w14:textFill>
        </w:rPr>
        <w:t>万元，占7.</w:t>
      </w:r>
      <w:r>
        <w:rPr>
          <w:rFonts w:hint="eastAsia" w:ascii="仿宋" w:hAnsi="仿宋" w:eastAsia="仿宋"/>
          <w:color w:val="000000" w:themeColor="text1"/>
          <w:sz w:val="32"/>
          <w:szCs w:val="32"/>
          <w:lang w:val="en-US" w:eastAsia="zh-CN"/>
          <w14:textFill>
            <w14:solidFill>
              <w14:schemeClr w14:val="tx1"/>
            </w14:solidFill>
          </w14:textFill>
        </w:rPr>
        <w:t>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43.25</w:t>
      </w:r>
      <w:r>
        <w:rPr>
          <w:rFonts w:hint="eastAsia" w:ascii="仿宋" w:hAnsi="仿宋" w:eastAsia="仿宋"/>
          <w:color w:val="000000" w:themeColor="text1"/>
          <w:sz w:val="32"/>
          <w:szCs w:val="32"/>
          <w14:textFill>
            <w14:solidFill>
              <w14:schemeClr w14:val="tx1"/>
            </w14:solidFill>
          </w14:textFill>
        </w:rPr>
        <w:t>万元，占2.</w:t>
      </w:r>
      <w:r>
        <w:rPr>
          <w:rFonts w:hint="eastAsia" w:ascii="仿宋" w:hAnsi="仿宋" w:eastAsia="仿宋"/>
          <w:color w:val="000000" w:themeColor="text1"/>
          <w:sz w:val="32"/>
          <w:szCs w:val="32"/>
          <w:lang w:val="en-US" w:eastAsia="zh-CN"/>
          <w14:textFill>
            <w14:solidFill>
              <w14:schemeClr w14:val="tx1"/>
            </w14:solidFill>
          </w14:textFill>
        </w:rPr>
        <w:t>93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79.83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5.41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91008" behindDoc="0" locked="0" layoutInCell="1" allowOverlap="1">
            <wp:simplePos x="0" y="0"/>
            <wp:positionH relativeFrom="margin">
              <wp:posOffset>-114300</wp:posOffset>
            </wp:positionH>
            <wp:positionV relativeFrom="paragraph">
              <wp:posOffset>104140</wp:posOffset>
            </wp:positionV>
            <wp:extent cx="5846445" cy="1911985"/>
            <wp:effectExtent l="4445" t="4445" r="16510" b="762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年般公共预算支出决算数为1</w:t>
      </w:r>
      <w:r>
        <w:rPr>
          <w:rFonts w:hint="eastAsia" w:ascii="仿宋" w:hAnsi="仿宋" w:eastAsia="仿宋"/>
          <w:b/>
          <w:color w:val="000000" w:themeColor="text1"/>
          <w:sz w:val="32"/>
          <w:szCs w:val="32"/>
          <w:lang w:val="en-US" w:eastAsia="zh-CN"/>
          <w14:textFill>
            <w14:solidFill>
              <w14:schemeClr w14:val="tx1"/>
            </w14:solidFill>
          </w14:textFill>
        </w:rPr>
        <w:t>475.86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w:t>
      </w:r>
      <w:r>
        <w:rPr>
          <w:rStyle w:val="14"/>
          <w:rFonts w:hint="eastAsia" w:ascii="仿宋" w:hAnsi="仿宋" w:eastAsia="仿宋"/>
          <w:bCs/>
          <w:color w:val="000000"/>
          <w:sz w:val="32"/>
          <w:szCs w:val="32"/>
          <w:lang w:val="en-US" w:eastAsia="zh-CN"/>
        </w:rPr>
        <w:t>59.52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教育（类）普通教育（款）初中教育（项）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w:t>
      </w:r>
      <w:r>
        <w:rPr>
          <w:rStyle w:val="14"/>
          <w:rFonts w:hint="eastAsia" w:ascii="仿宋" w:hAnsi="仿宋" w:eastAsia="仿宋"/>
          <w:b w:val="0"/>
          <w:bCs/>
          <w:color w:val="000000"/>
          <w:sz w:val="32"/>
          <w:szCs w:val="32"/>
          <w:lang w:val="en-US" w:eastAsia="zh-CN"/>
        </w:rPr>
        <w:t>235.07</w:t>
      </w:r>
      <w:r>
        <w:rPr>
          <w:rStyle w:val="14"/>
          <w:rFonts w:hint="eastAsia" w:ascii="仿宋" w:hAnsi="仿宋" w:eastAsia="仿宋"/>
          <w:b w:val="0"/>
          <w:bCs/>
          <w:color w:val="000000"/>
          <w:sz w:val="32"/>
          <w:szCs w:val="32"/>
        </w:rPr>
        <w:t>万元，完成预算1</w:t>
      </w:r>
      <w:r>
        <w:rPr>
          <w:rStyle w:val="14"/>
          <w:rFonts w:hint="eastAsia" w:ascii="仿宋" w:hAnsi="仿宋" w:eastAsia="仿宋"/>
          <w:b w:val="0"/>
          <w:bCs/>
          <w:color w:val="000000"/>
          <w:sz w:val="32"/>
          <w:szCs w:val="32"/>
          <w:lang w:val="en-US" w:eastAsia="zh-CN"/>
        </w:rPr>
        <w:t>80.90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hint="default" w:ascii="仿宋" w:hAnsi="仿宋" w:eastAsia="仿宋"/>
          <w:b/>
          <w:color w:val="000000"/>
          <w:sz w:val="32"/>
          <w:szCs w:val="32"/>
          <w:lang w:val="en-US" w:eastAsia="zh-CN"/>
        </w:rPr>
      </w:pPr>
      <w:r>
        <w:rPr>
          <w:rStyle w:val="14"/>
          <w:rFonts w:hint="eastAsia" w:ascii="仿宋" w:hAnsi="仿宋" w:eastAsia="仿宋"/>
          <w:bCs/>
          <w:color w:val="000000"/>
          <w:sz w:val="32"/>
          <w:szCs w:val="32"/>
        </w:rPr>
        <w:t>2、社会保障和就业（类）行政事业单位离退休（款）机关事业单位基本养老保险缴费支出★（项）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117.71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p>
    <w:p>
      <w:pPr>
        <w:spacing w:line="600" w:lineRule="exact"/>
        <w:ind w:firstLine="640" w:firstLineChars="200"/>
        <w:rPr>
          <w:rStyle w:val="14"/>
          <w:rFonts w:ascii="仿宋" w:hAnsi="仿宋" w:eastAsia="仿宋"/>
          <w:b w:val="0"/>
          <w:bCs/>
          <w:color w:val="000000"/>
          <w:sz w:val="32"/>
          <w:szCs w:val="32"/>
        </w:rPr>
      </w:pP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hint="eastAsia" w:ascii="仿宋" w:hAnsi="仿宋" w:eastAsia="仿宋"/>
          <w:bCs/>
          <w:color w:val="000000"/>
          <w:sz w:val="32"/>
          <w:szCs w:val="32"/>
          <w:lang w:eastAsia="zh-CN"/>
        </w:rPr>
        <w:t>卫生健康</w:t>
      </w:r>
      <w:r>
        <w:rPr>
          <w:rStyle w:val="14"/>
          <w:rFonts w:hint="eastAsia" w:ascii="仿宋" w:hAnsi="仿宋" w:eastAsia="仿宋"/>
          <w:bCs/>
          <w:color w:val="000000"/>
          <w:sz w:val="32"/>
          <w:szCs w:val="32"/>
        </w:rPr>
        <w:t>（类）行政事业单位医疗★（款）  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43.25</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79.83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1235.07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1055.40</w:t>
      </w:r>
      <w:r>
        <w:rPr>
          <w:rFonts w:hint="eastAsia" w:ascii="仿宋" w:hAnsi="仿宋" w:eastAsia="仿宋"/>
          <w:color w:val="000000"/>
          <w:sz w:val="32"/>
          <w:szCs w:val="32"/>
        </w:rPr>
        <w:t>万元，主要包括：基本工资、津贴补贴、伙食补助费、绩效工资、机关事业单位基本养老保险缴费、职业年金缴费、其他社会保障缴费、其他工资福利支出、退休费、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w:t>
      </w:r>
      <w:r>
        <w:rPr>
          <w:rFonts w:hint="eastAsia" w:ascii="仿宋" w:hAnsi="仿宋" w:eastAsia="仿宋"/>
          <w:color w:val="000000"/>
          <w:sz w:val="32"/>
          <w:szCs w:val="32"/>
          <w:lang w:val="en-US" w:eastAsia="zh-CN"/>
        </w:rPr>
        <w:t>79.67</w:t>
      </w:r>
      <w:r>
        <w:rPr>
          <w:rFonts w:hint="eastAsia" w:ascii="仿宋" w:hAnsi="仿宋" w:eastAsia="仿宋"/>
          <w:color w:val="000000"/>
          <w:sz w:val="32"/>
          <w:szCs w:val="32"/>
        </w:rPr>
        <w:t>万元，主要包括：办公费、印刷费、咨询费、手续费、水费、电费、邮电费、物业管理费、差旅费、维修（护）费、租赁费、会议费、培训费、公务接待费、劳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3.5</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年“三公”经费财政拨款支出决算中公务接待费支出决算</w:t>
      </w:r>
      <w:r>
        <w:rPr>
          <w:rFonts w:hint="eastAsia" w:ascii="仿宋" w:hAnsi="仿宋" w:eastAsia="仿宋"/>
          <w:color w:val="000000"/>
          <w:sz w:val="32"/>
          <w:szCs w:val="32"/>
          <w:lang w:val="en-US" w:eastAsia="zh-CN"/>
        </w:rPr>
        <w:t>3.5</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r>
        <w:rPr>
          <w:rFonts w:ascii="宋体" w:hAnsi="宋体" w:cs="宋体"/>
          <w:kern w:val="0"/>
          <w:szCs w:val="22"/>
        </w:rPr>
        <w:drawing>
          <wp:anchor distT="0" distB="0" distL="114300" distR="114300" simplePos="0" relativeHeight="251661312" behindDoc="1" locked="0" layoutInCell="1" allowOverlap="1">
            <wp:simplePos x="0" y="0"/>
            <wp:positionH relativeFrom="margin">
              <wp:align>left</wp:align>
            </wp:positionH>
            <wp:positionV relativeFrom="paragraph">
              <wp:posOffset>381000</wp:posOffset>
            </wp:positionV>
            <wp:extent cx="4620895" cy="1613535"/>
            <wp:effectExtent l="0" t="0" r="8255" b="5715"/>
            <wp:wrapSquare wrapText="bothSides"/>
            <wp:docPr id="10" name="图片 10"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613535"/>
                    </a:xfrm>
                    <a:prstGeom prst="rect">
                      <a:avLst/>
                    </a:prstGeom>
                    <a:noFill/>
                    <a:ln w="9525">
                      <a:noFill/>
                    </a:ln>
                  </pic:spPr>
                </pic:pic>
              </a:graphicData>
            </a:graphic>
          </wp:anchor>
        </w:drawing>
      </w:r>
      <w:r>
        <w:rPr>
          <w:rFonts w:ascii="宋体" w:hAnsi="宋体" w:cs="宋体"/>
          <w:kern w:val="0"/>
          <w:sz w:val="24"/>
        </w:rPr>
        <w:drawing>
          <wp:anchor distT="0" distB="0" distL="114300" distR="114300" simplePos="0" relativeHeight="251660288" behindDoc="0" locked="0" layoutInCell="1" allowOverlap="1">
            <wp:simplePos x="0" y="0"/>
            <wp:positionH relativeFrom="margin">
              <wp:posOffset>283845</wp:posOffset>
            </wp:positionH>
            <wp:positionV relativeFrom="paragraph">
              <wp:posOffset>381000</wp:posOffset>
            </wp:positionV>
            <wp:extent cx="4620895" cy="1877060"/>
            <wp:effectExtent l="0" t="0" r="8255" b="8890"/>
            <wp:wrapSquare wrapText="bothSides"/>
            <wp:docPr id="11" name="图片 1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877060"/>
                    </a:xfrm>
                    <a:prstGeom prst="rect">
                      <a:avLst/>
                    </a:prstGeom>
                    <a:noFill/>
                    <a:ln w="9525">
                      <a:noFill/>
                    </a:ln>
                  </pic:spPr>
                </pic:pic>
              </a:graphicData>
            </a:graphic>
          </wp:anchor>
        </w:drawing>
      </w:r>
    </w:p>
    <w:p>
      <w:pPr>
        <w:spacing w:line="600" w:lineRule="exact"/>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3.5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-0.9</w:t>
      </w:r>
      <w:r>
        <w:rPr>
          <w:rFonts w:hint="eastAsia" w:ascii="仿宋_GB2312" w:eastAsia="仿宋_GB2312"/>
          <w:color w:val="000000"/>
          <w:sz w:val="32"/>
          <w:szCs w:val="32"/>
        </w:rPr>
        <w:t>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主要用于执行公务、开展业务活动开支的交通费、住宿费、用餐费等。国内公务接待8</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38</w:t>
      </w:r>
      <w:r>
        <w:rPr>
          <w:rFonts w:hint="eastAsia" w:ascii="仿宋_GB2312" w:eastAsia="仿宋_GB2312"/>
          <w:color w:val="000000"/>
          <w:sz w:val="32"/>
          <w:szCs w:val="32"/>
        </w:rPr>
        <w:t>2人次（不包括陪同人员），共计支出</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万元，其中：</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b/>
          <w:color w:val="000000"/>
          <w:sz w:val="32"/>
          <w:szCs w:val="32"/>
          <w:lang w:val="en-US" w:eastAsia="zh-CN"/>
        </w:rPr>
        <w:t>3.5</w:t>
      </w:r>
      <w:r>
        <w:rPr>
          <w:rFonts w:hint="eastAsia" w:ascii="仿宋_GB2312" w:eastAsia="仿宋_GB2312"/>
          <w:color w:val="000000"/>
          <w:sz w:val="32"/>
          <w:szCs w:val="32"/>
        </w:rPr>
        <w:t>万元，具体内容包括：201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年学校安全检查、食品卫生检查指导、学校发展检查指导等3.5万元，用于接待指导我校教师业务能力培训、对学生能力检测等接待费用0.9万元。</w:t>
      </w:r>
    </w:p>
    <w:p>
      <w:pPr>
        <w:numPr>
          <w:ilvl w:val="0"/>
          <w:numId w:val="3"/>
        </w:numPr>
        <w:spacing w:line="600" w:lineRule="exact"/>
        <w:ind w:firstLine="640" w:firstLineChars="200"/>
        <w:outlineLvl w:val="1"/>
        <w:rPr>
          <w:rStyle w:val="25"/>
          <w:rFonts w:ascii="黑体" w:hAnsi="黑体" w:eastAsia="黑体"/>
          <w:b w:val="0"/>
        </w:rPr>
      </w:pPr>
      <w:bookmarkStart w:id="46" w:name="_Toc15377218"/>
      <w:bookmarkStart w:id="47" w:name="_Toc15396610"/>
      <w:r>
        <w:rPr>
          <w:rStyle w:val="25"/>
          <w:rFonts w:hint="eastAsia" w:ascii="黑体" w:hAnsi="黑体" w:eastAsia="黑体"/>
          <w:b w:val="0"/>
        </w:rPr>
        <w:t>政府性基金预算支出决算情况说明</w:t>
      </w:r>
      <w:bookmarkEnd w:id="46"/>
      <w:bookmarkEnd w:id="47"/>
    </w:p>
    <w:p>
      <w:pPr>
        <w:spacing w:line="600" w:lineRule="exact"/>
        <w:outlineLvl w:val="1"/>
        <w:rPr>
          <w:rStyle w:val="25"/>
          <w:rFonts w:ascii="黑体" w:hAnsi="黑体" w:eastAsia="黑体"/>
          <w:b w:val="0"/>
        </w:rPr>
      </w:pPr>
      <w:r>
        <w:rPr>
          <w:rStyle w:val="25"/>
          <w:rFonts w:hint="eastAsia" w:ascii="黑体" w:hAnsi="黑体" w:eastAsia="黑体"/>
          <w:b w:val="0"/>
        </w:rPr>
        <w:t xml:space="preserve">    无</w:t>
      </w:r>
    </w:p>
    <w:p>
      <w:pPr>
        <w:numPr>
          <w:ilvl w:val="0"/>
          <w:numId w:val="4"/>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3"/>
        <w:numPr>
          <w:ilvl w:val="0"/>
          <w:numId w:val="5"/>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6"/>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年部门整体支出开展绩效自评，从评价情况来看各部门工作井然有序,教学工作成绩显著。</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spacing w:line="580" w:lineRule="exact"/>
        <w:ind w:firstLine="481" w:firstLineChars="15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“义教贫困寄宿生生活补助”、“均衡发展补助资金”、3个项目绩效目标实际完成情况。</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义教学生营养改善计划金项目绩效目标完成情况综述。项目全年预算数11</w:t>
      </w:r>
      <w:r>
        <w:rPr>
          <w:rFonts w:hint="eastAsia" w:ascii="仿宋_GB2312" w:hAnsi="仿宋_GB2312" w:eastAsia="仿宋_GB2312" w:cs="仿宋_GB2312"/>
          <w:sz w:val="32"/>
          <w:szCs w:val="32"/>
          <w:lang w:val="en-US" w:eastAsia="zh-CN"/>
        </w:rPr>
        <w:t>0.66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110.66</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义教贫困寄宿生生活补助项目绩效目标完成情况综述。项目全年预算数</w:t>
      </w:r>
      <w:r>
        <w:rPr>
          <w:rFonts w:hint="eastAsia" w:ascii="仿宋_GB2312" w:hAnsi="仿宋_GB2312" w:eastAsia="仿宋_GB2312" w:cs="仿宋_GB2312"/>
          <w:sz w:val="32"/>
          <w:szCs w:val="32"/>
          <w:lang w:val="en-US" w:eastAsia="zh-CN"/>
        </w:rPr>
        <w:t>114.59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114.59</w:t>
      </w:r>
      <w:r>
        <w:rPr>
          <w:rFonts w:hint="eastAsia" w:ascii="仿宋_GB2312" w:hAnsi="仿宋_GB2312" w:eastAsia="仿宋_GB2312" w:cs="仿宋_GB2312"/>
          <w:sz w:val="32"/>
          <w:szCs w:val="32"/>
        </w:rPr>
        <w:t>万元，完成预算的100%。</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宣汉县樊哙中学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6"/>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年部门整体支出绩效评价情况开展自评，《宣汉县樊哙中学201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Fonts w:ascii="仿宋" w:hAnsi="仿宋" w:eastAsia="仿宋"/>
          <w:color w:val="000000"/>
          <w:sz w:val="32"/>
          <w:szCs w:val="32"/>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3"/>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bookmarkEnd w:id="52"/>
    <w:p>
      <w:pPr>
        <w:numPr>
          <w:ilvl w:val="0"/>
          <w:numId w:val="8"/>
        </w:numPr>
        <w:spacing w:line="600" w:lineRule="exact"/>
        <w:ind w:firstLine="662" w:firstLineChars="150"/>
        <w:jc w:val="center"/>
        <w:outlineLvl w:val="0"/>
        <w:rPr>
          <w:rStyle w:val="24"/>
          <w:rFonts w:ascii="黑体" w:hAnsi="黑体" w:eastAsia="黑体"/>
          <w:b w:val="0"/>
        </w:rPr>
      </w:pPr>
      <w:bookmarkStart w:id="53" w:name="_Toc15377225"/>
      <w:bookmarkStart w:id="54"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center"/>
        <w:outlineLvl w:val="0"/>
        <w:rPr>
          <w:rStyle w:val="24"/>
        </w:rPr>
      </w:pPr>
    </w:p>
    <w:p>
      <w:pPr>
        <w:pStyle w:val="3"/>
        <w:rPr>
          <w:rStyle w:val="24"/>
          <w:rFonts w:ascii="仿宋" w:hAnsi="仿宋" w:eastAsia="仿宋"/>
          <w:b w:val="0"/>
          <w:bCs w:val="0"/>
          <w:sz w:val="32"/>
          <w:szCs w:val="32"/>
        </w:rPr>
      </w:pPr>
      <w:bookmarkStart w:id="57" w:name="_Toc15396615"/>
      <w:r>
        <w:rPr>
          <w:rStyle w:val="24"/>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宣汉县樊哙中学201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宣汉县樊哙中学是一所单设初中学校,主管部门为宣汉县教育科技局。</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宣汉县樊哙中学的基本职能和主要工作是：</w:t>
      </w:r>
      <w:r>
        <w:rPr>
          <w:rFonts w:hint="eastAsia" w:ascii="仿宋_GB2312" w:eastAsia="仿宋_GB2312"/>
          <w:color w:val="000000"/>
          <w:sz w:val="32"/>
          <w:szCs w:val="32"/>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宣汉县樊哙中学是所单设初中学校。学校核编77人，现有在岗职工8</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人，其中在职职工7</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人，特岗教师12人，遗属1人。</w:t>
      </w:r>
    </w:p>
    <w:p>
      <w:pPr>
        <w:spacing w:line="580" w:lineRule="exact"/>
        <w:ind w:left="420" w:left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年收入合计</w:t>
      </w:r>
      <w:r>
        <w:rPr>
          <w:rFonts w:hint="eastAsia" w:ascii="仿宋_GB2312" w:hAnsi="Calibri" w:eastAsia="仿宋_GB2312" w:cs="仿宋"/>
          <w:color w:val="000000"/>
          <w:kern w:val="0"/>
          <w:sz w:val="32"/>
          <w:szCs w:val="32"/>
          <w:lang w:val="en-US" w:eastAsia="zh-CN"/>
        </w:rPr>
        <w:t>1475.86</w:t>
      </w:r>
      <w:r>
        <w:rPr>
          <w:rFonts w:hint="eastAsia" w:ascii="仿宋_GB2312" w:hAnsi="Calibri" w:eastAsia="仿宋_GB2312" w:cs="仿宋"/>
          <w:color w:val="000000"/>
          <w:kern w:val="0"/>
          <w:sz w:val="32"/>
          <w:szCs w:val="32"/>
        </w:rPr>
        <w:t>万元，全部为一般公共预算财政拨款收入。</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年一般公共预算财政拨款支出</w:t>
      </w:r>
      <w:r>
        <w:rPr>
          <w:rFonts w:hint="eastAsia" w:ascii="仿宋_GB2312" w:hAnsi="Calibri" w:eastAsia="仿宋_GB2312" w:cs="仿宋"/>
          <w:color w:val="000000"/>
          <w:kern w:val="0"/>
          <w:sz w:val="32"/>
          <w:szCs w:val="32"/>
          <w:lang w:val="en-US" w:eastAsia="zh-CN"/>
        </w:rPr>
        <w:t>1475.86</w:t>
      </w:r>
      <w:r>
        <w:rPr>
          <w:rFonts w:hint="eastAsia" w:ascii="仿宋_GB2312" w:hAnsi="Calibri" w:eastAsia="仿宋_GB2312" w:cs="仿宋"/>
          <w:color w:val="000000"/>
          <w:kern w:val="0"/>
          <w:sz w:val="32"/>
          <w:szCs w:val="32"/>
        </w:rPr>
        <w:t>万元，主要用于以下方面:教育支出</w:t>
      </w:r>
      <w:r>
        <w:rPr>
          <w:rFonts w:hint="eastAsia" w:ascii="仿宋_GB2312" w:hAnsi="Calibri" w:eastAsia="仿宋_GB2312" w:cs="仿宋"/>
          <w:color w:val="000000"/>
          <w:kern w:val="0"/>
          <w:sz w:val="32"/>
          <w:szCs w:val="32"/>
          <w:lang w:val="en-US" w:eastAsia="zh-CN"/>
        </w:rPr>
        <w:t>1235.07</w:t>
      </w:r>
      <w:r>
        <w:rPr>
          <w:rFonts w:hint="eastAsia" w:ascii="仿宋_GB2312" w:hAnsi="Calibri" w:eastAsia="仿宋_GB2312" w:cs="仿宋"/>
          <w:color w:val="000000"/>
          <w:kern w:val="0"/>
          <w:sz w:val="32"/>
          <w:szCs w:val="32"/>
        </w:rPr>
        <w:t>万元，社会保障和就业支出</w:t>
      </w:r>
      <w:r>
        <w:rPr>
          <w:rFonts w:hint="eastAsia" w:ascii="仿宋_GB2312" w:hAnsi="Calibri" w:eastAsia="仿宋_GB2312" w:cs="仿宋"/>
          <w:color w:val="000000"/>
          <w:kern w:val="0"/>
          <w:sz w:val="32"/>
          <w:szCs w:val="32"/>
          <w:lang w:val="en-US" w:eastAsia="zh-CN"/>
        </w:rPr>
        <w:t>117.71</w:t>
      </w:r>
      <w:r>
        <w:rPr>
          <w:rFonts w:hint="eastAsia" w:ascii="仿宋_GB2312" w:hAnsi="Calibri" w:eastAsia="仿宋_GB2312" w:cs="仿宋"/>
          <w:color w:val="000000"/>
          <w:kern w:val="0"/>
          <w:sz w:val="32"/>
          <w:szCs w:val="32"/>
        </w:rPr>
        <w:t>万元，</w:t>
      </w:r>
      <w:r>
        <w:rPr>
          <w:rFonts w:hint="eastAsia" w:ascii="仿宋_GB2312" w:hAnsi="Calibri" w:eastAsia="仿宋_GB2312" w:cs="仿宋"/>
          <w:color w:val="000000"/>
          <w:kern w:val="0"/>
          <w:sz w:val="32"/>
          <w:szCs w:val="32"/>
          <w:lang w:eastAsia="zh-CN"/>
        </w:rPr>
        <w:t>卫生健康</w:t>
      </w:r>
      <w:r>
        <w:rPr>
          <w:rFonts w:hint="eastAsia" w:ascii="仿宋_GB2312" w:hAnsi="Calibri" w:eastAsia="仿宋_GB2312" w:cs="仿宋"/>
          <w:color w:val="000000"/>
          <w:kern w:val="0"/>
          <w:sz w:val="32"/>
          <w:szCs w:val="32"/>
        </w:rPr>
        <w:t>支出</w:t>
      </w:r>
      <w:r>
        <w:rPr>
          <w:rFonts w:hint="eastAsia" w:ascii="仿宋_GB2312" w:hAnsi="Calibri" w:eastAsia="仿宋_GB2312" w:cs="仿宋"/>
          <w:color w:val="000000"/>
          <w:kern w:val="0"/>
          <w:sz w:val="32"/>
          <w:szCs w:val="32"/>
          <w:lang w:val="en-US" w:eastAsia="zh-CN"/>
        </w:rPr>
        <w:t>43.25</w:t>
      </w:r>
      <w:r>
        <w:rPr>
          <w:rFonts w:hint="eastAsia" w:ascii="仿宋_GB2312" w:hAnsi="Calibri" w:eastAsia="仿宋_GB2312" w:cs="仿宋"/>
          <w:color w:val="000000"/>
          <w:kern w:val="0"/>
          <w:sz w:val="32"/>
          <w:szCs w:val="32"/>
        </w:rPr>
        <w:t>万元，住房保障支出</w:t>
      </w:r>
      <w:r>
        <w:rPr>
          <w:rFonts w:hint="eastAsia" w:ascii="仿宋_GB2312" w:hAnsi="Calibri" w:eastAsia="仿宋_GB2312" w:cs="仿宋"/>
          <w:color w:val="000000"/>
          <w:kern w:val="0"/>
          <w:sz w:val="32"/>
          <w:szCs w:val="32"/>
          <w:lang w:val="en-US" w:eastAsia="zh-CN"/>
        </w:rPr>
        <w:t>79.83</w:t>
      </w:r>
      <w:r>
        <w:rPr>
          <w:rFonts w:hint="eastAsia" w:ascii="仿宋_GB2312" w:hAnsi="Calibri" w:eastAsia="仿宋_GB2312" w:cs="仿宋"/>
          <w:color w:val="000000"/>
          <w:kern w:val="0"/>
          <w:sz w:val="32"/>
          <w:szCs w:val="32"/>
        </w:rPr>
        <w:t>万元。</w:t>
      </w:r>
    </w:p>
    <w:p>
      <w:pPr>
        <w:spacing w:line="580" w:lineRule="exact"/>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bookmarkStart w:id="59" w:name="_Toc15396617"/>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年度宣汉县樊哙中学履职效益情况良好，认真遵守各项财务规章制度，严格执行各项支出审批程序，确保专款专用，无截留、挤占或挪用现象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74" w:name="_GoBack"/>
      <w:bookmarkEnd w:id="74"/>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hint="eastAsia" w:ascii="仿宋" w:hAnsi="仿宋" w:eastAsia="仿宋"/>
          <w:color w:val="000000"/>
          <w:lang w:eastAsia="zh-CN"/>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w:t>
      </w:r>
      <w:bookmarkEnd w:id="62"/>
      <w:r>
        <w:rPr>
          <w:rStyle w:val="25"/>
          <w:rFonts w:hint="eastAsia" w:ascii="仿宋" w:hAnsi="仿宋" w:eastAsia="仿宋"/>
          <w:b w:val="0"/>
          <w:bCs w:val="0"/>
          <w:lang w:eastAsia="zh-CN"/>
        </w:rPr>
        <w:t>决算表</w:t>
      </w:r>
    </w:p>
    <w:p>
      <w:pPr>
        <w:pStyle w:val="3"/>
        <w:rPr>
          <w:rStyle w:val="25"/>
          <w:rFonts w:hint="eastAsia" w:ascii="仿宋" w:hAnsi="仿宋" w:eastAsia="仿宋"/>
          <w:b w:val="0"/>
          <w:bCs w:val="0"/>
          <w:lang w:eastAsia="zh-CN"/>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w:t>
      </w:r>
      <w:bookmarkEnd w:id="63"/>
      <w:bookmarkStart w:id="64" w:name="_Toc15396622"/>
      <w:r>
        <w:rPr>
          <w:rStyle w:val="25"/>
          <w:rFonts w:hint="eastAsia" w:ascii="仿宋" w:hAnsi="仿宋" w:eastAsia="仿宋"/>
          <w:b w:val="0"/>
          <w:bCs w:val="0"/>
          <w:lang w:eastAsia="zh-CN"/>
        </w:rPr>
        <w:t>决算表</w:t>
      </w:r>
    </w:p>
    <w:p>
      <w:pPr>
        <w:pStyle w:val="3"/>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D20CE"/>
    <w:multiLevelType w:val="singleLevel"/>
    <w:tmpl w:val="9BCD20CE"/>
    <w:lvl w:ilvl="0" w:tentative="0">
      <w:start w:val="8"/>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E9856D1"/>
    <w:multiLevelType w:val="singleLevel"/>
    <w:tmpl w:val="DE9856D1"/>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58DFACD0"/>
    <w:multiLevelType w:val="singleLevel"/>
    <w:tmpl w:val="58DFACD0"/>
    <w:lvl w:ilvl="0" w:tentative="0">
      <w:start w:val="1"/>
      <w:numFmt w:val="decimal"/>
      <w:lvlText w:val="%1."/>
      <w:lvlJc w:val="left"/>
      <w:pPr>
        <w:tabs>
          <w:tab w:val="left" w:pos="312"/>
        </w:tabs>
      </w:pPr>
    </w:lvl>
  </w:abstractNum>
  <w:num w:numId="1">
    <w:abstractNumId w:val="6"/>
  </w:num>
  <w:num w:numId="2">
    <w:abstractNumId w:val="8"/>
  </w:num>
  <w:num w:numId="3">
    <w:abstractNumId w:val="0"/>
  </w:num>
  <w:num w:numId="4">
    <w:abstractNumId w:val="2"/>
  </w:num>
  <w:num w:numId="5">
    <w:abstractNumId w:val="7"/>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1A20"/>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3B01"/>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44B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147DF"/>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05152C"/>
    <w:rsid w:val="04F54A5B"/>
    <w:rsid w:val="10C055FF"/>
    <w:rsid w:val="16BB723D"/>
    <w:rsid w:val="240371BF"/>
    <w:rsid w:val="29FD04D3"/>
    <w:rsid w:val="2A125970"/>
    <w:rsid w:val="31650E11"/>
    <w:rsid w:val="319F7F4E"/>
    <w:rsid w:val="49EE3A87"/>
    <w:rsid w:val="513030DB"/>
    <w:rsid w:val="540F73DE"/>
    <w:rsid w:val="611004D3"/>
    <w:rsid w:val="6BC00EAF"/>
    <w:rsid w:val="73D068B9"/>
    <w:rsid w:val="FDFF12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0" i="0" u="none" strike="noStrike" kern="1200" spc="0" baseline="0">
                <a:solidFill>
                  <a:sysClr val="windowText" lastClr="000000">
                    <a:lumMod val="65000"/>
                    <a:lumOff val="35000"/>
                  </a:sysClr>
                </a:solidFill>
                <a:latin typeface="+mn-lt"/>
                <a:ea typeface="+mn-ea"/>
                <a:cs typeface="+mn-cs"/>
              </a:defRPr>
            </a:pPr>
            <a:r>
              <a:rPr lang="zh-CN" altLang="zh-CN" sz="1400" b="0" i="0" u="none" strike="noStrike" baseline="0">
                <a:effectLst/>
              </a:rPr>
              <a:t>收、支决算总</a:t>
            </a:r>
            <a:r>
              <a:rPr lang="zh-CN" altLang="en-US" sz="1400" b="0" i="0" u="none" strike="noStrike" baseline="0">
                <a:effectLst/>
              </a:rPr>
              <a:t>体</a:t>
            </a:r>
            <a:r>
              <a:rPr lang="zh-CN" altLang="zh-CN" sz="1400" b="0" i="0" u="none" strike="noStrike" baseline="0">
                <a:effectLst/>
              </a:rPr>
              <a:t>变动情况图</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2018年</c:v>
                </c:pt>
              </c:strCache>
            </c:strRef>
          </c:tx>
          <c:spPr>
            <a:solidFill>
              <a:srgbClr val="4F81BD"/>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trendline>
            <c:spPr>
              <a:ln w="19050" cap="rnd">
                <a:solidFill>
                  <a:srgbClr val="4F81BD"/>
                </a:solidFill>
                <a:prstDash val="sysDot"/>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1353.82</c:v>
                </c:pt>
                <c:pt idx="1">
                  <c:v>1353.82</c:v>
                </c:pt>
              </c:numCache>
            </c:numRef>
          </c:val>
        </c:ser>
        <c:ser>
          <c:idx val="1"/>
          <c:order val="1"/>
          <c:tx>
            <c:strRef>
              <c:f>Sheet1!$C$1</c:f>
              <c:strCache>
                <c:ptCount val="1"/>
                <c:pt idx="0">
                  <c:v>2019年</c:v>
                </c:pt>
              </c:strCache>
            </c:strRef>
          </c:tx>
          <c:spPr>
            <a:solidFill>
              <a:srgbClr val="C0504D"/>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1475.86</c:v>
                </c:pt>
                <c:pt idx="1">
                  <c:v>1475.86</c:v>
                </c:pt>
              </c:numCache>
            </c:numRef>
          </c:val>
        </c:ser>
        <c:dLbls>
          <c:showLegendKey val="false"/>
          <c:showVal val="true"/>
          <c:showCatName val="false"/>
          <c:showSerName val="false"/>
          <c:showPercent val="false"/>
          <c:showBubbleSize val="false"/>
        </c:dLbls>
        <c:gapWidth val="219"/>
        <c:overlap val="-27"/>
        <c:axId val="372912400"/>
        <c:axId val="372914640"/>
      </c:barChart>
      <c:catAx>
        <c:axId val="372912400"/>
        <c:scaling>
          <c:orientation val="minMax"/>
        </c:scaling>
        <c:delete val="false"/>
        <c:axPos val="b"/>
        <c:numFmt formatCode="General" sourceLinked="true"/>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372914640"/>
        <c:crosses val="autoZero"/>
        <c:auto val="true"/>
        <c:lblAlgn val="ctr"/>
        <c:lblOffset val="100"/>
        <c:noMultiLvlLbl val="false"/>
      </c:catAx>
      <c:valAx>
        <c:axId val="372914640"/>
        <c:scaling>
          <c:orientation val="minMax"/>
          <c:min val="0"/>
        </c:scaling>
        <c:delete val="false"/>
        <c:axPos val="l"/>
        <c:majorGridlines>
          <c:spPr>
            <a:ln w="9525" cap="flat" cmpd="sng" algn="ctr">
              <a:solidFill>
                <a:sysClr val="windowText" lastClr="000000">
                  <a:lumMod val="15000"/>
                  <a:lumOff val="85000"/>
                </a:sys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372912400"/>
        <c:crosses val="autoZero"/>
        <c:crossBetween val="between"/>
        <c:majorUnit val="100"/>
      </c:valAx>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800" b="1" i="0" u="none" strike="noStrike" kern="1200" baseline="0">
                <a:solidFill>
                  <a:sysClr val="windowText" lastClr="000000">
                    <a:lumMod val="75000"/>
                    <a:lumOff val="25000"/>
                  </a:sysClr>
                </a:solidFill>
                <a:latin typeface="+mn-lt"/>
                <a:ea typeface="+mn-ea"/>
                <a:cs typeface="+mn-cs"/>
              </a:defRPr>
            </a:pPr>
            <a:r>
              <a:rPr lang="zh-CN"/>
              <a:t>收入决算结构图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c:explosion val="0"/>
          <c:dPt>
            <c:idx val="0"/>
            <c:bubble3D val="false"/>
            <c:explosion val="2"/>
            <c:spPr>
              <a:solidFill>
                <a:srgbClr val="4F81BD"/>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77619d84-f127-4a19-89a4-cfaff4b16faa}"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ysClr val="window" lastClr="FFFFFF"/>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ysClr val="windowText" lastClr="000000">
                          <a:lumMod val="50000"/>
                          <a:lumOff val="50000"/>
                        </a:sysClr>
                      </a:solidFill>
                    </a:ln>
                    <a:effectLst/>
                  </c:spPr>
                </c15:leaderLines>
              </c:ext>
            </c:extLst>
          </c:dLbls>
          <c:cat>
            <c:strRef>
              <c:f>Sheet1!$A$2</c:f>
              <c:strCache>
                <c:ptCount val="1"/>
                <c:pt idx="0">
                  <c:v>一般公共预算财政拨款</c:v>
                </c:pt>
              </c:strCache>
            </c:strRef>
          </c:cat>
          <c:val>
            <c:numRef>
              <c:f>Sheet1!$B$2</c:f>
              <c:numCache>
                <c:formatCode>0%</c:formatCode>
                <c:ptCount val="1"/>
                <c:pt idx="0">
                  <c:v>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ysClr val="window" lastClr="FFFFFF">
            <a:lumMod val="95000"/>
            <a:alpha val="39000"/>
          </a:sysClr>
        </a:solid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legend>
    <c:plotVisOnly val="true"/>
    <c:dispBlanksAs val="gap"/>
    <c:showDLblsOverMax val="false"/>
  </c:chart>
  <c:spPr>
    <a:gradFill flip="none" rotWithShape="true">
      <a:gsLst>
        <a:gs pos="0">
          <a:sysClr val="window" lastClr="FFFFFF"/>
        </a:gs>
        <a:gs pos="39000">
          <a:sysClr val="window" lastClr="FFFFFF"/>
        </a:gs>
        <a:gs pos="100000">
          <a:sysClr val="window" lastClr="FFFFFF">
            <a:lumMod val="75000"/>
          </a:sysClr>
        </a:gs>
      </a:gsLst>
      <a:path path="circle">
        <a:fillToRect l="50000" t="-80000" r="50000" b="180000"/>
      </a:path>
      <a:tileRect/>
    </a:gradFill>
    <a:ln w="9525" cap="flat" cmpd="sng" algn="ctr">
      <a:solidFill>
        <a:sysClr val="windowText" lastClr="000000">
          <a:lumMod val="25000"/>
          <a:lumOff val="75000"/>
        </a:sys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800" b="1" i="0" u="none" strike="noStrike" kern="1200" baseline="0">
                <a:solidFill>
                  <a:sysClr val="windowText" lastClr="000000">
                    <a:lumMod val="75000"/>
                    <a:lumOff val="25000"/>
                  </a:sysClr>
                </a:solidFill>
                <a:latin typeface="+mn-lt"/>
                <a:ea typeface="+mn-ea"/>
                <a:cs typeface="+mn-cs"/>
              </a:defRPr>
            </a:pPr>
            <a:r>
              <a:rPr lang="zh-CN"/>
              <a:t>支出决算结构图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支出决算</c:v>
                </c:pt>
              </c:strCache>
            </c:strRef>
          </c:tx>
          <c:spPr/>
          <c:explosion val="19"/>
          <c:dPt>
            <c:idx val="0"/>
            <c:bubble3D val="false"/>
            <c:explosion val="0"/>
            <c:spPr>
              <a:solidFill>
                <a:srgbClr val="4F81BD"/>
              </a:solidFill>
              <a:ln>
                <a:noFill/>
              </a:ln>
              <a:effectLst>
                <a:outerShdw blurRad="254000" sx="102000" sy="102000" algn="ctr" rotWithShape="0">
                  <a:prstClr val="black">
                    <a:alpha val="20000"/>
                  </a:prstClr>
                </a:outerShdw>
              </a:effectLst>
            </c:spPr>
          </c:dPt>
          <c:dPt>
            <c:idx val="1"/>
            <c:bubble3D val="false"/>
            <c:spPr>
              <a:solidFill>
                <a:srgbClr val="C0504D"/>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9bcc2ee4-2ea2-46e1-a63f-d14ee7c5c3b6}"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fld id="{fa284876-99cb-48f9-b8e6-5b8cf73dd4f4}"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ysClr val="window" lastClr="FFFFFF"/>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ysClr val="windowText" lastClr="000000">
                          <a:lumMod val="50000"/>
                          <a:lumOff val="50000"/>
                        </a:sys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0.8329</c:v>
                </c:pt>
                <c:pt idx="1">
                  <c:v>0.1671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ysClr val="window" lastClr="FFFFFF">
            <a:lumMod val="95000"/>
            <a:alpha val="39000"/>
          </a:sysClr>
        </a:solid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legend>
    <c:plotVisOnly val="true"/>
    <c:dispBlanksAs val="gap"/>
    <c:showDLblsOverMax val="false"/>
  </c:chart>
  <c:spPr>
    <a:gradFill flip="none" rotWithShape="true">
      <a:gsLst>
        <a:gs pos="0">
          <a:sysClr val="window" lastClr="FFFFFF"/>
        </a:gs>
        <a:gs pos="39000">
          <a:sysClr val="window" lastClr="FFFFFF"/>
        </a:gs>
        <a:gs pos="100000">
          <a:sysClr val="window" lastClr="FFFFFF">
            <a:lumMod val="75000"/>
          </a:sysClr>
        </a:gs>
      </a:gsLst>
      <a:path path="circle">
        <a:fillToRect l="50000" t="-80000" r="50000" b="180000"/>
      </a:path>
      <a:tileRect/>
    </a:gradFill>
    <a:ln w="9525" cap="flat" cmpd="sng" algn="ctr">
      <a:solidFill>
        <a:sysClr val="windowText" lastClr="000000">
          <a:lumMod val="25000"/>
          <a:lumOff val="75000"/>
        </a:sys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600" b="1" i="0" u="none" strike="noStrike" kern="1200" cap="all" spc="120" normalizeH="0" baseline="0">
                <a:solidFill>
                  <a:sysClr val="windowText" lastClr="000000">
                    <a:lumMod val="65000"/>
                    <a:lumOff val="35000"/>
                  </a:sysClr>
                </a:solidFill>
                <a:latin typeface="+mn-lt"/>
                <a:ea typeface="+mn-ea"/>
                <a:cs typeface="+mn-cs"/>
              </a:defRPr>
            </a:pPr>
            <a:r>
              <a:rPr lang="zh-CN" altLang="en-US"/>
              <a:t>图</a:t>
            </a:r>
            <a:r>
              <a:rPr lang="en-US" altLang="zh-CN"/>
              <a:t>4</a:t>
            </a:r>
            <a:r>
              <a:rPr lang="zh-CN" altLang="en-US"/>
              <a:t>：</a:t>
            </a:r>
            <a:r>
              <a:rPr lang="zh-CN"/>
              <a:t>财政拨款收、支决算总计变动情况</a:t>
            </a:r>
            <a:endParaRPr lang="zh-CN"/>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2019年</c:v>
                </c:pt>
              </c:strCache>
            </c:strRef>
          </c:tx>
          <c:spPr>
            <a:solidFill>
              <a:srgbClr val="4F81BD"/>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ysClr val="windowText" lastClr="000000">
                        <a:lumMod val="50000"/>
                        <a:lumOff val="50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ysClr val="windowText" lastClr="000000">
                          <a:lumMod val="35000"/>
                          <a:lumOff val="65000"/>
                        </a:sysClr>
                      </a:solidFill>
                    </a:ln>
                    <a:effectLst/>
                  </c:spPr>
                </c15:leaderLines>
              </c:ext>
            </c:extLst>
          </c:dLbls>
          <c:trendline>
            <c:spPr>
              <a:ln w="19050" cap="rnd">
                <a:solidFill>
                  <a:srgbClr val="4F81BD"/>
                </a:solidFill>
                <a:prstDash val="sysDash"/>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1475.86</c:v>
                </c:pt>
                <c:pt idx="1">
                  <c:v>1475.86</c:v>
                </c:pt>
              </c:numCache>
            </c:numRef>
          </c:val>
        </c:ser>
        <c:ser>
          <c:idx val="1"/>
          <c:order val="1"/>
          <c:tx>
            <c:strRef>
              <c:f>Sheet1!$C$1</c:f>
              <c:strCache>
                <c:ptCount val="1"/>
                <c:pt idx="0">
                  <c:v>2018年</c:v>
                </c:pt>
              </c:strCache>
            </c:strRef>
          </c:tx>
          <c:spPr>
            <a:solidFill>
              <a:srgbClr val="C0504D"/>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ysClr val="windowText" lastClr="000000">
                        <a:lumMod val="50000"/>
                        <a:lumOff val="50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ysClr val="windowText" lastClr="000000">
                          <a:lumMod val="35000"/>
                          <a:lumOff val="65000"/>
                        </a:sys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1353.82</c:v>
                </c:pt>
                <c:pt idx="1">
                  <c:v>1353.82</c:v>
                </c:pt>
              </c:numCache>
            </c:numRef>
          </c:val>
        </c:ser>
        <c:dLbls>
          <c:showLegendKey val="false"/>
          <c:showVal val="true"/>
          <c:showCatName val="false"/>
          <c:showSerName val="false"/>
          <c:showPercent val="false"/>
          <c:showBubbleSize val="false"/>
        </c:dLbls>
        <c:gapWidth val="444"/>
        <c:overlap val="-90"/>
        <c:axId val="588334416"/>
        <c:axId val="588334976"/>
      </c:barChart>
      <c:catAx>
        <c:axId val="588334416"/>
        <c:scaling>
          <c:orientation val="minMax"/>
        </c:scaling>
        <c:delete val="false"/>
        <c:axPos val="b"/>
        <c:majorGridlines>
          <c:spPr>
            <a:ln w="9525" cap="flat" cmpd="sng" algn="ctr">
              <a:solidFill>
                <a:sysClr val="windowText" lastClr="000000">
                  <a:lumMod val="15000"/>
                  <a:lumOff val="85000"/>
                </a:sysClr>
              </a:solidFill>
              <a:round/>
            </a:ln>
            <a:effectLst/>
          </c:spPr>
        </c:majorGridlines>
        <c:numFmt formatCode="General" sourceLinked="true"/>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true"/>
          <a:lstStyle/>
          <a:p>
            <a:pPr>
              <a:defRPr lang="zh-CN" sz="800" b="0" i="0" u="none" strike="noStrike" kern="1200" cap="all" spc="120" normalizeH="0" baseline="0">
                <a:solidFill>
                  <a:sysClr val="windowText" lastClr="000000">
                    <a:lumMod val="65000"/>
                    <a:lumOff val="35000"/>
                  </a:sysClr>
                </a:solidFill>
                <a:latin typeface="+mn-lt"/>
                <a:ea typeface="+mn-ea"/>
                <a:cs typeface="+mn-cs"/>
              </a:defRPr>
            </a:pPr>
          </a:p>
        </c:txPr>
        <c:crossAx val="588334976"/>
        <c:crosses val="autoZero"/>
        <c:auto val="true"/>
        <c:lblAlgn val="ctr"/>
        <c:lblOffset val="100"/>
        <c:noMultiLvlLbl val="false"/>
      </c:catAx>
      <c:valAx>
        <c:axId val="588334976"/>
        <c:scaling>
          <c:orientation val="minMax"/>
          <c:min val="100"/>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588334416"/>
        <c:crosses val="autoZero"/>
        <c:crossBetween val="between"/>
      </c:valAx>
      <c:spPr>
        <a:noFill/>
        <a:ln>
          <a:noFill/>
        </a:ln>
        <a:effectLst/>
      </c:spPr>
    </c:plotArea>
    <c:legend>
      <c:legendPos val="t"/>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54639820669729"/>
          <c:y val="0.0961538461538462"/>
          <c:w val="0.816590727257563"/>
          <c:h val="0.617266807995154"/>
        </c:manualLayout>
      </c:layout>
      <c:barChart>
        <c:barDir val="col"/>
        <c:grouping val="clustered"/>
        <c:varyColors val="false"/>
        <c:ser>
          <c:idx val="0"/>
          <c:order val="0"/>
          <c:tx>
            <c:strRef>
              <c:f>Sheet1!$B$1</c:f>
              <c:strCache>
                <c:ptCount val="1"/>
                <c:pt idx="0">
                  <c:v>2018年</c:v>
                </c:pt>
              </c:strCache>
            </c:strRef>
          </c:tx>
          <c:spPr>
            <a:solidFill>
              <a:srgbClr val="4F81BD"/>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1383.82</c:v>
                </c:pt>
              </c:numCache>
            </c:numRef>
          </c:val>
        </c:ser>
        <c:ser>
          <c:idx val="1"/>
          <c:order val="1"/>
          <c:tx>
            <c:strRef>
              <c:f>Sheet1!$C$1</c:f>
              <c:strCache>
                <c:ptCount val="1"/>
                <c:pt idx="0">
                  <c:v>2019年</c:v>
                </c:pt>
              </c:strCache>
            </c:strRef>
          </c:tx>
          <c:spPr>
            <a:solidFill>
              <a:srgbClr val="C0504D"/>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1475.86</c:v>
                </c:pt>
              </c:numCache>
            </c:numRef>
          </c:val>
        </c:ser>
        <c:dLbls>
          <c:showLegendKey val="false"/>
          <c:showVal val="true"/>
          <c:showCatName val="false"/>
          <c:showSerName val="false"/>
          <c:showPercent val="false"/>
          <c:showBubbleSize val="false"/>
        </c:dLbls>
        <c:gapWidth val="219"/>
        <c:overlap val="-27"/>
        <c:axId val="588337776"/>
        <c:axId val="425019760"/>
      </c:barChart>
      <c:catAx>
        <c:axId val="588337776"/>
        <c:scaling>
          <c:orientation val="minMax"/>
        </c:scaling>
        <c:delete val="false"/>
        <c:axPos val="b"/>
        <c:numFmt formatCode="General" sourceLinked="true"/>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425019760"/>
        <c:crosses val="autoZero"/>
        <c:auto val="true"/>
        <c:lblAlgn val="ctr"/>
        <c:lblOffset val="100"/>
        <c:noMultiLvlLbl val="false"/>
      </c:catAx>
      <c:valAx>
        <c:axId val="425019760"/>
        <c:scaling>
          <c:orientation val="minMax"/>
          <c:min val="0"/>
        </c:scaling>
        <c:delete val="false"/>
        <c:axPos val="l"/>
        <c:majorGridlines>
          <c:spPr>
            <a:ln w="9525" cap="flat" cmpd="sng" algn="ctr">
              <a:solidFill>
                <a:sysClr val="windowText" lastClr="000000">
                  <a:lumMod val="15000"/>
                  <a:lumOff val="85000"/>
                </a:sys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588337776"/>
        <c:crosses val="autoZero"/>
        <c:crossBetween val="between"/>
      </c:valAx>
      <c:dTable>
        <c:showHorzBorder val="true"/>
        <c:showVertBorder val="true"/>
        <c:showOutline val="true"/>
        <c:showKeys val="true"/>
        <c:spPr>
          <a:noFill/>
          <a:ln w="9525" cap="flat" cmpd="sng" algn="ctr">
            <a:solidFill>
              <a:sysClr val="windowText" lastClr="000000">
                <a:lumMod val="15000"/>
                <a:lumOff val="85000"/>
              </a:sysClr>
            </a:solidFill>
            <a:round/>
          </a:ln>
          <a:effectLst/>
        </c:spPr>
        <c:txPr>
          <a:bodyPr rot="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dTable>
      <c:spPr>
        <a:noFill/>
        <a:ln>
          <a:noFill/>
        </a:ln>
        <a:effectLst/>
      </c:spPr>
    </c:plotArea>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600" b="1" i="0" u="none" strike="noStrike" kern="1200" baseline="0">
                <a:solidFill>
                  <a:sysClr val="windowText" lastClr="000000">
                    <a:lumMod val="65000"/>
                    <a:lumOff val="35000"/>
                  </a:sysClr>
                </a:solidFill>
                <a:latin typeface="+mn-lt"/>
                <a:ea typeface="+mn-ea"/>
                <a:cs typeface="+mn-cs"/>
              </a:defRPr>
            </a:pPr>
            <a:r>
              <a:rPr lang="zh-CN" altLang="en-US" sz="1600" b="1" i="0" u="none" strike="noStrike" baseline="0">
                <a:effectLst/>
              </a:rPr>
              <a:t>图六：</a:t>
            </a:r>
            <a:r>
              <a:rPr lang="zh-CN" altLang="zh-CN" sz="1600" b="1" i="0" u="none" strike="noStrike" baseline="0">
                <a:effectLst/>
              </a:rPr>
              <a:t>一般公共预算财政拨款支出决算结构</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支出情况</c:v>
                </c:pt>
              </c:strCache>
            </c:strRef>
          </c:tx>
          <c:spPr/>
          <c:explosion val="0"/>
          <c:dPt>
            <c:idx val="0"/>
            <c:bubble3D val="false"/>
            <c:spPr>
              <a:gradFill rotWithShape="true">
                <a:gsLst>
                  <a:gs pos="0">
                    <a:srgbClr val="4F81BD">
                      <a:shade val="51000"/>
                      <a:satMod val="130000"/>
                    </a:srgbClr>
                  </a:gs>
                  <a:gs pos="80000">
                    <a:srgbClr val="4F81BD">
                      <a:shade val="93000"/>
                      <a:satMod val="130000"/>
                    </a:srgbClr>
                  </a:gs>
                  <a:gs pos="100000">
                    <a:srgbClr val="4F81BD">
                      <a:shade val="94000"/>
                      <a:satMod val="135000"/>
                    </a:srgb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false"/>
            <c:spPr>
              <a:gradFill rotWithShape="true">
                <a:gsLst>
                  <a:gs pos="0">
                    <a:srgbClr val="C0504D">
                      <a:shade val="51000"/>
                      <a:satMod val="130000"/>
                    </a:srgbClr>
                  </a:gs>
                  <a:gs pos="80000">
                    <a:srgbClr val="C0504D">
                      <a:shade val="93000"/>
                      <a:satMod val="130000"/>
                    </a:srgbClr>
                  </a:gs>
                  <a:gs pos="100000">
                    <a:srgbClr val="C0504D">
                      <a:shade val="94000"/>
                      <a:satMod val="135000"/>
                    </a:srgb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false"/>
            <c:spPr>
              <a:gradFill rotWithShape="true">
                <a:gsLst>
                  <a:gs pos="0">
                    <a:srgbClr val="9BBB59">
                      <a:shade val="51000"/>
                      <a:satMod val="130000"/>
                    </a:srgbClr>
                  </a:gs>
                  <a:gs pos="80000">
                    <a:srgbClr val="9BBB59">
                      <a:shade val="93000"/>
                      <a:satMod val="130000"/>
                    </a:srgbClr>
                  </a:gs>
                  <a:gs pos="100000">
                    <a:srgbClr val="9BBB59">
                      <a:shade val="94000"/>
                      <a:satMod val="135000"/>
                    </a:srgb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false"/>
            <c:spPr>
              <a:gradFill rotWithShape="true">
                <a:gsLst>
                  <a:gs pos="0">
                    <a:srgbClr val="8064A2">
                      <a:shade val="51000"/>
                      <a:satMod val="130000"/>
                    </a:srgbClr>
                  </a:gs>
                  <a:gs pos="80000">
                    <a:srgbClr val="8064A2">
                      <a:shade val="93000"/>
                      <a:satMod val="130000"/>
                    </a:srgbClr>
                  </a:gs>
                  <a:gs pos="100000">
                    <a:srgbClr val="8064A2">
                      <a:shade val="94000"/>
                      <a:satMod val="135000"/>
                    </a:srgb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elete val="true"/>
          </c:dLbls>
          <c:cat>
            <c:strRef>
              <c:f>Sheet1!$A$2:$A$5</c:f>
              <c:strCache>
                <c:ptCount val="4"/>
                <c:pt idx="0">
                  <c:v>教育支出</c:v>
                </c:pt>
                <c:pt idx="1">
                  <c:v>社会保障和就业</c:v>
                </c:pt>
                <c:pt idx="2">
                  <c:v>医疗卫生支出</c:v>
                </c:pt>
                <c:pt idx="3">
                  <c:v>住房保障支出</c:v>
                </c:pt>
              </c:strCache>
            </c:strRef>
          </c:cat>
          <c:val>
            <c:numRef>
              <c:f>Sheet1!$B$2:$B$5</c:f>
              <c:numCache>
                <c:formatCode>0.00%</c:formatCode>
                <c:ptCount val="4"/>
                <c:pt idx="0">
                  <c:v>0.8368</c:v>
                </c:pt>
                <c:pt idx="1">
                  <c:v>0.0798</c:v>
                </c:pt>
                <c:pt idx="2">
                  <c:v>0.0293</c:v>
                </c:pt>
                <c:pt idx="3">
                  <c:v>0.0541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ysClr val="windowText" lastClr="000000">
        <a:lumMod val="65000"/>
        <a:lumOff val="35000"/>
      </a:sysClr>
    </cs:fontRef>
    <cs:defRPr sz="900" kern="1200"/>
  </cs:axisTitle>
  <cs:category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rgbClr val="1F497D"/>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ysClr val="windowText" lastClr="000000"/>
    </cs:fontRef>
  </cs:dataPoint>
  <cs:dataPoint3D>
    <cs:lnRef idx="0"/>
    <cs:fillRef idx="3">
      <cs:styleClr val="auto"/>
    </cs:fillRef>
    <cs:effectRef idx="3"/>
    <cs:fontRef idx="minor">
      <a:sysClr val="windowText" lastClr="000000"/>
    </cs:fontRef>
  </cs:dataPoint3D>
  <cs:dataPointLine>
    <cs:lnRef idx="0">
      <cs:styleClr val="auto"/>
    </cs:lnRef>
    <cs:fillRef idx="3"/>
    <cs:effectRef idx="3"/>
    <cs:fontRef idx="minor">
      <a:sysClr val="windowText" lastClr="000000"/>
    </cs:fontRef>
    <cs:spPr>
      <a:ln w="34925" cap="rnd">
        <a:solidFill>
          <a:schemeClr val="phClr"/>
        </a:solidFill>
        <a:round/>
      </a:ln>
    </cs:spPr>
  </cs:dataPointLine>
  <cs:dataPointMarker>
    <cs:lnRef idx="0">
      <cs:styleClr val="auto"/>
    </cs:lnRef>
    <cs:fillRef idx="3">
      <cs:styleClr val="auto"/>
    </cs:fillRef>
    <cs:effectRef idx="3"/>
    <cs:fontRef idx="minor">
      <a:sysClr val="windowText" lastClr="000000"/>
    </cs:fontRef>
    <cs:spPr>
      <a:ln w="9525">
        <a:solidFill>
          <a:schemeClr val="phClr"/>
        </a:solidFill>
        <a:round/>
      </a:ln>
    </cs:spPr>
  </cs:dataPointMarker>
  <cs:dataPointMarkerLayout symbol="circle" size="6"/>
  <cs:dataPointWireframe>
    <cs:lnRef idx="0">
      <cs:styleClr val="auto"/>
    </cs:lnRef>
    <cs:fillRef idx="3"/>
    <cs:effectRef idx="3"/>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 lastClr="FFFFFF"/>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 lastClr="FFFFFF"/>
    </cs:fontRef>
  </cs:plotArea>
  <cs:plotArea3D>
    <cs:lnRef idx="0"/>
    <cs:fillRef idx="0"/>
    <cs:effectRef idx="0"/>
    <cs:fontRef idx="minor">
      <a:sysClr val="window" lastClr="FFFFFF"/>
    </cs:fontRef>
  </cs:plotArea3D>
  <cs:series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baseline="0"/>
  </cs:title>
  <cs:trendline>
    <cs:lnRef idx="0">
      <cs:styleClr val="auto"/>
    </cs:lnRef>
    <cs:fillRef idx="0"/>
    <cs:effectRef idx="0"/>
    <cs:fontRef idx="minor">
      <a:sysClr val="window" lastClr="FFFFFF"/>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 lastClr="FFFFFF"/>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ysClr val="windowText" lastClr="000000">
        <a:lumMod val="75000"/>
        <a:lumOff val="25000"/>
      </a:sysClr>
    </cs:fontRef>
    <cs:defRPr sz="900" b="1" kern="1200"/>
  </cs:axisTitle>
  <cs:categoryAxis>
    <cs:lnRef idx="0"/>
    <cs:fillRef idx="0"/>
    <cs:effectRef idx="0"/>
    <cs:fontRef idx="minor">
      <a:sysClr val="windowText" lastClr="000000">
        <a:lumMod val="75000"/>
        <a:lumOff val="25000"/>
      </a:sysClr>
    </cs:fontRef>
    <cs:spPr>
      <a:ln w="19050" cap="flat" cmpd="sng" algn="ctr">
        <a:solidFill>
          <a:sysClr val="windowText" lastClr="000000">
            <a:lumMod val="75000"/>
            <a:lumOff val="25000"/>
          </a:sysClr>
        </a:solidFill>
        <a:round/>
      </a:ln>
    </cs:spPr>
    <cs:defRPr sz="900" kern="1200" cap="all" baseline="0"/>
  </cs:categoryAxis>
  <cs:chartArea>
    <cs:lnRef idx="0"/>
    <cs:fillRef idx="0"/>
    <cs:effectRef idx="0"/>
    <cs:fontRef idx="minor">
      <a:sysClr val="windowText" lastClr="000000"/>
    </cs:fontRef>
    <cs:spPr>
      <a:gradFill flip="none" rotWithShape="true">
        <a:gsLst>
          <a:gs pos="0">
            <a:sysClr val="window" lastClr="FFFFFF"/>
          </a:gs>
          <a:gs pos="39000">
            <a:sysClr val="window" lastClr="FFFFFF"/>
          </a:gs>
          <a:gs pos="100000">
            <a:sysClr val="window" lastClr="FFFFFF">
              <a:lumMod val="75000"/>
            </a:sysClr>
          </a:gs>
        </a:gsLst>
        <a:path path="circle">
          <a:fillToRect l="50000" t="-80000" r="50000" b="180000"/>
        </a:path>
        <a:tileRect/>
      </a:gradFill>
      <a:ln w="9525" cap="flat" cmpd="sng" algn="ctr">
        <a:solidFill>
          <a:sysClr val="windowText" lastClr="000000">
            <a:lumMod val="25000"/>
            <a:lumOff val="75000"/>
          </a:sysClr>
        </a:solidFill>
        <a:round/>
      </a:ln>
    </cs:spPr>
    <cs:defRPr sz="900" kern="1200"/>
  </cs:chartArea>
  <cs:dataLabel>
    <cs:lnRef idx="0"/>
    <cs:fillRef idx="0"/>
    <cs:effectRef idx="0"/>
    <cs:fontRef idx="minor">
      <a:sysClr val="window" lastClr="FFFFFF"/>
    </cs:fontRef>
    <cs:spPr>
      <a:pattFill prst="pct75">
        <a:fgClr>
          <a:sysClr val="windowText" lastClr="000000">
            <a:lumMod val="75000"/>
            <a:lumOff val="25000"/>
          </a:sysClr>
        </a:fgClr>
        <a:bgClr>
          <a:sysClr val="windowText" lastClr="000000">
            <a:lumMod val="65000"/>
            <a:lumOff val="35000"/>
          </a:sys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ysClr val="window" lastClr="FFFFFF"/>
    </cs:fontRef>
    <cs:spPr>
      <a:pattFill prst="pct75">
        <a:fgClr>
          <a:sysClr val="windowText" lastClr="000000">
            <a:lumMod val="75000"/>
            <a:lumOff val="25000"/>
          </a:sysClr>
        </a:fgClr>
        <a:bgClr>
          <a:sysClr val="windowText" lastClr="000000">
            <a:lumMod val="65000"/>
            <a:lumOff val="35000"/>
          </a:sys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ysClr val="windowText" lastClr="000000"/>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ysClr val="windowText" lastClr="000000"/>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ysClr val="windowText" lastClr="000000"/>
    </cs:fontRef>
    <cs:spPr>
      <a:ln w="31750" cap="rnd">
        <a:solidFill>
          <a:schemeClr val="phClr">
            <a:alpha val="85000"/>
          </a:schemeClr>
        </a:solidFill>
        <a:round/>
      </a:ln>
    </cs:spPr>
  </cs:dataPointLine>
  <cs:dataPointMarker>
    <cs:lnRef idx="0"/>
    <cs:fillRef idx="0">
      <cs:styleClr val="auto"/>
    </cs:fillRef>
    <cs:effectRef idx="0"/>
    <cs:fontRef idx="minor">
      <a:sysClr val="windowText" lastClr="000000"/>
    </cs:fontRef>
    <cs:spPr>
      <a:solidFill>
        <a:schemeClr val="phClr">
          <a:alpha val="85000"/>
        </a:scheme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75000"/>
        <a:lumOff val="25000"/>
      </a:sysClr>
    </cs:fontRef>
    <cs:spPr>
      <a:ln w="9525">
        <a:solidFill>
          <a:sysClr val="windowText" lastClr="000000">
            <a:lumMod val="35000"/>
            <a:lumOff val="65000"/>
          </a:sysClr>
        </a:solidFill>
      </a:ln>
    </cs:spPr>
    <cs:defRPr sz="900" kern="1200"/>
  </cs:dataTable>
  <cs:downBar>
    <cs:lnRef idx="0"/>
    <cs:fillRef idx="0"/>
    <cs:effectRef idx="0"/>
    <cs:fontRef idx="minor">
      <a:sysClr val="windowText" lastClr="000000"/>
    </cs:fontRef>
    <cs:spPr>
      <a:solidFill>
        <a:sysClr val="windowText" lastClr="000000">
          <a:lumMod val="50000"/>
          <a:lumOff val="50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100000">
              <a:sysClr val="windowText" lastClr="000000">
                <a:lumMod val="95000"/>
                <a:lumOff val="5000"/>
                <a:alpha val="42000"/>
              </a:sysClr>
            </a:gs>
            <a:gs pos="0">
              <a:sysClr val="window" lastClr="FFFFFF">
                <a:lumMod val="75000"/>
                <a:alpha val="36000"/>
              </a:sysClr>
            </a:gs>
          </a:gsLst>
          <a:lin ang="5400000" scaled="false"/>
        </a:gradFill>
        <a:round/>
      </a:ln>
    </cs:spPr>
  </cs:gridlineMajor>
  <cs:gridlineMinor>
    <cs:lnRef idx="0"/>
    <cs:fillRef idx="0"/>
    <cs:effectRef idx="0"/>
    <cs:fontRef idx="minor">
      <a:sysClr val="windowText" lastClr="000000"/>
    </cs:fontRef>
    <cs:spPr>
      <a:ln>
        <a:gradFill>
          <a:gsLst>
            <a:gs pos="100000">
              <a:sysClr val="windowText" lastClr="000000">
                <a:lumMod val="95000"/>
                <a:lumOff val="5000"/>
                <a:alpha val="42000"/>
              </a:sysClr>
            </a:gs>
            <a:gs pos="0">
              <a:sysClr val="window" lastClr="FFFFFF">
                <a:lumMod val="75000"/>
                <a:alpha val="36000"/>
              </a:sysClr>
            </a:gs>
          </a:gsLst>
          <a:lin ang="5400000" scaled="false"/>
        </a:gradFill>
      </a:ln>
    </cs:spPr>
  </cs:gridlineMinor>
  <cs:hiLoLine>
    <cs:lnRef idx="0"/>
    <cs:fillRef idx="0"/>
    <cs:effectRef idx="0"/>
    <cs:fontRef idx="minor">
      <a:sysClr val="windowText" lastClr="000000"/>
    </cs:fontRef>
    <cs:spPr>
      <a:ln w="9525">
        <a:solidFill>
          <a:sysClr val="windowText" lastClr="000000">
            <a:lumMod val="35000"/>
            <a:lumOff val="65000"/>
          </a:sysClr>
        </a:solidFill>
        <a:prstDash val="dash"/>
      </a:ln>
    </cs:spPr>
  </cs:hiLoLine>
  <cs:leaderLine>
    <cs:lnRef idx="0"/>
    <cs:fillRef idx="0"/>
    <cs:effectRef idx="0"/>
    <cs:fontRef idx="minor">
      <a:sysClr val="windowText" lastClr="000000"/>
    </cs:fontRef>
    <cs:spPr>
      <a:ln w="9525">
        <a:solidFill>
          <a:sysClr val="windowText" lastClr="000000">
            <a:lumMod val="50000"/>
            <a:lumOff val="50000"/>
          </a:sysClr>
        </a:solidFill>
      </a:ln>
    </cs:spPr>
  </cs:leaderLine>
  <cs:legend>
    <cs:lnRef idx="0"/>
    <cs:fillRef idx="0"/>
    <cs:effectRef idx="0"/>
    <cs:fontRef idx="minor">
      <a:sysClr val="windowText" lastClr="000000">
        <a:lumMod val="75000"/>
        <a:lumOff val="25000"/>
      </a:sysClr>
    </cs:fontRef>
    <cs:spPr>
      <a:solidFill>
        <a:sysClr val="window" lastClr="FFFFFF">
          <a:lumMod val="95000"/>
          <a:alpha val="39000"/>
        </a:sysClr>
      </a:solidFill>
    </cs:spPr>
    <cs:defRPr sz="900" kern="1200"/>
  </cs:legend>
  <cs:plotArea>
    <cs:lnRef idx="0"/>
    <cs:fillRef idx="0"/>
    <cs:effectRef idx="0"/>
    <cs:fontRef idx="minor">
      <a:sysClr val="windowText" lastClr="000000"/>
    </cs:fontRef>
  </cs:plotArea>
  <cs:plotArea3D>
    <cs:lnRef idx="0"/>
    <cs:fillRef idx="0"/>
    <cs:effectRef idx="0"/>
    <cs:fontRef idx="minor">
      <a:sysClr val="windowText" lastClr="000000"/>
    </cs:fontRef>
  </cs:plotArea3D>
  <cs:seriesAxis>
    <cs:lnRef idx="0"/>
    <cs:fillRef idx="0"/>
    <cs:effectRef idx="0"/>
    <cs:fontRef idx="minor">
      <a:sysClr val="windowText" lastClr="000000">
        <a:lumMod val="75000"/>
        <a:lumOff val="25000"/>
      </a:sysClr>
    </cs:fontRef>
    <cs:spPr>
      <a:ln w="31750" cap="flat" cmpd="sng" algn="ctr">
        <a:solidFill>
          <a:sysClr val="windowText" lastClr="000000">
            <a:lumMod val="75000"/>
            <a:lumOff val="25000"/>
          </a:sysClr>
        </a:solidFill>
        <a:round/>
      </a:ln>
    </cs:spPr>
    <cs:defRPr sz="900" kern="1200"/>
  </cs:seriesAxis>
  <cs:seriesLine>
    <cs:lnRef idx="0"/>
    <cs:fillRef idx="0"/>
    <cs:effectRef idx="0"/>
    <cs:fontRef idx="minor">
      <a:sysClr val="windowText" lastClr="000000"/>
    </cs:fontRef>
    <cs:spPr>
      <a:ln w="9525">
        <a:solidFill>
          <a:sysClr val="windowText" lastClr="000000">
            <a:lumMod val="50000"/>
            <a:lumOff val="50000"/>
          </a:sysClr>
        </a:solidFill>
        <a:round/>
      </a:ln>
    </cs:spPr>
  </cs:seriesLine>
  <cs:title>
    <cs:lnRef idx="0"/>
    <cs:fillRef idx="0"/>
    <cs:effectRef idx="0"/>
    <cs:fontRef idx="minor">
      <a:sysClr val="windowText" lastClr="000000">
        <a:lumMod val="75000"/>
        <a:lumOff val="25000"/>
      </a:sysClr>
    </cs:fontRef>
    <cs:defRPr sz="1800" b="1" kern="120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75000"/>
        <a:lumOff val="2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75000"/>
        <a:lumOff val="25000"/>
      </a:sysClr>
    </cs:fontRef>
    <cs:spPr>
      <a:ln>
        <a:noFill/>
      </a:ln>
    </cs:spPr>
    <cs:defRPr sz="900" kern="1200"/>
  </cs:valueAxis>
  <cs:wall>
    <cs:lnRef idx="0"/>
    <cs:fillRef idx="0"/>
    <cs:effectRef idx="0"/>
    <cs:fontRef idx="minor">
      <a:sysClr val="windowText" lastClr="000000"/>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ysClr val="windowText" lastClr="000000">
        <a:lumMod val="75000"/>
        <a:lumOff val="25000"/>
      </a:sysClr>
    </cs:fontRef>
    <cs:defRPr sz="900" b="1" kern="1200"/>
  </cs:axisTitle>
  <cs:categoryAxis>
    <cs:lnRef idx="0"/>
    <cs:fillRef idx="0"/>
    <cs:effectRef idx="0"/>
    <cs:fontRef idx="minor">
      <a:sysClr val="windowText" lastClr="000000">
        <a:lumMod val="75000"/>
        <a:lumOff val="25000"/>
      </a:sysClr>
    </cs:fontRef>
    <cs:spPr>
      <a:ln w="19050" cap="flat" cmpd="sng" algn="ctr">
        <a:solidFill>
          <a:sysClr val="windowText" lastClr="000000">
            <a:lumMod val="75000"/>
            <a:lumOff val="25000"/>
          </a:sysClr>
        </a:solidFill>
        <a:round/>
      </a:ln>
    </cs:spPr>
    <cs:defRPr sz="900" kern="1200" cap="all" baseline="0"/>
  </cs:categoryAxis>
  <cs:chartArea>
    <cs:lnRef idx="0"/>
    <cs:fillRef idx="0"/>
    <cs:effectRef idx="0"/>
    <cs:fontRef idx="minor">
      <a:sysClr val="windowText" lastClr="000000"/>
    </cs:fontRef>
    <cs:spPr>
      <a:gradFill flip="none" rotWithShape="true">
        <a:gsLst>
          <a:gs pos="0">
            <a:sysClr val="window" lastClr="FFFFFF"/>
          </a:gs>
          <a:gs pos="39000">
            <a:sysClr val="window" lastClr="FFFFFF"/>
          </a:gs>
          <a:gs pos="100000">
            <a:sysClr val="window" lastClr="FFFFFF">
              <a:lumMod val="75000"/>
            </a:sysClr>
          </a:gs>
        </a:gsLst>
        <a:path path="circle">
          <a:fillToRect l="50000" t="-80000" r="50000" b="180000"/>
        </a:path>
        <a:tileRect/>
      </a:gradFill>
      <a:ln w="9525" cap="flat" cmpd="sng" algn="ctr">
        <a:solidFill>
          <a:sysClr val="windowText" lastClr="000000">
            <a:lumMod val="25000"/>
            <a:lumOff val="75000"/>
          </a:sysClr>
        </a:solidFill>
        <a:round/>
      </a:ln>
    </cs:spPr>
    <cs:defRPr sz="900" kern="1200"/>
  </cs:chartArea>
  <cs:dataLabel>
    <cs:lnRef idx="0"/>
    <cs:fillRef idx="0"/>
    <cs:effectRef idx="0"/>
    <cs:fontRef idx="minor">
      <a:sysClr val="window" lastClr="FFFFFF"/>
    </cs:fontRef>
    <cs:spPr>
      <a:pattFill prst="pct75">
        <a:fgClr>
          <a:sysClr val="windowText" lastClr="000000">
            <a:lumMod val="75000"/>
            <a:lumOff val="25000"/>
          </a:sysClr>
        </a:fgClr>
        <a:bgClr>
          <a:sysClr val="windowText" lastClr="000000">
            <a:lumMod val="65000"/>
            <a:lumOff val="35000"/>
          </a:sys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ysClr val="window" lastClr="FFFFFF"/>
    </cs:fontRef>
    <cs:spPr>
      <a:pattFill prst="pct75">
        <a:fgClr>
          <a:sysClr val="windowText" lastClr="000000">
            <a:lumMod val="75000"/>
            <a:lumOff val="25000"/>
          </a:sysClr>
        </a:fgClr>
        <a:bgClr>
          <a:sysClr val="windowText" lastClr="000000">
            <a:lumMod val="65000"/>
            <a:lumOff val="35000"/>
          </a:sys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ysClr val="windowText" lastClr="000000"/>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ysClr val="windowText" lastClr="000000"/>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ysClr val="windowText" lastClr="000000"/>
    </cs:fontRef>
    <cs:spPr>
      <a:ln w="31750" cap="rnd">
        <a:solidFill>
          <a:schemeClr val="phClr">
            <a:alpha val="85000"/>
          </a:schemeClr>
        </a:solidFill>
        <a:round/>
      </a:ln>
    </cs:spPr>
  </cs:dataPointLine>
  <cs:dataPointMarker>
    <cs:lnRef idx="0"/>
    <cs:fillRef idx="0">
      <cs:styleClr val="auto"/>
    </cs:fillRef>
    <cs:effectRef idx="0"/>
    <cs:fontRef idx="minor">
      <a:sysClr val="windowText" lastClr="000000"/>
    </cs:fontRef>
    <cs:spPr>
      <a:solidFill>
        <a:schemeClr val="phClr">
          <a:alpha val="85000"/>
        </a:scheme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75000"/>
        <a:lumOff val="25000"/>
      </a:sysClr>
    </cs:fontRef>
    <cs:spPr>
      <a:ln w="9525">
        <a:solidFill>
          <a:sysClr val="windowText" lastClr="000000">
            <a:lumMod val="35000"/>
            <a:lumOff val="65000"/>
          </a:sysClr>
        </a:solidFill>
      </a:ln>
    </cs:spPr>
    <cs:defRPr sz="900" kern="1200"/>
  </cs:dataTable>
  <cs:downBar>
    <cs:lnRef idx="0"/>
    <cs:fillRef idx="0"/>
    <cs:effectRef idx="0"/>
    <cs:fontRef idx="minor">
      <a:sysClr val="windowText" lastClr="000000"/>
    </cs:fontRef>
    <cs:spPr>
      <a:solidFill>
        <a:sysClr val="windowText" lastClr="000000">
          <a:lumMod val="50000"/>
          <a:lumOff val="50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100000">
              <a:sysClr val="windowText" lastClr="000000">
                <a:lumMod val="95000"/>
                <a:lumOff val="5000"/>
                <a:alpha val="42000"/>
              </a:sysClr>
            </a:gs>
            <a:gs pos="0">
              <a:sysClr val="window" lastClr="FFFFFF">
                <a:lumMod val="75000"/>
                <a:alpha val="36000"/>
              </a:sysClr>
            </a:gs>
          </a:gsLst>
          <a:lin ang="5400000" scaled="false"/>
        </a:gradFill>
        <a:round/>
      </a:ln>
    </cs:spPr>
  </cs:gridlineMajor>
  <cs:gridlineMinor>
    <cs:lnRef idx="0"/>
    <cs:fillRef idx="0"/>
    <cs:effectRef idx="0"/>
    <cs:fontRef idx="minor">
      <a:sysClr val="windowText" lastClr="000000"/>
    </cs:fontRef>
    <cs:spPr>
      <a:ln>
        <a:gradFill>
          <a:gsLst>
            <a:gs pos="100000">
              <a:sysClr val="windowText" lastClr="000000">
                <a:lumMod val="95000"/>
                <a:lumOff val="5000"/>
                <a:alpha val="42000"/>
              </a:sysClr>
            </a:gs>
            <a:gs pos="0">
              <a:sysClr val="window" lastClr="FFFFFF">
                <a:lumMod val="75000"/>
                <a:alpha val="36000"/>
              </a:sysClr>
            </a:gs>
          </a:gsLst>
          <a:lin ang="5400000" scaled="false"/>
        </a:gradFill>
      </a:ln>
    </cs:spPr>
  </cs:gridlineMinor>
  <cs:hiLoLine>
    <cs:lnRef idx="0"/>
    <cs:fillRef idx="0"/>
    <cs:effectRef idx="0"/>
    <cs:fontRef idx="minor">
      <a:sysClr val="windowText" lastClr="000000"/>
    </cs:fontRef>
    <cs:spPr>
      <a:ln w="9525">
        <a:solidFill>
          <a:sysClr val="windowText" lastClr="000000">
            <a:lumMod val="35000"/>
            <a:lumOff val="65000"/>
          </a:sysClr>
        </a:solidFill>
        <a:prstDash val="dash"/>
      </a:ln>
    </cs:spPr>
  </cs:hiLoLine>
  <cs:leaderLine>
    <cs:lnRef idx="0"/>
    <cs:fillRef idx="0"/>
    <cs:effectRef idx="0"/>
    <cs:fontRef idx="minor">
      <a:sysClr val="windowText" lastClr="000000"/>
    </cs:fontRef>
    <cs:spPr>
      <a:ln w="9525">
        <a:solidFill>
          <a:sysClr val="windowText" lastClr="000000">
            <a:lumMod val="50000"/>
            <a:lumOff val="50000"/>
          </a:sysClr>
        </a:solidFill>
      </a:ln>
    </cs:spPr>
  </cs:leaderLine>
  <cs:legend>
    <cs:lnRef idx="0"/>
    <cs:fillRef idx="0"/>
    <cs:effectRef idx="0"/>
    <cs:fontRef idx="minor">
      <a:sysClr val="windowText" lastClr="000000">
        <a:lumMod val="75000"/>
        <a:lumOff val="25000"/>
      </a:sysClr>
    </cs:fontRef>
    <cs:spPr>
      <a:solidFill>
        <a:sysClr val="window" lastClr="FFFFFF">
          <a:lumMod val="95000"/>
          <a:alpha val="39000"/>
        </a:sysClr>
      </a:solidFill>
    </cs:spPr>
    <cs:defRPr sz="900" kern="1200"/>
  </cs:legend>
  <cs:plotArea>
    <cs:lnRef idx="0"/>
    <cs:fillRef idx="0"/>
    <cs:effectRef idx="0"/>
    <cs:fontRef idx="minor">
      <a:sysClr val="windowText" lastClr="000000"/>
    </cs:fontRef>
  </cs:plotArea>
  <cs:plotArea3D>
    <cs:lnRef idx="0"/>
    <cs:fillRef idx="0"/>
    <cs:effectRef idx="0"/>
    <cs:fontRef idx="minor">
      <a:sysClr val="windowText" lastClr="000000"/>
    </cs:fontRef>
  </cs:plotArea3D>
  <cs:seriesAxis>
    <cs:lnRef idx="0"/>
    <cs:fillRef idx="0"/>
    <cs:effectRef idx="0"/>
    <cs:fontRef idx="minor">
      <a:sysClr val="windowText" lastClr="000000">
        <a:lumMod val="75000"/>
        <a:lumOff val="25000"/>
      </a:sysClr>
    </cs:fontRef>
    <cs:spPr>
      <a:ln w="31750" cap="flat" cmpd="sng" algn="ctr">
        <a:solidFill>
          <a:sysClr val="windowText" lastClr="000000">
            <a:lumMod val="75000"/>
            <a:lumOff val="25000"/>
          </a:sysClr>
        </a:solidFill>
        <a:round/>
      </a:ln>
    </cs:spPr>
    <cs:defRPr sz="900" kern="1200"/>
  </cs:seriesAxis>
  <cs:seriesLine>
    <cs:lnRef idx="0"/>
    <cs:fillRef idx="0"/>
    <cs:effectRef idx="0"/>
    <cs:fontRef idx="minor">
      <a:sysClr val="windowText" lastClr="000000"/>
    </cs:fontRef>
    <cs:spPr>
      <a:ln w="9525">
        <a:solidFill>
          <a:sysClr val="windowText" lastClr="000000">
            <a:lumMod val="50000"/>
            <a:lumOff val="50000"/>
          </a:sysClr>
        </a:solidFill>
        <a:round/>
      </a:ln>
    </cs:spPr>
  </cs:seriesLine>
  <cs:title>
    <cs:lnRef idx="0"/>
    <cs:fillRef idx="0"/>
    <cs:effectRef idx="0"/>
    <cs:fontRef idx="minor">
      <a:sysClr val="windowText" lastClr="000000">
        <a:lumMod val="75000"/>
        <a:lumOff val="25000"/>
      </a:sysClr>
    </cs:fontRef>
    <cs:defRPr sz="1800" b="1" kern="120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75000"/>
        <a:lumOff val="2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75000"/>
        <a:lumOff val="25000"/>
      </a:sysClr>
    </cs:fontRef>
    <cs:spPr>
      <a:ln>
        <a:noFill/>
      </a:ln>
    </cs:spPr>
    <cs:defRPr sz="900" kern="1200"/>
  </cs:valueAxis>
  <cs:wall>
    <cs:lnRef idx="0"/>
    <cs:fillRef idx="0"/>
    <cs:effectRef idx="0"/>
    <cs:fontRef idx="minor">
      <a:sysClr val="windowText" lastClr="000000"/>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ap="all" spc="120" normalizeH="0" baseline="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50000"/>
        <a:lumOff val="50000"/>
      </a:sys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15000"/>
            <a:lumOff val="8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cap="all" spc="120" normalizeH="0" baseline="0"/>
  </cs:title>
  <cs:trendline>
    <cs:lnRef idx="0">
      <cs:styleClr val="auto"/>
    </cs:lnRef>
    <cs:fillRef idx="0"/>
    <cs:effectRef idx="0"/>
    <cs:fontRef idx="minor">
      <a:sysClr val="windowText" lastClr="000000"/>
    </cs:fontRef>
    <cs:spPr>
      <a:ln w="19050" cap="rnd">
        <a:solidFill>
          <a:schemeClr val="phClr"/>
        </a:solidFill>
        <a:prstDash val="sysDash"/>
      </a:ln>
    </cs:spPr>
  </cs:trendline>
  <cs:trendlineLabel>
    <cs:lnRef idx="0"/>
    <cs:fillRef idx="0"/>
    <cs:effectRef idx="0"/>
    <cs:fontRef idx="minor">
      <a:sysClr val="windowText" lastClr="000000">
        <a:lumMod val="65000"/>
        <a:lumOff val="35000"/>
      </a:sysClr>
    </cs:fontRef>
    <cs:defRPr sz="8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valueAxis>
  <cs:wall>
    <cs:lnRef idx="0"/>
    <cs:fillRef idx="0"/>
    <cs:effectRef idx="0"/>
    <cs:fontRef idx="minor">
      <a:sysClr val="windowText" lastClr="000000"/>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1467</Words>
  <Characters>8364</Characters>
  <Lines>69</Lines>
  <Paragraphs>19</Paragraphs>
  <TotalTime>80</TotalTime>
  <ScaleCrop>false</ScaleCrop>
  <LinksUpToDate>false</LinksUpToDate>
  <CharactersWithSpaces>9812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2022-02-22T15:00:20Z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