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36"/>
          <w:szCs w:val="36"/>
        </w:rPr>
      </w:pPr>
      <w:bookmarkStart w:id="1" w:name="_Toc15377193"/>
      <w:bookmarkStart w:id="2" w:name="_Toc15378441"/>
      <w:bookmarkStart w:id="3" w:name="_Toc15396597"/>
      <w:bookmarkStart w:id="4" w:name="_Toc15396475"/>
      <w:bookmarkStart w:id="5" w:name="_Toc15377425"/>
      <w:r>
        <w:rPr>
          <w:rFonts w:ascii="黑体" w:hAnsi="黑体" w:eastAsia="黑体"/>
          <w:color w:val="000000"/>
          <w:sz w:val="36"/>
          <w:szCs w:val="36"/>
        </w:rPr>
        <w:t>201</w:t>
      </w:r>
      <w:r>
        <w:rPr>
          <w:rFonts w:hint="eastAsia" w:ascii="黑体" w:hAnsi="黑体" w:eastAsia="黑体"/>
          <w:color w:val="000000"/>
          <w:sz w:val="36"/>
          <w:szCs w:val="36"/>
        </w:rPr>
        <w:t>8</w:t>
      </w:r>
      <w:r>
        <w:rPr>
          <w:rFonts w:hint="eastAsia" w:ascii="方正小标宋简体" w:hAnsi="宋体" w:eastAsia="方正小标宋简体"/>
          <w:color w:val="000000"/>
          <w:sz w:val="36"/>
          <w:szCs w:val="36"/>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36"/>
          <w:szCs w:val="36"/>
        </w:rPr>
      </w:pPr>
    </w:p>
    <w:p>
      <w:pPr>
        <w:adjustRightInd w:val="0"/>
        <w:snapToGrid w:val="0"/>
        <w:spacing w:line="360" w:lineRule="auto"/>
        <w:jc w:val="center"/>
        <w:outlineLvl w:val="0"/>
        <w:rPr>
          <w:rFonts w:ascii="方正小标宋简体" w:hAnsi="宋体" w:eastAsia="方正小标宋简体"/>
          <w:color w:val="000000"/>
          <w:sz w:val="36"/>
          <w:szCs w:val="36"/>
        </w:rPr>
      </w:pPr>
      <w:bookmarkStart w:id="6" w:name="_Toc15377194"/>
      <w:bookmarkStart w:id="7" w:name="_Toc15396476"/>
      <w:bookmarkStart w:id="8" w:name="_Toc15396598"/>
      <w:bookmarkStart w:id="9" w:name="_Toc15377426"/>
      <w:bookmarkStart w:id="10" w:name="_Toc15378442"/>
      <w:r>
        <w:rPr>
          <w:rFonts w:hint="eastAsia" w:ascii="方正小标宋简体" w:hAnsi="宋体" w:eastAsia="方正小标宋简体"/>
          <w:color w:val="000000"/>
          <w:sz w:val="36"/>
          <w:szCs w:val="36"/>
        </w:rPr>
        <w:t>四川省</w:t>
      </w:r>
      <w:bookmarkEnd w:id="0"/>
      <w:bookmarkStart w:id="11" w:name="_Toc15306268"/>
      <w:r>
        <w:rPr>
          <w:rFonts w:hint="eastAsia" w:ascii="方正小标宋简体" w:hAnsi="宋体" w:eastAsia="方正小标宋简体"/>
          <w:color w:val="000000"/>
          <w:sz w:val="36"/>
          <w:szCs w:val="36"/>
        </w:rPr>
        <w:t>宣汉县樊哙镇小学部门决算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公开时间：2019年8月29日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7199"/>
      <w:bookmarkStart w:id="19" w:name="_Toc15378446"/>
    </w:p>
    <w:p>
      <w:pPr>
        <w:snapToGrid w:val="0"/>
        <w:spacing w:line="58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川省宣汉县樊哙镇小学是一所农村普通完全小学，所辖2所村小，2所民办学校，1个附属幼儿园，有学生1508人，26个教学班，教职工64人，其中在编教职工54人，特岗教师10人。主要职能是从事义务教育小学阶段的教育教学。</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pStyle w:val="4"/>
        <w:spacing w:before="0" w:after="0" w:line="578" w:lineRule="exact"/>
        <w:ind w:firstLine="560" w:firstLineChars="200"/>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年来，在上级的指引下，在党、政、工、团的同心协力下，在全体教职工的不懈努力下，以“办人民满意教育”为宗旨，以“让每一个孩子健康成长，快乐学习”为办学理念，开拓创新，积极探索新形式下农村教育教学工作的新途径和新方法。坚持德育为先，育人为本，突出教学工作的中心位置，让安全工作为学校保驾护航，致力校园文化建设，优化育人环境，陶冶情操。</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学校工作顺利、平稳、扎实推进，取得了有目共睹的成绩：</w:t>
      </w:r>
      <w:r>
        <w:rPr>
          <w:rFonts w:hint="eastAsia" w:ascii="仿宋_GB2312" w:hAnsi="仿宋_GB2312" w:eastAsia="仿宋_GB2312" w:cs="仿宋_GB2312"/>
          <w:kern w:val="0"/>
          <w:sz w:val="28"/>
          <w:szCs w:val="28"/>
        </w:rPr>
        <w:t>学校教育工作目标考核二等奖、连续获星级平安学校称号、全县宣传工作先进集体、市县爱国卫生先进集体、科技创新大赛组织奖等荣誉。</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5"/>
        <w:adjustRightInd w:val="0"/>
        <w:snapToGrid w:val="0"/>
        <w:spacing w:before="93" w:line="600" w:lineRule="exact"/>
        <w:ind w:firstLine="588" w:firstLineChars="210"/>
        <w:rPr>
          <w:color w:val="000000"/>
          <w:sz w:val="32"/>
          <w:szCs w:val="32"/>
        </w:rPr>
      </w:pPr>
      <w:bookmarkStart w:id="22" w:name="_Toc15377204"/>
      <w:bookmarkStart w:id="23" w:name="_Toc15396602"/>
      <w:r>
        <w:rPr>
          <w:rFonts w:hint="eastAsia" w:hAnsi="仿宋_GB2312" w:cs="仿宋_GB2312"/>
          <w:sz w:val="28"/>
          <w:szCs w:val="28"/>
        </w:rPr>
        <w:t>宣汉县樊哙镇小学属财政全额拨款事业单位1个</w:t>
      </w:r>
      <w:r>
        <w:rPr>
          <w:rFonts w:hint="eastAsia"/>
          <w:color w:val="000000"/>
          <w:sz w:val="32"/>
          <w:szCs w:val="32"/>
        </w:rPr>
        <w:t>。</w:t>
      </w:r>
    </w:p>
    <w:p>
      <w:pPr>
        <w:pStyle w:val="2"/>
        <w:ind w:right="440"/>
        <w:rPr>
          <w:rStyle w:val="24"/>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w:t>
      </w:r>
      <w:r>
        <w:rPr>
          <w:rFonts w:ascii="仿宋" w:hAnsi="仿宋" w:eastAsia="仿宋"/>
          <w:color w:val="000000"/>
          <w:sz w:val="32"/>
          <w:szCs w:val="32"/>
        </w:rPr>
        <w:t>支</w:t>
      </w:r>
      <w:r>
        <w:rPr>
          <w:rFonts w:hint="eastAsia" w:ascii="仿宋" w:hAnsi="仿宋" w:eastAsia="仿宋"/>
          <w:color w:val="000000"/>
          <w:sz w:val="32"/>
          <w:szCs w:val="32"/>
        </w:rPr>
        <w:t>总</w:t>
      </w:r>
      <w:r>
        <w:rPr>
          <w:rFonts w:ascii="仿宋" w:hAnsi="仿宋" w:eastAsia="仿宋"/>
          <w:color w:val="000000"/>
          <w:sz w:val="32"/>
          <w:szCs w:val="32"/>
        </w:rPr>
        <w:t>计</w:t>
      </w:r>
      <w:r>
        <w:rPr>
          <w:rFonts w:hint="eastAsia" w:ascii="仿宋" w:hAnsi="仿宋" w:eastAsia="仿宋"/>
          <w:color w:val="000000"/>
          <w:sz w:val="32"/>
          <w:szCs w:val="32"/>
        </w:rPr>
        <w:t>3069.64万</w:t>
      </w:r>
      <w:r>
        <w:rPr>
          <w:rFonts w:ascii="仿宋" w:hAnsi="仿宋" w:eastAsia="仿宋"/>
          <w:color w:val="000000"/>
          <w:sz w:val="32"/>
          <w:szCs w:val="32"/>
        </w:rPr>
        <w:t>元</w:t>
      </w:r>
      <w:r>
        <w:rPr>
          <w:rFonts w:hint="eastAsia" w:ascii="仿宋" w:hAnsi="仿宋" w:eastAsia="仿宋"/>
          <w:color w:val="000000"/>
          <w:sz w:val="32"/>
          <w:szCs w:val="32"/>
        </w:rPr>
        <w:t>。与2017年相比，收、支总计各增加1573.13万元，增长了51.24</w:t>
      </w:r>
      <w:r>
        <w:rPr>
          <w:rFonts w:ascii="仿宋" w:hAnsi="仿宋" w:eastAsia="仿宋"/>
          <w:color w:val="000000"/>
          <w:sz w:val="32"/>
          <w:szCs w:val="32"/>
        </w:rPr>
        <w:t>%</w:t>
      </w:r>
      <w:r>
        <w:rPr>
          <w:rFonts w:hint="eastAsia" w:ascii="仿宋" w:hAnsi="仿宋" w:eastAsia="仿宋"/>
          <w:color w:val="000000"/>
          <w:sz w:val="32"/>
          <w:szCs w:val="32"/>
        </w:rPr>
        <w:t>。主要变动原因是增加了项目工程建设投资。</w:t>
      </w:r>
    </w:p>
    <w:p>
      <w:pPr>
        <w:spacing w:line="600" w:lineRule="exact"/>
        <w:ind w:firstLine="640" w:firstLineChars="200"/>
        <w:rPr>
          <w:rStyle w:val="25"/>
          <w:rFonts w:ascii="黑体" w:hAnsi="黑体" w:eastAsia="黑体"/>
          <w:b w:val="0"/>
        </w:rPr>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0</wp:posOffset>
            </wp:positionH>
            <wp:positionV relativeFrom="paragraph">
              <wp:posOffset>208280</wp:posOffset>
            </wp:positionV>
            <wp:extent cx="5257165" cy="2126615"/>
            <wp:effectExtent l="4445" t="4445" r="15240" b="2159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bookmarkStart w:id="26" w:name="_Toc15377206"/>
      <w:bookmarkStart w:id="27" w:name="_Toc15396604"/>
      <w:r>
        <w:rPr>
          <w:rFonts w:hint="eastAsia" w:ascii="黑体" w:hAnsi="黑体" w:eastAsia="黑体"/>
          <w:color w:val="000000"/>
          <w:sz w:val="32"/>
          <w:szCs w:val="32"/>
        </w:rPr>
        <w:t>二、收</w:t>
      </w:r>
      <w:r>
        <w:rPr>
          <w:rStyle w:val="25"/>
          <w:rFonts w:hint="eastAsia" w:ascii="黑体" w:hAnsi="黑体" w:eastAsia="黑体"/>
          <w:b w:val="0"/>
        </w:rPr>
        <w:t>入决算情况说明</w:t>
      </w:r>
      <w:bookmarkEnd w:id="26"/>
      <w:bookmarkEnd w:id="2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8年本年支出合计3069.64万元，其中：基本支出977.77万元，占31.85</w:t>
      </w:r>
      <w:r>
        <w:rPr>
          <w:rFonts w:ascii="仿宋" w:hAnsi="仿宋" w:eastAsia="仿宋"/>
          <w:color w:val="000000"/>
          <w:sz w:val="32"/>
          <w:szCs w:val="32"/>
        </w:rPr>
        <w:t>%</w:t>
      </w:r>
      <w:r>
        <w:rPr>
          <w:rFonts w:hint="eastAsia" w:ascii="仿宋" w:hAnsi="仿宋" w:eastAsia="仿宋"/>
          <w:color w:val="000000"/>
          <w:sz w:val="32"/>
          <w:szCs w:val="32"/>
        </w:rPr>
        <w:t>；项目支出2091.87万元，占68.15</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Style w:val="25"/>
          <w:rFonts w:ascii="黑体" w:hAnsi="黑体" w:eastAsia="黑体"/>
          <w:b w:val="0"/>
        </w:rPr>
      </w:pPr>
      <w:r>
        <w:rPr>
          <w:rFonts w:ascii="仿宋" w:hAnsi="仿宋" w:eastAsia="仿宋"/>
          <w:color w:val="000000"/>
          <w:sz w:val="32"/>
          <w:szCs w:val="32"/>
        </w:rPr>
        <w:drawing>
          <wp:anchor distT="0" distB="0" distL="114300" distR="114300" simplePos="0" relativeHeight="251671552" behindDoc="0" locked="0" layoutInCell="1" allowOverlap="1">
            <wp:simplePos x="0" y="0"/>
            <wp:positionH relativeFrom="margin">
              <wp:posOffset>83185</wp:posOffset>
            </wp:positionH>
            <wp:positionV relativeFrom="paragraph">
              <wp:posOffset>233680</wp:posOffset>
            </wp:positionV>
            <wp:extent cx="5273675" cy="1586865"/>
            <wp:effectExtent l="19050" t="0" r="22225" b="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28" w:name="_Toc15377207"/>
      <w:bookmarkStart w:id="29" w:name="_Toc15396605"/>
      <w:r>
        <w:rPr>
          <w:rFonts w:hint="eastAsia" w:ascii="黑体" w:hAnsi="黑体" w:eastAsia="黑体"/>
          <w:color w:val="000000"/>
          <w:sz w:val="32"/>
          <w:szCs w:val="32"/>
        </w:rPr>
        <w:t>三、支</w:t>
      </w:r>
      <w:r>
        <w:rPr>
          <w:rStyle w:val="25"/>
          <w:rFonts w:hint="eastAsia" w:ascii="黑体" w:hAnsi="黑体" w:eastAsia="黑体"/>
          <w:b w:val="0"/>
        </w:rPr>
        <w:t>出决算情况说明</w:t>
      </w:r>
      <w:bookmarkEnd w:id="28"/>
      <w:bookmarkEnd w:id="29"/>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8年财政拨款收、支总计3069.64万元。与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7年相比，财政拨款收、支总计增加1573.13万元，增长</w:t>
      </w:r>
      <w:r>
        <w:rPr>
          <w:rFonts w:ascii="仿宋" w:hAnsi="仿宋" w:eastAsia="仿宋"/>
          <w:color w:val="000000"/>
          <w:sz w:val="32"/>
          <w:szCs w:val="32"/>
        </w:rPr>
        <w:t>/</w:t>
      </w:r>
      <w:r>
        <w:rPr>
          <w:rFonts w:hint="eastAsia" w:ascii="仿宋" w:hAnsi="仿宋" w:eastAsia="仿宋"/>
          <w:color w:val="000000"/>
          <w:sz w:val="32"/>
          <w:szCs w:val="32"/>
        </w:rPr>
        <w:t>下降51.24</w:t>
      </w:r>
      <w:r>
        <w:rPr>
          <w:rFonts w:ascii="仿宋" w:hAnsi="仿宋" w:eastAsia="仿宋"/>
          <w:color w:val="000000"/>
          <w:sz w:val="32"/>
          <w:szCs w:val="32"/>
        </w:rPr>
        <w:t>%</w:t>
      </w:r>
      <w:r>
        <w:rPr>
          <w:rFonts w:hint="eastAsia" w:ascii="仿宋" w:hAnsi="仿宋" w:eastAsia="仿宋"/>
          <w:color w:val="000000"/>
          <w:sz w:val="32"/>
          <w:szCs w:val="32"/>
        </w:rPr>
        <w:t>。主要变动原因是增加了项目工程建设投资。</w:t>
      </w:r>
      <w:bookmarkStart w:id="30" w:name="_Toc15396606"/>
      <w:bookmarkStart w:id="31" w:name="_Toc15377208"/>
    </w:p>
    <w:p>
      <w:pPr>
        <w:spacing w:line="600" w:lineRule="exact"/>
        <w:rPr>
          <w:rFonts w:ascii="仿宋" w:hAnsi="仿宋" w:eastAsia="仿宋"/>
          <w:color w:val="000000"/>
          <w:sz w:val="32"/>
          <w:szCs w:val="32"/>
        </w:rPr>
      </w:pPr>
      <w:r>
        <w:rPr>
          <w:rFonts w:hint="eastAsia" w:ascii="仿宋_GB2312" w:eastAsia="仿宋_GB2312"/>
          <w:color w:val="FF0000"/>
          <w:sz w:val="32"/>
          <w:szCs w:val="32"/>
        </w:rPr>
        <w:drawing>
          <wp:anchor distT="0" distB="0" distL="114300" distR="114300" simplePos="0" relativeHeight="251739136" behindDoc="1" locked="0" layoutInCell="1" allowOverlap="1">
            <wp:simplePos x="0" y="0"/>
            <wp:positionH relativeFrom="column">
              <wp:posOffset>391795</wp:posOffset>
            </wp:positionH>
            <wp:positionV relativeFrom="paragraph">
              <wp:posOffset>276860</wp:posOffset>
            </wp:positionV>
            <wp:extent cx="5274310" cy="1579245"/>
            <wp:effectExtent l="4445" t="4445" r="17145" b="16510"/>
            <wp:wrapTight wrapText="bothSides">
              <wp:wrapPolygon>
                <wp:start x="-18" y="-61"/>
                <wp:lineTo x="-18" y="21305"/>
                <wp:lineTo x="21514" y="21305"/>
                <wp:lineTo x="21514" y="-61"/>
                <wp:lineTo x="-18" y="-61"/>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rPr>
          <w:rFonts w:hint="eastAsia" w:ascii="黑体" w:hAnsi="黑体" w:eastAsia="黑体"/>
          <w:color w:val="000000"/>
          <w:sz w:val="32"/>
          <w:szCs w:val="32"/>
        </w:rPr>
      </w:pPr>
    </w:p>
    <w:p>
      <w:pPr>
        <w:spacing w:line="600" w:lineRule="exact"/>
        <w:rPr>
          <w:rFonts w:hint="eastAsia" w:ascii="黑体" w:hAnsi="黑体" w:eastAsia="黑体"/>
          <w:color w:val="000000"/>
          <w:sz w:val="32"/>
          <w:szCs w:val="32"/>
        </w:rPr>
      </w:pPr>
    </w:p>
    <w:p>
      <w:pPr>
        <w:spacing w:line="600" w:lineRule="exact"/>
        <w:rPr>
          <w:rFonts w:hint="eastAsia" w:ascii="黑体" w:hAnsi="黑体" w:eastAsia="黑体"/>
          <w:color w:val="000000"/>
          <w:sz w:val="32"/>
          <w:szCs w:val="32"/>
        </w:rPr>
      </w:pPr>
    </w:p>
    <w:p>
      <w:pPr>
        <w:spacing w:line="600" w:lineRule="exact"/>
        <w:rPr>
          <w:rFonts w:hint="eastAsia" w:ascii="黑体" w:hAnsi="黑体" w:eastAsia="黑体"/>
          <w:color w:val="000000"/>
          <w:sz w:val="32"/>
          <w:szCs w:val="32"/>
        </w:rPr>
      </w:pPr>
    </w:p>
    <w:p>
      <w:pPr>
        <w:spacing w:line="600" w:lineRule="exact"/>
        <w:ind w:firstLine="320" w:firstLineChars="100"/>
        <w:rPr>
          <w:rFonts w:hint="eastAsia" w:ascii="黑体" w:hAnsi="黑体" w:eastAsia="黑体"/>
          <w:color w:val="000000"/>
          <w:sz w:val="32"/>
          <w:szCs w:val="32"/>
        </w:rPr>
      </w:pPr>
    </w:p>
    <w:p>
      <w:pPr>
        <w:spacing w:line="600" w:lineRule="exact"/>
        <w:ind w:firstLine="640" w:firstLineChars="200"/>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715584" behindDoc="0" locked="0" layoutInCell="1" allowOverlap="1">
            <wp:simplePos x="0" y="0"/>
            <wp:positionH relativeFrom="column">
              <wp:posOffset>0</wp:posOffset>
            </wp:positionH>
            <wp:positionV relativeFrom="paragraph">
              <wp:posOffset>1519555</wp:posOffset>
            </wp:positionV>
            <wp:extent cx="5274945" cy="2134870"/>
            <wp:effectExtent l="19050" t="0" r="20955" b="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8年财政拨款收、支总计3069.64万元。与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7年相比，财政拨款收、支总计增加1573.13万元，增长</w:t>
      </w:r>
      <w:r>
        <w:rPr>
          <w:rFonts w:ascii="仿宋" w:hAnsi="仿宋" w:eastAsia="仿宋"/>
          <w:color w:val="000000"/>
          <w:sz w:val="32"/>
          <w:szCs w:val="32"/>
        </w:rPr>
        <w:t>/</w:t>
      </w:r>
      <w:r>
        <w:rPr>
          <w:rFonts w:hint="eastAsia" w:ascii="仿宋" w:hAnsi="仿宋" w:eastAsia="仿宋"/>
          <w:color w:val="000000"/>
          <w:sz w:val="32"/>
          <w:szCs w:val="32"/>
        </w:rPr>
        <w:t>下降51.24</w:t>
      </w:r>
      <w:r>
        <w:rPr>
          <w:rFonts w:ascii="仿宋" w:hAnsi="仿宋" w:eastAsia="仿宋"/>
          <w:color w:val="000000"/>
          <w:sz w:val="32"/>
          <w:szCs w:val="32"/>
        </w:rPr>
        <w:t>%</w:t>
      </w:r>
      <w:r>
        <w:rPr>
          <w:rFonts w:hint="eastAsia" w:ascii="仿宋" w:hAnsi="仿宋" w:eastAsia="仿宋"/>
          <w:color w:val="000000"/>
          <w:sz w:val="32"/>
          <w:szCs w:val="32"/>
        </w:rPr>
        <w:t>。主要变动原因是增加了项目工程建设投资。</w:t>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8年一般公共预算财政拨款支出3069.64万元，占本年支出合计的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7年相比，一般公共预算财政拨款增加了1573.13万元，增长51.24</w:t>
      </w:r>
      <w:r>
        <w:rPr>
          <w:rFonts w:ascii="仿宋" w:hAnsi="仿宋" w:eastAsia="仿宋"/>
          <w:color w:val="000000"/>
          <w:sz w:val="32"/>
          <w:szCs w:val="32"/>
        </w:rPr>
        <w:t>%</w:t>
      </w:r>
      <w:r>
        <w:rPr>
          <w:rFonts w:hint="eastAsia" w:ascii="仿宋" w:hAnsi="仿宋" w:eastAsia="仿宋"/>
          <w:color w:val="000000"/>
          <w:sz w:val="32"/>
          <w:szCs w:val="32"/>
        </w:rPr>
        <w:t>。主要变动原因增加了项目工程建设投资。</w:t>
      </w:r>
      <w:bookmarkStart w:id="35" w:name="_Toc15377211"/>
    </w:p>
    <w:p>
      <w:pPr>
        <w:spacing w:line="600" w:lineRule="exact"/>
        <w:ind w:firstLine="640" w:firstLineChars="200"/>
        <w:rPr>
          <w:rFonts w:ascii="仿宋" w:hAnsi="仿宋" w:eastAsia="仿宋"/>
          <w:b/>
          <w:color w:val="000000"/>
          <w:sz w:val="32"/>
          <w:szCs w:val="32"/>
        </w:rPr>
      </w:pPr>
      <w:r>
        <w:rPr>
          <w:rFonts w:ascii="仿宋" w:hAnsi="仿宋" w:eastAsia="仿宋"/>
          <w:color w:val="000000" w:themeColor="text1"/>
          <w:sz w:val="32"/>
          <w:szCs w:val="32"/>
        </w:rPr>
        <w:drawing>
          <wp:anchor distT="0" distB="0" distL="114300" distR="114300" simplePos="0" relativeHeight="251741184" behindDoc="1" locked="0" layoutInCell="1" allowOverlap="1">
            <wp:simplePos x="0" y="0"/>
            <wp:positionH relativeFrom="margin">
              <wp:align>left</wp:align>
            </wp:positionH>
            <wp:positionV relativeFrom="paragraph">
              <wp:posOffset>650875</wp:posOffset>
            </wp:positionV>
            <wp:extent cx="4855845" cy="1981200"/>
            <wp:effectExtent l="4445" t="4445" r="16510" b="1460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2" w:firstLineChars="200"/>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sz w:val="32"/>
          <w:szCs w:val="32"/>
        </w:rPr>
        <w:t>3069.64</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Cs/>
          <w:color w:val="000000" w:themeColor="text1"/>
          <w:sz w:val="32"/>
          <w:szCs w:val="32"/>
        </w:rPr>
        <w:t>教育支出（类）2909.47</w:t>
      </w:r>
      <w:r>
        <w:rPr>
          <w:rFonts w:hint="eastAsia" w:ascii="仿宋" w:hAnsi="仿宋" w:eastAsia="仿宋"/>
          <w:color w:val="000000" w:themeColor="text1"/>
          <w:sz w:val="32"/>
          <w:szCs w:val="32"/>
        </w:rPr>
        <w:t>万元，占94.78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Cs/>
          <w:color w:val="000000" w:themeColor="text1"/>
          <w:sz w:val="32"/>
          <w:szCs w:val="32"/>
        </w:rPr>
        <w:t>社会保障和就业（类）</w:t>
      </w:r>
      <w:r>
        <w:rPr>
          <w:rFonts w:hint="eastAsia" w:ascii="仿宋" w:hAnsi="仿宋" w:eastAsia="仿宋"/>
          <w:color w:val="000000" w:themeColor="text1"/>
          <w:sz w:val="32"/>
          <w:szCs w:val="32"/>
        </w:rPr>
        <w:t>支出81.25万元，占2.65</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；医疗卫生支出25.79万元，占0.84</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；住房保障支出53.13万元，占1.74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ascii="仿宋" w:hAnsi="仿宋" w:eastAsia="仿宋"/>
          <w:color w:val="000000"/>
          <w:sz w:val="32"/>
          <w:szCs w:val="32"/>
        </w:rPr>
        <w:t xml:space="preserve"> </w:t>
      </w:r>
    </w:p>
    <w:p>
      <w:pPr>
        <w:spacing w:line="600" w:lineRule="exact"/>
        <w:ind w:firstLine="640"/>
        <w:rPr>
          <w:rFonts w:ascii="仿宋" w:hAnsi="仿宋" w:eastAsia="仿宋"/>
          <w:b/>
          <w:color w:val="000000"/>
          <w:sz w:val="32"/>
          <w:szCs w:val="32"/>
        </w:rPr>
      </w:pPr>
      <w:r>
        <w:rPr>
          <w:rFonts w:ascii="仿宋" w:hAnsi="仿宋" w:eastAsia="仿宋"/>
          <w:color w:val="000000"/>
          <w:sz w:val="32"/>
          <w:szCs w:val="32"/>
        </w:rPr>
        <w:drawing>
          <wp:anchor distT="0" distB="0" distL="114300" distR="114300" simplePos="0" relativeHeight="251745280" behindDoc="0" locked="0" layoutInCell="1" allowOverlap="1">
            <wp:simplePos x="0" y="0"/>
            <wp:positionH relativeFrom="margin">
              <wp:align>left</wp:align>
            </wp:positionH>
            <wp:positionV relativeFrom="paragraph">
              <wp:posOffset>1932940</wp:posOffset>
            </wp:positionV>
            <wp:extent cx="5846445" cy="1911985"/>
            <wp:effectExtent l="4445" t="4445" r="16510" b="762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0" w:firstLineChars="200"/>
        <w:outlineLvl w:val="2"/>
        <w:rPr>
          <w:rFonts w:ascii="仿宋" w:hAnsi="仿宋" w:eastAsia="仿宋"/>
          <w:bCs/>
          <w:color w:val="FF0000"/>
          <w:sz w:val="32"/>
          <w:szCs w:val="32"/>
        </w:rPr>
      </w:pPr>
      <w:bookmarkStart w:id="37" w:name="_Toc15378460"/>
      <w:bookmarkStart w:id="38" w:name="_Toc15377213"/>
      <w:bookmarkStart w:id="39" w:name="_Toc15377444"/>
      <w:r>
        <w:rPr>
          <w:rFonts w:hint="eastAsia" w:ascii="仿宋" w:hAnsi="仿宋" w:eastAsia="仿宋"/>
          <w:bCs/>
          <w:color w:val="000000" w:themeColor="text1"/>
          <w:sz w:val="32"/>
          <w:szCs w:val="32"/>
        </w:rPr>
        <w:t>2018年般公共预算支出决算数为</w:t>
      </w:r>
      <w:r>
        <w:rPr>
          <w:rFonts w:hint="eastAsia" w:ascii="仿宋" w:hAnsi="仿宋" w:eastAsia="仿宋"/>
          <w:bCs/>
          <w:color w:val="000000"/>
          <w:sz w:val="32"/>
          <w:szCs w:val="32"/>
        </w:rPr>
        <w:t>3069.64</w:t>
      </w:r>
      <w:r>
        <w:rPr>
          <w:rFonts w:hint="eastAsia" w:ascii="仿宋" w:hAnsi="仿宋" w:eastAsia="仿宋"/>
          <w:bCs/>
          <w:color w:val="000000" w:themeColor="text1"/>
          <w:sz w:val="32"/>
          <w:szCs w:val="32"/>
        </w:rPr>
        <w:t>万元，</w:t>
      </w:r>
      <w:r>
        <w:rPr>
          <w:rStyle w:val="14"/>
          <w:rFonts w:hint="eastAsia" w:ascii="仿宋" w:hAnsi="仿宋" w:eastAsia="仿宋"/>
          <w:b w:val="0"/>
          <w:bCs/>
          <w:color w:val="000000" w:themeColor="text1"/>
          <w:sz w:val="32"/>
          <w:szCs w:val="32"/>
        </w:rPr>
        <w:t>完成</w:t>
      </w:r>
      <w:r>
        <w:rPr>
          <w:rStyle w:val="14"/>
          <w:rFonts w:hint="eastAsia" w:ascii="仿宋" w:hAnsi="仿宋" w:eastAsia="仿宋"/>
          <w:b w:val="0"/>
          <w:bCs/>
          <w:color w:val="000000"/>
          <w:sz w:val="32"/>
          <w:szCs w:val="32"/>
        </w:rPr>
        <w:t>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。其中：</w:t>
      </w:r>
    </w:p>
    <w:p>
      <w:pPr>
        <w:spacing w:line="600" w:lineRule="exact"/>
        <w:ind w:firstLine="640" w:firstLineChars="200"/>
        <w:rPr>
          <w:rStyle w:val="14"/>
          <w:rFonts w:ascii="仿宋" w:hAnsi="仿宋" w:eastAsia="仿宋"/>
          <w:b w:val="0"/>
          <w:bCs/>
          <w:color w:val="000000"/>
          <w:sz w:val="32"/>
          <w:szCs w:val="32"/>
        </w:rPr>
      </w:pPr>
      <w:r>
        <w:rPr>
          <w:rStyle w:val="14"/>
          <w:rFonts w:ascii="仿宋" w:hAnsi="仿宋" w:eastAsia="仿宋"/>
          <w:b w:val="0"/>
          <w:bCs/>
          <w:color w:val="000000"/>
          <w:sz w:val="32"/>
          <w:szCs w:val="32"/>
        </w:rPr>
        <w:t>1.</w:t>
      </w:r>
      <w:r>
        <w:rPr>
          <w:rStyle w:val="14"/>
          <w:rFonts w:hint="eastAsia" w:ascii="仿宋" w:hAnsi="仿宋" w:eastAsia="仿宋"/>
          <w:b w:val="0"/>
          <w:bCs/>
          <w:color w:val="000000"/>
          <w:sz w:val="32"/>
          <w:szCs w:val="32"/>
        </w:rPr>
        <w:t>教育（类）普通教育（款）学前</w:t>
      </w:r>
      <w:r>
        <w:rPr>
          <w:rStyle w:val="14"/>
          <w:rFonts w:ascii="仿宋" w:hAnsi="仿宋" w:eastAsia="仿宋"/>
          <w:b w:val="0"/>
          <w:bCs/>
          <w:color w:val="000000"/>
          <w:sz w:val="32"/>
          <w:szCs w:val="32"/>
        </w:rPr>
        <w:t>教育</w:t>
      </w:r>
      <w:r>
        <w:rPr>
          <w:rStyle w:val="14"/>
          <w:rFonts w:hint="eastAsia" w:ascii="仿宋" w:hAnsi="仿宋" w:eastAsia="仿宋"/>
          <w:b w:val="0"/>
          <w:bCs/>
          <w:color w:val="000000"/>
          <w:sz w:val="32"/>
          <w:szCs w:val="32"/>
        </w:rPr>
        <w:t>（项）</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bCs/>
          <w:color w:val="000000" w:themeColor="text1"/>
          <w:sz w:val="32"/>
          <w:szCs w:val="32"/>
        </w:rPr>
        <w:t>81.22</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0" w:firstLine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教育（类）普通教育（款）小学</w:t>
      </w:r>
      <w:r>
        <w:rPr>
          <w:rStyle w:val="14"/>
          <w:rFonts w:ascii="仿宋" w:hAnsi="仿宋" w:eastAsia="仿宋"/>
          <w:b w:val="0"/>
          <w:bCs/>
          <w:color w:val="000000"/>
          <w:sz w:val="32"/>
          <w:szCs w:val="32"/>
        </w:rPr>
        <w:t>教育</w:t>
      </w:r>
      <w:r>
        <w:rPr>
          <w:rStyle w:val="14"/>
          <w:rFonts w:hint="eastAsia" w:ascii="仿宋" w:hAnsi="仿宋" w:eastAsia="仿宋"/>
          <w:b w:val="0"/>
          <w:bCs/>
          <w:color w:val="000000"/>
          <w:sz w:val="32"/>
          <w:szCs w:val="32"/>
        </w:rPr>
        <w:t>（项）</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bCs/>
          <w:color w:val="000000" w:themeColor="text1"/>
          <w:sz w:val="32"/>
          <w:szCs w:val="32"/>
        </w:rPr>
        <w:t>2824.75</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0" w:firstLine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教育（类）普通教育（款）其他普通教育支出（项）</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bCs/>
          <w:color w:val="000000" w:themeColor="text1"/>
          <w:sz w:val="32"/>
          <w:szCs w:val="32"/>
        </w:rPr>
        <w:t>3.5</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0" w:firstLineChars="200"/>
        <w:rPr>
          <w:rStyle w:val="14"/>
          <w:rFonts w:ascii="仿宋" w:hAnsi="仿宋" w:eastAsia="仿宋"/>
          <w:b w:val="0"/>
          <w:bCs/>
          <w:color w:val="000000"/>
          <w:sz w:val="32"/>
          <w:szCs w:val="32"/>
        </w:rPr>
      </w:pPr>
      <w:r>
        <w:rPr>
          <w:rStyle w:val="14"/>
          <w:rFonts w:ascii="仿宋" w:hAnsi="仿宋" w:eastAsia="仿宋"/>
          <w:b w:val="0"/>
          <w:bCs/>
          <w:color w:val="000000"/>
          <w:sz w:val="32"/>
          <w:szCs w:val="32"/>
        </w:rPr>
        <w:t>2.</w:t>
      </w:r>
      <w:r>
        <w:rPr>
          <w:rStyle w:val="14"/>
          <w:rFonts w:hint="eastAsia" w:ascii="仿宋" w:hAnsi="仿宋" w:eastAsia="仿宋"/>
          <w:b w:val="0"/>
          <w:bCs/>
          <w:color w:val="000000"/>
          <w:sz w:val="32"/>
          <w:szCs w:val="32"/>
        </w:rPr>
        <w:t>社会保障和就业（类）行政事业单位离退休（款）机关事业单位基本养老保险缴费支出★（项）</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支出决算为71.08万元，完成预算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color w:val="000000"/>
          <w:sz w:val="32"/>
          <w:szCs w:val="32"/>
        </w:rPr>
        <w:t>社会保障和就业（类）行政事业单位离退休（款）机关事业单位职业年金缴费支出★（项）</w:t>
      </w:r>
      <w:r>
        <w:rPr>
          <w:rStyle w:val="14"/>
          <w:rFonts w:ascii="仿宋" w:hAnsi="仿宋" w:eastAsia="仿宋"/>
          <w:b w:val="0"/>
          <w:color w:val="000000"/>
          <w:sz w:val="32"/>
          <w:szCs w:val="32"/>
        </w:rPr>
        <w:t xml:space="preserve">: </w:t>
      </w:r>
      <w:r>
        <w:rPr>
          <w:rStyle w:val="14"/>
          <w:rFonts w:hint="eastAsia" w:ascii="仿宋" w:hAnsi="仿宋" w:eastAsia="仿宋"/>
          <w:b w:val="0"/>
          <w:color w:val="000000"/>
          <w:sz w:val="32"/>
          <w:szCs w:val="32"/>
        </w:rPr>
        <w:t>支出决算为10.18万元，完成预算</w:t>
      </w:r>
      <w:r>
        <w:rPr>
          <w:rStyle w:val="14"/>
          <w:rFonts w:ascii="仿宋" w:hAnsi="仿宋" w:eastAsia="仿宋"/>
          <w:b w:val="0"/>
          <w:color w:val="000000"/>
          <w:sz w:val="32"/>
          <w:szCs w:val="32"/>
        </w:rPr>
        <w:t>100%</w:t>
      </w:r>
      <w:r>
        <w:rPr>
          <w:rStyle w:val="14"/>
          <w:rFonts w:hint="eastAsia" w:ascii="仿宋" w:hAnsi="仿宋" w:eastAsia="仿宋"/>
          <w:b w:val="0"/>
          <w:color w:val="000000"/>
          <w:sz w:val="32"/>
          <w:szCs w:val="32"/>
        </w:rPr>
        <w:t>。</w:t>
      </w:r>
    </w:p>
    <w:p>
      <w:pPr>
        <w:spacing w:line="600" w:lineRule="exact"/>
        <w:ind w:firstLine="640" w:firstLineChars="200"/>
        <w:rPr>
          <w:rStyle w:val="14"/>
          <w:rFonts w:ascii="仿宋" w:hAnsi="仿宋" w:eastAsia="仿宋"/>
          <w:b w:val="0"/>
          <w:bCs/>
          <w:color w:val="000000"/>
          <w:sz w:val="32"/>
          <w:szCs w:val="32"/>
        </w:rPr>
      </w:pPr>
      <w:r>
        <w:rPr>
          <w:rStyle w:val="14"/>
          <w:rFonts w:hint="eastAsia" w:ascii="仿宋" w:hAnsi="仿宋" w:eastAsia="仿宋"/>
          <w:b w:val="0"/>
          <w:color w:val="000000"/>
          <w:sz w:val="32"/>
          <w:szCs w:val="32"/>
        </w:rPr>
        <w:t>3</w:t>
      </w:r>
      <w:r>
        <w:rPr>
          <w:rStyle w:val="14"/>
          <w:rFonts w:ascii="仿宋" w:hAnsi="仿宋" w:eastAsia="仿宋"/>
          <w:b w:val="0"/>
          <w:color w:val="000000"/>
          <w:sz w:val="32"/>
          <w:szCs w:val="32"/>
        </w:rPr>
        <w:t>.</w:t>
      </w:r>
      <w:r>
        <w:rPr>
          <w:rStyle w:val="14"/>
          <w:rFonts w:hint="eastAsia" w:ascii="仿宋" w:hAnsi="仿宋" w:eastAsia="仿宋"/>
          <w:b w:val="0"/>
          <w:color w:val="000000"/>
          <w:sz w:val="32"/>
          <w:szCs w:val="32"/>
        </w:rPr>
        <w:t>医疗卫生与计划生育（类）行政事业单位医疗★（款）  事业单位医疗★（项）</w:t>
      </w:r>
      <w:r>
        <w:rPr>
          <w:rStyle w:val="14"/>
          <w:rFonts w:ascii="仿宋" w:hAnsi="仿宋" w:eastAsia="仿宋"/>
          <w:b w:val="0"/>
          <w:color w:val="000000"/>
          <w:sz w:val="32"/>
          <w:szCs w:val="32"/>
        </w:rPr>
        <w:t>:</w:t>
      </w:r>
      <w:r>
        <w:rPr>
          <w:rStyle w:val="14"/>
          <w:rFonts w:hint="eastAsia" w:ascii="仿宋" w:hAnsi="仿宋" w:eastAsia="仿宋"/>
          <w:b w:val="0"/>
          <w:color w:val="000000"/>
          <w:sz w:val="32"/>
          <w:szCs w:val="32"/>
        </w:rPr>
        <w:t>支出决算为25.79万元，完成预算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0" w:firstLineChars="200"/>
        <w:rPr>
          <w:rStyle w:val="14"/>
          <w:rFonts w:ascii="仿宋" w:hAnsi="仿宋" w:eastAsia="仿宋"/>
          <w:b w:val="0"/>
          <w:color w:val="000000"/>
          <w:sz w:val="32"/>
          <w:szCs w:val="32"/>
        </w:rPr>
      </w:pPr>
      <w:r>
        <w:rPr>
          <w:rStyle w:val="14"/>
          <w:rFonts w:hint="eastAsia" w:ascii="仿宋" w:hAnsi="仿宋" w:eastAsia="仿宋"/>
          <w:b w:val="0"/>
          <w:bCs/>
          <w:color w:val="000000"/>
          <w:sz w:val="32"/>
          <w:szCs w:val="32"/>
        </w:rPr>
        <w:t>4、</w:t>
      </w:r>
      <w:r>
        <w:rPr>
          <w:rStyle w:val="14"/>
          <w:rFonts w:hint="eastAsia" w:ascii="仿宋" w:hAnsi="仿宋" w:eastAsia="仿宋"/>
          <w:b w:val="0"/>
          <w:color w:val="000000"/>
          <w:sz w:val="32"/>
          <w:szCs w:val="32"/>
        </w:rPr>
        <w:t>住房保障支出（类）住房改革支出（款）住房公积金（项）</w:t>
      </w:r>
      <w:r>
        <w:rPr>
          <w:rStyle w:val="14"/>
          <w:rFonts w:ascii="仿宋" w:hAnsi="仿宋" w:eastAsia="仿宋"/>
          <w:b w:val="0"/>
          <w:color w:val="000000"/>
          <w:sz w:val="32"/>
          <w:szCs w:val="32"/>
        </w:rPr>
        <w:t>:</w:t>
      </w:r>
      <w:r>
        <w:rPr>
          <w:rStyle w:val="14"/>
          <w:rFonts w:hint="eastAsia" w:ascii="仿宋" w:hAnsi="仿宋" w:eastAsia="仿宋"/>
          <w:b w:val="0"/>
          <w:color w:val="000000"/>
          <w:sz w:val="32"/>
          <w:szCs w:val="32"/>
        </w:rPr>
        <w:t>支出决算为53.13万元，完成预算</w:t>
      </w:r>
      <w:r>
        <w:rPr>
          <w:rStyle w:val="14"/>
          <w:rFonts w:ascii="仿宋" w:hAnsi="仿宋" w:eastAsia="仿宋"/>
          <w:b w:val="0"/>
          <w:color w:val="000000"/>
          <w:sz w:val="32"/>
          <w:szCs w:val="32"/>
        </w:rPr>
        <w:t>100%</w:t>
      </w:r>
      <w:r>
        <w:rPr>
          <w:rStyle w:val="14"/>
          <w:rFonts w:hint="eastAsia" w:ascii="仿宋" w:hAnsi="仿宋" w:eastAsia="仿宋"/>
          <w:b w:val="0"/>
          <w:color w:val="000000"/>
          <w:sz w:val="32"/>
          <w:szCs w:val="32"/>
        </w:rPr>
        <w:t>。</w:t>
      </w:r>
    </w:p>
    <w:bookmarkEnd w:id="37"/>
    <w:bookmarkEnd w:id="38"/>
    <w:bookmarkEnd w:id="39"/>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8年一般公共预算财政拨款基本支出977.77万元，其中：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712.26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265.51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ascii="仿宋" w:hAnsi="仿宋" w:eastAsia="仿宋"/>
          <w:color w:val="000000"/>
          <w:sz w:val="32"/>
          <w:szCs w:val="32"/>
        </w:rPr>
        <w:t>2.5</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8年“三公”经费财政拨款支出决算中，公务接待费支出决算</w:t>
      </w:r>
      <w:r>
        <w:rPr>
          <w:rFonts w:ascii="仿宋" w:hAnsi="仿宋" w:eastAsia="仿宋"/>
          <w:color w:val="000000"/>
          <w:sz w:val="32"/>
          <w:szCs w:val="32"/>
        </w:rPr>
        <w:t>2.</w:t>
      </w:r>
      <w:r>
        <w:rPr>
          <w:rFonts w:hint="eastAsia" w:ascii="仿宋" w:hAnsi="仿宋" w:eastAsia="仿宋"/>
          <w:color w:val="000000"/>
          <w:sz w:val="32"/>
          <w:szCs w:val="32"/>
        </w:rPr>
        <w:t>7万元，占</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公务接待费支出</w:t>
      </w:r>
      <w:r>
        <w:rPr>
          <w:rFonts w:ascii="仿宋_GB2312" w:eastAsia="仿宋_GB2312"/>
          <w:color w:val="000000"/>
          <w:sz w:val="32"/>
          <w:szCs w:val="32"/>
        </w:rPr>
        <w:t>2.</w:t>
      </w:r>
      <w:r>
        <w:rPr>
          <w:rFonts w:hint="eastAsia" w:ascii="仿宋_GB2312" w:eastAsia="仿宋_GB2312"/>
          <w:color w:val="000000"/>
          <w:sz w:val="32"/>
          <w:szCs w:val="32"/>
        </w:rPr>
        <w:t>7万元，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7年减少0.05万元，下降1.85</w:t>
      </w:r>
      <w:r>
        <w:rPr>
          <w:rFonts w:ascii="仿宋_GB2312" w:eastAsia="仿宋_GB2312"/>
          <w:color w:val="000000"/>
          <w:sz w:val="32"/>
          <w:szCs w:val="32"/>
        </w:rPr>
        <w:t>%</w:t>
      </w:r>
      <w:r>
        <w:rPr>
          <w:rFonts w:hint="eastAsia" w:ascii="仿宋_GB2312" w:eastAsia="仿宋_GB2312"/>
          <w:color w:val="000000"/>
          <w:sz w:val="32"/>
          <w:szCs w:val="32"/>
        </w:rPr>
        <w:t>。主要原因是学校严格</w:t>
      </w:r>
      <w:r>
        <w:rPr>
          <w:rFonts w:ascii="仿宋_GB2312" w:eastAsia="仿宋_GB2312"/>
          <w:color w:val="000000"/>
          <w:sz w:val="32"/>
          <w:szCs w:val="32"/>
        </w:rPr>
        <w:t>执行上级文</w:t>
      </w:r>
      <w:r>
        <w:rPr>
          <w:rFonts w:hint="eastAsia" w:ascii="仿宋_GB2312" w:eastAsia="仿宋_GB2312"/>
          <w:color w:val="000000"/>
          <w:sz w:val="32"/>
          <w:szCs w:val="32"/>
        </w:rPr>
        <w:t>件</w:t>
      </w:r>
      <w:r>
        <w:rPr>
          <w:rFonts w:ascii="仿宋_GB2312" w:eastAsia="仿宋_GB2312"/>
          <w:color w:val="000000"/>
          <w:sz w:val="32"/>
          <w:szCs w:val="32"/>
        </w:rPr>
        <w:t>精神，厉行节约</w:t>
      </w:r>
      <w:r>
        <w:rPr>
          <w:rFonts w:hint="eastAsia" w:ascii="仿宋_GB2312" w:eastAsia="仿宋_GB2312"/>
          <w:color w:val="000000"/>
          <w:sz w:val="32"/>
          <w:szCs w:val="32"/>
        </w:rPr>
        <w:t>，减少开支。</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主要用于执行公务、开展业务活动开支的交通费、住宿费、用餐费等。国内公务接待40批次，800人次（不包括陪同人员），共计支出</w:t>
      </w:r>
      <w:r>
        <w:rPr>
          <w:rFonts w:ascii="仿宋_GB2312" w:eastAsia="仿宋_GB2312"/>
          <w:color w:val="000000"/>
          <w:sz w:val="32"/>
          <w:szCs w:val="32"/>
        </w:rPr>
        <w:t>2</w:t>
      </w:r>
      <w:r>
        <w:rPr>
          <w:rFonts w:hint="eastAsia" w:ascii="仿宋_GB2312" w:eastAsia="仿宋_GB2312"/>
          <w:color w:val="000000"/>
          <w:sz w:val="32"/>
          <w:szCs w:val="32"/>
        </w:rPr>
        <w:t>.7万元，具体内容包括：201</w:t>
      </w:r>
      <w:r>
        <w:rPr>
          <w:rFonts w:ascii="仿宋_GB2312" w:eastAsia="仿宋_GB2312"/>
          <w:color w:val="000000"/>
          <w:sz w:val="32"/>
          <w:szCs w:val="32"/>
        </w:rPr>
        <w:t>8</w:t>
      </w:r>
      <w:r>
        <w:rPr>
          <w:rFonts w:hint="eastAsia" w:ascii="仿宋_GB2312" w:eastAsia="仿宋_GB2312"/>
          <w:color w:val="000000"/>
          <w:sz w:val="32"/>
          <w:szCs w:val="32"/>
        </w:rPr>
        <w:t>年学校安全检查、食品卫生检查指导、学校发展接待指导我校教师业务能力培训、对学生能力检测等接待费用。</w:t>
      </w:r>
    </w:p>
    <w:p>
      <w:pPr>
        <w:spacing w:line="600" w:lineRule="exact"/>
        <w:ind w:firstLine="640" w:firstLineChars="200"/>
        <w:rPr>
          <w:rStyle w:val="25"/>
          <w:rFonts w:ascii="黑体" w:hAnsi="黑体" w:eastAsia="黑体"/>
        </w:rPr>
      </w:pPr>
      <w:bookmarkStart w:id="46" w:name="_Toc15396610"/>
      <w:bookmarkStart w:id="47" w:name="_Toc1537721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spacing w:line="580" w:lineRule="exact"/>
        <w:ind w:firstLine="320" w:firstLineChars="100"/>
        <w:rPr>
          <w:rFonts w:ascii="黑体" w:hAnsi="黑体" w:eastAsia="黑体" w:cstheme="majorBidi"/>
          <w:bCs/>
          <w:sz w:val="32"/>
          <w:szCs w:val="32"/>
        </w:rPr>
      </w:pPr>
      <w:r>
        <w:rPr>
          <w:rFonts w:hint="eastAsia" w:ascii="黑体" w:hAnsi="黑体" w:eastAsia="黑体" w:cstheme="majorBidi"/>
          <w:bCs/>
          <w:sz w:val="32"/>
          <w:szCs w:val="32"/>
        </w:rPr>
        <w:t>（一）</w:t>
      </w: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eastAsia="仿宋_GB2312"/>
          <w:color w:val="000000"/>
          <w:sz w:val="32"/>
          <w:szCs w:val="32"/>
        </w:rPr>
        <w:t>一般公共预算</w:t>
      </w:r>
      <w:r>
        <w:rPr>
          <w:rFonts w:hint="eastAsia" w:ascii="仿宋_GB2312" w:hAnsi="仿宋_GB2312" w:eastAsia="仿宋_GB2312" w:cs="仿宋_GB2312"/>
          <w:sz w:val="32"/>
          <w:szCs w:val="32"/>
        </w:rPr>
        <w:t>项目开展了预算事前绩效评估，对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本部门按要求对2018年部门整体支出开展绩效自评，从评价情况来看各部门工作井然有序,教学工作成绩显著。</w:t>
      </w:r>
    </w:p>
    <w:p>
      <w:pPr>
        <w:spacing w:line="600" w:lineRule="atLeast"/>
        <w:ind w:firstLine="640" w:firstLineChars="200"/>
        <w:rPr>
          <w:rFonts w:ascii="仿宋_GB2312" w:hAnsi="仿宋_GB2312" w:eastAsia="仿宋_GB2312" w:cs="仿宋_GB2312"/>
          <w:sz w:val="32"/>
          <w:szCs w:val="32"/>
        </w:rPr>
      </w:pPr>
      <w:r>
        <w:rPr>
          <w:rFonts w:hint="eastAsia" w:ascii="仿宋_GB2312" w:eastAsia="仿宋_GB2312"/>
          <w:color w:val="000000"/>
          <w:sz w:val="32"/>
          <w:szCs w:val="32"/>
        </w:rPr>
        <w:t>下一步改进措施：加强对项目管理，提高项目绩效的社会效益、生态效益及其使用效率。</w:t>
      </w:r>
    </w:p>
    <w:p>
      <w:pPr>
        <w:pStyle w:val="23"/>
        <w:numPr>
          <w:ilvl w:val="0"/>
          <w:numId w:val="4"/>
        </w:numPr>
        <w:spacing w:line="580" w:lineRule="exact"/>
        <w:ind w:firstLineChars="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pStyle w:val="23"/>
        <w:spacing w:line="580" w:lineRule="exact"/>
        <w:ind w:left="420" w:firstLine="64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本部门按要求对2018年部门整体支出绩效评价情况开展自评，《宣汉县樊哙镇小学2018年部门整体支出绩效评价报告》见附件。</w:t>
      </w: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日，无公务用车，无</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万元以上通用设备，无单价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2" w:firstLineChars="150"/>
        <w:jc w:val="center"/>
        <w:outlineLvl w:val="0"/>
        <w:rPr>
          <w:rStyle w:val="24"/>
          <w:rFonts w:ascii="黑体" w:hAnsi="黑体" w:eastAsia="黑体"/>
          <w:b w:val="0"/>
        </w:rPr>
      </w:pPr>
      <w:bookmarkStart w:id="52" w:name="_Toc15377225"/>
      <w:bookmarkStart w:id="53"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4" w:name="_Toc15377226"/>
      <w:r>
        <w:rPr>
          <w:rFonts w:ascii="宋体"/>
          <w:b/>
          <w:color w:val="000000"/>
          <w:sz w:val="44"/>
          <w:szCs w:val="44"/>
        </w:rPr>
        <w:br w:type="page"/>
      </w:r>
      <w:bookmarkStart w:id="55"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5"/>
    </w:p>
    <w:p>
      <w:pPr>
        <w:spacing w:line="600" w:lineRule="exact"/>
        <w:jc w:val="center"/>
        <w:outlineLvl w:val="0"/>
        <w:rPr>
          <w:rStyle w:val="24"/>
        </w:rPr>
      </w:pPr>
    </w:p>
    <w:p>
      <w:pPr>
        <w:pStyle w:val="3"/>
        <w:rPr>
          <w:rStyle w:val="24"/>
          <w:rFonts w:ascii="仿宋" w:hAnsi="仿宋" w:eastAsia="仿宋"/>
          <w:b w:val="0"/>
          <w:bCs w:val="0"/>
          <w:sz w:val="32"/>
          <w:szCs w:val="32"/>
        </w:rPr>
      </w:pPr>
      <w:bookmarkStart w:id="56" w:name="_Toc15396615"/>
      <w:r>
        <w:rPr>
          <w:rStyle w:val="24"/>
          <w:rFonts w:hint="eastAsia" w:ascii="仿宋" w:hAnsi="仿宋" w:eastAsia="仿宋"/>
          <w:b w:val="0"/>
          <w:bCs w:val="0"/>
          <w:sz w:val="32"/>
          <w:szCs w:val="32"/>
        </w:rPr>
        <w:t>附件1</w:t>
      </w:r>
      <w:bookmarkEnd w:id="56"/>
    </w:p>
    <w:p>
      <w:pPr>
        <w:spacing w:line="600" w:lineRule="exact"/>
        <w:jc w:val="center"/>
        <w:outlineLvl w:val="0"/>
        <w:rPr>
          <w:rFonts w:ascii="黑体" w:hAnsi="黑体" w:eastAsia="黑体" w:cs="方正小标宋简体"/>
          <w:sz w:val="30"/>
          <w:szCs w:val="30"/>
        </w:rPr>
      </w:pPr>
      <w:r>
        <w:rPr>
          <w:rFonts w:hint="eastAsia" w:ascii="黑体" w:hAnsi="黑体" w:eastAsia="黑体" w:cs="方正小标宋简体"/>
          <w:sz w:val="30"/>
          <w:szCs w:val="30"/>
        </w:rPr>
        <w:t>宣汉县樊哙镇小学2018年部门整体支出绩效评价报告</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宣汉县樊哙镇小学是一所</w:t>
      </w:r>
      <w:r>
        <w:rPr>
          <w:rFonts w:hint="eastAsia" w:ascii="仿宋_GB2312" w:hAnsi="仿宋_GB2312" w:eastAsia="仿宋_GB2312" w:cs="仿宋_GB2312"/>
          <w:sz w:val="28"/>
          <w:szCs w:val="28"/>
        </w:rPr>
        <w:t>农村普通完全小学</w:t>
      </w:r>
      <w:r>
        <w:rPr>
          <w:rFonts w:hint="eastAsia" w:ascii="仿宋_GB2312" w:hAnsi="Calibri" w:eastAsia="仿宋_GB2312" w:cs="仿宋"/>
          <w:color w:val="000000"/>
          <w:kern w:val="0"/>
          <w:sz w:val="32"/>
          <w:szCs w:val="32"/>
        </w:rPr>
        <w:t>,主管部门为宣汉县教育科技局。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napToGrid w:val="0"/>
        <w:spacing w:line="58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主要职能是从事义务教育小学阶段的教育教学。在上级的指引下，在党、政、工、团的同心协力下，在全体教职工的不懈努力下，以“办人民满意教育”为宗旨，以“让每一个孩子健康成长，快乐学习”为办学理念，开拓创新，积极探索新形式下农村教育教学工作的新途径和新方法。坚持德育为先，育人为本，突出教学工作的中心位置，让安全工作为学校保驾护航，致力校园文化建设，优化育人环境，陶冶情操。</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学校工作顺利、平稳、扎实推进，取得了有目共睹的成绩：</w:t>
      </w:r>
      <w:r>
        <w:rPr>
          <w:rFonts w:hint="eastAsia" w:ascii="仿宋_GB2312" w:hAnsi="仿宋_GB2312" w:eastAsia="仿宋_GB2312" w:cs="仿宋_GB2312"/>
          <w:kern w:val="0"/>
          <w:sz w:val="28"/>
          <w:szCs w:val="28"/>
        </w:rPr>
        <w:t>学校教育工作目标考核二等奖、连续获星级平安学校称号、全县宣传工作先进集体、市县爱国卫生先进集体、科技创新大赛组织奖等荣誉。</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napToGrid w:val="0"/>
        <w:spacing w:line="520" w:lineRule="exact"/>
        <w:ind w:firstLine="560" w:firstLineChars="200"/>
        <w:rPr>
          <w:rFonts w:ascii="仿宋" w:hAnsi="仿宋" w:eastAsia="仿宋" w:cs="仿宋_GB2312"/>
          <w:sz w:val="32"/>
          <w:szCs w:val="32"/>
        </w:rPr>
      </w:pPr>
      <w:r>
        <w:rPr>
          <w:rFonts w:hint="eastAsia" w:ascii="仿宋_GB2312" w:hAnsi="仿宋_GB2312" w:eastAsia="仿宋_GB2312" w:cs="仿宋_GB2312"/>
          <w:sz w:val="28"/>
          <w:szCs w:val="28"/>
        </w:rPr>
        <w:t>四川省宣汉县樊哙镇小学是一所农村普通完全小学，所辖2所村小，2所民办学校，1个附属幼儿园，有学生1508人，26个教学班，教职工64人，其中在编教职工54人，特岗教师10人。遗嘱18人。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2018年收入合计</w:t>
      </w:r>
      <w:r>
        <w:rPr>
          <w:rFonts w:hint="eastAsia" w:ascii="仿宋" w:hAnsi="仿宋" w:eastAsia="仿宋"/>
          <w:color w:val="000000"/>
          <w:sz w:val="32"/>
          <w:szCs w:val="32"/>
        </w:rPr>
        <w:t>3069.64万</w:t>
      </w:r>
      <w:r>
        <w:rPr>
          <w:rFonts w:ascii="仿宋" w:hAnsi="仿宋" w:eastAsia="仿宋"/>
          <w:color w:val="000000"/>
          <w:sz w:val="32"/>
          <w:szCs w:val="32"/>
        </w:rPr>
        <w:t>元</w:t>
      </w:r>
      <w:r>
        <w:rPr>
          <w:rFonts w:hint="eastAsia" w:ascii="仿宋_GB2312" w:hAnsi="Calibri" w:eastAsia="仿宋_GB2312" w:cs="仿宋"/>
          <w:color w:val="000000"/>
          <w:kern w:val="0"/>
          <w:sz w:val="32"/>
          <w:szCs w:val="32"/>
        </w:rPr>
        <w:t>，全部为一般公共预算财政拨款收入。</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600" w:lineRule="exact"/>
        <w:ind w:firstLine="640"/>
        <w:rPr>
          <w:rFonts w:ascii="仿宋" w:hAnsi="仿宋" w:eastAsia="仿宋"/>
          <w:color w:val="000000"/>
          <w:sz w:val="32"/>
          <w:szCs w:val="32"/>
        </w:rPr>
      </w:pPr>
      <w:r>
        <w:rPr>
          <w:rFonts w:hint="eastAsia" w:ascii="仿宋_GB2312" w:hAnsi="Calibri" w:eastAsia="仿宋_GB2312" w:cs="仿宋"/>
          <w:color w:val="000000"/>
          <w:kern w:val="0"/>
          <w:sz w:val="32"/>
          <w:szCs w:val="32"/>
        </w:rPr>
        <w:t>2018年一般公共预算财政拨款支出</w:t>
      </w:r>
      <w:r>
        <w:rPr>
          <w:rFonts w:hint="eastAsia" w:ascii="仿宋" w:hAnsi="仿宋" w:eastAsia="仿宋"/>
          <w:color w:val="000000"/>
          <w:sz w:val="32"/>
          <w:szCs w:val="32"/>
        </w:rPr>
        <w:t>3069.64万</w:t>
      </w:r>
      <w:r>
        <w:rPr>
          <w:rFonts w:ascii="仿宋" w:hAnsi="仿宋" w:eastAsia="仿宋"/>
          <w:color w:val="000000"/>
          <w:sz w:val="32"/>
          <w:szCs w:val="32"/>
        </w:rPr>
        <w:t>元</w:t>
      </w:r>
      <w:r>
        <w:rPr>
          <w:rFonts w:hint="eastAsia" w:ascii="仿宋" w:hAnsi="仿宋" w:eastAsia="仿宋"/>
          <w:color w:val="000000"/>
          <w:sz w:val="32"/>
          <w:szCs w:val="32"/>
        </w:rPr>
        <w:t>3069.64万</w:t>
      </w:r>
      <w:r>
        <w:rPr>
          <w:rFonts w:ascii="仿宋" w:hAnsi="仿宋" w:eastAsia="仿宋"/>
          <w:color w:val="000000"/>
          <w:sz w:val="32"/>
          <w:szCs w:val="32"/>
        </w:rPr>
        <w:t>元</w:t>
      </w:r>
      <w:r>
        <w:rPr>
          <w:rFonts w:hint="eastAsia" w:ascii="仿宋_GB2312" w:hAnsi="Calibri" w:eastAsia="仿宋_GB2312" w:cs="仿宋"/>
          <w:color w:val="000000"/>
          <w:kern w:val="0"/>
          <w:sz w:val="32"/>
          <w:szCs w:val="32"/>
        </w:rPr>
        <w:t>，主要用于以下方面:</w:t>
      </w:r>
      <w:r>
        <w:rPr>
          <w:rFonts w:hint="eastAsia" w:ascii="仿宋" w:hAnsi="仿宋" w:eastAsia="仿宋"/>
          <w:bCs/>
          <w:color w:val="000000" w:themeColor="text1"/>
          <w:sz w:val="32"/>
          <w:szCs w:val="32"/>
        </w:rPr>
        <w:t>教育支出（类）2909.47</w:t>
      </w:r>
      <w:r>
        <w:rPr>
          <w:rFonts w:hint="eastAsia" w:ascii="仿宋" w:hAnsi="仿宋" w:eastAsia="仿宋"/>
          <w:color w:val="000000" w:themeColor="text1"/>
          <w:sz w:val="32"/>
          <w:szCs w:val="32"/>
        </w:rPr>
        <w:t>万元，占94.78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Cs/>
          <w:color w:val="000000" w:themeColor="text1"/>
          <w:sz w:val="32"/>
          <w:szCs w:val="32"/>
        </w:rPr>
        <w:t>社会保障和就业（类）</w:t>
      </w:r>
      <w:r>
        <w:rPr>
          <w:rFonts w:hint="eastAsia" w:ascii="仿宋" w:hAnsi="仿宋" w:eastAsia="仿宋"/>
          <w:color w:val="000000" w:themeColor="text1"/>
          <w:sz w:val="32"/>
          <w:szCs w:val="32"/>
        </w:rPr>
        <w:t>支出81.25万元，占2.65</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；医疗卫生支出25.79万元，占0.84</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；住房保障支出53.13万元，占1.74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ascii="仿宋" w:hAnsi="仿宋" w:eastAsia="仿宋"/>
          <w:color w:val="000000"/>
          <w:sz w:val="32"/>
          <w:szCs w:val="32"/>
        </w:rPr>
        <w:t xml:space="preserve"> </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2018年度宣汉县樊哙镇小学履职效益情况良好，认真遵守各项财务规章制度，严格执行各项支出审批程序，确保专款专用，无截留、挤占或挪用现象</w:t>
      </w:r>
      <w:r>
        <w:rPr>
          <w:rFonts w:ascii="仿宋_GB2312" w:hAnsi="Calibri" w:eastAsia="仿宋_GB2312" w:cs="仿宋"/>
          <w:color w:val="000000"/>
          <w:kern w:val="0"/>
          <w:sz w:val="32"/>
          <w:szCs w:val="32"/>
        </w:rPr>
        <w:t>发生</w:t>
      </w:r>
      <w:r>
        <w:rPr>
          <w:rFonts w:hint="eastAsia" w:ascii="仿宋_GB2312" w:hAnsi="Calibri" w:eastAsia="仿宋_GB2312" w:cs="仿宋"/>
          <w:color w:val="000000"/>
          <w:kern w:val="0"/>
          <w:sz w:val="32"/>
          <w:szCs w:val="32"/>
        </w:rPr>
        <w:t>。“三公”经费按预算执行、努力节约经费。项目按计划组织实施，确保专项资金合理使用，切实提高资金效益。部门整体支出绩效情况如下：</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1、在原来相对健全的财务管理制度基础上，适时地、针对性地进行了根据</w:t>
      </w:r>
      <w:r>
        <w:rPr>
          <w:rFonts w:ascii="仿宋_GB2312" w:hAnsi="Calibri" w:eastAsia="仿宋_GB2312" w:cs="仿宋"/>
          <w:color w:val="000000"/>
          <w:kern w:val="0"/>
          <w:sz w:val="32"/>
          <w:szCs w:val="32"/>
        </w:rPr>
        <w:t>实际情况</w:t>
      </w:r>
      <w:r>
        <w:rPr>
          <w:rFonts w:hint="eastAsia" w:ascii="仿宋_GB2312" w:hAnsi="Calibri" w:eastAsia="仿宋_GB2312" w:cs="仿宋"/>
          <w:color w:val="000000"/>
          <w:kern w:val="0"/>
          <w:sz w:val="32"/>
          <w:szCs w:val="32"/>
        </w:rPr>
        <w:t>进行</w:t>
      </w:r>
      <w:r>
        <w:rPr>
          <w:rFonts w:ascii="仿宋_GB2312" w:hAnsi="Calibri" w:eastAsia="仿宋_GB2312" w:cs="仿宋"/>
          <w:color w:val="000000"/>
          <w:kern w:val="0"/>
          <w:sz w:val="32"/>
          <w:szCs w:val="32"/>
        </w:rPr>
        <w:t>修订，</w:t>
      </w:r>
      <w:r>
        <w:rPr>
          <w:rFonts w:hint="eastAsia" w:ascii="仿宋_GB2312" w:hAnsi="Calibri" w:eastAsia="仿宋_GB2312" w:cs="仿宋"/>
          <w:color w:val="000000"/>
          <w:kern w:val="0"/>
          <w:sz w:val="32"/>
          <w:szCs w:val="32"/>
        </w:rPr>
        <w:t>制度的建立更为完善。</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2、认</w:t>
      </w:r>
      <w:r>
        <w:rPr>
          <w:rFonts w:ascii="仿宋_GB2312" w:hAnsi="Calibri" w:eastAsia="仿宋_GB2312" w:cs="仿宋"/>
          <w:color w:val="000000"/>
          <w:kern w:val="0"/>
          <w:sz w:val="32"/>
          <w:szCs w:val="32"/>
        </w:rPr>
        <w:t>真</w:t>
      </w:r>
      <w:r>
        <w:rPr>
          <w:rFonts w:hint="eastAsia" w:ascii="仿宋_GB2312" w:hAnsi="Calibri" w:eastAsia="仿宋_GB2312" w:cs="仿宋"/>
          <w:color w:val="000000"/>
          <w:kern w:val="0"/>
          <w:sz w:val="32"/>
          <w:szCs w:val="32"/>
        </w:rPr>
        <w:t>贯彻落实中央</w:t>
      </w:r>
      <w:bookmarkStart w:id="71" w:name="_GoBack"/>
      <w:bookmarkEnd w:id="71"/>
      <w:r>
        <w:rPr>
          <w:rFonts w:hint="eastAsia" w:ascii="仿宋_GB2312" w:hAnsi="Calibri" w:eastAsia="仿宋_GB2312" w:cs="仿宋"/>
          <w:color w:val="000000"/>
          <w:kern w:val="0"/>
          <w:sz w:val="32"/>
          <w:szCs w:val="32"/>
        </w:rPr>
        <w:t>八项规定和省、市相关文件精神。进一步加强“三公”经费管理，严格执行党政机关公务接待管理规定，尽力压缩“三公”经费等行政支出。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3、努力</w:t>
      </w:r>
      <w:r>
        <w:rPr>
          <w:rFonts w:ascii="仿宋_GB2312" w:hAnsi="Calibri" w:eastAsia="仿宋_GB2312" w:cs="仿宋"/>
          <w:color w:val="000000"/>
          <w:kern w:val="0"/>
          <w:sz w:val="32"/>
          <w:szCs w:val="32"/>
        </w:rPr>
        <w:t>改善</w:t>
      </w:r>
      <w:r>
        <w:rPr>
          <w:rFonts w:hint="eastAsia" w:ascii="仿宋_GB2312" w:hAnsi="Calibri" w:eastAsia="仿宋_GB2312" w:cs="仿宋"/>
          <w:color w:val="000000"/>
          <w:kern w:val="0"/>
          <w:sz w:val="32"/>
          <w:szCs w:val="32"/>
        </w:rPr>
        <w:t>教师办公条件，给教育教学工作带来了很大的帮助，同时也提高了教师的工作积极性。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一是加强领导责任意识，落实管理责任；二是加强资金管理制度建设，确保机构健全、分工明确；三是加强资金支出管理，严格支出标准和范围，确保专款专用，无截留、挤占或挪用。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将绩效评价结果作为以后年度安排预算的依据，优化资源配置。</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r>
        <w:rPr>
          <w:rFonts w:hint="eastAsia" w:ascii="仿宋" w:hAnsi="仿宋" w:eastAsia="仿宋" w:cs="仿宋_GB2312"/>
          <w:sz w:val="32"/>
          <w:szCs w:val="32"/>
        </w:rPr>
        <w:t>：优良</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_GB2312" w:eastAsia="仿宋_GB2312"/>
          <w:color w:val="000000"/>
          <w:sz w:val="32"/>
          <w:szCs w:val="32"/>
        </w:rPr>
        <w:t>一是项目工程建设管理执行力度不够，工程建设进度缓慢，没有充分发挥项目的经济效益和社会效益，</w:t>
      </w:r>
      <w:r>
        <w:rPr>
          <w:rFonts w:hint="eastAsia" w:ascii="仿宋_GB2312" w:hAnsi="Calibri" w:eastAsia="仿宋_GB2312" w:cs="仿宋"/>
          <w:color w:val="000000"/>
          <w:kern w:val="0"/>
          <w:sz w:val="32"/>
          <w:szCs w:val="32"/>
        </w:rPr>
        <w:t>严重制约了学校的发展。二是工程建设前期开支（含‘三通一平’）太大。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仿宋" w:eastAsia="仿宋_GB2312"/>
          <w:sz w:val="32"/>
          <w:szCs w:val="32"/>
        </w:rPr>
        <w:t>认真加强财务管理、及时进行预算，校长是第一负责人，亲自审核把关，学校</w:t>
      </w:r>
      <w:r>
        <w:rPr>
          <w:rFonts w:hint="eastAsia" w:ascii="仿宋_GB2312" w:hAnsi="Calibri" w:eastAsia="仿宋_GB2312" w:cs="仿宋"/>
          <w:color w:val="000000"/>
          <w:kern w:val="0"/>
          <w:sz w:val="32"/>
          <w:szCs w:val="32"/>
        </w:rPr>
        <w:t>厉行节约，开源节流，严格控制支出。根据学校实际，加快工程建设，及时投入使用，</w:t>
      </w:r>
      <w:r>
        <w:rPr>
          <w:rFonts w:hint="eastAsia" w:ascii="仿宋_GB2312" w:eastAsia="仿宋_GB2312"/>
          <w:color w:val="000000"/>
          <w:sz w:val="32"/>
          <w:szCs w:val="32"/>
        </w:rPr>
        <w:t>充分发挥项目的经济效益和社会效益</w:t>
      </w:r>
      <w:r>
        <w:rPr>
          <w:rFonts w:hint="eastAsia" w:ascii="仿宋_GB2312" w:hAnsi="Calibri" w:eastAsia="仿宋_GB2312" w:cs="仿宋"/>
          <w:color w:val="000000"/>
          <w:kern w:val="0"/>
          <w:sz w:val="32"/>
          <w:szCs w:val="32"/>
        </w:rPr>
        <w:t>，促进学校不断向前发展。</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4"/>
          <w:rFonts w:ascii="黑体" w:hAnsi="黑体" w:eastAsia="黑体"/>
          <w:b w:val="0"/>
        </w:rPr>
      </w:pPr>
      <w:bookmarkStart w:id="57"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4"/>
      <w:bookmarkEnd w:id="57"/>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8"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8"/>
    </w:p>
    <w:p>
      <w:pPr>
        <w:pStyle w:val="3"/>
        <w:rPr>
          <w:rFonts w:ascii="仿宋" w:hAnsi="仿宋" w:eastAsia="仿宋"/>
          <w:color w:val="000000"/>
        </w:rPr>
      </w:pPr>
      <w:bookmarkStart w:id="59"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59"/>
    </w:p>
    <w:p>
      <w:pPr>
        <w:pStyle w:val="3"/>
        <w:rPr>
          <w:rFonts w:ascii="仿宋" w:hAnsi="仿宋" w:eastAsia="仿宋"/>
          <w:color w:val="000000"/>
        </w:rPr>
      </w:pPr>
      <w:bookmarkStart w:id="60"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0"/>
    </w:p>
    <w:p>
      <w:pPr>
        <w:pStyle w:val="3"/>
        <w:rPr>
          <w:rFonts w:ascii="仿宋" w:hAnsi="仿宋" w:eastAsia="仿宋"/>
          <w:b w:val="0"/>
          <w:color w:val="000000"/>
        </w:rPr>
      </w:pPr>
      <w:bookmarkStart w:id="61"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1"/>
    </w:p>
    <w:p>
      <w:pPr>
        <w:pStyle w:val="3"/>
        <w:rPr>
          <w:rFonts w:ascii="仿宋" w:hAnsi="仿宋" w:eastAsia="仿宋"/>
          <w:color w:val="000000"/>
        </w:rPr>
      </w:pPr>
      <w:bookmarkStart w:id="62"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2"/>
    </w:p>
    <w:p>
      <w:pPr>
        <w:pStyle w:val="3"/>
        <w:rPr>
          <w:rFonts w:ascii="仿宋" w:hAnsi="仿宋" w:eastAsia="仿宋"/>
          <w:color w:val="000000"/>
        </w:rPr>
      </w:pPr>
      <w:bookmarkStart w:id="63"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3"/>
    </w:p>
    <w:p>
      <w:pPr>
        <w:pStyle w:val="3"/>
        <w:rPr>
          <w:rFonts w:ascii="仿宋" w:hAnsi="仿宋" w:eastAsia="仿宋"/>
          <w:color w:val="000000"/>
        </w:rPr>
      </w:pPr>
      <w:bookmarkStart w:id="64"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4"/>
    </w:p>
    <w:p>
      <w:pPr>
        <w:pStyle w:val="3"/>
        <w:rPr>
          <w:rFonts w:ascii="仿宋" w:hAnsi="仿宋" w:eastAsia="仿宋"/>
          <w:color w:val="000000"/>
        </w:rPr>
      </w:pPr>
      <w:bookmarkStart w:id="65"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5"/>
    </w:p>
    <w:p>
      <w:pPr>
        <w:pStyle w:val="3"/>
        <w:rPr>
          <w:rFonts w:ascii="仿宋" w:hAnsi="仿宋" w:eastAsia="仿宋"/>
          <w:color w:val="000000"/>
        </w:rPr>
      </w:pPr>
      <w:bookmarkStart w:id="66"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6"/>
    </w:p>
    <w:p>
      <w:pPr>
        <w:pStyle w:val="3"/>
        <w:rPr>
          <w:rFonts w:ascii="仿宋" w:hAnsi="仿宋" w:eastAsia="仿宋"/>
          <w:color w:val="000000"/>
        </w:rPr>
      </w:pPr>
      <w:bookmarkStart w:id="67"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7"/>
    </w:p>
    <w:p>
      <w:pPr>
        <w:pStyle w:val="3"/>
        <w:rPr>
          <w:rFonts w:ascii="仿宋" w:hAnsi="仿宋" w:eastAsia="仿宋"/>
          <w:color w:val="000000"/>
        </w:rPr>
      </w:pPr>
      <w:bookmarkStart w:id="68"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8"/>
    </w:p>
    <w:p>
      <w:pPr>
        <w:pStyle w:val="3"/>
        <w:rPr>
          <w:rFonts w:ascii="仿宋" w:hAnsi="仿宋" w:eastAsia="仿宋"/>
          <w:color w:val="000000"/>
        </w:rPr>
      </w:pPr>
      <w:bookmarkStart w:id="69"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9"/>
    </w:p>
    <w:p>
      <w:pPr>
        <w:pStyle w:val="3"/>
        <w:rPr>
          <w:rFonts w:ascii="仿宋" w:hAnsi="仿宋" w:eastAsia="仿宋"/>
          <w:color w:val="000000" w:themeColor="text1"/>
        </w:rPr>
      </w:pPr>
      <w:bookmarkStart w:id="70"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0"/>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
    <w:nsid w:val="48BE5F42"/>
    <w:multiLevelType w:val="multilevel"/>
    <w:tmpl w:val="48BE5F42"/>
    <w:lvl w:ilvl="0" w:tentative="0">
      <w:start w:val="2"/>
      <w:numFmt w:val="japaneseCounting"/>
      <w:lvlText w:val="（%1）"/>
      <w:lvlJc w:val="left"/>
      <w:pPr>
        <w:ind w:left="1080" w:hanging="1080"/>
      </w:pPr>
      <w:rPr>
        <w:rFonts w:hint="default" w:cs="楷体_GB2312"/>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0EE9"/>
    <w:rsid w:val="000222C6"/>
    <w:rsid w:val="0002549F"/>
    <w:rsid w:val="00032764"/>
    <w:rsid w:val="00042827"/>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026DD"/>
    <w:rsid w:val="00114E9B"/>
    <w:rsid w:val="0014729F"/>
    <w:rsid w:val="00157BAB"/>
    <w:rsid w:val="001654D1"/>
    <w:rsid w:val="0018106D"/>
    <w:rsid w:val="001877A7"/>
    <w:rsid w:val="00191536"/>
    <w:rsid w:val="00196687"/>
    <w:rsid w:val="001A6C5B"/>
    <w:rsid w:val="001C0962"/>
    <w:rsid w:val="001D7531"/>
    <w:rsid w:val="001E737D"/>
    <w:rsid w:val="001F0592"/>
    <w:rsid w:val="001F7506"/>
    <w:rsid w:val="002006CD"/>
    <w:rsid w:val="00202B36"/>
    <w:rsid w:val="002043F5"/>
    <w:rsid w:val="00204B7A"/>
    <w:rsid w:val="0021101A"/>
    <w:rsid w:val="00220536"/>
    <w:rsid w:val="00224FA6"/>
    <w:rsid w:val="00235629"/>
    <w:rsid w:val="00247EB2"/>
    <w:rsid w:val="00260C38"/>
    <w:rsid w:val="002616C0"/>
    <w:rsid w:val="002662AA"/>
    <w:rsid w:val="00280496"/>
    <w:rsid w:val="00295495"/>
    <w:rsid w:val="002A2B82"/>
    <w:rsid w:val="002B25FE"/>
    <w:rsid w:val="002B2613"/>
    <w:rsid w:val="002F1818"/>
    <w:rsid w:val="002F567B"/>
    <w:rsid w:val="003216A9"/>
    <w:rsid w:val="0035192A"/>
    <w:rsid w:val="0037013F"/>
    <w:rsid w:val="00380C92"/>
    <w:rsid w:val="00391BBF"/>
    <w:rsid w:val="003A484F"/>
    <w:rsid w:val="003A6094"/>
    <w:rsid w:val="003B0BE0"/>
    <w:rsid w:val="003B0C1B"/>
    <w:rsid w:val="003B33FC"/>
    <w:rsid w:val="003B4C81"/>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D2B79"/>
    <w:rsid w:val="004E0A2D"/>
    <w:rsid w:val="004E206B"/>
    <w:rsid w:val="004E6DF7"/>
    <w:rsid w:val="004F0FBD"/>
    <w:rsid w:val="00505A47"/>
    <w:rsid w:val="00512FDA"/>
    <w:rsid w:val="005170B0"/>
    <w:rsid w:val="00520DA0"/>
    <w:rsid w:val="005631B7"/>
    <w:rsid w:val="005664BB"/>
    <w:rsid w:val="0057481D"/>
    <w:rsid w:val="0058486E"/>
    <w:rsid w:val="005B2FB9"/>
    <w:rsid w:val="005C730D"/>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C3F20"/>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A7B0B"/>
    <w:rsid w:val="008B062A"/>
    <w:rsid w:val="008B768C"/>
    <w:rsid w:val="008C4DB1"/>
    <w:rsid w:val="008C4EAF"/>
    <w:rsid w:val="008C5176"/>
    <w:rsid w:val="008C7FD0"/>
    <w:rsid w:val="008E1DE7"/>
    <w:rsid w:val="008E707C"/>
    <w:rsid w:val="00900B08"/>
    <w:rsid w:val="00902155"/>
    <w:rsid w:val="00902FA3"/>
    <w:rsid w:val="0090792B"/>
    <w:rsid w:val="009127C7"/>
    <w:rsid w:val="00923564"/>
    <w:rsid w:val="0092392E"/>
    <w:rsid w:val="009315F9"/>
    <w:rsid w:val="00946945"/>
    <w:rsid w:val="00950A86"/>
    <w:rsid w:val="00951248"/>
    <w:rsid w:val="0095152F"/>
    <w:rsid w:val="00954C49"/>
    <w:rsid w:val="0097099F"/>
    <w:rsid w:val="00971997"/>
    <w:rsid w:val="00971FFC"/>
    <w:rsid w:val="0098660A"/>
    <w:rsid w:val="009931C3"/>
    <w:rsid w:val="009B2C43"/>
    <w:rsid w:val="009B4EAE"/>
    <w:rsid w:val="009B7573"/>
    <w:rsid w:val="009C22F4"/>
    <w:rsid w:val="009C28B0"/>
    <w:rsid w:val="009C2E98"/>
    <w:rsid w:val="009D3447"/>
    <w:rsid w:val="009D3C5C"/>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19E6"/>
    <w:rsid w:val="00A93B00"/>
    <w:rsid w:val="00A93C21"/>
    <w:rsid w:val="00A9750B"/>
    <w:rsid w:val="00AC3C6A"/>
    <w:rsid w:val="00AD5620"/>
    <w:rsid w:val="00AD7C1B"/>
    <w:rsid w:val="00AE16BA"/>
    <w:rsid w:val="00AE1EBE"/>
    <w:rsid w:val="00B03C9D"/>
    <w:rsid w:val="00B060AE"/>
    <w:rsid w:val="00B10517"/>
    <w:rsid w:val="00B14E76"/>
    <w:rsid w:val="00B161B8"/>
    <w:rsid w:val="00B17CD3"/>
    <w:rsid w:val="00B2048C"/>
    <w:rsid w:val="00B310B9"/>
    <w:rsid w:val="00B35F3F"/>
    <w:rsid w:val="00B36CBB"/>
    <w:rsid w:val="00B425E0"/>
    <w:rsid w:val="00B440AA"/>
    <w:rsid w:val="00B44B70"/>
    <w:rsid w:val="00B53C56"/>
    <w:rsid w:val="00B566A0"/>
    <w:rsid w:val="00B734BF"/>
    <w:rsid w:val="00B77EA6"/>
    <w:rsid w:val="00B81598"/>
    <w:rsid w:val="00B841F1"/>
    <w:rsid w:val="00B944D6"/>
    <w:rsid w:val="00BA0283"/>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3B1C"/>
    <w:rsid w:val="00CC666F"/>
    <w:rsid w:val="00CD1E3F"/>
    <w:rsid w:val="00CE44F6"/>
    <w:rsid w:val="00CE49DA"/>
    <w:rsid w:val="00CE7B61"/>
    <w:rsid w:val="00D00095"/>
    <w:rsid w:val="00D20620"/>
    <w:rsid w:val="00D26091"/>
    <w:rsid w:val="00D34E7C"/>
    <w:rsid w:val="00D35489"/>
    <w:rsid w:val="00D36BC5"/>
    <w:rsid w:val="00D51276"/>
    <w:rsid w:val="00D630D3"/>
    <w:rsid w:val="00D7035F"/>
    <w:rsid w:val="00DA65AC"/>
    <w:rsid w:val="00DB1913"/>
    <w:rsid w:val="00DC410D"/>
    <w:rsid w:val="00DC53B5"/>
    <w:rsid w:val="00DC68CA"/>
    <w:rsid w:val="00DC7CBA"/>
    <w:rsid w:val="00DD4C18"/>
    <w:rsid w:val="00DD73B7"/>
    <w:rsid w:val="00DF28BC"/>
    <w:rsid w:val="00DF34B9"/>
    <w:rsid w:val="00DF7074"/>
    <w:rsid w:val="00E01053"/>
    <w:rsid w:val="00E07ACF"/>
    <w:rsid w:val="00E15FA7"/>
    <w:rsid w:val="00E331A1"/>
    <w:rsid w:val="00E33202"/>
    <w:rsid w:val="00E336A9"/>
    <w:rsid w:val="00E50624"/>
    <w:rsid w:val="00E568DF"/>
    <w:rsid w:val="00E64269"/>
    <w:rsid w:val="00E82267"/>
    <w:rsid w:val="00E963EE"/>
    <w:rsid w:val="00EA010F"/>
    <w:rsid w:val="00EC2F55"/>
    <w:rsid w:val="00ED1B63"/>
    <w:rsid w:val="00ED3C1F"/>
    <w:rsid w:val="00ED4085"/>
    <w:rsid w:val="00ED420E"/>
    <w:rsid w:val="00EE116E"/>
    <w:rsid w:val="00EE2F57"/>
    <w:rsid w:val="00EE435C"/>
    <w:rsid w:val="00EF4C34"/>
    <w:rsid w:val="00EF77C6"/>
    <w:rsid w:val="00F05438"/>
    <w:rsid w:val="00F07C1F"/>
    <w:rsid w:val="00F1361C"/>
    <w:rsid w:val="00F160C7"/>
    <w:rsid w:val="00F3593D"/>
    <w:rsid w:val="00F36D8F"/>
    <w:rsid w:val="00F417B1"/>
    <w:rsid w:val="00F602DF"/>
    <w:rsid w:val="00F81FD9"/>
    <w:rsid w:val="00F841AA"/>
    <w:rsid w:val="00F953FB"/>
    <w:rsid w:val="00FA23E8"/>
    <w:rsid w:val="00FB433F"/>
    <w:rsid w:val="00FD3CC1"/>
    <w:rsid w:val="00FF1E02"/>
    <w:rsid w:val="00FF30B4"/>
    <w:rsid w:val="00FF5601"/>
    <w:rsid w:val="10C055FF"/>
    <w:rsid w:val="16BB723D"/>
    <w:rsid w:val="240371BF"/>
    <w:rsid w:val="25081F25"/>
    <w:rsid w:val="29FD04D3"/>
    <w:rsid w:val="31650E11"/>
    <w:rsid w:val="319F7F4E"/>
    <w:rsid w:val="37D173FB"/>
    <w:rsid w:val="5B371F8C"/>
    <w:rsid w:val="73D67AE6"/>
    <w:rsid w:val="7DC04F55"/>
    <w:rsid w:val="FFB6CBD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列出段落1"/>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收、支决算总</a:t>
            </a:r>
            <a:r>
              <a:rPr lang="zh-CN" altLang="en-US" sz="1400" b="0" i="0" u="none" strike="noStrike" baseline="0">
                <a:effectLst/>
              </a:rPr>
              <a:t>体</a:t>
            </a:r>
            <a:r>
              <a:rPr lang="zh-CN" altLang="zh-CN" sz="1400" b="0" i="0" u="none" strike="noStrike" baseline="0">
                <a:effectLst/>
              </a:rPr>
              <a:t>变动情况图</a:t>
            </a:r>
            <a:endParaRPr lang="zh-CN" altLang="en-US"/>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2017年</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trendline>
            <c:spPr>
              <a:ln w="19050" cap="rnd" cmpd="sng" algn="ctr">
                <a:solidFill>
                  <a:schemeClr val="accent1"/>
                </a:solidFill>
                <a:prstDash val="sysDot"/>
                <a:round/>
              </a:ln>
              <a:effectLst/>
            </c:spPr>
            <c:trendlineType val="linear"/>
            <c:dispRSqr val="false"/>
            <c:dispEq val="false"/>
          </c:trendline>
          <c:cat>
            <c:strRef>
              <c:f>Sheet1!$A$2:$A$3</c:f>
              <c:strCache>
                <c:ptCount val="2"/>
                <c:pt idx="0">
                  <c:v>收入</c:v>
                </c:pt>
                <c:pt idx="1">
                  <c:v>支出</c:v>
                </c:pt>
              </c:strCache>
            </c:strRef>
          </c:cat>
          <c:val>
            <c:numRef>
              <c:f>Sheet1!$B$2:$B$3</c:f>
              <c:numCache>
                <c:formatCode>General</c:formatCode>
                <c:ptCount val="2"/>
                <c:pt idx="0">
                  <c:v>1496.51</c:v>
                </c:pt>
                <c:pt idx="1">
                  <c:v>1496.51</c:v>
                </c:pt>
              </c:numCache>
            </c:numRef>
          </c:val>
        </c:ser>
        <c:ser>
          <c:idx val="1"/>
          <c:order val="1"/>
          <c:tx>
            <c:strRef>
              <c:f>Sheet1!$C$1</c:f>
              <c:strCache>
                <c:ptCount val="1"/>
                <c:pt idx="0">
                  <c:v>2018年</c:v>
                </c:pt>
              </c:strCache>
            </c:strRef>
          </c:tx>
          <c:spPr>
            <a:solidFill>
              <a:schemeClr val="accent2"/>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3069.64</c:v>
                </c:pt>
                <c:pt idx="1">
                  <c:v>3069.64</c:v>
                </c:pt>
              </c:numCache>
            </c:numRef>
          </c:val>
        </c:ser>
        <c:dLbls>
          <c:showLegendKey val="false"/>
          <c:showVal val="true"/>
          <c:showCatName val="false"/>
          <c:showSerName val="false"/>
          <c:showPercent val="false"/>
          <c:showBubbleSize val="false"/>
        </c:dLbls>
        <c:gapWidth val="219"/>
        <c:overlap val="-27"/>
        <c:axId val="115016448"/>
        <c:axId val="115017984"/>
      </c:barChart>
      <c:catAx>
        <c:axId val="115016448"/>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15017984"/>
        <c:crosses val="autoZero"/>
        <c:auto val="true"/>
        <c:lblAlgn val="ctr"/>
        <c:lblOffset val="100"/>
        <c:noMultiLvlLbl val="false"/>
      </c:catAx>
      <c:valAx>
        <c:axId val="115017984"/>
        <c:scaling>
          <c:orientation val="minMax"/>
          <c:min val="0"/>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15016448"/>
        <c:crosses val="autoZero"/>
        <c:crossBetween val="between"/>
        <c:majorUnit val="100"/>
      </c:valAx>
      <c:spPr>
        <a:noFill/>
        <a:ln>
          <a:noFill/>
        </a:ln>
        <a:effectLst/>
      </c:spPr>
    </c:plotArea>
    <c:legend>
      <c:legendPos val="r"/>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r>
              <a:rPr lang="zh-CN"/>
              <a:t>收入决算结构图</a:t>
            </a:r>
            <a:endParaRPr lang="zh-CN"/>
          </a:p>
        </c:rich>
      </c:tx>
      <c:layout/>
      <c:overlay val="false"/>
      <c:spPr>
        <a:noFill/>
        <a:ln>
          <a:noFill/>
        </a:ln>
        <a:effectLst/>
      </c:spPr>
    </c:title>
    <c:autoTitleDeleted val="false"/>
    <c:plotArea>
      <c:layout/>
      <c:pieChart>
        <c:varyColors val="true"/>
        <c:ser>
          <c:idx val="0"/>
          <c:order val="0"/>
          <c:tx>
            <c:strRef>
              <c:f>Sheet1!$B$1</c:f>
              <c:strCache>
                <c:ptCount val="1"/>
                <c:pt idx="0">
                  <c:v>收入</c:v>
                </c:pt>
              </c:strCache>
            </c:strRef>
          </c:tx>
          <c:explosion val="0"/>
          <c:dPt>
            <c:idx val="0"/>
            <c:bubble3D val="false"/>
            <c:explosion val="2"/>
            <c:spPr>
              <a:solidFill>
                <a:schemeClr val="accent1"/>
              </a:solidFill>
              <a:ln>
                <a:noFill/>
              </a:ln>
              <a:effectLst>
                <a:outerShdw blurRad="254000" sx="102000" sy="102000" algn="ctr" rotWithShape="0">
                  <a:prstClr val="black">
                    <a:alpha val="20000"/>
                  </a:prstClr>
                </a:outerShdw>
              </a:effectLst>
            </c:spPr>
          </c:dPt>
          <c:dLbls>
            <c:dLbl>
              <c:idx val="0"/>
              <c:layout/>
              <c:tx>
                <c:rich>
                  <a:bodyPr rot="0" spcFirstLastPara="1" vertOverflow="ellipsis" vert="horz" wrap="square" lIns="38100" tIns="19050" rIns="38100" bIns="19050" anchor="ctr" anchorCtr="true"/>
                  <a:lstStyle/>
                  <a:p>
                    <a:fld id="{975df3e7-0a3b-44e7-8218-1aa96440e165}" type="VALUE">
                      <a:t>[VALUE]</a:t>
                    </a:fld>
                    <a:endParaRPr b="0" i="0" u="none" strike="noStrike" baseline="0">
                      <a:latin typeface="Times New Roman" panose="02020603050405020304" charset="0"/>
                      <a:ea typeface="Times New Roman" panose="02020603050405020304" charset="0"/>
                      <a:cs typeface="+mn-ea"/>
                    </a:endParaRP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true">
                <a:spAutoFit/>
              </a:bodyPr>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dk1">
                          <a:lumMod val="50000"/>
                          <a:lumOff val="50000"/>
                        </a:schemeClr>
                      </a:solidFill>
                      <a:prstDash val="solid"/>
                      <a:round/>
                    </a:ln>
                    <a:effectLst/>
                  </c:spPr>
                </c15:leaderLines>
              </c:ext>
            </c:extLst>
          </c:dLbls>
          <c:cat>
            <c:strRef>
              <c:f>Sheet1!$A$2</c:f>
              <c:strCache>
                <c:ptCount val="1"/>
                <c:pt idx="0">
                  <c:v>一般公共预算财政拨款</c:v>
                </c:pt>
              </c:strCache>
            </c:strRef>
          </c:cat>
          <c:val>
            <c:numRef>
              <c:f>Sheet1!$B$2</c:f>
              <c:numCache>
                <c:formatCode>0%</c:formatCode>
                <c:ptCount val="1"/>
                <c:pt idx="0">
                  <c:v>1</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1"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r>
              <a:rPr lang="zh-CN"/>
              <a:t>支出决算结构图</a:t>
            </a:r>
            <a:endParaRPr lang="zh-CN"/>
          </a:p>
        </c:rich>
      </c:tx>
      <c:layout/>
      <c:overlay val="false"/>
      <c:spPr>
        <a:noFill/>
        <a:ln>
          <a:noFill/>
        </a:ln>
        <a:effectLst/>
      </c:spPr>
    </c:title>
    <c:autoTitleDeleted val="false"/>
    <c:plotArea>
      <c:layout/>
      <c:pieChart>
        <c:varyColors val="true"/>
        <c:ser>
          <c:idx val="0"/>
          <c:order val="0"/>
          <c:tx>
            <c:strRef>
              <c:f>Sheet1!$B$1</c:f>
              <c:strCache>
                <c:ptCount val="1"/>
                <c:pt idx="0">
                  <c:v>支出决算</c:v>
                </c:pt>
              </c:strCache>
            </c:strRef>
          </c:tx>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Lbls>
            <c:dLbl>
              <c:idx val="0"/>
              <c:layout/>
              <c:tx>
                <c:rich>
                  <a:bodyPr rot="0" spcFirstLastPara="1" vertOverflow="ellipsis" vert="horz" wrap="square" lIns="38100" tIns="19050" rIns="38100" bIns="19050" anchor="ctr" anchorCtr="true"/>
                  <a:lstStyle/>
                  <a:p>
                    <a:fld id="{c8e68535-ecef-40b9-8469-5f8945cf7d89}" type="VALUE">
                      <a:t>[VALUE]</a:t>
                    </a:fld>
                    <a:endParaRPr b="0" i="0" u="none" strike="noStrike" baseline="0">
                      <a:latin typeface="Times New Roman" panose="02020603050405020304" charset="0"/>
                      <a:ea typeface="Times New Roman" panose="02020603050405020304" charset="0"/>
                      <a:cs typeface="+mn-ea"/>
                    </a:endParaRP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true"/>
                  <a:lstStyle/>
                  <a:p>
                    <a:fld id="{3fb60af1-ba52-4aa5-bc65-066b702e7b45}" type="VALUE">
                      <a:t>[VALUE]</a:t>
                    </a:fld>
                    <a:endParaRPr b="0" i="0" u="none" strike="noStrike" baseline="0">
                      <a:latin typeface="Times New Roman" panose="02020603050405020304" charset="0"/>
                      <a:ea typeface="Times New Roman" panose="02020603050405020304" charset="0"/>
                      <a:cs typeface="+mn-ea"/>
                    </a:endParaRP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true">
                <a:spAutoFit/>
              </a:bodyPr>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dk1">
                          <a:lumMod val="50000"/>
                          <a:lumOff val="50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0.3185</c:v>
                </c:pt>
                <c:pt idx="1">
                  <c:v>0.6815</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1"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600" b="1" i="0" u="none" strike="noStrike" kern="1200" cap="all" spc="120" normalizeH="0" baseline="0">
                <a:solidFill>
                  <a:schemeClr val="tx1">
                    <a:lumMod val="65000"/>
                    <a:lumOff val="35000"/>
                  </a:schemeClr>
                </a:solidFill>
                <a:latin typeface="+mn-lt"/>
                <a:ea typeface="+mn-ea"/>
                <a:cs typeface="+mn-cs"/>
              </a:defRPr>
            </a:pPr>
            <a:r>
              <a:rPr lang="zh-CN"/>
              <a:t>财政拨款收、支决算总计变动情况</a:t>
            </a:r>
            <a:endParaRPr lang="zh-CN"/>
          </a:p>
        </c:rich>
      </c:tx>
      <c:layout/>
      <c:overlay val="false"/>
      <c:spPr>
        <a:noFill/>
        <a:ln>
          <a:noFill/>
        </a:ln>
        <a:effectLst/>
      </c:spPr>
    </c:title>
    <c:autoTitleDeleted val="false"/>
    <c:plotArea>
      <c:layout>
        <c:manualLayout>
          <c:layoutTarget val="inner"/>
          <c:xMode val="edge"/>
          <c:yMode val="edge"/>
          <c:x val="0.0246809535275704"/>
          <c:y val="0.411114722131947"/>
          <c:w val="0.948832169516013"/>
          <c:h val="0.49067273318167"/>
        </c:manualLayout>
      </c:layout>
      <c:barChart>
        <c:barDir val="col"/>
        <c:grouping val="clustered"/>
        <c:varyColors val="false"/>
        <c:ser>
          <c:idx val="0"/>
          <c:order val="0"/>
          <c:tx>
            <c:strRef>
              <c:f>Sheet1!$B$1</c:f>
              <c:strCache>
                <c:ptCount val="1"/>
                <c:pt idx="0">
                  <c:v>2017年</c:v>
                </c:pt>
              </c:strCache>
            </c:strRef>
          </c:tx>
          <c:spPr>
            <a:solidFill>
              <a:schemeClr val="accent1"/>
            </a:solidFill>
            <a:ln>
              <a:noFill/>
            </a:ln>
            <a:effectLst/>
          </c:spPr>
          <c:invertIfNegative val="false"/>
          <c:dLbls>
            <c:spPr>
              <a:noFill/>
              <a:ln>
                <a:noFill/>
              </a:ln>
              <a:effectLst/>
            </c:spPr>
            <c:txPr>
              <a:bodyPr rot="-5400000" spcFirstLastPara="1" vertOverflow="clip" horzOverflow="clip" vert="horz" wrap="square" lIns="38100" tIns="19050" rIns="38100" bIns="19050" anchor="ctr" anchorCtr="true">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trendline>
            <c:spPr>
              <a:ln w="19050" cap="rnd" cmpd="sng" algn="ctr">
                <a:solidFill>
                  <a:schemeClr val="accent1"/>
                </a:solidFill>
                <a:prstDash val="sysDash"/>
                <a:round/>
              </a:ln>
              <a:effectLst/>
            </c:spPr>
            <c:trendlineType val="linear"/>
            <c:dispRSqr val="false"/>
            <c:dispEq val="false"/>
          </c:trendline>
          <c:cat>
            <c:strRef>
              <c:f>Sheet1!$A$2:$A$3</c:f>
              <c:strCache>
                <c:ptCount val="2"/>
                <c:pt idx="0">
                  <c:v>收入</c:v>
                </c:pt>
                <c:pt idx="1">
                  <c:v>支出</c:v>
                </c:pt>
              </c:strCache>
            </c:strRef>
          </c:cat>
          <c:val>
            <c:numRef>
              <c:f>Sheet1!$B$2:$B$3</c:f>
              <c:numCache>
                <c:formatCode>General</c:formatCode>
                <c:ptCount val="2"/>
                <c:pt idx="0">
                  <c:v>1496.51</c:v>
                </c:pt>
                <c:pt idx="1">
                  <c:v>1496.51</c:v>
                </c:pt>
              </c:numCache>
            </c:numRef>
          </c:val>
        </c:ser>
        <c:ser>
          <c:idx val="1"/>
          <c:order val="1"/>
          <c:tx>
            <c:strRef>
              <c:f>Sheet1!$C$1</c:f>
              <c:strCache>
                <c:ptCount val="1"/>
                <c:pt idx="0">
                  <c:v>2018年</c:v>
                </c:pt>
              </c:strCache>
            </c:strRef>
          </c:tx>
          <c:spPr>
            <a:solidFill>
              <a:schemeClr val="accent2"/>
            </a:solidFill>
            <a:ln>
              <a:noFill/>
            </a:ln>
            <a:effectLst/>
          </c:spPr>
          <c:invertIfNegative val="false"/>
          <c:dLbls>
            <c:spPr>
              <a:noFill/>
              <a:ln>
                <a:noFill/>
              </a:ln>
              <a:effectLst/>
            </c:spPr>
            <c:txPr>
              <a:bodyPr rot="-5400000" spcFirstLastPara="1" vertOverflow="clip" horzOverflow="clip" vert="horz" wrap="square" lIns="38100" tIns="19050" rIns="38100" bIns="19050" anchor="ctr" anchorCtr="true">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3069.64</c:v>
                </c:pt>
                <c:pt idx="1">
                  <c:v>3069.64</c:v>
                </c:pt>
              </c:numCache>
            </c:numRef>
          </c:val>
        </c:ser>
        <c:dLbls>
          <c:showLegendKey val="false"/>
          <c:showVal val="true"/>
          <c:showCatName val="false"/>
          <c:showSerName val="false"/>
          <c:showPercent val="false"/>
          <c:showBubbleSize val="false"/>
        </c:dLbls>
        <c:gapWidth val="444"/>
        <c:overlap val="-90"/>
        <c:axId val="241072768"/>
        <c:axId val="241240704"/>
      </c:barChart>
      <c:catAx>
        <c:axId val="241072768"/>
        <c:scaling>
          <c:orientation val="minMax"/>
        </c:scaling>
        <c:delete val="false"/>
        <c:axPos val="b"/>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241240704"/>
        <c:crosses val="autoZero"/>
        <c:auto val="true"/>
        <c:lblAlgn val="ctr"/>
        <c:lblOffset val="100"/>
        <c:noMultiLvlLbl val="false"/>
      </c:catAx>
      <c:valAx>
        <c:axId val="241240704"/>
        <c:scaling>
          <c:orientation val="minMax"/>
          <c:min val="100"/>
        </c:scaling>
        <c:delete val="true"/>
        <c:axPos val="l"/>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41072768"/>
        <c:crosses val="autoZero"/>
        <c:crossBetween val="between"/>
      </c:valAx>
      <c:spPr>
        <a:noFill/>
        <a:ln>
          <a:noFill/>
        </a:ln>
        <a:effectLst/>
      </c:spPr>
    </c:plotArea>
    <c:legend>
      <c:legendPos val="t"/>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lt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54639820669729"/>
          <c:y val="0.0705128205128205"/>
          <c:w val="0.816590727257563"/>
          <c:h val="0.617266807995154"/>
        </c:manualLayout>
      </c:layout>
      <c:barChart>
        <c:barDir val="col"/>
        <c:grouping val="clustered"/>
        <c:varyColors val="false"/>
        <c:ser>
          <c:idx val="0"/>
          <c:order val="0"/>
          <c:tx>
            <c:strRef>
              <c:f>Sheet1!$B$1</c:f>
              <c:strCache>
                <c:ptCount val="1"/>
                <c:pt idx="0">
                  <c:v>2018年</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3069.64</c:v>
                </c:pt>
              </c:numCache>
            </c:numRef>
          </c:val>
        </c:ser>
        <c:ser>
          <c:idx val="1"/>
          <c:order val="1"/>
          <c:tx>
            <c:strRef>
              <c:f>Sheet1!$C$1</c:f>
              <c:strCache>
                <c:ptCount val="1"/>
                <c:pt idx="0">
                  <c:v>2017年</c:v>
                </c:pt>
              </c:strCache>
            </c:strRef>
          </c:tx>
          <c:spPr>
            <a:solidFill>
              <a:schemeClr val="accent2"/>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1496.51</c:v>
                </c:pt>
              </c:numCache>
            </c:numRef>
          </c:val>
        </c:ser>
        <c:dLbls>
          <c:showLegendKey val="false"/>
          <c:showVal val="true"/>
          <c:showCatName val="false"/>
          <c:showSerName val="false"/>
          <c:showPercent val="false"/>
          <c:showBubbleSize val="false"/>
        </c:dLbls>
        <c:gapWidth val="219"/>
        <c:overlap val="-27"/>
        <c:axId val="51581312"/>
        <c:axId val="51582848"/>
      </c:barChart>
      <c:catAx>
        <c:axId val="51581312"/>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1582848"/>
        <c:crosses val="autoZero"/>
        <c:auto val="true"/>
        <c:lblAlgn val="ctr"/>
        <c:lblOffset val="100"/>
        <c:noMultiLvlLbl val="false"/>
      </c:catAx>
      <c:valAx>
        <c:axId val="51582848"/>
        <c:scaling>
          <c:orientation val="minMax"/>
          <c:min val="0"/>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1581312"/>
        <c:crosses val="autoZero"/>
        <c:crossBetween val="between"/>
      </c:valAx>
      <c:dTable>
        <c:showHorzBorder val="true"/>
        <c:showVertBorder val="true"/>
        <c:showOutline val="true"/>
        <c:showKeys val="true"/>
        <c:spPr>
          <a:noFill/>
          <a:ln w="9525" cap="flat" cmpd="sng" algn="ctr">
            <a:solidFill>
              <a:schemeClr val="tx1">
                <a:lumMod val="15000"/>
                <a:lumOff val="85000"/>
              </a:schemeClr>
            </a:solidFill>
            <a:prstDash val="solid"/>
            <a:round/>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r>
              <a:rPr lang="zh-CN"/>
              <a:t>一般公共预算财政拨款支出决算</a:t>
            </a:r>
            <a:endParaRPr lang="zh-CN"/>
          </a:p>
        </c:rich>
      </c:tx>
      <c:layout/>
      <c:overlay val="false"/>
      <c:spPr>
        <a:noFill/>
        <a:ln>
          <a:noFill/>
        </a:ln>
        <a:effectLst/>
      </c:spPr>
    </c:title>
    <c:autoTitleDeleted val="false"/>
    <c:plotArea>
      <c:layout/>
      <c:pieChart>
        <c:varyColors val="true"/>
        <c:ser>
          <c:idx val="0"/>
          <c:order val="0"/>
          <c:tx>
            <c:strRef>
              <c:f>Sheet1!$B$1</c:f>
              <c:strCache>
                <c:ptCount val="1"/>
                <c:pt idx="0">
                  <c:v>支出情况</c:v>
                </c:pt>
              </c:strCache>
            </c:strRef>
          </c:tx>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true">
                <a:spAutoFit/>
              </a:bodyPr>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dk1">
                          <a:lumMod val="50000"/>
                          <a:lumOff val="50000"/>
                        </a:schemeClr>
                      </a:solidFill>
                      <a:prstDash val="solid"/>
                      <a:round/>
                    </a:ln>
                    <a:effectLst/>
                  </c:spPr>
                </c15:leaderLines>
              </c:ext>
            </c:extLst>
          </c:dLbls>
          <c:cat>
            <c:strRef>
              <c:f>Sheet1!$A$2:$A$5</c:f>
              <c:strCache>
                <c:ptCount val="4"/>
                <c:pt idx="0">
                  <c:v>教育支出</c:v>
                </c:pt>
                <c:pt idx="1">
                  <c:v>社会保障和就业</c:v>
                </c:pt>
                <c:pt idx="2">
                  <c:v>医疗卫生支出</c:v>
                </c:pt>
                <c:pt idx="3">
                  <c:v>住房保障支出</c:v>
                </c:pt>
              </c:strCache>
            </c:strRef>
          </c:cat>
          <c:val>
            <c:numRef>
              <c:f>Sheet1!$B$2:$B$5</c:f>
              <c:numCache>
                <c:formatCode>0.00%</c:formatCode>
                <c:ptCount val="4"/>
                <c:pt idx="0">
                  <c:v>0.9478</c:v>
                </c:pt>
                <c:pt idx="1">
                  <c:v>0.0265</c:v>
                </c:pt>
                <c:pt idx="2">
                  <c:v>0.0083</c:v>
                </c:pt>
                <c:pt idx="3">
                  <c:v>0.0174</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1"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19</Pages>
  <Words>1253</Words>
  <Characters>7146</Characters>
  <Lines>59</Lines>
  <Paragraphs>16</Paragraphs>
  <TotalTime>0</TotalTime>
  <ScaleCrop>false</ScaleCrop>
  <LinksUpToDate>false</LinksUpToDate>
  <CharactersWithSpaces>8383</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2019-08-30T21:04:00Z</dcterms:created>
  <dc:creator>张彬茜</dc:creator>
  <cp:lastModifiedBy>仁可女青</cp:lastModifiedBy>
  <cp:lastPrinted>2019-08-01T08:48:00Z</cp:lastPrinted>
  <dcterms:modified xsi:type="dcterms:W3CDTF">2022-02-22T15:02:42Z</dcterms:modified>
  <dc:title>四川省***</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